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10.xml" ContentType="application/vnd.openxmlformats-officedocument.wordprocessingml.header+xml"/>
  <Override PartName="/word/footer17.xml" ContentType="application/vnd.openxmlformats-officedocument.wordprocessingml.footer+xml"/>
  <Override PartName="/word/header11.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header12.xml" ContentType="application/vnd.openxmlformats-officedocument.wordprocessingml.header+xml"/>
  <Override PartName="/word/footer40.xml" ContentType="application/vnd.openxmlformats-officedocument.wordprocessingml.footer+xml"/>
  <Override PartName="/word/header13.xml" ContentType="application/vnd.openxmlformats-officedocument.wordprocessingml.header+xml"/>
  <Override PartName="/word/footer41.xml" ContentType="application/vnd.openxmlformats-officedocument.wordprocessingml.footer+xml"/>
  <Override PartName="/word/header14.xml" ContentType="application/vnd.openxmlformats-officedocument.wordprocessingml.header+xml"/>
  <Override PartName="/word/footer42.xml" ContentType="application/vnd.openxmlformats-officedocument.wordprocessingml.footer+xml"/>
  <Override PartName="/word/header15.xml" ContentType="application/vnd.openxmlformats-officedocument.wordprocessingml.header+xml"/>
  <Override PartName="/word/footer43.xml" ContentType="application/vnd.openxmlformats-officedocument.wordprocessingml.footer+xml"/>
  <Override PartName="/word/header16.xml" ContentType="application/vnd.openxmlformats-officedocument.wordprocessingml.header+xml"/>
  <Override PartName="/word/footer44.xml" ContentType="application/vnd.openxmlformats-officedocument.wordprocessingml.footer+xml"/>
  <Override PartName="/word/header17.xml" ContentType="application/vnd.openxmlformats-officedocument.wordprocessingml.header+xml"/>
  <Override PartName="/word/footer45.xml" ContentType="application/vnd.openxmlformats-officedocument.wordprocessingml.footer+xml"/>
  <Override PartName="/word/header18.xml" ContentType="application/vnd.openxmlformats-officedocument.wordprocessingml.header+xml"/>
  <Override PartName="/word/footer46.xml" ContentType="application/vnd.openxmlformats-officedocument.wordprocessingml.footer+xml"/>
  <Override PartName="/word/header19.xml" ContentType="application/vnd.openxmlformats-officedocument.wordprocessingml.header+xml"/>
  <Override PartName="/word/footer47.xml" ContentType="application/vnd.openxmlformats-officedocument.wordprocessingml.footer+xml"/>
  <Override PartName="/word/header20.xml" ContentType="application/vnd.openxmlformats-officedocument.wordprocessingml.header+xml"/>
  <Override PartName="/word/footer48.xml" ContentType="application/vnd.openxmlformats-officedocument.wordprocessingml.footer+xml"/>
  <Override PartName="/word/header21.xml" ContentType="application/vnd.openxmlformats-officedocument.wordprocessingml.header+xml"/>
  <Override PartName="/word/footer49.xml" ContentType="application/vnd.openxmlformats-officedocument.wordprocessingml.footer+xml"/>
  <Override PartName="/word/header22.xml" ContentType="application/vnd.openxmlformats-officedocument.wordprocessingml.header+xml"/>
  <Override PartName="/word/footer50.xml" ContentType="application/vnd.openxmlformats-officedocument.wordprocessingml.footer+xml"/>
  <Override PartName="/word/header23.xml" ContentType="application/vnd.openxmlformats-officedocument.wordprocessingml.header+xml"/>
  <Override PartName="/word/footer51.xml" ContentType="application/vnd.openxmlformats-officedocument.wordprocessingml.footer+xml"/>
  <Override PartName="/word/header24.xml" ContentType="application/vnd.openxmlformats-officedocument.wordprocessingml.header+xml"/>
  <Override PartName="/word/footer52.xml" ContentType="application/vnd.openxmlformats-officedocument.wordprocessingml.footer+xml"/>
  <Override PartName="/word/header25.xml" ContentType="application/vnd.openxmlformats-officedocument.wordprocessingml.header+xml"/>
  <Override PartName="/word/footer53.xml" ContentType="application/vnd.openxmlformats-officedocument.wordprocessingml.footer+xml"/>
  <Override PartName="/word/header26.xml" ContentType="application/vnd.openxmlformats-officedocument.wordprocessingml.header+xml"/>
  <Override PartName="/word/footer54.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5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spacing w:before="179"/>
        <w:ind w:left="2026" w:right="310" w:firstLine="0"/>
        <w:jc w:val="center"/>
        <w:rPr>
          <w:rFonts w:ascii="Times New Roman" w:hAnsi="Times New Roman"/>
          <w:b/>
          <w:sz w:val="40"/>
        </w:rPr>
      </w:pPr>
      <w:r>
        <w:rPr/>
        <w:drawing>
          <wp:anchor distT="0" distB="0" distL="0" distR="0" allowOverlap="1" layoutInCell="1" locked="0" behindDoc="0" simplePos="0" relativeHeight="1048">
            <wp:simplePos x="0" y="0"/>
            <wp:positionH relativeFrom="page">
              <wp:posOffset>612551</wp:posOffset>
            </wp:positionH>
            <wp:positionV relativeFrom="paragraph">
              <wp:posOffset>-142978</wp:posOffset>
            </wp:positionV>
            <wp:extent cx="1118616" cy="972311"/>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18616" cy="972311"/>
                    </a:xfrm>
                    <a:prstGeom prst="rect">
                      <a:avLst/>
                    </a:prstGeom>
                  </pic:spPr>
                </pic:pic>
              </a:graphicData>
            </a:graphic>
          </wp:anchor>
        </w:drawing>
      </w:r>
      <w:r>
        <w:rPr>
          <w:rFonts w:ascii="Times New Roman" w:hAnsi="Times New Roman"/>
          <w:b/>
          <w:w w:val="105"/>
          <w:sz w:val="40"/>
        </w:rPr>
        <w:t>Universidad</w:t>
      </w:r>
      <w:r>
        <w:rPr>
          <w:rFonts w:ascii="Times New Roman" w:hAnsi="Times New Roman"/>
          <w:b/>
          <w:spacing w:val="-52"/>
          <w:w w:val="105"/>
          <w:sz w:val="40"/>
        </w:rPr>
        <w:t> </w:t>
      </w:r>
      <w:r>
        <w:rPr>
          <w:rFonts w:ascii="Times New Roman" w:hAnsi="Times New Roman"/>
          <w:b/>
          <w:w w:val="105"/>
          <w:sz w:val="40"/>
        </w:rPr>
        <w:t>Autónoma</w:t>
      </w:r>
      <w:r>
        <w:rPr>
          <w:rFonts w:ascii="Times New Roman" w:hAnsi="Times New Roman"/>
          <w:b/>
          <w:spacing w:val="-52"/>
          <w:w w:val="105"/>
          <w:sz w:val="40"/>
        </w:rPr>
        <w:t> </w:t>
      </w:r>
      <w:r>
        <w:rPr>
          <w:rFonts w:ascii="Times New Roman" w:hAnsi="Times New Roman"/>
          <w:b/>
          <w:w w:val="105"/>
          <w:sz w:val="40"/>
        </w:rPr>
        <w:t>del</w:t>
      </w:r>
      <w:r>
        <w:rPr>
          <w:rFonts w:ascii="Times New Roman" w:hAnsi="Times New Roman"/>
          <w:b/>
          <w:spacing w:val="-52"/>
          <w:w w:val="105"/>
          <w:sz w:val="40"/>
        </w:rPr>
        <w:t> </w:t>
      </w:r>
      <w:r>
        <w:rPr>
          <w:rFonts w:ascii="Times New Roman" w:hAnsi="Times New Roman"/>
          <w:b/>
          <w:w w:val="105"/>
          <w:sz w:val="40"/>
        </w:rPr>
        <w:t>Estado</w:t>
      </w:r>
      <w:r>
        <w:rPr>
          <w:rFonts w:ascii="Times New Roman" w:hAnsi="Times New Roman"/>
          <w:b/>
          <w:spacing w:val="-52"/>
          <w:w w:val="105"/>
          <w:sz w:val="40"/>
        </w:rPr>
        <w:t> </w:t>
      </w:r>
      <w:r>
        <w:rPr>
          <w:rFonts w:ascii="Times New Roman" w:hAnsi="Times New Roman"/>
          <w:b/>
          <w:w w:val="105"/>
          <w:sz w:val="40"/>
        </w:rPr>
        <w:t>de</w:t>
      </w:r>
      <w:r>
        <w:rPr>
          <w:rFonts w:ascii="Times New Roman" w:hAnsi="Times New Roman"/>
          <w:b/>
          <w:spacing w:val="-52"/>
          <w:w w:val="105"/>
          <w:sz w:val="40"/>
        </w:rPr>
        <w:t> </w:t>
      </w:r>
      <w:r>
        <w:rPr>
          <w:rFonts w:ascii="Times New Roman" w:hAnsi="Times New Roman"/>
          <w:b/>
          <w:w w:val="105"/>
          <w:sz w:val="40"/>
        </w:rPr>
        <w:t>México</w:t>
      </w:r>
    </w:p>
    <w:p>
      <w:pPr>
        <w:pStyle w:val="BodyText"/>
        <w:spacing w:line="207" w:lineRule="exact"/>
        <w:ind w:left="2081"/>
        <w:rPr>
          <w:rFonts w:ascii="Times New Roman"/>
          <w:sz w:val="20"/>
        </w:rPr>
      </w:pPr>
      <w:r>
        <w:rPr>
          <w:rFonts w:ascii="Times New Roman"/>
          <w:position w:val="-3"/>
          <w:sz w:val="20"/>
        </w:rPr>
        <w:pict>
          <v:group style="width:406.15pt;height:10.4pt;mso-position-horizontal-relative:char;mso-position-vertical-relative:line" coordorigin="0,0" coordsize="8123,208">
            <v:shape style="position:absolute;left:10;top:10;width:8103;height:188" coordorigin="10,10" coordsize="8103,188" path="m8019,10l10,10,10,197,8019,197,8112,104,8019,10xe" filled="true" fillcolor="#000000" stroked="false">
              <v:path arrowok="t"/>
              <v:fill type="solid"/>
            </v:shape>
            <v:shape style="position:absolute;left:10;top:10;width:8103;height:188" coordorigin="10,10" coordsize="8103,188" path="m10,10l8019,10,8112,104,8019,197,10,197,10,10xe" filled="false" stroked="true" strokeweight=".96pt" strokecolor="#000000">
              <v:path arrowok="t"/>
            </v:shape>
          </v:group>
        </w:pict>
      </w:r>
      <w:r>
        <w:rPr>
          <w:rFonts w:ascii="Times New Roman"/>
          <w:position w:val="-3"/>
          <w:sz w:val="20"/>
        </w:rPr>
      </w:r>
    </w:p>
    <w:p>
      <w:pPr>
        <w:pStyle w:val="BodyText"/>
        <w:rPr>
          <w:rFonts w:ascii="Times New Roman"/>
          <w:b/>
          <w:sz w:val="41"/>
        </w:rPr>
      </w:pPr>
    </w:p>
    <w:p>
      <w:pPr>
        <w:pStyle w:val="Heading3"/>
        <w:spacing w:line="249" w:lineRule="auto"/>
        <w:ind w:left="2484" w:right="627"/>
      </w:pPr>
      <w:r>
        <w:rPr/>
        <w:pict>
          <v:group style="position:absolute;margin-left:88.532394pt;margin-top:13.558797pt;width:11.8pt;height:471.2pt;mso-position-horizontal-relative:page;mso-position-vertical-relative:paragraph;z-index:1072" coordorigin="1771,271" coordsize="236,9424">
            <v:shape style="position:absolute;left:1781;top:281;width:216;height:9404" coordorigin="1781,281" coordsize="216,9404" path="m1997,281l1781,281,1781,9576,1889,9684,1997,9576,1997,281xe" filled="true" fillcolor="#000000" stroked="false">
              <v:path arrowok="t"/>
              <v:fill type="solid"/>
            </v:shape>
            <v:shape style="position:absolute;left:1781;top:281;width:216;height:9404" coordorigin="1781,281" coordsize="216,9404" path="m1781,281l1781,9576,1889,9684,1997,9576,1997,281,1781,281xe" filled="false" stroked="true" strokeweight=".96pt" strokecolor="#000000">
              <v:path arrowok="t"/>
            </v:shape>
            <w10:wrap type="none"/>
          </v:group>
        </w:pict>
      </w:r>
      <w:r>
        <w:rPr>
          <w:w w:val="115"/>
        </w:rPr>
        <w:t>Programa</w:t>
      </w:r>
      <w:r>
        <w:rPr>
          <w:spacing w:val="-33"/>
          <w:w w:val="115"/>
        </w:rPr>
        <w:t> </w:t>
      </w:r>
      <w:r>
        <w:rPr>
          <w:w w:val="115"/>
        </w:rPr>
        <w:t>en</w:t>
      </w:r>
      <w:r>
        <w:rPr>
          <w:spacing w:val="-32"/>
          <w:w w:val="115"/>
        </w:rPr>
        <w:t> </w:t>
      </w:r>
      <w:r>
        <w:rPr>
          <w:w w:val="115"/>
        </w:rPr>
        <w:t>Ciencias</w:t>
      </w:r>
      <w:r>
        <w:rPr>
          <w:spacing w:val="-33"/>
          <w:w w:val="115"/>
        </w:rPr>
        <w:t> </w:t>
      </w:r>
      <w:r>
        <w:rPr>
          <w:w w:val="115"/>
        </w:rPr>
        <w:t>Agropecuarias</w:t>
      </w:r>
      <w:r>
        <w:rPr>
          <w:spacing w:val="-33"/>
          <w:w w:val="115"/>
        </w:rPr>
        <w:t> </w:t>
      </w:r>
      <w:r>
        <w:rPr>
          <w:w w:val="115"/>
        </w:rPr>
        <w:t>y Recursos</w:t>
      </w:r>
      <w:r>
        <w:rPr>
          <w:spacing w:val="-51"/>
          <w:w w:val="115"/>
        </w:rPr>
        <w:t> </w:t>
      </w:r>
      <w:r>
        <w:rPr>
          <w:w w:val="115"/>
        </w:rPr>
        <w:t>Naturales</w:t>
      </w:r>
    </w:p>
    <w:p>
      <w:pPr>
        <w:pStyle w:val="BodyText"/>
        <w:rPr>
          <w:sz w:val="32"/>
        </w:rPr>
      </w:pPr>
    </w:p>
    <w:p>
      <w:pPr>
        <w:pStyle w:val="BodyText"/>
        <w:rPr>
          <w:sz w:val="32"/>
        </w:rPr>
      </w:pPr>
    </w:p>
    <w:p>
      <w:pPr>
        <w:spacing w:line="249" w:lineRule="auto" w:before="189"/>
        <w:ind w:left="2026" w:right="314" w:firstLine="0"/>
        <w:jc w:val="center"/>
        <w:rPr>
          <w:sz w:val="31"/>
        </w:rPr>
      </w:pPr>
      <w:r>
        <w:rPr>
          <w:w w:val="115"/>
          <w:sz w:val="31"/>
        </w:rPr>
        <w:t>Estimación de las emisiones en bovinos en los sistemas</w:t>
      </w:r>
      <w:r>
        <w:rPr>
          <w:spacing w:val="-27"/>
          <w:w w:val="115"/>
          <w:sz w:val="31"/>
        </w:rPr>
        <w:t> </w:t>
      </w:r>
      <w:r>
        <w:rPr>
          <w:w w:val="115"/>
          <w:sz w:val="31"/>
        </w:rPr>
        <w:t>de</w:t>
      </w:r>
      <w:r>
        <w:rPr>
          <w:spacing w:val="-27"/>
          <w:w w:val="115"/>
          <w:sz w:val="31"/>
        </w:rPr>
        <w:t> </w:t>
      </w:r>
      <w:r>
        <w:rPr>
          <w:w w:val="115"/>
          <w:sz w:val="31"/>
        </w:rPr>
        <w:t>producción</w:t>
      </w:r>
      <w:r>
        <w:rPr>
          <w:spacing w:val="-27"/>
          <w:w w:val="115"/>
          <w:sz w:val="31"/>
        </w:rPr>
        <w:t> </w:t>
      </w:r>
      <w:r>
        <w:rPr>
          <w:w w:val="115"/>
          <w:sz w:val="31"/>
        </w:rPr>
        <w:t>lechera</w:t>
      </w:r>
      <w:r>
        <w:rPr>
          <w:spacing w:val="-27"/>
          <w:w w:val="115"/>
          <w:sz w:val="31"/>
        </w:rPr>
        <w:t> </w:t>
      </w:r>
      <w:r>
        <w:rPr>
          <w:w w:val="115"/>
          <w:sz w:val="31"/>
        </w:rPr>
        <w:t>en</w:t>
      </w:r>
      <w:r>
        <w:rPr>
          <w:spacing w:val="-27"/>
          <w:w w:val="115"/>
          <w:sz w:val="31"/>
        </w:rPr>
        <w:t> </w:t>
      </w:r>
      <w:r>
        <w:rPr>
          <w:w w:val="115"/>
          <w:sz w:val="31"/>
        </w:rPr>
        <w:t>pequeña</w:t>
      </w:r>
      <w:r>
        <w:rPr>
          <w:spacing w:val="-27"/>
          <w:w w:val="115"/>
          <w:sz w:val="31"/>
        </w:rPr>
        <w:t> </w:t>
      </w:r>
      <w:r>
        <w:rPr>
          <w:w w:val="115"/>
          <w:sz w:val="31"/>
        </w:rPr>
        <w:t>escala a</w:t>
      </w:r>
      <w:r>
        <w:rPr>
          <w:spacing w:val="-22"/>
          <w:w w:val="115"/>
          <w:sz w:val="31"/>
        </w:rPr>
        <w:t> </w:t>
      </w:r>
      <w:r>
        <w:rPr>
          <w:w w:val="115"/>
          <w:sz w:val="31"/>
        </w:rPr>
        <w:t>través</w:t>
      </w:r>
      <w:r>
        <w:rPr>
          <w:spacing w:val="-22"/>
          <w:w w:val="115"/>
          <w:sz w:val="31"/>
        </w:rPr>
        <w:t> </w:t>
      </w:r>
      <w:r>
        <w:rPr>
          <w:w w:val="115"/>
          <w:sz w:val="31"/>
        </w:rPr>
        <w:t>del</w:t>
      </w:r>
      <w:r>
        <w:rPr>
          <w:spacing w:val="-23"/>
          <w:w w:val="115"/>
          <w:sz w:val="31"/>
        </w:rPr>
        <w:t> </w:t>
      </w:r>
      <w:r>
        <w:rPr>
          <w:w w:val="115"/>
          <w:sz w:val="31"/>
        </w:rPr>
        <w:t>factor</w:t>
      </w:r>
      <w:r>
        <w:rPr>
          <w:spacing w:val="-22"/>
          <w:w w:val="115"/>
          <w:sz w:val="31"/>
        </w:rPr>
        <w:t> </w:t>
      </w:r>
      <w:r>
        <w:rPr>
          <w:w w:val="115"/>
          <w:sz w:val="31"/>
        </w:rPr>
        <w:t>de</w:t>
      </w:r>
      <w:r>
        <w:rPr>
          <w:spacing w:val="-22"/>
          <w:w w:val="115"/>
          <w:sz w:val="31"/>
        </w:rPr>
        <w:t> </w:t>
      </w:r>
      <w:r>
        <w:rPr>
          <w:w w:val="115"/>
          <w:sz w:val="31"/>
        </w:rPr>
        <w:t>conversión</w:t>
      </w:r>
      <w:r>
        <w:rPr>
          <w:spacing w:val="-22"/>
          <w:w w:val="115"/>
          <w:sz w:val="31"/>
        </w:rPr>
        <w:t> </w:t>
      </w:r>
      <w:r>
        <w:rPr>
          <w:w w:val="115"/>
          <w:sz w:val="31"/>
        </w:rPr>
        <w:t>de</w:t>
      </w:r>
      <w:r>
        <w:rPr>
          <w:spacing w:val="-22"/>
          <w:w w:val="115"/>
          <w:sz w:val="31"/>
        </w:rPr>
        <w:t> </w:t>
      </w:r>
      <w:r>
        <w:rPr>
          <w:w w:val="115"/>
          <w:sz w:val="31"/>
        </w:rPr>
        <w:t>metano</w:t>
      </w:r>
    </w:p>
    <w:p>
      <w:pPr>
        <w:pStyle w:val="BodyText"/>
        <w:rPr>
          <w:sz w:val="32"/>
        </w:rPr>
      </w:pPr>
    </w:p>
    <w:p>
      <w:pPr>
        <w:pStyle w:val="BodyText"/>
        <w:rPr>
          <w:sz w:val="32"/>
        </w:rPr>
      </w:pPr>
    </w:p>
    <w:p>
      <w:pPr>
        <w:pStyle w:val="BodyText"/>
        <w:rPr>
          <w:sz w:val="32"/>
        </w:rPr>
      </w:pPr>
    </w:p>
    <w:p>
      <w:pPr>
        <w:tabs>
          <w:tab w:pos="2152" w:val="left" w:leader="none"/>
          <w:tab w:pos="2772" w:val="left" w:leader="none"/>
          <w:tab w:pos="3392" w:val="left" w:leader="none"/>
          <w:tab w:pos="3842" w:val="left" w:leader="none"/>
        </w:tabs>
        <w:spacing w:before="185"/>
        <w:ind w:left="1552" w:right="0" w:firstLine="0"/>
        <w:jc w:val="center"/>
        <w:rPr>
          <w:sz w:val="48"/>
        </w:rPr>
      </w:pPr>
      <w:r>
        <w:rPr>
          <w:w w:val="105"/>
          <w:sz w:val="48"/>
        </w:rPr>
        <w:t>T</w:t>
        <w:tab/>
        <w:t>E</w:t>
        <w:tab/>
        <w:t>S</w:t>
        <w:tab/>
        <w:t>I</w:t>
        <w:tab/>
        <w:t>S</w:t>
      </w:r>
    </w:p>
    <w:p>
      <w:pPr>
        <w:pStyle w:val="Heading3"/>
        <w:spacing w:line="252" w:lineRule="auto" w:before="380"/>
        <w:ind w:left="2484" w:right="631"/>
      </w:pPr>
      <w:r>
        <w:rPr>
          <w:w w:val="115"/>
        </w:rPr>
        <w:t>Que para obtener el Grado de Doctor en Ciencias</w:t>
      </w:r>
      <w:r>
        <w:rPr>
          <w:spacing w:val="-30"/>
          <w:w w:val="115"/>
        </w:rPr>
        <w:t> </w:t>
      </w:r>
      <w:r>
        <w:rPr>
          <w:w w:val="115"/>
        </w:rPr>
        <w:t>Agropecuarias</w:t>
      </w:r>
      <w:r>
        <w:rPr>
          <w:spacing w:val="-32"/>
          <w:w w:val="115"/>
        </w:rPr>
        <w:t> </w:t>
      </w:r>
      <w:r>
        <w:rPr>
          <w:w w:val="115"/>
        </w:rPr>
        <w:t>y</w:t>
      </w:r>
      <w:r>
        <w:rPr>
          <w:spacing w:val="-31"/>
          <w:w w:val="115"/>
        </w:rPr>
        <w:t> </w:t>
      </w:r>
      <w:r>
        <w:rPr>
          <w:w w:val="115"/>
        </w:rPr>
        <w:t>Recursos</w:t>
      </w:r>
      <w:r>
        <w:rPr>
          <w:spacing w:val="-31"/>
          <w:w w:val="115"/>
        </w:rPr>
        <w:t> </w:t>
      </w:r>
      <w:r>
        <w:rPr>
          <w:w w:val="115"/>
        </w:rPr>
        <w:t>Naturales</w:t>
      </w:r>
    </w:p>
    <w:p>
      <w:pPr>
        <w:pStyle w:val="BodyText"/>
        <w:rPr>
          <w:sz w:val="32"/>
        </w:rPr>
      </w:pPr>
    </w:p>
    <w:p>
      <w:pPr>
        <w:pStyle w:val="BodyText"/>
        <w:spacing w:before="11"/>
        <w:rPr>
          <w:sz w:val="43"/>
        </w:rPr>
      </w:pPr>
    </w:p>
    <w:p>
      <w:pPr>
        <w:spacing w:before="0"/>
        <w:ind w:left="1985" w:right="314" w:firstLine="0"/>
        <w:jc w:val="center"/>
        <w:rPr>
          <w:sz w:val="28"/>
        </w:rPr>
      </w:pPr>
      <w:r>
        <w:rPr>
          <w:sz w:val="28"/>
        </w:rPr>
        <w:t>P  R  E  S  E  N  T  A   </w:t>
      </w:r>
      <w:r>
        <w:rPr>
          <w:spacing w:val="73"/>
          <w:sz w:val="28"/>
        </w:rPr>
        <w:t> </w:t>
      </w:r>
      <w:r>
        <w:rPr>
          <w:sz w:val="28"/>
        </w:rPr>
        <w:t>:</w:t>
      </w:r>
    </w:p>
    <w:p>
      <w:pPr>
        <w:pStyle w:val="Heading3"/>
        <w:spacing w:before="130"/>
        <w:ind w:left="2026" w:right="177"/>
      </w:pPr>
      <w:r>
        <w:rPr>
          <w:w w:val="105"/>
        </w:rPr>
        <w:t>NOÉ ZÚÑIGA</w:t>
      </w:r>
      <w:r>
        <w:rPr>
          <w:spacing w:val="69"/>
          <w:w w:val="105"/>
        </w:rPr>
        <w:t> </w:t>
      </w:r>
      <w:r>
        <w:rPr>
          <w:w w:val="105"/>
        </w:rPr>
        <w:t>GONZÁLEZ</w:t>
      </w:r>
    </w:p>
    <w:p>
      <w:pPr>
        <w:pStyle w:val="BodyText"/>
        <w:rPr>
          <w:sz w:val="32"/>
        </w:rPr>
      </w:pPr>
    </w:p>
    <w:p>
      <w:pPr>
        <w:pStyle w:val="BodyText"/>
        <w:spacing w:before="10"/>
        <w:rPr>
          <w:sz w:val="32"/>
        </w:rPr>
      </w:pPr>
    </w:p>
    <w:p>
      <w:pPr>
        <w:spacing w:line="322" w:lineRule="exact" w:before="1"/>
        <w:ind w:left="2026" w:right="176" w:firstLine="0"/>
        <w:jc w:val="center"/>
        <w:rPr>
          <w:sz w:val="28"/>
        </w:rPr>
      </w:pPr>
      <w:r>
        <w:rPr>
          <w:w w:val="110"/>
          <w:sz w:val="28"/>
        </w:rPr>
        <w:t>Tutor Académico:</w:t>
      </w:r>
    </w:p>
    <w:p>
      <w:pPr>
        <w:spacing w:line="299" w:lineRule="exact" w:before="0"/>
        <w:ind w:left="2026" w:right="175" w:firstLine="0"/>
        <w:jc w:val="center"/>
        <w:rPr>
          <w:sz w:val="26"/>
        </w:rPr>
      </w:pPr>
      <w:r>
        <w:rPr>
          <w:w w:val="110"/>
          <w:sz w:val="26"/>
        </w:rPr>
        <w:t>Dr. Luis Brunett Pérez</w:t>
      </w:r>
    </w:p>
    <w:p>
      <w:pPr>
        <w:pStyle w:val="BodyText"/>
        <w:spacing w:before="7"/>
        <w:rPr>
          <w:sz w:val="26"/>
        </w:rPr>
      </w:pPr>
    </w:p>
    <w:p>
      <w:pPr>
        <w:spacing w:line="322" w:lineRule="exact" w:before="0"/>
        <w:ind w:left="2026" w:right="176" w:firstLine="0"/>
        <w:jc w:val="center"/>
        <w:rPr>
          <w:sz w:val="28"/>
        </w:rPr>
      </w:pPr>
      <w:r>
        <w:rPr>
          <w:w w:val="110"/>
          <w:sz w:val="28"/>
        </w:rPr>
        <w:t>Tutores Adjuntos:</w:t>
      </w:r>
    </w:p>
    <w:p>
      <w:pPr>
        <w:spacing w:line="242" w:lineRule="auto" w:before="0"/>
        <w:ind w:left="3973" w:right="2116" w:firstLine="394"/>
        <w:jc w:val="left"/>
        <w:rPr>
          <w:sz w:val="26"/>
        </w:rPr>
      </w:pPr>
      <w:r>
        <w:rPr>
          <w:w w:val="110"/>
          <w:sz w:val="26"/>
        </w:rPr>
        <w:t>Dr. Enrique Espinosa Ayala Dr.</w:t>
      </w:r>
      <w:r>
        <w:rPr>
          <w:spacing w:val="-21"/>
          <w:w w:val="110"/>
          <w:sz w:val="26"/>
        </w:rPr>
        <w:t> </w:t>
      </w:r>
      <w:r>
        <w:rPr>
          <w:w w:val="110"/>
          <w:sz w:val="26"/>
        </w:rPr>
        <w:t>Pedro</w:t>
      </w:r>
      <w:r>
        <w:rPr>
          <w:spacing w:val="-20"/>
          <w:w w:val="110"/>
          <w:sz w:val="26"/>
        </w:rPr>
        <w:t> </w:t>
      </w:r>
      <w:r>
        <w:rPr>
          <w:w w:val="110"/>
          <w:sz w:val="26"/>
        </w:rPr>
        <w:t>Abel</w:t>
      </w:r>
      <w:r>
        <w:rPr>
          <w:spacing w:val="-21"/>
          <w:w w:val="110"/>
          <w:sz w:val="26"/>
        </w:rPr>
        <w:t> </w:t>
      </w:r>
      <w:r>
        <w:rPr>
          <w:w w:val="110"/>
          <w:sz w:val="26"/>
        </w:rPr>
        <w:t>Hernández</w:t>
      </w:r>
      <w:r>
        <w:rPr>
          <w:spacing w:val="-20"/>
          <w:w w:val="110"/>
          <w:sz w:val="26"/>
        </w:rPr>
        <w:t> </w:t>
      </w:r>
      <w:r>
        <w:rPr>
          <w:w w:val="110"/>
          <w:sz w:val="26"/>
        </w:rPr>
        <w:t>García</w:t>
      </w:r>
    </w:p>
    <w:p>
      <w:pPr>
        <w:pStyle w:val="BodyText"/>
        <w:rPr>
          <w:sz w:val="26"/>
        </w:rPr>
      </w:pPr>
    </w:p>
    <w:p>
      <w:pPr>
        <w:pStyle w:val="BodyText"/>
        <w:spacing w:before="8"/>
        <w:rPr>
          <w:sz w:val="33"/>
        </w:rPr>
      </w:pPr>
    </w:p>
    <w:p>
      <w:pPr>
        <w:spacing w:line="242" w:lineRule="auto" w:before="1"/>
        <w:ind w:left="2471" w:right="651" w:firstLine="0"/>
        <w:jc w:val="center"/>
        <w:rPr>
          <w:sz w:val="28"/>
        </w:rPr>
      </w:pPr>
      <w:r>
        <w:rPr>
          <w:w w:val="110"/>
          <w:sz w:val="28"/>
        </w:rPr>
        <w:t>El</w:t>
      </w:r>
      <w:r>
        <w:rPr>
          <w:spacing w:val="-18"/>
          <w:w w:val="110"/>
          <w:sz w:val="28"/>
        </w:rPr>
        <w:t> </w:t>
      </w:r>
      <w:r>
        <w:rPr>
          <w:w w:val="110"/>
          <w:sz w:val="28"/>
        </w:rPr>
        <w:t>Cerrillo</w:t>
      </w:r>
      <w:r>
        <w:rPr>
          <w:spacing w:val="-17"/>
          <w:w w:val="110"/>
          <w:sz w:val="28"/>
        </w:rPr>
        <w:t> </w:t>
      </w:r>
      <w:r>
        <w:rPr>
          <w:w w:val="110"/>
          <w:sz w:val="28"/>
        </w:rPr>
        <w:t>Piedras</w:t>
      </w:r>
      <w:r>
        <w:rPr>
          <w:spacing w:val="-17"/>
          <w:w w:val="110"/>
          <w:sz w:val="28"/>
        </w:rPr>
        <w:t> </w:t>
      </w:r>
      <w:r>
        <w:rPr>
          <w:w w:val="110"/>
          <w:sz w:val="28"/>
        </w:rPr>
        <w:t>Blancas</w:t>
      </w:r>
      <w:r>
        <w:rPr>
          <w:spacing w:val="-17"/>
          <w:w w:val="110"/>
          <w:sz w:val="28"/>
        </w:rPr>
        <w:t> </w:t>
      </w:r>
      <w:r>
        <w:rPr>
          <w:w w:val="110"/>
          <w:sz w:val="28"/>
        </w:rPr>
        <w:t>Toluca,</w:t>
      </w:r>
      <w:r>
        <w:rPr>
          <w:spacing w:val="-18"/>
          <w:w w:val="110"/>
          <w:sz w:val="28"/>
        </w:rPr>
        <w:t> </w:t>
      </w:r>
      <w:r>
        <w:rPr>
          <w:w w:val="110"/>
          <w:sz w:val="28"/>
        </w:rPr>
        <w:t>Estado</w:t>
      </w:r>
      <w:r>
        <w:rPr>
          <w:spacing w:val="-17"/>
          <w:w w:val="110"/>
          <w:sz w:val="28"/>
        </w:rPr>
        <w:t> </w:t>
      </w:r>
      <w:r>
        <w:rPr>
          <w:w w:val="110"/>
          <w:sz w:val="28"/>
        </w:rPr>
        <w:t>de</w:t>
      </w:r>
      <w:r>
        <w:rPr>
          <w:spacing w:val="-17"/>
          <w:w w:val="110"/>
          <w:sz w:val="28"/>
        </w:rPr>
        <w:t> </w:t>
      </w:r>
      <w:r>
        <w:rPr>
          <w:w w:val="110"/>
          <w:sz w:val="28"/>
        </w:rPr>
        <w:t>México Junio de</w:t>
      </w:r>
      <w:r>
        <w:rPr>
          <w:spacing w:val="-53"/>
          <w:w w:val="110"/>
          <w:sz w:val="28"/>
        </w:rPr>
        <w:t> </w:t>
      </w:r>
      <w:r>
        <w:rPr>
          <w:w w:val="110"/>
          <w:sz w:val="28"/>
        </w:rPr>
        <w:t>2016</w:t>
      </w:r>
    </w:p>
    <w:p>
      <w:pPr>
        <w:spacing w:after="0" w:line="242" w:lineRule="auto"/>
        <w:jc w:val="center"/>
        <w:rPr>
          <w:sz w:val="28"/>
        </w:rPr>
        <w:sectPr>
          <w:type w:val="continuous"/>
          <w:pgSz w:w="12240" w:h="15840"/>
          <w:pgMar w:top="1420" w:bottom="280" w:left="860" w:right="10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3"/>
        </w:rPr>
      </w:pPr>
    </w:p>
    <w:p>
      <w:pPr>
        <w:pStyle w:val="BodyText"/>
        <w:ind w:left="276"/>
        <w:rPr>
          <w:rFonts w:ascii="Times New Roman"/>
          <w:sz w:val="20"/>
        </w:rPr>
      </w:pPr>
      <w:r>
        <w:rPr>
          <w:rFonts w:ascii="Times New Roman"/>
          <w:sz w:val="20"/>
        </w:rPr>
        <w:drawing>
          <wp:inline distT="0" distB="0" distL="0" distR="0">
            <wp:extent cx="5959324" cy="283921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959324" cy="2839212"/>
                    </a:xfrm>
                    <a:prstGeom prst="rect">
                      <a:avLst/>
                    </a:prstGeom>
                  </pic:spPr>
                </pic:pic>
              </a:graphicData>
            </a:graphic>
          </wp:inline>
        </w:drawing>
      </w:r>
      <w:r>
        <w:rPr>
          <w:rFonts w:ascii="Times New Roman"/>
          <w:sz w:val="20"/>
        </w:rPr>
      </w:r>
    </w:p>
    <w:p>
      <w:pPr>
        <w:spacing w:after="0"/>
        <w:rPr>
          <w:rFonts w:ascii="Times New Roman"/>
          <w:sz w:val="20"/>
        </w:rPr>
        <w:sectPr>
          <w:pgSz w:w="12240" w:h="15840"/>
          <w:pgMar w:top="1500" w:bottom="280" w:left="1720" w:right="6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pStyle w:val="BodyText"/>
        <w:ind w:left="108"/>
        <w:rPr>
          <w:rFonts w:ascii="Times New Roman"/>
          <w:sz w:val="20"/>
        </w:rPr>
      </w:pPr>
      <w:r>
        <w:rPr>
          <w:rFonts w:ascii="Times New Roman"/>
          <w:sz w:val="20"/>
        </w:rPr>
        <w:pict>
          <v:group style="width:429.15pt;height:223.45pt;mso-position-horizontal-relative:char;mso-position-vertical-relative:line" coordorigin="0,0" coordsize="8583,4469">
            <v:shape style="position:absolute;left:0;top:0;width:8582;height:4469" type="#_x0000_t75" stroked="false">
              <v:imagedata r:id="rId8" o:title=""/>
            </v:shape>
            <v:shape style="position:absolute;left:432;top:5;width:206;height:552" type="#_x0000_t75" stroked="false">
              <v:imagedata r:id="rId9" o:title=""/>
            </v:shape>
            <v:shape style="position:absolute;left:710;top:5;width:206;height:552" type="#_x0000_t75" stroked="false">
              <v:imagedata r:id="rId10" o:title=""/>
            </v:shape>
            <v:shape style="position:absolute;left:0;top:0;width:8583;height:4469" type="#_x0000_t202" filled="false" stroked="false">
              <v:textbox inset="0,0,0,0">
                <w:txbxContent>
                  <w:p>
                    <w:pPr>
                      <w:spacing w:line="240" w:lineRule="auto" w:before="7"/>
                      <w:rPr>
                        <w:rFonts w:ascii="Times New Roman"/>
                        <w:sz w:val="46"/>
                      </w:rPr>
                    </w:pPr>
                  </w:p>
                  <w:p>
                    <w:pPr>
                      <w:spacing w:line="242" w:lineRule="auto" w:before="0"/>
                      <w:ind w:left="811" w:right="140" w:firstLine="4"/>
                      <w:jc w:val="right"/>
                      <w:rPr>
                        <w:sz w:val="38"/>
                      </w:rPr>
                    </w:pPr>
                    <w:r>
                      <w:rPr>
                        <w:color w:val="632423"/>
                        <w:w w:val="75"/>
                        <w:sz w:val="38"/>
                      </w:rPr>
                      <w:t>El cambio climático, quizá la mayor</w:t>
                    </w:r>
                    <w:r>
                      <w:rPr>
                        <w:color w:val="632423"/>
                        <w:spacing w:val="-54"/>
                        <w:w w:val="75"/>
                        <w:sz w:val="38"/>
                      </w:rPr>
                      <w:t> </w:t>
                    </w:r>
                    <w:r>
                      <w:rPr>
                        <w:color w:val="632423"/>
                        <w:w w:val="75"/>
                        <w:sz w:val="38"/>
                      </w:rPr>
                      <w:t>amenaza experimentada</w:t>
                    </w:r>
                    <w:r>
                      <w:rPr>
                        <w:color w:val="632423"/>
                        <w:w w:val="72"/>
                        <w:sz w:val="38"/>
                      </w:rPr>
                      <w:t> </w:t>
                    </w:r>
                    <w:r>
                      <w:rPr>
                        <w:color w:val="632423"/>
                        <w:w w:val="80"/>
                        <w:sz w:val="38"/>
                      </w:rPr>
                      <w:t>por</w:t>
                    </w:r>
                    <w:r>
                      <w:rPr>
                        <w:color w:val="632423"/>
                        <w:spacing w:val="-53"/>
                        <w:w w:val="80"/>
                        <w:sz w:val="38"/>
                      </w:rPr>
                      <w:t> </w:t>
                    </w:r>
                    <w:r>
                      <w:rPr>
                        <w:color w:val="632423"/>
                        <w:w w:val="80"/>
                        <w:sz w:val="38"/>
                      </w:rPr>
                      <w:t>la</w:t>
                    </w:r>
                    <w:r>
                      <w:rPr>
                        <w:color w:val="632423"/>
                        <w:spacing w:val="-53"/>
                        <w:w w:val="80"/>
                        <w:sz w:val="38"/>
                      </w:rPr>
                      <w:t> </w:t>
                    </w:r>
                    <w:r>
                      <w:rPr>
                        <w:color w:val="632423"/>
                        <w:w w:val="80"/>
                        <w:sz w:val="38"/>
                      </w:rPr>
                      <w:t>especie</w:t>
                    </w:r>
                    <w:r>
                      <w:rPr>
                        <w:color w:val="632423"/>
                        <w:spacing w:val="-53"/>
                        <w:w w:val="80"/>
                        <w:sz w:val="38"/>
                      </w:rPr>
                      <w:t> </w:t>
                    </w:r>
                    <w:r>
                      <w:rPr>
                        <w:color w:val="632423"/>
                        <w:w w:val="80"/>
                        <w:sz w:val="38"/>
                      </w:rPr>
                      <w:t>humana</w:t>
                    </w:r>
                    <w:r>
                      <w:rPr>
                        <w:color w:val="632423"/>
                        <w:spacing w:val="-53"/>
                        <w:w w:val="80"/>
                        <w:sz w:val="38"/>
                      </w:rPr>
                      <w:t> </w:t>
                    </w:r>
                    <w:r>
                      <w:rPr>
                        <w:color w:val="632423"/>
                        <w:w w:val="80"/>
                        <w:sz w:val="38"/>
                      </w:rPr>
                      <w:t>desde</w:t>
                    </w:r>
                    <w:r>
                      <w:rPr>
                        <w:color w:val="632423"/>
                        <w:spacing w:val="-53"/>
                        <w:w w:val="80"/>
                        <w:sz w:val="38"/>
                      </w:rPr>
                      <w:t> </w:t>
                    </w:r>
                    <w:r>
                      <w:rPr>
                        <w:color w:val="632423"/>
                        <w:w w:val="80"/>
                        <w:sz w:val="38"/>
                      </w:rPr>
                      <w:t>su</w:t>
                    </w:r>
                    <w:r>
                      <w:rPr>
                        <w:color w:val="632423"/>
                        <w:spacing w:val="-52"/>
                        <w:w w:val="80"/>
                        <w:sz w:val="38"/>
                      </w:rPr>
                      <w:t> </w:t>
                    </w:r>
                    <w:r>
                      <w:rPr>
                        <w:color w:val="632423"/>
                        <w:w w:val="80"/>
                        <w:sz w:val="38"/>
                      </w:rPr>
                      <w:t>surgimiento,</w:t>
                    </w:r>
                    <w:r>
                      <w:rPr>
                        <w:color w:val="632423"/>
                        <w:spacing w:val="-53"/>
                        <w:w w:val="80"/>
                        <w:sz w:val="38"/>
                      </w:rPr>
                      <w:t> </w:t>
                    </w:r>
                    <w:r>
                      <w:rPr>
                        <w:color w:val="632423"/>
                        <w:w w:val="80"/>
                        <w:sz w:val="38"/>
                      </w:rPr>
                      <w:t>hace</w:t>
                    </w:r>
                    <w:r>
                      <w:rPr>
                        <w:color w:val="632423"/>
                        <w:spacing w:val="-53"/>
                        <w:w w:val="80"/>
                        <w:sz w:val="38"/>
                      </w:rPr>
                      <w:t> </w:t>
                    </w:r>
                    <w:r>
                      <w:rPr>
                        <w:color w:val="632423"/>
                        <w:w w:val="80"/>
                        <w:sz w:val="38"/>
                      </w:rPr>
                      <w:t>parte</w:t>
                    </w:r>
                    <w:r>
                      <w:rPr>
                        <w:color w:val="632423"/>
                        <w:spacing w:val="-53"/>
                        <w:w w:val="80"/>
                        <w:sz w:val="38"/>
                      </w:rPr>
                      <w:t> </w:t>
                    </w:r>
                    <w:r>
                      <w:rPr>
                        <w:color w:val="632423"/>
                        <w:w w:val="80"/>
                        <w:sz w:val="38"/>
                      </w:rPr>
                      <w:t>de</w:t>
                    </w:r>
                    <w:r>
                      <w:rPr>
                        <w:color w:val="632423"/>
                        <w:spacing w:val="1"/>
                        <w:w w:val="74"/>
                        <w:sz w:val="38"/>
                      </w:rPr>
                      <w:t> </w:t>
                    </w:r>
                    <w:r>
                      <w:rPr>
                        <w:color w:val="632423"/>
                        <w:w w:val="75"/>
                        <w:sz w:val="38"/>
                      </w:rPr>
                      <w:t>los profundos cambios inflingidos a la Tierra como</w:t>
                    </w:r>
                    <w:r>
                      <w:rPr>
                        <w:color w:val="632423"/>
                        <w:w w:val="76"/>
                        <w:sz w:val="38"/>
                      </w:rPr>
                      <w:t> </w:t>
                    </w:r>
                    <w:r>
                      <w:rPr>
                        <w:color w:val="632423"/>
                        <w:w w:val="80"/>
                        <w:sz w:val="38"/>
                      </w:rPr>
                      <w:t>consecuencia</w:t>
                    </w:r>
                    <w:r>
                      <w:rPr>
                        <w:color w:val="632423"/>
                        <w:spacing w:val="-54"/>
                        <w:w w:val="80"/>
                        <w:sz w:val="38"/>
                      </w:rPr>
                      <w:t> </w:t>
                    </w:r>
                    <w:r>
                      <w:rPr>
                        <w:color w:val="632423"/>
                        <w:w w:val="80"/>
                        <w:sz w:val="38"/>
                      </w:rPr>
                      <w:t>de</w:t>
                    </w:r>
                    <w:r>
                      <w:rPr>
                        <w:color w:val="632423"/>
                        <w:spacing w:val="-54"/>
                        <w:w w:val="80"/>
                        <w:sz w:val="38"/>
                      </w:rPr>
                      <w:t> </w:t>
                    </w:r>
                    <w:r>
                      <w:rPr>
                        <w:color w:val="632423"/>
                        <w:w w:val="80"/>
                        <w:sz w:val="38"/>
                      </w:rPr>
                      <w:t>la</w:t>
                    </w:r>
                    <w:r>
                      <w:rPr>
                        <w:color w:val="632423"/>
                        <w:spacing w:val="-54"/>
                        <w:w w:val="80"/>
                        <w:sz w:val="38"/>
                      </w:rPr>
                      <w:t> </w:t>
                    </w:r>
                    <w:r>
                      <w:rPr>
                        <w:color w:val="632423"/>
                        <w:w w:val="80"/>
                        <w:sz w:val="38"/>
                      </w:rPr>
                      <w:t>acción</w:t>
                    </w:r>
                    <w:r>
                      <w:rPr>
                        <w:color w:val="632423"/>
                        <w:spacing w:val="-54"/>
                        <w:w w:val="80"/>
                        <w:sz w:val="38"/>
                      </w:rPr>
                      <w:t> </w:t>
                    </w:r>
                    <w:r>
                      <w:rPr>
                        <w:color w:val="632423"/>
                        <w:w w:val="80"/>
                        <w:sz w:val="38"/>
                      </w:rPr>
                      <w:t>del</w:t>
                    </w:r>
                    <w:r>
                      <w:rPr>
                        <w:color w:val="632423"/>
                        <w:spacing w:val="-53"/>
                        <w:w w:val="80"/>
                        <w:sz w:val="38"/>
                      </w:rPr>
                      <w:t> </w:t>
                    </w:r>
                    <w:r>
                      <w:rPr>
                        <w:color w:val="632423"/>
                        <w:w w:val="80"/>
                        <w:sz w:val="38"/>
                      </w:rPr>
                      <w:t>hombre,</w:t>
                    </w:r>
                    <w:r>
                      <w:rPr>
                        <w:color w:val="632423"/>
                        <w:spacing w:val="-55"/>
                        <w:w w:val="80"/>
                        <w:sz w:val="38"/>
                      </w:rPr>
                      <w:t> </w:t>
                    </w:r>
                    <w:r>
                      <w:rPr>
                        <w:color w:val="632423"/>
                        <w:w w:val="80"/>
                        <w:sz w:val="38"/>
                      </w:rPr>
                      <w:t>y</w:t>
                    </w:r>
                    <w:r>
                      <w:rPr>
                        <w:color w:val="632423"/>
                        <w:spacing w:val="-54"/>
                        <w:w w:val="80"/>
                        <w:sz w:val="38"/>
                      </w:rPr>
                      <w:t> </w:t>
                    </w:r>
                    <w:r>
                      <w:rPr>
                        <w:color w:val="632423"/>
                        <w:w w:val="80"/>
                        <w:sz w:val="38"/>
                      </w:rPr>
                      <w:t>es</w:t>
                    </w:r>
                    <w:r>
                      <w:rPr>
                        <w:color w:val="632423"/>
                        <w:spacing w:val="-54"/>
                        <w:w w:val="80"/>
                        <w:sz w:val="38"/>
                      </w:rPr>
                      <w:t> </w:t>
                    </w:r>
                    <w:r>
                      <w:rPr>
                        <w:color w:val="632423"/>
                        <w:w w:val="80"/>
                        <w:sz w:val="38"/>
                      </w:rPr>
                      <w:t>una</w:t>
                    </w:r>
                    <w:r>
                      <w:rPr>
                        <w:color w:val="632423"/>
                        <w:spacing w:val="-54"/>
                        <w:w w:val="80"/>
                        <w:sz w:val="38"/>
                      </w:rPr>
                      <w:t> </w:t>
                    </w:r>
                    <w:r>
                      <w:rPr>
                        <w:color w:val="632423"/>
                        <w:w w:val="80"/>
                        <w:sz w:val="38"/>
                      </w:rPr>
                      <w:t>clara</w:t>
                    </w:r>
                    <w:r>
                      <w:rPr>
                        <w:color w:val="632423"/>
                        <w:w w:val="72"/>
                        <w:sz w:val="38"/>
                      </w:rPr>
                      <w:t> </w:t>
                    </w:r>
                    <w:r>
                      <w:rPr>
                        <w:color w:val="632423"/>
                        <w:w w:val="85"/>
                        <w:sz w:val="38"/>
                      </w:rPr>
                      <w:t>expresión</w:t>
                    </w:r>
                    <w:r>
                      <w:rPr>
                        <w:color w:val="632423"/>
                        <w:spacing w:val="-50"/>
                        <w:w w:val="85"/>
                        <w:sz w:val="38"/>
                      </w:rPr>
                      <w:t> </w:t>
                    </w:r>
                    <w:r>
                      <w:rPr>
                        <w:color w:val="632423"/>
                        <w:w w:val="85"/>
                        <w:sz w:val="38"/>
                      </w:rPr>
                      <w:t>de</w:t>
                    </w:r>
                    <w:r>
                      <w:rPr>
                        <w:color w:val="632423"/>
                        <w:spacing w:val="-50"/>
                        <w:w w:val="85"/>
                        <w:sz w:val="38"/>
                      </w:rPr>
                      <w:t> </w:t>
                    </w:r>
                    <w:r>
                      <w:rPr>
                        <w:color w:val="632423"/>
                        <w:w w:val="85"/>
                        <w:sz w:val="38"/>
                      </w:rPr>
                      <w:t>cómo</w:t>
                    </w:r>
                    <w:r>
                      <w:rPr>
                        <w:color w:val="632423"/>
                        <w:spacing w:val="-50"/>
                        <w:w w:val="85"/>
                        <w:sz w:val="38"/>
                      </w:rPr>
                      <w:t> </w:t>
                    </w:r>
                    <w:r>
                      <w:rPr>
                        <w:color w:val="632423"/>
                        <w:w w:val="85"/>
                        <w:sz w:val="38"/>
                      </w:rPr>
                      <w:t>ella</w:t>
                    </w:r>
                    <w:r>
                      <w:rPr>
                        <w:color w:val="632423"/>
                        <w:spacing w:val="-50"/>
                        <w:w w:val="85"/>
                        <w:sz w:val="38"/>
                      </w:rPr>
                      <w:t> </w:t>
                    </w:r>
                    <w:r>
                      <w:rPr>
                        <w:color w:val="632423"/>
                        <w:w w:val="85"/>
                        <w:sz w:val="38"/>
                      </w:rPr>
                      <w:t>ha</w:t>
                    </w:r>
                    <w:r>
                      <w:rPr>
                        <w:color w:val="632423"/>
                        <w:spacing w:val="-50"/>
                        <w:w w:val="85"/>
                        <w:sz w:val="38"/>
                      </w:rPr>
                      <w:t> </w:t>
                    </w:r>
                    <w:r>
                      <w:rPr>
                        <w:color w:val="632423"/>
                        <w:w w:val="85"/>
                        <w:sz w:val="38"/>
                      </w:rPr>
                      <w:t>entrado</w:t>
                    </w:r>
                    <w:r>
                      <w:rPr>
                        <w:color w:val="632423"/>
                        <w:spacing w:val="-50"/>
                        <w:w w:val="85"/>
                        <w:sz w:val="38"/>
                      </w:rPr>
                      <w:t> </w:t>
                    </w:r>
                    <w:r>
                      <w:rPr>
                        <w:color w:val="632423"/>
                        <w:w w:val="85"/>
                        <w:sz w:val="38"/>
                      </w:rPr>
                      <w:t>en</w:t>
                    </w:r>
                    <w:r>
                      <w:rPr>
                        <w:color w:val="632423"/>
                        <w:spacing w:val="-50"/>
                        <w:w w:val="85"/>
                        <w:sz w:val="38"/>
                      </w:rPr>
                      <w:t> </w:t>
                    </w:r>
                    <w:r>
                      <w:rPr>
                        <w:color w:val="632423"/>
                        <w:w w:val="85"/>
                        <w:sz w:val="38"/>
                      </w:rPr>
                      <w:t>la</w:t>
                    </w:r>
                    <w:r>
                      <w:rPr>
                        <w:color w:val="632423"/>
                        <w:spacing w:val="-50"/>
                        <w:w w:val="85"/>
                        <w:sz w:val="38"/>
                      </w:rPr>
                      <w:t> </w:t>
                    </w:r>
                    <w:r>
                      <w:rPr>
                        <w:color w:val="632423"/>
                        <w:w w:val="85"/>
                        <w:sz w:val="38"/>
                      </w:rPr>
                      <w:t>llamada</w:t>
                    </w:r>
                    <w:r>
                      <w:rPr>
                        <w:color w:val="632423"/>
                        <w:spacing w:val="-50"/>
                        <w:w w:val="85"/>
                        <w:sz w:val="38"/>
                      </w:rPr>
                      <w:t> </w:t>
                    </w:r>
                    <w:r>
                      <w:rPr>
                        <w:color w:val="632423"/>
                        <w:w w:val="85"/>
                        <w:sz w:val="38"/>
                      </w:rPr>
                      <w:t>era</w:t>
                    </w:r>
                  </w:p>
                  <w:p>
                    <w:pPr>
                      <w:spacing w:before="0"/>
                      <w:ind w:left="0" w:right="140" w:firstLine="0"/>
                      <w:jc w:val="right"/>
                      <w:rPr>
                        <w:sz w:val="38"/>
                      </w:rPr>
                    </w:pPr>
                    <w:r>
                      <w:rPr>
                        <w:color w:val="632423"/>
                        <w:w w:val="75"/>
                        <w:sz w:val="38"/>
                      </w:rPr>
                      <w:t>antropogénica”.</w:t>
                    </w:r>
                  </w:p>
                  <w:p>
                    <w:pPr>
                      <w:spacing w:line="274" w:lineRule="exact" w:before="254"/>
                      <w:ind w:left="5347" w:right="138" w:firstLine="1132"/>
                      <w:jc w:val="right"/>
                      <w:rPr>
                        <w:sz w:val="23"/>
                      </w:rPr>
                    </w:pPr>
                    <w:r>
                      <w:rPr>
                        <w:color w:val="632423"/>
                        <w:w w:val="85"/>
                        <w:sz w:val="23"/>
                      </w:rPr>
                      <w:t>Rodríguez</w:t>
                    </w:r>
                    <w:r>
                      <w:rPr>
                        <w:color w:val="632423"/>
                        <w:spacing w:val="-34"/>
                        <w:w w:val="85"/>
                        <w:sz w:val="23"/>
                      </w:rPr>
                      <w:t> </w:t>
                    </w:r>
                    <w:r>
                      <w:rPr>
                        <w:rFonts w:ascii="Calibri" w:hAnsi="Calibri"/>
                        <w:i/>
                        <w:color w:val="632423"/>
                        <w:w w:val="85"/>
                        <w:sz w:val="24"/>
                      </w:rPr>
                      <w:t>et</w:t>
                    </w:r>
                    <w:r>
                      <w:rPr>
                        <w:rFonts w:ascii="Calibri" w:hAnsi="Calibri"/>
                        <w:i/>
                        <w:color w:val="632423"/>
                        <w:spacing w:val="-25"/>
                        <w:w w:val="85"/>
                        <w:sz w:val="24"/>
                      </w:rPr>
                      <w:t> </w:t>
                    </w:r>
                    <w:r>
                      <w:rPr>
                        <w:rFonts w:ascii="Calibri" w:hAnsi="Calibri"/>
                        <w:i/>
                        <w:color w:val="632423"/>
                        <w:w w:val="85"/>
                        <w:sz w:val="24"/>
                      </w:rPr>
                      <w:t>al.</w:t>
                    </w:r>
                    <w:r>
                      <w:rPr>
                        <w:rFonts w:ascii="Calibri" w:hAnsi="Calibri"/>
                        <w:i/>
                        <w:color w:val="632423"/>
                        <w:spacing w:val="-28"/>
                        <w:w w:val="85"/>
                        <w:sz w:val="24"/>
                      </w:rPr>
                      <w:t> </w:t>
                    </w:r>
                    <w:r>
                      <w:rPr>
                        <w:color w:val="632423"/>
                        <w:w w:val="85"/>
                        <w:sz w:val="23"/>
                      </w:rPr>
                      <w:t>(2015),</w:t>
                    </w:r>
                    <w:r>
                      <w:rPr>
                        <w:color w:val="632423"/>
                        <w:spacing w:val="1"/>
                        <w:w w:val="89"/>
                        <w:sz w:val="23"/>
                      </w:rPr>
                      <w:t> </w:t>
                    </w:r>
                    <w:r>
                      <w:rPr>
                        <w:color w:val="632423"/>
                        <w:w w:val="80"/>
                        <w:sz w:val="23"/>
                      </w:rPr>
                      <w:t>Cambio</w:t>
                    </w:r>
                    <w:r>
                      <w:rPr>
                        <w:color w:val="632423"/>
                        <w:spacing w:val="-20"/>
                        <w:w w:val="80"/>
                        <w:sz w:val="23"/>
                      </w:rPr>
                      <w:t> </w:t>
                    </w:r>
                    <w:r>
                      <w:rPr>
                        <w:color w:val="632423"/>
                        <w:w w:val="80"/>
                        <w:sz w:val="23"/>
                      </w:rPr>
                      <w:t>Climático:</w:t>
                    </w:r>
                    <w:r>
                      <w:rPr>
                        <w:color w:val="632423"/>
                        <w:spacing w:val="-23"/>
                        <w:w w:val="80"/>
                        <w:sz w:val="23"/>
                      </w:rPr>
                      <w:t> </w:t>
                    </w:r>
                    <w:r>
                      <w:rPr>
                        <w:color w:val="632423"/>
                        <w:w w:val="80"/>
                        <w:sz w:val="23"/>
                      </w:rPr>
                      <w:t>lo</w:t>
                    </w:r>
                    <w:r>
                      <w:rPr>
                        <w:color w:val="632423"/>
                        <w:spacing w:val="-22"/>
                        <w:w w:val="80"/>
                        <w:sz w:val="23"/>
                      </w:rPr>
                      <w:t> </w:t>
                    </w:r>
                    <w:r>
                      <w:rPr>
                        <w:color w:val="632423"/>
                        <w:w w:val="80"/>
                        <w:sz w:val="23"/>
                      </w:rPr>
                      <w:t>que</w:t>
                    </w:r>
                    <w:r>
                      <w:rPr>
                        <w:color w:val="632423"/>
                        <w:spacing w:val="-22"/>
                        <w:w w:val="80"/>
                        <w:sz w:val="23"/>
                      </w:rPr>
                      <w:t> </w:t>
                    </w:r>
                    <w:r>
                      <w:rPr>
                        <w:color w:val="632423"/>
                        <w:w w:val="80"/>
                        <w:sz w:val="23"/>
                      </w:rPr>
                      <w:t>está</w:t>
                    </w:r>
                    <w:r>
                      <w:rPr>
                        <w:color w:val="632423"/>
                        <w:spacing w:val="-20"/>
                        <w:w w:val="80"/>
                        <w:sz w:val="23"/>
                      </w:rPr>
                      <w:t> </w:t>
                    </w:r>
                    <w:r>
                      <w:rPr>
                        <w:color w:val="632423"/>
                        <w:w w:val="80"/>
                        <w:sz w:val="23"/>
                      </w:rPr>
                      <w:t>en</w:t>
                    </w:r>
                    <w:r>
                      <w:rPr>
                        <w:color w:val="632423"/>
                        <w:spacing w:val="-21"/>
                        <w:w w:val="80"/>
                        <w:sz w:val="23"/>
                      </w:rPr>
                      <w:t> </w:t>
                    </w:r>
                    <w:r>
                      <w:rPr>
                        <w:color w:val="632423"/>
                        <w:w w:val="80"/>
                        <w:sz w:val="23"/>
                      </w:rPr>
                      <w:t>juego</w:t>
                    </w:r>
                  </w:p>
                </w:txbxContent>
              </v:textbox>
              <w10:wrap type="none"/>
            </v:shape>
          </v:group>
        </w:pict>
      </w:r>
      <w:r>
        <w:rPr>
          <w:rFonts w:ascii="Times New Roman"/>
          <w:sz w:val="20"/>
        </w:rPr>
      </w:r>
    </w:p>
    <w:p>
      <w:pPr>
        <w:spacing w:after="0"/>
        <w:rPr>
          <w:rFonts w:ascii="Times New Roman"/>
          <w:sz w:val="20"/>
        </w:rPr>
        <w:sectPr>
          <w:footerReference w:type="default" r:id="rId7"/>
          <w:pgSz w:w="12240" w:h="15840"/>
          <w:pgMar w:footer="739" w:header="0" w:top="1500" w:bottom="920" w:left="1480" w:right="1260"/>
          <w:pgNumType w:start="1"/>
        </w:sectPr>
      </w:pPr>
    </w:p>
    <w:p>
      <w:pPr>
        <w:spacing w:before="26"/>
        <w:ind w:left="276" w:right="0" w:firstLine="0"/>
        <w:jc w:val="left"/>
        <w:rPr>
          <w:b/>
          <w:sz w:val="48"/>
        </w:rPr>
      </w:pPr>
      <w:r>
        <w:rPr>
          <w:b/>
          <w:sz w:val="48"/>
        </w:rPr>
        <w:t>Índice de contenidos</w:t>
      </w:r>
    </w:p>
    <w:p>
      <w:pPr>
        <w:pStyle w:val="BodyText"/>
        <w:rPr>
          <w:b/>
          <w:sz w:val="48"/>
        </w:rPr>
      </w:pPr>
    </w:p>
    <w:p>
      <w:pPr>
        <w:pStyle w:val="BodyText"/>
        <w:spacing w:before="7"/>
        <w:rPr>
          <w:b/>
          <w:sz w:val="69"/>
        </w:rPr>
      </w:pPr>
    </w:p>
    <w:p>
      <w:pPr>
        <w:spacing w:after="0"/>
        <w:rPr>
          <w:sz w:val="69"/>
        </w:rPr>
        <w:sectPr>
          <w:pgSz w:w="12240" w:h="15840"/>
          <w:pgMar w:header="0" w:footer="739" w:top="1400" w:bottom="1674" w:left="1720" w:right="1260"/>
        </w:sectPr>
      </w:pPr>
    </w:p>
    <w:sdt>
      <w:sdtPr>
        <w:docPartObj>
          <w:docPartGallery w:val="Table of Contents"/>
          <w:docPartUnique/>
        </w:docPartObj>
      </w:sdtPr>
      <w:sdtEndPr/>
      <w:sdtContent>
        <w:p>
          <w:pPr>
            <w:pStyle w:val="TOC1"/>
            <w:tabs>
              <w:tab w:pos="9113" w:val="right" w:leader="dot"/>
            </w:tabs>
            <w:spacing w:before="0"/>
            <w:ind w:left="276" w:firstLine="0"/>
          </w:pPr>
          <w:r>
            <w:rPr/>
            <w:t>Índice de figuras</w:t>
          </w:r>
          <w:r>
            <w:rPr>
              <w:rFonts w:ascii="Times New Roman" w:hAnsi="Times New Roman"/>
              <w:b w:val="0"/>
            </w:rPr>
            <w:tab/>
          </w:r>
          <w:r>
            <w:rPr/>
            <w:t>v</w:t>
          </w:r>
        </w:p>
        <w:p>
          <w:pPr>
            <w:pStyle w:val="TOC1"/>
            <w:tabs>
              <w:tab w:pos="9113" w:val="right" w:leader="dot"/>
            </w:tabs>
            <w:spacing w:before="257"/>
            <w:ind w:left="276" w:firstLine="0"/>
          </w:pPr>
          <w:r>
            <w:rPr/>
            <w:t>Índice</w:t>
          </w:r>
          <w:r>
            <w:rPr>
              <w:spacing w:val="-2"/>
            </w:rPr>
            <w:t> </w:t>
          </w:r>
          <w:r>
            <w:rPr/>
            <w:t>de</w:t>
          </w:r>
          <w:r>
            <w:rPr>
              <w:spacing w:val="-2"/>
            </w:rPr>
            <w:t> </w:t>
          </w:r>
          <w:r>
            <w:rPr/>
            <w:t>cuadros</w:t>
          </w:r>
          <w:r>
            <w:rPr>
              <w:rFonts w:ascii="Times New Roman" w:hAnsi="Times New Roman"/>
              <w:b w:val="0"/>
            </w:rPr>
            <w:tab/>
          </w:r>
          <w:r>
            <w:rPr/>
            <w:t>vi</w:t>
          </w:r>
        </w:p>
        <w:p>
          <w:pPr>
            <w:pStyle w:val="TOC1"/>
            <w:tabs>
              <w:tab w:pos="9113" w:val="right" w:leader="dot"/>
            </w:tabs>
            <w:spacing w:before="257"/>
            <w:ind w:left="276" w:firstLine="0"/>
          </w:pPr>
          <w:hyperlink w:history="true" w:anchor="_TOC_250029">
            <w:r>
              <w:rPr/>
              <w:t>Resumen</w:t>
            </w:r>
            <w:r>
              <w:rPr>
                <w:rFonts w:ascii="Times New Roman"/>
                <w:b w:val="0"/>
              </w:rPr>
              <w:tab/>
            </w:r>
            <w:r>
              <w:rPr/>
              <w:t>vii</w:t>
            </w:r>
          </w:hyperlink>
        </w:p>
        <w:p>
          <w:pPr>
            <w:pStyle w:val="TOC1"/>
            <w:tabs>
              <w:tab w:pos="9113" w:val="right" w:leader="dot"/>
            </w:tabs>
            <w:spacing w:before="261"/>
            <w:ind w:left="276" w:firstLine="0"/>
          </w:pPr>
          <w:r>
            <w:rPr/>
            <w:t>Palabras clave</w:t>
          </w:r>
          <w:r>
            <w:rPr>
              <w:rFonts w:ascii="Times New Roman"/>
              <w:b w:val="0"/>
            </w:rPr>
            <w:tab/>
          </w:r>
          <w:r>
            <w:rPr/>
            <w:t>viii</w:t>
          </w:r>
        </w:p>
        <w:p>
          <w:pPr>
            <w:pStyle w:val="TOC1"/>
            <w:tabs>
              <w:tab w:pos="9113" w:val="right" w:leader="dot"/>
            </w:tabs>
            <w:spacing w:before="257"/>
            <w:ind w:left="276" w:firstLine="0"/>
          </w:pPr>
          <w:hyperlink w:history="true" w:anchor="_TOC_250028">
            <w:r>
              <w:rPr/>
              <w:t>Abstract</w:t>
            </w:r>
            <w:r>
              <w:rPr>
                <w:rFonts w:ascii="Times New Roman"/>
                <w:b w:val="0"/>
              </w:rPr>
              <w:tab/>
            </w:r>
            <w:r>
              <w:rPr/>
              <w:t>ix</w:t>
            </w:r>
          </w:hyperlink>
        </w:p>
        <w:p>
          <w:pPr>
            <w:pStyle w:val="TOC1"/>
            <w:tabs>
              <w:tab w:pos="9113" w:val="right" w:leader="dot"/>
            </w:tabs>
            <w:spacing w:before="257"/>
            <w:ind w:left="276" w:firstLine="0"/>
          </w:pPr>
          <w:r>
            <w:rPr/>
            <w:t>Keywords</w:t>
          </w:r>
          <w:r>
            <w:rPr>
              <w:rFonts w:ascii="Times New Roman"/>
              <w:b w:val="0"/>
            </w:rPr>
            <w:tab/>
          </w:r>
          <w:r>
            <w:rPr/>
            <w:t>x</w:t>
          </w:r>
        </w:p>
        <w:p>
          <w:pPr>
            <w:pStyle w:val="TOC1"/>
            <w:numPr>
              <w:ilvl w:val="0"/>
              <w:numId w:val="1"/>
            </w:numPr>
            <w:tabs>
              <w:tab w:pos="634" w:val="left" w:leader="none"/>
              <w:tab w:pos="9113" w:val="right" w:leader="dot"/>
            </w:tabs>
            <w:spacing w:line="240" w:lineRule="auto" w:before="377" w:after="0"/>
            <w:ind w:left="633" w:right="0" w:hanging="357"/>
            <w:jc w:val="left"/>
          </w:pPr>
          <w:hyperlink w:history="true" w:anchor="_TOC_250027">
            <w:r>
              <w:rPr/>
              <w:t>Introducción general</w:t>
            </w:r>
            <w:r>
              <w:rPr>
                <w:rFonts w:ascii="Times New Roman" w:hAnsi="Times New Roman"/>
                <w:b w:val="0"/>
              </w:rPr>
              <w:tab/>
            </w:r>
            <w:r>
              <w:rPr/>
              <w:t>1</w:t>
            </w:r>
          </w:hyperlink>
        </w:p>
        <w:p>
          <w:pPr>
            <w:pStyle w:val="TOC1"/>
            <w:numPr>
              <w:ilvl w:val="0"/>
              <w:numId w:val="1"/>
            </w:numPr>
            <w:tabs>
              <w:tab w:pos="637" w:val="left" w:leader="none"/>
              <w:tab w:pos="9113" w:val="right" w:leader="dot"/>
            </w:tabs>
            <w:spacing w:line="240" w:lineRule="auto" w:before="281" w:after="0"/>
            <w:ind w:left="636" w:right="0" w:hanging="360"/>
            <w:jc w:val="left"/>
          </w:pPr>
          <w:r>
            <w:rPr/>
            <w:t>Antecedentes</w:t>
          </w:r>
          <w:r>
            <w:rPr>
              <w:rFonts w:ascii="Times New Roman"/>
              <w:b w:val="0"/>
            </w:rPr>
            <w:tab/>
          </w:r>
          <w:r>
            <w:rPr/>
            <w:t>6</w:t>
          </w:r>
        </w:p>
        <w:p>
          <w:pPr>
            <w:pStyle w:val="TOC2"/>
            <w:numPr>
              <w:ilvl w:val="1"/>
              <w:numId w:val="1"/>
            </w:numPr>
            <w:tabs>
              <w:tab w:pos="1214" w:val="left" w:leader="none"/>
              <w:tab w:pos="9113" w:val="right" w:leader="dot"/>
            </w:tabs>
            <w:spacing w:line="240" w:lineRule="auto" w:before="165" w:after="0"/>
            <w:ind w:left="1213" w:right="0" w:hanging="577"/>
            <w:jc w:val="left"/>
          </w:pPr>
          <w:hyperlink w:history="true" w:anchor="_TOC_250026">
            <w:r>
              <w:rPr/>
              <w:t>Internacionales</w:t>
            </w:r>
            <w:r>
              <w:rPr>
                <w:rFonts w:ascii="Times New Roman"/>
              </w:rPr>
              <w:tab/>
            </w:r>
            <w:r>
              <w:rPr/>
              <w:t>6</w:t>
            </w:r>
          </w:hyperlink>
        </w:p>
        <w:p>
          <w:pPr>
            <w:pStyle w:val="TOC2"/>
            <w:numPr>
              <w:ilvl w:val="1"/>
              <w:numId w:val="1"/>
            </w:numPr>
            <w:tabs>
              <w:tab w:pos="1214" w:val="left" w:leader="none"/>
              <w:tab w:pos="9113" w:val="right" w:leader="dot"/>
            </w:tabs>
            <w:spacing w:line="240" w:lineRule="auto" w:before="161" w:after="0"/>
            <w:ind w:left="1213" w:right="0" w:hanging="577"/>
            <w:jc w:val="left"/>
          </w:pPr>
          <w:hyperlink w:history="true" w:anchor="_TOC_250025">
            <w:r>
              <w:rPr/>
              <w:t>Nacionales</w:t>
            </w:r>
            <w:r>
              <w:rPr>
                <w:rFonts w:ascii="Times New Roman"/>
              </w:rPr>
              <w:tab/>
            </w:r>
            <w:r>
              <w:rPr/>
              <w:t>15</w:t>
            </w:r>
          </w:hyperlink>
        </w:p>
        <w:p>
          <w:pPr>
            <w:pStyle w:val="TOC2"/>
            <w:numPr>
              <w:ilvl w:val="1"/>
              <w:numId w:val="1"/>
            </w:numPr>
            <w:tabs>
              <w:tab w:pos="1212" w:val="left" w:leader="none"/>
              <w:tab w:pos="9113" w:val="right" w:leader="dot"/>
            </w:tabs>
            <w:spacing w:line="240" w:lineRule="auto" w:before="161" w:after="0"/>
            <w:ind w:left="1211" w:right="0" w:hanging="578"/>
            <w:jc w:val="left"/>
          </w:pPr>
          <w:hyperlink w:history="true" w:anchor="_TOC_250024">
            <w:r>
              <w:rPr/>
              <w:t>Estatales</w:t>
            </w:r>
            <w:r>
              <w:rPr>
                <w:rFonts w:ascii="Times New Roman"/>
              </w:rPr>
              <w:tab/>
            </w:r>
            <w:r>
              <w:rPr/>
              <w:t>18</w:t>
            </w:r>
          </w:hyperlink>
        </w:p>
        <w:p>
          <w:pPr>
            <w:pStyle w:val="TOC1"/>
            <w:numPr>
              <w:ilvl w:val="0"/>
              <w:numId w:val="1"/>
            </w:numPr>
            <w:tabs>
              <w:tab w:pos="634" w:val="left" w:leader="none"/>
              <w:tab w:pos="9113" w:val="right" w:leader="dot"/>
            </w:tabs>
            <w:spacing w:line="240" w:lineRule="auto" w:before="281" w:after="0"/>
            <w:ind w:left="633" w:right="0" w:hanging="357"/>
            <w:jc w:val="left"/>
          </w:pPr>
          <w:r>
            <w:rPr/>
            <w:t>Pregunta de investigación</w:t>
          </w:r>
          <w:r>
            <w:rPr>
              <w:rFonts w:ascii="Times New Roman" w:hAnsi="Times New Roman"/>
              <w:b w:val="0"/>
            </w:rPr>
            <w:tab/>
          </w:r>
          <w:r>
            <w:rPr/>
            <w:t>21</w:t>
          </w:r>
        </w:p>
        <w:p>
          <w:pPr>
            <w:pStyle w:val="TOC1"/>
            <w:numPr>
              <w:ilvl w:val="0"/>
              <w:numId w:val="1"/>
            </w:numPr>
            <w:tabs>
              <w:tab w:pos="634" w:val="left" w:leader="none"/>
              <w:tab w:pos="9113" w:val="right" w:leader="dot"/>
            </w:tabs>
            <w:spacing w:line="240" w:lineRule="auto" w:before="281" w:after="0"/>
            <w:ind w:left="633" w:right="0" w:hanging="357"/>
            <w:jc w:val="left"/>
          </w:pPr>
          <w:hyperlink w:history="true" w:anchor="_TOC_250023">
            <w:r>
              <w:rPr/>
              <w:t>Hipótesis</w:t>
            </w:r>
            <w:r>
              <w:rPr>
                <w:rFonts w:ascii="Times New Roman" w:hAnsi="Times New Roman"/>
                <w:b w:val="0"/>
              </w:rPr>
              <w:tab/>
            </w:r>
            <w:r>
              <w:rPr/>
              <w:t>22</w:t>
            </w:r>
          </w:hyperlink>
        </w:p>
        <w:p>
          <w:pPr>
            <w:pStyle w:val="TOC1"/>
            <w:numPr>
              <w:ilvl w:val="0"/>
              <w:numId w:val="1"/>
            </w:numPr>
            <w:tabs>
              <w:tab w:pos="637" w:val="left" w:leader="none"/>
              <w:tab w:pos="9113" w:val="right" w:leader="dot"/>
            </w:tabs>
            <w:spacing w:line="240" w:lineRule="auto" w:before="281" w:after="0"/>
            <w:ind w:left="636" w:right="0" w:hanging="360"/>
            <w:jc w:val="left"/>
          </w:pPr>
          <w:r>
            <w:rPr/>
            <w:t>Objetivos</w:t>
          </w:r>
          <w:r>
            <w:rPr>
              <w:rFonts w:ascii="Times New Roman"/>
              <w:b w:val="0"/>
            </w:rPr>
            <w:tab/>
          </w:r>
          <w:r>
            <w:rPr/>
            <w:t>23</w:t>
          </w:r>
        </w:p>
        <w:p>
          <w:pPr>
            <w:pStyle w:val="TOC2"/>
            <w:numPr>
              <w:ilvl w:val="1"/>
              <w:numId w:val="1"/>
            </w:numPr>
            <w:tabs>
              <w:tab w:pos="1200" w:val="left" w:leader="none"/>
              <w:tab w:pos="9113" w:val="right" w:leader="dot"/>
            </w:tabs>
            <w:spacing w:line="240" w:lineRule="auto" w:before="161" w:after="0"/>
            <w:ind w:left="1199" w:right="0" w:hanging="563"/>
            <w:jc w:val="left"/>
          </w:pPr>
          <w:hyperlink w:history="true" w:anchor="_TOC_250022">
            <w:r>
              <w:rPr/>
              <w:t>Objetivo general</w:t>
            </w:r>
            <w:r>
              <w:rPr>
                <w:rFonts w:ascii="Times New Roman"/>
              </w:rPr>
              <w:tab/>
            </w:r>
            <w:r>
              <w:rPr/>
              <w:t>23</w:t>
            </w:r>
          </w:hyperlink>
        </w:p>
        <w:p>
          <w:pPr>
            <w:pStyle w:val="TOC2"/>
            <w:numPr>
              <w:ilvl w:val="1"/>
              <w:numId w:val="1"/>
            </w:numPr>
            <w:tabs>
              <w:tab w:pos="1195" w:val="left" w:leader="none"/>
              <w:tab w:pos="9113" w:val="right" w:leader="dot"/>
            </w:tabs>
            <w:spacing w:line="240" w:lineRule="auto" w:before="161" w:after="0"/>
            <w:ind w:left="1194" w:right="0" w:hanging="561"/>
            <w:jc w:val="left"/>
          </w:pPr>
          <w:hyperlink w:history="true" w:anchor="_TOC_250021">
            <w:r>
              <w:rPr/>
              <w:t>Objetivos específicos</w:t>
            </w:r>
            <w:r>
              <w:rPr>
                <w:rFonts w:ascii="Times New Roman" w:hAnsi="Times New Roman"/>
              </w:rPr>
              <w:tab/>
            </w:r>
            <w:r>
              <w:rPr/>
              <w:t>23</w:t>
            </w:r>
          </w:hyperlink>
        </w:p>
        <w:p>
          <w:pPr>
            <w:pStyle w:val="TOC1"/>
            <w:numPr>
              <w:ilvl w:val="0"/>
              <w:numId w:val="1"/>
            </w:numPr>
            <w:tabs>
              <w:tab w:pos="634" w:val="left" w:leader="none"/>
              <w:tab w:pos="9113" w:val="right" w:leader="dot"/>
            </w:tabs>
            <w:spacing w:line="240" w:lineRule="auto" w:before="285" w:after="0"/>
            <w:ind w:left="633" w:right="0" w:hanging="357"/>
            <w:jc w:val="left"/>
          </w:pPr>
          <w:r>
            <w:rPr/>
            <w:t>Marco teórico (planteamiento del problema y justificación)</w:t>
          </w:r>
          <w:r>
            <w:rPr>
              <w:rFonts w:ascii="Times New Roman" w:hAnsi="Times New Roman"/>
              <w:b w:val="0"/>
            </w:rPr>
            <w:tab/>
          </w:r>
          <w:r>
            <w:rPr/>
            <w:t>25</w:t>
          </w:r>
        </w:p>
        <w:p>
          <w:pPr>
            <w:pStyle w:val="TOC2"/>
            <w:numPr>
              <w:ilvl w:val="1"/>
              <w:numId w:val="1"/>
            </w:numPr>
            <w:tabs>
              <w:tab w:pos="1172" w:val="left" w:leader="none"/>
              <w:tab w:pos="9113" w:val="right" w:leader="dot"/>
            </w:tabs>
            <w:spacing w:line="240" w:lineRule="auto" w:before="161" w:after="0"/>
            <w:ind w:left="1171" w:right="0" w:hanging="535"/>
            <w:jc w:val="left"/>
          </w:pPr>
          <w:hyperlink w:history="true" w:anchor="_TOC_250020">
            <w:r>
              <w:rPr/>
              <w:t>Efecto invernadero</w:t>
            </w:r>
            <w:r>
              <w:rPr>
                <w:rFonts w:ascii="Times New Roman"/>
              </w:rPr>
              <w:tab/>
            </w:r>
            <w:r>
              <w:rPr/>
              <w:t>25</w:t>
            </w:r>
          </w:hyperlink>
        </w:p>
        <w:p>
          <w:pPr>
            <w:pStyle w:val="TOC2"/>
            <w:numPr>
              <w:ilvl w:val="1"/>
              <w:numId w:val="1"/>
            </w:numPr>
            <w:tabs>
              <w:tab w:pos="1172" w:val="left" w:leader="none"/>
              <w:tab w:pos="9113" w:val="right" w:leader="dot"/>
            </w:tabs>
            <w:spacing w:line="240" w:lineRule="auto" w:before="161" w:after="0"/>
            <w:ind w:left="1171" w:right="0" w:hanging="535"/>
            <w:jc w:val="left"/>
          </w:pPr>
          <w:hyperlink w:history="true" w:anchor="_TOC_250019">
            <w:r>
              <w:rPr/>
              <w:t>Cambio climático y</w:t>
            </w:r>
            <w:r>
              <w:rPr>
                <w:spacing w:val="-1"/>
              </w:rPr>
              <w:t> </w:t>
            </w:r>
            <w:r>
              <w:rPr/>
              <w:t>calentamiento global</w:t>
            </w:r>
            <w:r>
              <w:rPr>
                <w:rFonts w:ascii="Times New Roman" w:hAnsi="Times New Roman"/>
              </w:rPr>
              <w:tab/>
            </w:r>
            <w:r>
              <w:rPr/>
              <w:t>29</w:t>
            </w:r>
          </w:hyperlink>
        </w:p>
        <w:p>
          <w:pPr>
            <w:pStyle w:val="TOC2"/>
            <w:numPr>
              <w:ilvl w:val="1"/>
              <w:numId w:val="1"/>
            </w:numPr>
            <w:tabs>
              <w:tab w:pos="1172" w:val="left" w:leader="none"/>
              <w:tab w:pos="9113" w:val="right" w:leader="dot"/>
            </w:tabs>
            <w:spacing w:line="276" w:lineRule="auto" w:before="161" w:after="0"/>
            <w:ind w:left="1171" w:right="144" w:hanging="535"/>
            <w:jc w:val="left"/>
          </w:pPr>
          <w:hyperlink w:history="true" w:anchor="_TOC_250018">
            <w:r>
              <w:rPr/>
              <w:t>Influencia de las actividades humanas sobre los ecosistemas, el calentamiento global y el cambio climático</w:t>
            </w:r>
            <w:r>
              <w:rPr>
                <w:rFonts w:ascii="Times New Roman" w:hAnsi="Times New Roman"/>
              </w:rPr>
              <w:tab/>
            </w:r>
            <w:r>
              <w:rPr/>
              <w:t>30</w:t>
            </w:r>
          </w:hyperlink>
        </w:p>
        <w:p>
          <w:pPr>
            <w:pStyle w:val="TOC2"/>
            <w:numPr>
              <w:ilvl w:val="1"/>
              <w:numId w:val="1"/>
            </w:numPr>
            <w:tabs>
              <w:tab w:pos="1172" w:val="left" w:leader="none"/>
              <w:tab w:pos="9113" w:val="right" w:leader="dot"/>
            </w:tabs>
            <w:spacing w:line="240" w:lineRule="auto" w:before="120" w:after="0"/>
            <w:ind w:left="1171" w:right="0" w:hanging="535"/>
            <w:jc w:val="left"/>
          </w:pPr>
          <w:hyperlink w:history="true" w:anchor="_TOC_250017">
            <w:r>
              <w:rPr/>
              <w:t>Gases de efecto invernadero y la</w:t>
            </w:r>
            <w:r>
              <w:rPr>
                <w:spacing w:val="-1"/>
              </w:rPr>
              <w:t> </w:t>
            </w:r>
            <w:r>
              <w:rPr/>
              <w:t>producción</w:t>
            </w:r>
            <w:r>
              <w:rPr>
                <w:spacing w:val="-1"/>
              </w:rPr>
              <w:t> </w:t>
            </w:r>
            <w:r>
              <w:rPr/>
              <w:t>pecuaria</w:t>
            </w:r>
            <w:r>
              <w:rPr>
                <w:rFonts w:ascii="Times New Roman" w:hAnsi="Times New Roman"/>
              </w:rPr>
              <w:tab/>
            </w:r>
            <w:r>
              <w:rPr/>
              <w:t>31</w:t>
            </w:r>
          </w:hyperlink>
        </w:p>
        <w:p>
          <w:pPr>
            <w:pStyle w:val="TOC2"/>
            <w:numPr>
              <w:ilvl w:val="1"/>
              <w:numId w:val="1"/>
            </w:numPr>
            <w:tabs>
              <w:tab w:pos="1172" w:val="left" w:leader="none"/>
              <w:tab w:pos="9113" w:val="right" w:leader="dot"/>
            </w:tabs>
            <w:spacing w:line="295" w:lineRule="auto" w:before="40" w:after="0"/>
            <w:ind w:left="1171" w:right="144" w:hanging="535"/>
            <w:jc w:val="left"/>
          </w:pPr>
          <w:hyperlink w:history="true" w:anchor="_TOC_250016">
            <w:r>
              <w:rPr/>
              <w:t>La ganadería: un factor que contribuye considerablemente al cambio climático</w:t>
            </w:r>
            <w:r>
              <w:rPr>
                <w:rFonts w:ascii="Times New Roman" w:hAnsi="Times New Roman"/>
              </w:rPr>
              <w:tab/>
            </w:r>
            <w:r>
              <w:rPr/>
              <w:t>32</w:t>
            </w:r>
          </w:hyperlink>
        </w:p>
        <w:p>
          <w:pPr>
            <w:pStyle w:val="TOC2"/>
            <w:numPr>
              <w:ilvl w:val="1"/>
              <w:numId w:val="1"/>
            </w:numPr>
            <w:tabs>
              <w:tab w:pos="1172" w:val="left" w:leader="none"/>
              <w:tab w:pos="9113" w:val="right" w:leader="dot"/>
            </w:tabs>
            <w:spacing w:line="240" w:lineRule="auto" w:before="99" w:after="0"/>
            <w:ind w:left="1171" w:right="0" w:hanging="535"/>
            <w:jc w:val="left"/>
          </w:pPr>
          <w:hyperlink w:history="true" w:anchor="_TOC_250015">
            <w:r>
              <w:rPr/>
              <w:t>Emisiones de CH</w:t>
            </w:r>
            <w:r>
              <w:rPr>
                <w:position w:val="-2"/>
                <w:sz w:val="16"/>
              </w:rPr>
              <w:t>4  </w:t>
            </w:r>
            <w:r>
              <w:rPr/>
              <w:t>por</w:t>
            </w:r>
            <w:r>
              <w:rPr>
                <w:spacing w:val="-24"/>
              </w:rPr>
              <w:t> </w:t>
            </w:r>
            <w:r>
              <w:rPr/>
              <w:t>fermentación</w:t>
            </w:r>
            <w:r>
              <w:rPr>
                <w:spacing w:val="-1"/>
              </w:rPr>
              <w:t> </w:t>
            </w:r>
            <w:r>
              <w:rPr/>
              <w:t>entérica</w:t>
            </w:r>
            <w:r>
              <w:rPr>
                <w:rFonts w:ascii="Times New Roman" w:hAnsi="Times New Roman"/>
              </w:rPr>
              <w:tab/>
            </w:r>
            <w:r>
              <w:rPr/>
              <w:t>35</w:t>
            </w:r>
          </w:hyperlink>
        </w:p>
        <w:p>
          <w:pPr>
            <w:pStyle w:val="TOC2"/>
            <w:numPr>
              <w:ilvl w:val="1"/>
              <w:numId w:val="1"/>
            </w:numPr>
            <w:tabs>
              <w:tab w:pos="1172" w:val="left" w:leader="none"/>
              <w:tab w:pos="9113" w:val="right" w:leader="dot"/>
            </w:tabs>
            <w:spacing w:line="240" w:lineRule="auto" w:before="147" w:after="0"/>
            <w:ind w:left="1171" w:right="0" w:hanging="535"/>
            <w:jc w:val="left"/>
          </w:pPr>
          <w:r>
            <w:rPr/>
            <w:t>Estequiometria de</w:t>
          </w:r>
          <w:r>
            <w:rPr>
              <w:spacing w:val="-1"/>
            </w:rPr>
            <w:t> </w:t>
          </w:r>
          <w:r>
            <w:rPr/>
            <w:t>la metanogénesis</w:t>
          </w:r>
          <w:r>
            <w:rPr>
              <w:rFonts w:ascii="Times New Roman" w:hAnsi="Times New Roman"/>
            </w:rPr>
            <w:tab/>
          </w:r>
          <w:r>
            <w:rPr/>
            <w:t>37</w:t>
          </w:r>
        </w:p>
        <w:p>
          <w:pPr>
            <w:pStyle w:val="TOC2"/>
            <w:numPr>
              <w:ilvl w:val="1"/>
              <w:numId w:val="1"/>
            </w:numPr>
            <w:tabs>
              <w:tab w:pos="1172" w:val="left" w:leader="none"/>
              <w:tab w:pos="9113" w:val="right" w:leader="dot"/>
            </w:tabs>
            <w:spacing w:line="240" w:lineRule="auto" w:before="161" w:after="0"/>
            <w:ind w:left="1171" w:right="0" w:hanging="535"/>
            <w:jc w:val="left"/>
          </w:pPr>
          <w:hyperlink w:history="true" w:anchor="_TOC_250014">
            <w:r>
              <w:rPr/>
              <w:t>El factor de conversión en</w:t>
            </w:r>
            <w:r>
              <w:rPr>
                <w:spacing w:val="-1"/>
              </w:rPr>
              <w:t> </w:t>
            </w:r>
            <w:r>
              <w:rPr/>
              <w:t>metano (Ym)</w:t>
            </w:r>
            <w:r>
              <w:rPr>
                <w:rFonts w:ascii="Times New Roman" w:hAnsi="Times New Roman"/>
              </w:rPr>
              <w:tab/>
            </w:r>
            <w:r>
              <w:rPr/>
              <w:t>43</w:t>
            </w:r>
          </w:hyperlink>
        </w:p>
        <w:p>
          <w:pPr>
            <w:pStyle w:val="TOC3"/>
            <w:numPr>
              <w:ilvl w:val="2"/>
              <w:numId w:val="1"/>
            </w:numPr>
            <w:tabs>
              <w:tab w:pos="1837" w:val="left" w:leader="none"/>
              <w:tab w:pos="9113" w:val="right" w:leader="dot"/>
            </w:tabs>
            <w:spacing w:line="384" w:lineRule="auto" w:before="161" w:after="0"/>
            <w:ind w:left="1199" w:right="144" w:firstLine="0"/>
            <w:jc w:val="left"/>
          </w:pPr>
          <w:r>
            <w:rPr/>
            <w:t>Estimación del Ym para los inventarios nacionales de emisiones..</w:t>
          </w:r>
          <w:r>
            <w:rPr>
              <w:spacing w:val="-24"/>
            </w:rPr>
            <w:t> </w:t>
          </w:r>
          <w:r>
            <w:rPr/>
            <w:t>47 6.8.2. Alimentos y gestión de</w:t>
          </w:r>
          <w:r>
            <w:rPr>
              <w:spacing w:val="-31"/>
            </w:rPr>
            <w:t> </w:t>
          </w:r>
          <w:r>
            <w:rPr/>
            <w:t>la alimentación</w:t>
          </w:r>
          <w:r>
            <w:rPr>
              <w:rFonts w:ascii="Times New Roman" w:hAnsi="Times New Roman"/>
            </w:rPr>
            <w:tab/>
          </w:r>
          <w:r>
            <w:rPr/>
            <w:t>49</w:t>
          </w:r>
        </w:p>
        <w:p>
          <w:pPr>
            <w:pStyle w:val="TOC3"/>
            <w:numPr>
              <w:ilvl w:val="2"/>
              <w:numId w:val="2"/>
            </w:numPr>
            <w:tabs>
              <w:tab w:pos="1837" w:val="left" w:leader="none"/>
              <w:tab w:pos="9113" w:val="right" w:leader="dot"/>
            </w:tabs>
            <w:spacing w:line="240" w:lineRule="auto" w:before="0" w:after="0"/>
            <w:ind w:left="1836" w:right="0" w:hanging="637"/>
            <w:jc w:val="left"/>
          </w:pPr>
          <w:hyperlink w:history="true" w:anchor="_TOC_250013">
            <w:r>
              <w:rPr/>
              <w:t>Efecto del consumo de alimento</w:t>
            </w:r>
            <w:r>
              <w:rPr>
                <w:rFonts w:ascii="Times New Roman"/>
              </w:rPr>
              <w:tab/>
            </w:r>
            <w:r>
              <w:rPr/>
              <w:t>50</w:t>
            </w:r>
          </w:hyperlink>
        </w:p>
        <w:p>
          <w:pPr>
            <w:pStyle w:val="TOC3"/>
            <w:numPr>
              <w:ilvl w:val="2"/>
              <w:numId w:val="2"/>
            </w:numPr>
            <w:tabs>
              <w:tab w:pos="1837" w:val="left" w:leader="none"/>
              <w:tab w:pos="9113" w:val="right" w:leader="dot"/>
            </w:tabs>
            <w:spacing w:line="240" w:lineRule="auto" w:before="161" w:after="0"/>
            <w:ind w:left="1836" w:right="0" w:hanging="637"/>
            <w:jc w:val="left"/>
          </w:pPr>
          <w:hyperlink w:history="true" w:anchor="_TOC_250012">
            <w:r>
              <w:rPr/>
              <w:t>Inclusión de concentrado</w:t>
            </w:r>
            <w:r>
              <w:rPr>
                <w:rFonts w:ascii="Times New Roman" w:hAnsi="Times New Roman"/>
              </w:rPr>
              <w:tab/>
            </w:r>
            <w:r>
              <w:rPr/>
              <w:t>56</w:t>
            </w:r>
          </w:hyperlink>
        </w:p>
        <w:p>
          <w:pPr>
            <w:pStyle w:val="TOC2"/>
            <w:numPr>
              <w:ilvl w:val="1"/>
              <w:numId w:val="1"/>
            </w:numPr>
            <w:tabs>
              <w:tab w:pos="1172" w:val="left" w:leader="none"/>
              <w:tab w:pos="9113" w:val="right" w:leader="dot"/>
            </w:tabs>
            <w:spacing w:line="240" w:lineRule="auto" w:before="161" w:after="0"/>
            <w:ind w:left="1171" w:right="0" w:hanging="535"/>
            <w:jc w:val="left"/>
          </w:pPr>
          <w:hyperlink w:history="true" w:anchor="_TOC_250011">
            <w:r>
              <w:rPr/>
              <w:t>Prácticas para la mitigación de</w:t>
            </w:r>
            <w:r>
              <w:rPr>
                <w:spacing w:val="-2"/>
              </w:rPr>
              <w:t> </w:t>
            </w:r>
            <w:r>
              <w:rPr/>
              <w:t>CH</w:t>
            </w:r>
            <w:r>
              <w:rPr>
                <w:position w:val="-2"/>
                <w:sz w:val="16"/>
              </w:rPr>
              <w:t>4</w:t>
            </w:r>
            <w:r>
              <w:rPr>
                <w:spacing w:val="22"/>
                <w:position w:val="-2"/>
                <w:sz w:val="16"/>
              </w:rPr>
              <w:t> </w:t>
            </w:r>
            <w:r>
              <w:rPr/>
              <w:t>entérico</w:t>
            </w:r>
            <w:r>
              <w:rPr>
                <w:rFonts w:ascii="Times New Roman" w:hAnsi="Times New Roman"/>
              </w:rPr>
              <w:tab/>
            </w:r>
            <w:r>
              <w:rPr/>
              <w:t>59</w:t>
            </w:r>
          </w:hyperlink>
        </w:p>
        <w:p>
          <w:pPr>
            <w:pStyle w:val="TOC1"/>
            <w:numPr>
              <w:ilvl w:val="0"/>
              <w:numId w:val="1"/>
            </w:numPr>
            <w:tabs>
              <w:tab w:pos="634" w:val="left" w:leader="none"/>
              <w:tab w:pos="9113" w:val="right" w:leader="dot"/>
            </w:tabs>
            <w:spacing w:line="240" w:lineRule="auto" w:before="267" w:after="0"/>
            <w:ind w:left="633" w:right="0" w:hanging="357"/>
            <w:jc w:val="left"/>
          </w:pPr>
          <w:r>
            <w:rPr/>
            <w:t>Material y Métodos</w:t>
          </w:r>
          <w:r>
            <w:rPr>
              <w:rFonts w:ascii="Times New Roman" w:hAnsi="Times New Roman"/>
              <w:b w:val="0"/>
            </w:rPr>
            <w:tab/>
          </w:r>
          <w:r>
            <w:rPr/>
            <w:t>64</w:t>
          </w:r>
        </w:p>
        <w:p>
          <w:pPr>
            <w:pStyle w:val="TOC2"/>
            <w:numPr>
              <w:ilvl w:val="1"/>
              <w:numId w:val="1"/>
            </w:numPr>
            <w:tabs>
              <w:tab w:pos="1200" w:val="left" w:leader="none"/>
              <w:tab w:pos="9113" w:val="right" w:leader="dot"/>
            </w:tabs>
            <w:spacing w:line="240" w:lineRule="auto" w:before="161" w:after="0"/>
            <w:ind w:left="1199" w:right="0" w:hanging="563"/>
            <w:jc w:val="left"/>
          </w:pPr>
          <w:hyperlink w:history="true" w:anchor="_TOC_250010">
            <w:r>
              <w:rPr/>
              <w:t>Área de estudio</w:t>
            </w:r>
            <w:r>
              <w:rPr>
                <w:rFonts w:ascii="Times New Roman" w:hAnsi="Times New Roman"/>
              </w:rPr>
              <w:tab/>
            </w:r>
            <w:r>
              <w:rPr/>
              <w:t>66</w:t>
            </w:r>
          </w:hyperlink>
        </w:p>
        <w:p>
          <w:pPr>
            <w:pStyle w:val="TOC2"/>
            <w:numPr>
              <w:ilvl w:val="1"/>
              <w:numId w:val="1"/>
            </w:numPr>
            <w:tabs>
              <w:tab w:pos="1200" w:val="left" w:leader="none"/>
              <w:tab w:pos="9113" w:val="right" w:leader="dot"/>
            </w:tabs>
            <w:spacing w:line="240" w:lineRule="auto" w:before="161" w:after="0"/>
            <w:ind w:left="1199" w:right="0" w:hanging="563"/>
            <w:jc w:val="left"/>
          </w:pPr>
          <w:hyperlink w:history="true" w:anchor="_TOC_250009">
            <w:r>
              <w:rPr/>
              <w:t>Obtención de los datos</w:t>
            </w:r>
            <w:r>
              <w:rPr>
                <w:rFonts w:ascii="Times New Roman" w:hAnsi="Times New Roman"/>
              </w:rPr>
              <w:tab/>
            </w:r>
            <w:r>
              <w:rPr/>
              <w:t>68</w:t>
            </w:r>
          </w:hyperlink>
        </w:p>
        <w:p>
          <w:pPr>
            <w:pStyle w:val="TOC3"/>
            <w:numPr>
              <w:ilvl w:val="2"/>
              <w:numId w:val="1"/>
            </w:numPr>
            <w:tabs>
              <w:tab w:pos="1955" w:val="left" w:leader="none"/>
              <w:tab w:pos="9113" w:val="right" w:leader="dot"/>
            </w:tabs>
            <w:spacing w:line="240" w:lineRule="auto" w:before="161" w:after="0"/>
            <w:ind w:left="1954" w:right="0" w:hanging="741"/>
            <w:jc w:val="left"/>
          </w:pPr>
          <w:hyperlink w:history="true" w:anchor="_TOC_250008">
            <w:r>
              <w:rPr/>
              <w:t>Sistema ganadero</w:t>
            </w:r>
            <w:r>
              <w:rPr>
                <w:rFonts w:ascii="Times New Roman"/>
              </w:rPr>
              <w:tab/>
            </w:r>
            <w:r>
              <w:rPr/>
              <w:t>68</w:t>
            </w:r>
          </w:hyperlink>
        </w:p>
        <w:p>
          <w:pPr>
            <w:pStyle w:val="TOC3"/>
            <w:numPr>
              <w:ilvl w:val="2"/>
              <w:numId w:val="1"/>
            </w:numPr>
            <w:tabs>
              <w:tab w:pos="1969" w:val="left" w:leader="none"/>
              <w:tab w:pos="9113" w:val="right" w:leader="dot"/>
            </w:tabs>
            <w:spacing w:line="240" w:lineRule="auto" w:before="165" w:after="0"/>
            <w:ind w:left="1968" w:right="0" w:hanging="741"/>
            <w:jc w:val="left"/>
          </w:pPr>
          <w:hyperlink w:history="true" w:anchor="_TOC_250007">
            <w:r>
              <w:rPr/>
              <w:t>Clasificación y estructura del</w:t>
            </w:r>
            <w:r>
              <w:rPr>
                <w:spacing w:val="-1"/>
              </w:rPr>
              <w:t> </w:t>
            </w:r>
            <w:r>
              <w:rPr/>
              <w:t>hato ganadero</w:t>
            </w:r>
            <w:r>
              <w:rPr>
                <w:rFonts w:ascii="Times New Roman" w:hAnsi="Times New Roman"/>
              </w:rPr>
              <w:tab/>
            </w:r>
            <w:r>
              <w:rPr/>
              <w:t>68</w:t>
            </w:r>
          </w:hyperlink>
        </w:p>
        <w:p>
          <w:pPr>
            <w:pStyle w:val="TOC3"/>
            <w:numPr>
              <w:ilvl w:val="2"/>
              <w:numId w:val="1"/>
            </w:numPr>
            <w:tabs>
              <w:tab w:pos="1969" w:val="left" w:leader="none"/>
              <w:tab w:pos="9113" w:val="right" w:leader="dot"/>
            </w:tabs>
            <w:spacing w:line="240" w:lineRule="auto" w:before="161" w:after="0"/>
            <w:ind w:left="1968" w:right="0" w:hanging="741"/>
            <w:jc w:val="left"/>
          </w:pPr>
          <w:hyperlink w:history="true" w:anchor="_TOC_250006">
            <w:r>
              <w:rPr/>
              <w:t>Producción de leche</w:t>
            </w:r>
            <w:r>
              <w:rPr>
                <w:spacing w:val="-1"/>
              </w:rPr>
              <w:t> </w:t>
            </w:r>
            <w:r>
              <w:rPr/>
              <w:t>y composición</w:t>
            </w:r>
            <w:r>
              <w:rPr>
                <w:rFonts w:ascii="Times New Roman" w:hAnsi="Times New Roman"/>
              </w:rPr>
              <w:tab/>
            </w:r>
            <w:r>
              <w:rPr/>
              <w:t>68</w:t>
            </w:r>
          </w:hyperlink>
        </w:p>
        <w:p>
          <w:pPr>
            <w:pStyle w:val="TOC3"/>
            <w:numPr>
              <w:ilvl w:val="2"/>
              <w:numId w:val="1"/>
            </w:numPr>
            <w:tabs>
              <w:tab w:pos="1969" w:val="left" w:leader="none"/>
              <w:tab w:pos="9113" w:val="right" w:leader="dot"/>
            </w:tabs>
            <w:spacing w:line="240" w:lineRule="auto" w:before="161" w:after="0"/>
            <w:ind w:left="1968" w:right="0" w:hanging="741"/>
            <w:jc w:val="left"/>
          </w:pPr>
          <w:hyperlink w:history="true" w:anchor="_TOC_250005">
            <w:r>
              <w:rPr/>
              <w:t>Gestión de la alimentación</w:t>
            </w:r>
            <w:r>
              <w:rPr>
                <w:rFonts w:ascii="Times New Roman" w:hAnsi="Times New Roman"/>
              </w:rPr>
              <w:tab/>
            </w:r>
            <w:r>
              <w:rPr/>
              <w:t>68</w:t>
            </w:r>
          </w:hyperlink>
        </w:p>
        <w:p>
          <w:pPr>
            <w:pStyle w:val="TOC3"/>
            <w:numPr>
              <w:ilvl w:val="2"/>
              <w:numId w:val="1"/>
            </w:numPr>
            <w:tabs>
              <w:tab w:pos="1969" w:val="left" w:leader="none"/>
              <w:tab w:pos="9113" w:val="right" w:leader="dot"/>
            </w:tabs>
            <w:spacing w:line="240" w:lineRule="auto" w:before="161" w:after="0"/>
            <w:ind w:left="1968" w:right="0" w:hanging="741"/>
            <w:jc w:val="left"/>
          </w:pPr>
          <w:hyperlink w:history="true" w:anchor="_TOC_250004">
            <w:r>
              <w:rPr/>
              <w:t>Emisión de metano</w:t>
            </w:r>
            <w:r>
              <w:rPr>
                <w:rFonts w:ascii="Times New Roman" w:hAnsi="Times New Roman"/>
              </w:rPr>
              <w:tab/>
            </w:r>
            <w:r>
              <w:rPr/>
              <w:t>70</w:t>
            </w:r>
          </w:hyperlink>
        </w:p>
        <w:p>
          <w:pPr>
            <w:pStyle w:val="TOC3"/>
            <w:numPr>
              <w:ilvl w:val="2"/>
              <w:numId w:val="1"/>
            </w:numPr>
            <w:tabs>
              <w:tab w:pos="1969" w:val="left" w:leader="none"/>
              <w:tab w:pos="9113" w:val="right" w:leader="dot"/>
            </w:tabs>
            <w:spacing w:line="240" w:lineRule="auto" w:before="161" w:after="0"/>
            <w:ind w:left="1968" w:right="0" w:hanging="741"/>
            <w:jc w:val="left"/>
          </w:pPr>
          <w:hyperlink w:history="true" w:anchor="_TOC_250003">
            <w:r>
              <w:rPr/>
              <w:t>Energía bruta (EB) y</w:t>
            </w:r>
            <w:r>
              <w:rPr>
                <w:spacing w:val="-1"/>
              </w:rPr>
              <w:t> </w:t>
            </w:r>
            <w:r>
              <w:rPr/>
              <w:t>digestibilidad</w:t>
            </w:r>
            <w:r>
              <w:rPr>
                <w:spacing w:val="-1"/>
              </w:rPr>
              <w:t> </w:t>
            </w:r>
            <w:r>
              <w:rPr/>
              <w:t>(ED%)</w:t>
            </w:r>
            <w:r>
              <w:rPr>
                <w:rFonts w:ascii="Times New Roman" w:hAnsi="Times New Roman"/>
              </w:rPr>
              <w:tab/>
            </w:r>
            <w:r>
              <w:rPr/>
              <w:t>70</w:t>
            </w:r>
          </w:hyperlink>
        </w:p>
        <w:p>
          <w:pPr>
            <w:pStyle w:val="TOC3"/>
            <w:numPr>
              <w:ilvl w:val="2"/>
              <w:numId w:val="1"/>
            </w:numPr>
            <w:tabs>
              <w:tab w:pos="1969" w:val="left" w:leader="none"/>
              <w:tab w:pos="9113" w:val="right" w:leader="dot"/>
            </w:tabs>
            <w:spacing w:line="240" w:lineRule="auto" w:before="161" w:after="0"/>
            <w:ind w:left="1968" w:right="0" w:hanging="741"/>
            <w:jc w:val="left"/>
          </w:pPr>
          <w:hyperlink w:history="true" w:anchor="_TOC_250002">
            <w:r>
              <w:rPr/>
              <w:t>Factor de emisión de</w:t>
            </w:r>
            <w:r>
              <w:rPr>
                <w:spacing w:val="-1"/>
              </w:rPr>
              <w:t> </w:t>
            </w:r>
            <w:r>
              <w:rPr/>
              <w:t>CH</w:t>
            </w:r>
            <w:r>
              <w:rPr>
                <w:position w:val="-2"/>
                <w:sz w:val="16"/>
              </w:rPr>
              <w:t>4</w:t>
            </w:r>
            <w:r>
              <w:rPr>
                <w:spacing w:val="22"/>
                <w:position w:val="-2"/>
                <w:sz w:val="16"/>
              </w:rPr>
              <w:t> </w:t>
            </w:r>
            <w:r>
              <w:rPr/>
              <w:t>(FE)</w:t>
            </w:r>
            <w:r>
              <w:rPr>
                <w:rFonts w:ascii="Times New Roman" w:hAnsi="Times New Roman"/>
              </w:rPr>
              <w:tab/>
            </w:r>
            <w:r>
              <w:rPr/>
              <w:t>71</w:t>
            </w:r>
          </w:hyperlink>
        </w:p>
        <w:p>
          <w:pPr>
            <w:pStyle w:val="TOC3"/>
            <w:numPr>
              <w:ilvl w:val="2"/>
              <w:numId w:val="1"/>
            </w:numPr>
            <w:tabs>
              <w:tab w:pos="1969" w:val="left" w:leader="none"/>
              <w:tab w:pos="9113" w:val="right" w:leader="dot"/>
            </w:tabs>
            <w:spacing w:line="240" w:lineRule="auto" w:before="147" w:after="0"/>
            <w:ind w:left="1968" w:right="0" w:hanging="741"/>
            <w:jc w:val="left"/>
          </w:pPr>
          <w:r>
            <w:rPr/>
            <w:t>Factor de conversión de</w:t>
          </w:r>
          <w:r>
            <w:rPr>
              <w:spacing w:val="-1"/>
            </w:rPr>
            <w:t> </w:t>
          </w:r>
          <w:r>
            <w:rPr/>
            <w:t>CH</w:t>
          </w:r>
          <w:r>
            <w:rPr>
              <w:position w:val="-2"/>
              <w:sz w:val="16"/>
            </w:rPr>
            <w:t>4</w:t>
          </w:r>
          <w:r>
            <w:rPr>
              <w:spacing w:val="22"/>
              <w:position w:val="-2"/>
              <w:sz w:val="16"/>
            </w:rPr>
            <w:t> </w:t>
          </w:r>
          <w:r>
            <w:rPr/>
            <w:t>(Ym)</w:t>
          </w:r>
          <w:r>
            <w:rPr>
              <w:rFonts w:ascii="Times New Roman" w:hAnsi="Times New Roman"/>
            </w:rPr>
            <w:tab/>
          </w:r>
          <w:r>
            <w:rPr/>
            <w:t>71</w:t>
          </w:r>
        </w:p>
        <w:p>
          <w:pPr>
            <w:pStyle w:val="TOC3"/>
            <w:numPr>
              <w:ilvl w:val="2"/>
              <w:numId w:val="1"/>
            </w:numPr>
            <w:tabs>
              <w:tab w:pos="1969" w:val="left" w:leader="none"/>
              <w:tab w:pos="9113" w:val="right" w:leader="dot"/>
            </w:tabs>
            <w:spacing w:line="240" w:lineRule="auto" w:before="147" w:after="0"/>
            <w:ind w:left="1968" w:right="0" w:hanging="741"/>
            <w:jc w:val="left"/>
          </w:pPr>
          <w:hyperlink w:history="true" w:anchor="_TOC_250001">
            <w:r>
              <w:rPr/>
              <w:t>Emisiones totales</w:t>
            </w:r>
            <w:r>
              <w:rPr>
                <w:rFonts w:ascii="Times New Roman"/>
              </w:rPr>
              <w:tab/>
            </w:r>
            <w:r>
              <w:rPr/>
              <w:t>72</w:t>
            </w:r>
          </w:hyperlink>
        </w:p>
        <w:p>
          <w:pPr>
            <w:pStyle w:val="TOC1"/>
            <w:numPr>
              <w:ilvl w:val="0"/>
              <w:numId w:val="1"/>
            </w:numPr>
            <w:tabs>
              <w:tab w:pos="634" w:val="left" w:leader="none"/>
              <w:tab w:pos="9113" w:val="right" w:leader="dot"/>
            </w:tabs>
            <w:spacing w:line="240" w:lineRule="auto" w:before="281" w:after="0"/>
            <w:ind w:left="633" w:right="0" w:hanging="357"/>
            <w:jc w:val="left"/>
          </w:pPr>
          <w:hyperlink w:history="true" w:anchor="_TOC_250000">
            <w:r>
              <w:rPr/>
              <w:t>Resultados generales</w:t>
            </w:r>
            <w:r>
              <w:rPr>
                <w:rFonts w:ascii="Times New Roman"/>
                <w:b w:val="0"/>
              </w:rPr>
              <w:tab/>
            </w:r>
            <w:r>
              <w:rPr/>
              <w:t>76</w:t>
            </w:r>
          </w:hyperlink>
        </w:p>
        <w:p>
          <w:pPr>
            <w:pStyle w:val="TOC2"/>
            <w:numPr>
              <w:ilvl w:val="1"/>
              <w:numId w:val="1"/>
            </w:numPr>
            <w:tabs>
              <w:tab w:pos="1269" w:val="left" w:leader="none"/>
              <w:tab w:pos="1270" w:val="left" w:leader="none"/>
              <w:tab w:pos="9113" w:val="right" w:leader="dot"/>
            </w:tabs>
            <w:spacing w:line="276" w:lineRule="auto" w:before="285" w:after="0"/>
            <w:ind w:left="1269" w:right="144" w:hanging="633"/>
            <w:jc w:val="left"/>
          </w:pPr>
          <w:r>
            <w:rPr/>
            <w:t>Capítulo I. Determinación de los Gases de Efecto Invernadero (GEI) en el Sistema de Producción Lechera en Pequeña Escala</w:t>
          </w:r>
          <w:r>
            <w:rPr>
              <w:rFonts w:ascii="Times New Roman" w:hAnsi="Times New Roman"/>
            </w:rPr>
            <w:tab/>
          </w:r>
          <w:r>
            <w:rPr/>
            <w:t>79</w:t>
          </w:r>
        </w:p>
        <w:p>
          <w:pPr>
            <w:pStyle w:val="TOC2"/>
            <w:numPr>
              <w:ilvl w:val="1"/>
              <w:numId w:val="1"/>
            </w:numPr>
            <w:tabs>
              <w:tab w:pos="1269" w:val="left" w:leader="none"/>
              <w:tab w:pos="1270" w:val="left" w:leader="none"/>
              <w:tab w:pos="9113" w:val="right" w:leader="dot"/>
            </w:tabs>
            <w:spacing w:line="276" w:lineRule="auto" w:before="240" w:after="0"/>
            <w:ind w:left="1269" w:right="144" w:hanging="633"/>
            <w:jc w:val="left"/>
          </w:pPr>
          <w:r>
            <w:rPr/>
            <w:t>Capítulo 2. La ganadería y la emisión de Gases de Efecto Invernadero (GEI): un nuevo paradigma a considerar</w:t>
          </w:r>
          <w:r>
            <w:rPr>
              <w:rFonts w:ascii="Times New Roman" w:hAnsi="Times New Roman"/>
            </w:rPr>
            <w:tab/>
          </w:r>
          <w:r>
            <w:rPr/>
            <w:t>96</w:t>
          </w:r>
        </w:p>
        <w:p>
          <w:pPr>
            <w:pStyle w:val="TOC2"/>
            <w:numPr>
              <w:ilvl w:val="1"/>
              <w:numId w:val="1"/>
            </w:numPr>
            <w:tabs>
              <w:tab w:pos="1269" w:val="left" w:leader="none"/>
              <w:tab w:pos="1270" w:val="left" w:leader="none"/>
              <w:tab w:pos="9113" w:val="right" w:leader="dot"/>
            </w:tabs>
            <w:spacing w:line="276" w:lineRule="auto" w:before="240" w:after="0"/>
            <w:ind w:left="1269" w:right="144" w:hanging="633"/>
            <w:jc w:val="left"/>
          </w:pPr>
          <w:r>
            <w:rPr/>
            <w:t>Capítulo 3. Estimación de las Emisiones de Metano Entérico en el Sistema de Producción Lechera en Pequeña Escala</w:t>
          </w:r>
          <w:r>
            <w:rPr>
              <w:rFonts w:ascii="Times New Roman" w:hAnsi="Times New Roman"/>
            </w:rPr>
            <w:tab/>
          </w:r>
          <w:r>
            <w:rPr/>
            <w:t>113</w:t>
          </w:r>
        </w:p>
        <w:p>
          <w:pPr>
            <w:pStyle w:val="TOC2"/>
            <w:numPr>
              <w:ilvl w:val="1"/>
              <w:numId w:val="1"/>
            </w:numPr>
            <w:tabs>
              <w:tab w:pos="1269" w:val="left" w:leader="none"/>
              <w:tab w:pos="1270" w:val="left" w:leader="none"/>
              <w:tab w:pos="9113" w:val="right" w:leader="dot"/>
            </w:tabs>
            <w:spacing w:line="280" w:lineRule="auto" w:before="41" w:after="0"/>
            <w:ind w:left="1269" w:right="144" w:hanging="633"/>
            <w:jc w:val="left"/>
          </w:pPr>
          <w:r>
            <w:rPr/>
            <w:t>Capítulo 4. Métodos para la Estimación de la Emisión de Metano  Entérico en Bovinos</w:t>
          </w:r>
          <w:r>
            <w:rPr>
              <w:rFonts w:ascii="Times New Roman" w:hAnsi="Times New Roman"/>
            </w:rPr>
            <w:tab/>
          </w:r>
          <w:r>
            <w:rPr/>
            <w:t>118</w:t>
          </w:r>
        </w:p>
        <w:p>
          <w:pPr>
            <w:pStyle w:val="TOC1"/>
            <w:numPr>
              <w:ilvl w:val="0"/>
              <w:numId w:val="1"/>
            </w:numPr>
            <w:tabs>
              <w:tab w:pos="634" w:val="left" w:leader="none"/>
              <w:tab w:pos="9113" w:val="right" w:leader="dot"/>
            </w:tabs>
            <w:spacing w:line="240" w:lineRule="auto" w:before="235" w:after="0"/>
            <w:ind w:left="633" w:right="0" w:hanging="357"/>
            <w:jc w:val="left"/>
          </w:pPr>
          <w:r>
            <w:rPr/>
            <w:t>Conclusiones</w:t>
          </w:r>
          <w:r>
            <w:rPr>
              <w:spacing w:val="-1"/>
            </w:rPr>
            <w:t> </w:t>
          </w:r>
          <w:r>
            <w:rPr/>
            <w:t>generales</w:t>
          </w:r>
          <w:r>
            <w:rPr>
              <w:rFonts w:ascii="Times New Roman"/>
              <w:b w:val="0"/>
            </w:rPr>
            <w:tab/>
          </w:r>
          <w:r>
            <w:rPr/>
            <w:t>144</w:t>
          </w:r>
        </w:p>
        <w:p>
          <w:pPr>
            <w:pStyle w:val="TOC1"/>
            <w:numPr>
              <w:ilvl w:val="0"/>
              <w:numId w:val="1"/>
            </w:numPr>
            <w:tabs>
              <w:tab w:pos="634" w:val="left" w:leader="none"/>
              <w:tab w:pos="9113" w:val="right" w:leader="dot"/>
            </w:tabs>
            <w:spacing w:line="240" w:lineRule="auto" w:before="281" w:after="0"/>
            <w:ind w:left="633" w:right="0" w:hanging="357"/>
            <w:jc w:val="left"/>
          </w:pPr>
          <w:r>
            <w:rPr/>
            <w:t>Recomendaciones</w:t>
          </w:r>
          <w:r>
            <w:rPr>
              <w:rFonts w:ascii="Times New Roman"/>
              <w:b w:val="0"/>
            </w:rPr>
            <w:tab/>
          </w:r>
          <w:r>
            <w:rPr/>
            <w:t>147</w:t>
          </w:r>
        </w:p>
        <w:p>
          <w:pPr>
            <w:pStyle w:val="TOC1"/>
            <w:numPr>
              <w:ilvl w:val="0"/>
              <w:numId w:val="1"/>
            </w:numPr>
            <w:tabs>
              <w:tab w:pos="634" w:val="left" w:leader="none"/>
              <w:tab w:pos="9113" w:val="right" w:leader="dot"/>
            </w:tabs>
            <w:spacing w:line="240" w:lineRule="auto" w:before="281" w:after="0"/>
            <w:ind w:left="633" w:right="0" w:hanging="357"/>
            <w:jc w:val="left"/>
          </w:pPr>
          <w:r>
            <w:rPr/>
            <w:t>Referencias</w:t>
          </w:r>
          <w:r>
            <w:rPr>
              <w:spacing w:val="-1"/>
            </w:rPr>
            <w:t> </w:t>
          </w:r>
          <w:r>
            <w:rPr/>
            <w:t>bibliográficas</w:t>
          </w:r>
          <w:r>
            <w:rPr>
              <w:rFonts w:ascii="Times New Roman" w:hAnsi="Times New Roman"/>
              <w:b w:val="0"/>
            </w:rPr>
            <w:tab/>
          </w:r>
          <w:r>
            <w:rPr/>
            <w:t>151</w:t>
          </w:r>
        </w:p>
        <w:p>
          <w:pPr>
            <w:pStyle w:val="TOC1"/>
            <w:numPr>
              <w:ilvl w:val="0"/>
              <w:numId w:val="1"/>
            </w:numPr>
            <w:tabs>
              <w:tab w:pos="634" w:val="left" w:leader="none"/>
              <w:tab w:pos="9113" w:val="right" w:leader="dot"/>
            </w:tabs>
            <w:spacing w:line="240" w:lineRule="auto" w:before="281" w:after="0"/>
            <w:ind w:left="633" w:right="0" w:hanging="357"/>
            <w:jc w:val="left"/>
          </w:pPr>
          <w:r>
            <w:rPr/>
            <w:t>Anexos</w:t>
          </w:r>
          <w:r>
            <w:rPr>
              <w:rFonts w:ascii="Times New Roman"/>
              <w:b w:val="0"/>
            </w:rPr>
            <w:tab/>
          </w:r>
          <w:r>
            <w:rPr/>
            <w:t>171</w:t>
          </w:r>
        </w:p>
      </w:sdtContent>
    </w:sdt>
    <w:p>
      <w:pPr>
        <w:spacing w:after="0" w:line="240" w:lineRule="auto"/>
        <w:jc w:val="left"/>
        <w:sectPr>
          <w:type w:val="continuous"/>
          <w:pgSz w:w="12240" w:h="15840"/>
          <w:pgMar w:top="1380" w:bottom="1674" w:left="1720" w:right="1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2"/>
        </w:rPr>
      </w:pPr>
    </w:p>
    <w:tbl>
      <w:tblPr>
        <w:tblW w:w="0" w:type="auto"/>
        <w:jc w:val="left"/>
        <w:tblInd w:w="3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10"/>
        <w:gridCol w:w="6894"/>
        <w:gridCol w:w="475"/>
      </w:tblGrid>
      <w:tr>
        <w:trPr>
          <w:trHeight w:val="438" w:hRule="exact"/>
        </w:trPr>
        <w:tc>
          <w:tcPr>
            <w:tcW w:w="1310" w:type="dxa"/>
          </w:tcPr>
          <w:p>
            <w:pPr>
              <w:pStyle w:val="TableParagraph"/>
              <w:spacing w:before="69"/>
              <w:ind w:left="35"/>
              <w:rPr>
                <w:rFonts w:ascii="Arial"/>
                <w:b/>
                <w:sz w:val="24"/>
              </w:rPr>
            </w:pPr>
            <w:r>
              <w:rPr>
                <w:rFonts w:ascii="Arial"/>
                <w:b/>
                <w:sz w:val="24"/>
              </w:rPr>
              <w:t>Figura 1.</w:t>
            </w:r>
          </w:p>
        </w:tc>
        <w:tc>
          <w:tcPr>
            <w:tcW w:w="6894" w:type="dxa"/>
          </w:tcPr>
          <w:p>
            <w:pPr>
              <w:pStyle w:val="TableParagraph"/>
              <w:spacing w:before="69"/>
              <w:ind w:left="141"/>
              <w:rPr>
                <w:rFonts w:ascii="Arial" w:hAnsi="Arial"/>
                <w:sz w:val="24"/>
              </w:rPr>
            </w:pPr>
            <w:r>
              <w:rPr>
                <w:rFonts w:ascii="Arial" w:hAnsi="Arial"/>
                <w:sz w:val="24"/>
              </w:rPr>
              <w:t>Diagrama de emisiones de GEI para México 2013………….…</w:t>
            </w:r>
          </w:p>
        </w:tc>
        <w:tc>
          <w:tcPr>
            <w:tcW w:w="475" w:type="dxa"/>
          </w:tcPr>
          <w:p>
            <w:pPr>
              <w:pStyle w:val="TableParagraph"/>
              <w:spacing w:before="69"/>
              <w:ind w:right="33"/>
              <w:jc w:val="right"/>
              <w:rPr>
                <w:rFonts w:ascii="Arial"/>
                <w:sz w:val="24"/>
              </w:rPr>
            </w:pPr>
            <w:r>
              <w:rPr>
                <w:rFonts w:ascii="Arial"/>
                <w:sz w:val="24"/>
              </w:rPr>
              <w:t>20</w:t>
            </w:r>
          </w:p>
        </w:tc>
      </w:tr>
      <w:tr>
        <w:trPr>
          <w:trHeight w:val="437" w:hRule="exact"/>
        </w:trPr>
        <w:tc>
          <w:tcPr>
            <w:tcW w:w="1310" w:type="dxa"/>
          </w:tcPr>
          <w:p>
            <w:pPr>
              <w:pStyle w:val="TableParagraph"/>
              <w:spacing w:before="67"/>
              <w:ind w:left="35"/>
              <w:rPr>
                <w:rFonts w:ascii="Arial"/>
                <w:b/>
                <w:sz w:val="24"/>
              </w:rPr>
            </w:pPr>
            <w:r>
              <w:rPr>
                <w:rFonts w:ascii="Arial"/>
                <w:b/>
                <w:sz w:val="24"/>
              </w:rPr>
              <w:t>Figura 2.</w:t>
            </w:r>
          </w:p>
        </w:tc>
        <w:tc>
          <w:tcPr>
            <w:tcW w:w="6894" w:type="dxa"/>
          </w:tcPr>
          <w:p>
            <w:pPr>
              <w:pStyle w:val="TableParagraph"/>
              <w:spacing w:before="67"/>
              <w:ind w:left="141"/>
              <w:rPr>
                <w:rFonts w:ascii="Arial"/>
                <w:sz w:val="24"/>
              </w:rPr>
            </w:pPr>
            <w:r>
              <w:rPr>
                <w:rFonts w:ascii="Arial"/>
                <w:sz w:val="24"/>
              </w:rPr>
              <w:t>Efecto invernadero y calentamiento global en el planeta Tierra.</w:t>
            </w:r>
          </w:p>
        </w:tc>
        <w:tc>
          <w:tcPr>
            <w:tcW w:w="475" w:type="dxa"/>
          </w:tcPr>
          <w:p>
            <w:pPr>
              <w:pStyle w:val="TableParagraph"/>
              <w:spacing w:before="67"/>
              <w:ind w:right="33"/>
              <w:jc w:val="right"/>
              <w:rPr>
                <w:rFonts w:ascii="Arial"/>
                <w:sz w:val="24"/>
              </w:rPr>
            </w:pPr>
            <w:r>
              <w:rPr>
                <w:rFonts w:ascii="Arial"/>
                <w:sz w:val="24"/>
              </w:rPr>
              <w:t>27</w:t>
            </w:r>
          </w:p>
        </w:tc>
      </w:tr>
      <w:tr>
        <w:trPr>
          <w:trHeight w:val="437" w:hRule="exact"/>
        </w:trPr>
        <w:tc>
          <w:tcPr>
            <w:tcW w:w="1310" w:type="dxa"/>
          </w:tcPr>
          <w:p>
            <w:pPr>
              <w:pStyle w:val="TableParagraph"/>
              <w:spacing w:before="67"/>
              <w:ind w:left="35"/>
              <w:rPr>
                <w:rFonts w:ascii="Arial"/>
                <w:b/>
                <w:sz w:val="24"/>
              </w:rPr>
            </w:pPr>
            <w:r>
              <w:rPr>
                <w:rFonts w:ascii="Arial"/>
                <w:b/>
                <w:sz w:val="24"/>
              </w:rPr>
              <w:t>Figura 3.</w:t>
            </w:r>
          </w:p>
        </w:tc>
        <w:tc>
          <w:tcPr>
            <w:tcW w:w="6894" w:type="dxa"/>
          </w:tcPr>
          <w:p>
            <w:pPr>
              <w:pStyle w:val="TableParagraph"/>
              <w:spacing w:before="67"/>
              <w:ind w:left="141"/>
              <w:rPr>
                <w:rFonts w:ascii="Arial" w:hAnsi="Arial"/>
                <w:sz w:val="24"/>
              </w:rPr>
            </w:pPr>
            <w:r>
              <w:rPr>
                <w:rFonts w:ascii="Arial" w:hAnsi="Arial"/>
                <w:sz w:val="24"/>
              </w:rPr>
              <w:t>Concentraciones de GEI del año 0 a 2005………………………</w:t>
            </w:r>
          </w:p>
        </w:tc>
        <w:tc>
          <w:tcPr>
            <w:tcW w:w="475" w:type="dxa"/>
          </w:tcPr>
          <w:p>
            <w:pPr>
              <w:pStyle w:val="TableParagraph"/>
              <w:spacing w:before="67"/>
              <w:ind w:right="33"/>
              <w:jc w:val="right"/>
              <w:rPr>
                <w:rFonts w:ascii="Arial"/>
                <w:sz w:val="24"/>
              </w:rPr>
            </w:pPr>
            <w:r>
              <w:rPr>
                <w:rFonts w:ascii="Arial"/>
                <w:sz w:val="24"/>
              </w:rPr>
              <w:t>28</w:t>
            </w:r>
          </w:p>
        </w:tc>
      </w:tr>
      <w:tr>
        <w:trPr>
          <w:trHeight w:val="437" w:hRule="exact"/>
        </w:trPr>
        <w:tc>
          <w:tcPr>
            <w:tcW w:w="1310" w:type="dxa"/>
          </w:tcPr>
          <w:p>
            <w:pPr>
              <w:pStyle w:val="TableParagraph"/>
              <w:spacing w:before="67"/>
              <w:ind w:left="35"/>
              <w:rPr>
                <w:rFonts w:ascii="Arial"/>
                <w:b/>
                <w:sz w:val="24"/>
              </w:rPr>
            </w:pPr>
            <w:r>
              <w:rPr>
                <w:rFonts w:ascii="Arial"/>
                <w:b/>
                <w:sz w:val="24"/>
              </w:rPr>
              <w:t>Figura 4.</w:t>
            </w:r>
          </w:p>
        </w:tc>
        <w:tc>
          <w:tcPr>
            <w:tcW w:w="6894" w:type="dxa"/>
          </w:tcPr>
          <w:p>
            <w:pPr>
              <w:pStyle w:val="TableParagraph"/>
              <w:spacing w:before="67"/>
              <w:ind w:left="141"/>
              <w:rPr>
                <w:rFonts w:ascii="Arial" w:hAnsi="Arial"/>
                <w:sz w:val="24"/>
              </w:rPr>
            </w:pPr>
            <w:r>
              <w:rPr>
                <w:rFonts w:ascii="Arial" w:hAnsi="Arial"/>
                <w:sz w:val="24"/>
              </w:rPr>
              <w:t>Factores relacionados con la emisión de metano…………….</w:t>
            </w:r>
          </w:p>
        </w:tc>
        <w:tc>
          <w:tcPr>
            <w:tcW w:w="475" w:type="dxa"/>
          </w:tcPr>
          <w:p>
            <w:pPr>
              <w:pStyle w:val="TableParagraph"/>
              <w:spacing w:before="67"/>
              <w:ind w:right="33"/>
              <w:jc w:val="right"/>
              <w:rPr>
                <w:rFonts w:ascii="Arial"/>
                <w:sz w:val="24"/>
              </w:rPr>
            </w:pPr>
            <w:r>
              <w:rPr>
                <w:rFonts w:ascii="Arial"/>
                <w:sz w:val="24"/>
              </w:rPr>
              <w:t>36</w:t>
            </w:r>
          </w:p>
        </w:tc>
      </w:tr>
      <w:tr>
        <w:trPr>
          <w:trHeight w:val="437" w:hRule="exact"/>
        </w:trPr>
        <w:tc>
          <w:tcPr>
            <w:tcW w:w="1310" w:type="dxa"/>
          </w:tcPr>
          <w:p>
            <w:pPr>
              <w:pStyle w:val="TableParagraph"/>
              <w:spacing w:before="67"/>
              <w:ind w:left="35"/>
              <w:rPr>
                <w:rFonts w:ascii="Arial"/>
                <w:b/>
                <w:sz w:val="24"/>
              </w:rPr>
            </w:pPr>
            <w:r>
              <w:rPr>
                <w:rFonts w:ascii="Arial"/>
                <w:b/>
                <w:sz w:val="24"/>
              </w:rPr>
              <w:t>Figura 5.</w:t>
            </w:r>
          </w:p>
        </w:tc>
        <w:tc>
          <w:tcPr>
            <w:tcW w:w="6894" w:type="dxa"/>
          </w:tcPr>
          <w:p>
            <w:pPr>
              <w:pStyle w:val="TableParagraph"/>
              <w:spacing w:before="67"/>
              <w:ind w:left="141"/>
              <w:rPr>
                <w:rFonts w:ascii="Arial" w:hAnsi="Arial"/>
                <w:sz w:val="24"/>
              </w:rPr>
            </w:pPr>
            <w:r>
              <w:rPr>
                <w:rFonts w:ascii="Arial" w:hAnsi="Arial"/>
                <w:sz w:val="24"/>
              </w:rPr>
              <w:t>Vaca mochilera…………………..…………………………………</w:t>
            </w:r>
          </w:p>
        </w:tc>
        <w:tc>
          <w:tcPr>
            <w:tcW w:w="475" w:type="dxa"/>
          </w:tcPr>
          <w:p>
            <w:pPr>
              <w:pStyle w:val="TableParagraph"/>
              <w:spacing w:before="67"/>
              <w:ind w:right="33"/>
              <w:jc w:val="right"/>
              <w:rPr>
                <w:rFonts w:ascii="Arial"/>
                <w:sz w:val="24"/>
              </w:rPr>
            </w:pPr>
            <w:r>
              <w:rPr>
                <w:rFonts w:ascii="Arial"/>
                <w:sz w:val="24"/>
              </w:rPr>
              <w:t>37</w:t>
            </w:r>
          </w:p>
        </w:tc>
      </w:tr>
      <w:tr>
        <w:trPr>
          <w:trHeight w:val="439" w:hRule="exact"/>
        </w:trPr>
        <w:tc>
          <w:tcPr>
            <w:tcW w:w="1310" w:type="dxa"/>
          </w:tcPr>
          <w:p>
            <w:pPr>
              <w:pStyle w:val="TableParagraph"/>
              <w:spacing w:before="67"/>
              <w:ind w:left="35"/>
              <w:rPr>
                <w:rFonts w:ascii="Arial"/>
                <w:b/>
                <w:sz w:val="24"/>
              </w:rPr>
            </w:pPr>
            <w:r>
              <w:rPr>
                <w:rFonts w:ascii="Arial"/>
                <w:b/>
                <w:sz w:val="24"/>
              </w:rPr>
              <w:t>Figura 6.</w:t>
            </w:r>
          </w:p>
        </w:tc>
        <w:tc>
          <w:tcPr>
            <w:tcW w:w="6894" w:type="dxa"/>
          </w:tcPr>
          <w:p>
            <w:pPr>
              <w:pStyle w:val="TableParagraph"/>
              <w:spacing w:before="67"/>
              <w:ind w:left="141"/>
              <w:rPr>
                <w:rFonts w:ascii="Arial" w:hAnsi="Arial"/>
                <w:sz w:val="24"/>
              </w:rPr>
            </w:pPr>
            <w:r>
              <w:rPr>
                <w:rFonts w:ascii="Arial" w:hAnsi="Arial"/>
                <w:sz w:val="24"/>
              </w:rPr>
              <w:t>Metabolismo de los carbohidratos en el rumen………………….</w:t>
            </w:r>
          </w:p>
        </w:tc>
        <w:tc>
          <w:tcPr>
            <w:tcW w:w="475" w:type="dxa"/>
          </w:tcPr>
          <w:p>
            <w:pPr>
              <w:pStyle w:val="TableParagraph"/>
              <w:spacing w:before="67"/>
              <w:ind w:right="33"/>
              <w:jc w:val="right"/>
              <w:rPr>
                <w:rFonts w:ascii="Arial"/>
                <w:sz w:val="24"/>
              </w:rPr>
            </w:pPr>
            <w:r>
              <w:rPr>
                <w:rFonts w:ascii="Arial"/>
                <w:sz w:val="24"/>
              </w:rPr>
              <w:t>38</w:t>
            </w:r>
          </w:p>
        </w:tc>
      </w:tr>
      <w:tr>
        <w:trPr>
          <w:trHeight w:val="696" w:hRule="exact"/>
        </w:trPr>
        <w:tc>
          <w:tcPr>
            <w:tcW w:w="1310" w:type="dxa"/>
          </w:tcPr>
          <w:p>
            <w:pPr>
              <w:pStyle w:val="TableParagraph"/>
              <w:spacing w:before="70"/>
              <w:ind w:left="35"/>
              <w:rPr>
                <w:rFonts w:ascii="Arial"/>
                <w:b/>
                <w:sz w:val="24"/>
              </w:rPr>
            </w:pPr>
            <w:r>
              <w:rPr>
                <w:rFonts w:ascii="Arial"/>
                <w:b/>
                <w:sz w:val="24"/>
              </w:rPr>
              <w:t>Figura 7.</w:t>
            </w:r>
          </w:p>
        </w:tc>
        <w:tc>
          <w:tcPr>
            <w:tcW w:w="6894" w:type="dxa"/>
          </w:tcPr>
          <w:p>
            <w:pPr>
              <w:pStyle w:val="TableParagraph"/>
              <w:spacing w:line="264" w:lineRule="auto" w:before="70"/>
              <w:ind w:left="141" w:right="156"/>
              <w:rPr>
                <w:rFonts w:ascii="Arial" w:hAnsi="Arial"/>
                <w:sz w:val="24"/>
              </w:rPr>
            </w:pPr>
            <w:r>
              <w:rPr>
                <w:rFonts w:ascii="Arial" w:hAnsi="Arial"/>
                <w:sz w:val="24"/>
              </w:rPr>
              <w:t>Resultado de la revisión del factor de conversión de CH</w:t>
            </w:r>
            <w:r>
              <w:rPr>
                <w:rFonts w:ascii="Arial" w:hAnsi="Arial"/>
                <w:position w:val="-2"/>
                <w:sz w:val="16"/>
              </w:rPr>
              <w:t>4 </w:t>
            </w:r>
            <w:r>
              <w:rPr>
                <w:rFonts w:ascii="Arial" w:hAnsi="Arial"/>
                <w:sz w:val="24"/>
              </w:rPr>
              <w:t>(Ym) vs. digestibilidad (%) para ganado bovino y ecuaciones de</w:t>
            </w:r>
          </w:p>
        </w:tc>
        <w:tc>
          <w:tcPr>
            <w:tcW w:w="475" w:type="dxa"/>
          </w:tcPr>
          <w:p>
            <w:pPr/>
          </w:p>
        </w:tc>
      </w:tr>
      <w:tr>
        <w:trPr>
          <w:trHeight w:val="377" w:hRule="exact"/>
        </w:trPr>
        <w:tc>
          <w:tcPr>
            <w:tcW w:w="1310" w:type="dxa"/>
          </w:tcPr>
          <w:p>
            <w:pPr/>
          </w:p>
        </w:tc>
        <w:tc>
          <w:tcPr>
            <w:tcW w:w="6894" w:type="dxa"/>
          </w:tcPr>
          <w:p>
            <w:pPr>
              <w:pStyle w:val="TableParagraph"/>
              <w:spacing w:before="7"/>
              <w:ind w:left="141"/>
              <w:rPr>
                <w:rFonts w:ascii="Arial" w:hAnsi="Arial"/>
                <w:sz w:val="24"/>
              </w:rPr>
            </w:pPr>
            <w:r>
              <w:rPr>
                <w:rFonts w:ascii="Arial" w:hAnsi="Arial"/>
                <w:sz w:val="24"/>
              </w:rPr>
              <w:t>regresión (lineal y polinómica)…………………………………….</w:t>
            </w:r>
          </w:p>
        </w:tc>
        <w:tc>
          <w:tcPr>
            <w:tcW w:w="475" w:type="dxa"/>
          </w:tcPr>
          <w:p>
            <w:pPr>
              <w:pStyle w:val="TableParagraph"/>
              <w:spacing w:before="7"/>
              <w:ind w:right="33"/>
              <w:jc w:val="right"/>
              <w:rPr>
                <w:rFonts w:ascii="Arial"/>
                <w:sz w:val="24"/>
              </w:rPr>
            </w:pPr>
            <w:r>
              <w:rPr>
                <w:rFonts w:ascii="Arial"/>
                <w:sz w:val="24"/>
              </w:rPr>
              <w:t>49</w:t>
            </w:r>
          </w:p>
        </w:tc>
      </w:tr>
      <w:tr>
        <w:trPr>
          <w:trHeight w:val="377" w:hRule="exact"/>
        </w:trPr>
        <w:tc>
          <w:tcPr>
            <w:tcW w:w="1310" w:type="dxa"/>
          </w:tcPr>
          <w:p>
            <w:pPr>
              <w:pStyle w:val="TableParagraph"/>
              <w:spacing w:before="67"/>
              <w:ind w:left="35"/>
              <w:rPr>
                <w:rFonts w:ascii="Arial"/>
                <w:b/>
                <w:sz w:val="24"/>
              </w:rPr>
            </w:pPr>
            <w:r>
              <w:rPr>
                <w:rFonts w:ascii="Arial"/>
                <w:b/>
                <w:sz w:val="24"/>
              </w:rPr>
              <w:t>Figura 8.</w:t>
            </w:r>
          </w:p>
        </w:tc>
        <w:tc>
          <w:tcPr>
            <w:tcW w:w="6894" w:type="dxa"/>
          </w:tcPr>
          <w:p>
            <w:pPr>
              <w:pStyle w:val="TableParagraph"/>
              <w:spacing w:before="67"/>
              <w:ind w:left="141"/>
              <w:rPr>
                <w:rFonts w:ascii="Arial" w:hAnsi="Arial"/>
                <w:sz w:val="24"/>
              </w:rPr>
            </w:pPr>
            <w:r>
              <w:rPr>
                <w:rFonts w:ascii="Arial" w:hAnsi="Arial"/>
                <w:sz w:val="24"/>
              </w:rPr>
              <w:t>Relación entre el consumo de MS alimentaria y la</w:t>
            </w:r>
            <w:r>
              <w:rPr>
                <w:rFonts w:ascii="Arial" w:hAnsi="Arial"/>
                <w:spacing w:val="53"/>
                <w:sz w:val="24"/>
              </w:rPr>
              <w:t> </w:t>
            </w:r>
            <w:r>
              <w:rPr>
                <w:rFonts w:ascii="Arial" w:hAnsi="Arial"/>
                <w:sz w:val="24"/>
              </w:rPr>
              <w:t>producción</w:t>
            </w:r>
          </w:p>
        </w:tc>
        <w:tc>
          <w:tcPr>
            <w:tcW w:w="475" w:type="dxa"/>
          </w:tcPr>
          <w:p>
            <w:pPr/>
          </w:p>
        </w:tc>
      </w:tr>
      <w:tr>
        <w:trPr>
          <w:trHeight w:val="383" w:hRule="exact"/>
        </w:trPr>
        <w:tc>
          <w:tcPr>
            <w:tcW w:w="1310" w:type="dxa"/>
          </w:tcPr>
          <w:p>
            <w:pPr/>
          </w:p>
        </w:tc>
        <w:tc>
          <w:tcPr>
            <w:tcW w:w="6894" w:type="dxa"/>
          </w:tcPr>
          <w:p>
            <w:pPr>
              <w:pStyle w:val="TableParagraph"/>
              <w:spacing w:before="7"/>
              <w:ind w:left="141"/>
              <w:rPr>
                <w:rFonts w:ascii="Arial" w:hAnsi="Arial"/>
                <w:sz w:val="24"/>
              </w:rPr>
            </w:pPr>
            <w:r>
              <w:rPr>
                <w:rFonts w:ascii="Arial" w:hAnsi="Arial"/>
                <w:sz w:val="24"/>
              </w:rPr>
              <w:t>de CH</w:t>
            </w:r>
            <w:r>
              <w:rPr>
                <w:rFonts w:ascii="Arial" w:hAnsi="Arial"/>
                <w:position w:val="-2"/>
                <w:sz w:val="16"/>
              </w:rPr>
              <w:t>4 </w:t>
            </w:r>
            <w:r>
              <w:rPr>
                <w:rFonts w:ascii="Arial" w:hAnsi="Arial"/>
                <w:sz w:val="24"/>
              </w:rPr>
              <w:t>entérico…………………………………………………….</w:t>
            </w:r>
          </w:p>
        </w:tc>
        <w:tc>
          <w:tcPr>
            <w:tcW w:w="475" w:type="dxa"/>
          </w:tcPr>
          <w:p>
            <w:pPr>
              <w:pStyle w:val="TableParagraph"/>
              <w:spacing w:before="7"/>
              <w:ind w:right="33"/>
              <w:jc w:val="right"/>
              <w:rPr>
                <w:rFonts w:ascii="Arial"/>
                <w:sz w:val="24"/>
              </w:rPr>
            </w:pPr>
            <w:r>
              <w:rPr>
                <w:rFonts w:ascii="Arial"/>
                <w:sz w:val="24"/>
              </w:rPr>
              <w:t>55</w:t>
            </w:r>
          </w:p>
        </w:tc>
      </w:tr>
      <w:tr>
        <w:trPr>
          <w:trHeight w:val="370" w:hRule="exact"/>
        </w:trPr>
        <w:tc>
          <w:tcPr>
            <w:tcW w:w="1310" w:type="dxa"/>
          </w:tcPr>
          <w:p>
            <w:pPr>
              <w:pStyle w:val="TableParagraph"/>
              <w:spacing w:before="61"/>
              <w:ind w:left="35"/>
              <w:rPr>
                <w:rFonts w:ascii="Arial"/>
                <w:b/>
                <w:sz w:val="24"/>
              </w:rPr>
            </w:pPr>
            <w:r>
              <w:rPr>
                <w:rFonts w:ascii="Arial"/>
                <w:b/>
                <w:sz w:val="24"/>
              </w:rPr>
              <w:t>Figura 9.</w:t>
            </w:r>
          </w:p>
        </w:tc>
        <w:tc>
          <w:tcPr>
            <w:tcW w:w="6894" w:type="dxa"/>
          </w:tcPr>
          <w:p>
            <w:pPr>
              <w:pStyle w:val="TableParagraph"/>
              <w:spacing w:before="61"/>
              <w:ind w:left="141"/>
              <w:rPr>
                <w:rFonts w:ascii="Arial" w:hAnsi="Arial"/>
                <w:sz w:val="24"/>
              </w:rPr>
            </w:pPr>
            <w:r>
              <w:rPr>
                <w:rFonts w:ascii="Arial" w:hAnsi="Arial"/>
                <w:sz w:val="24"/>
              </w:rPr>
              <w:t>Efecto  del  consumo  de  alimento  y  de  la  proporción    </w:t>
            </w:r>
            <w:r>
              <w:rPr>
                <w:rFonts w:ascii="Arial" w:hAnsi="Arial"/>
                <w:spacing w:val="51"/>
                <w:sz w:val="24"/>
              </w:rPr>
              <w:t> </w:t>
            </w:r>
            <w:r>
              <w:rPr>
                <w:rFonts w:ascii="Arial" w:hAnsi="Arial"/>
                <w:sz w:val="24"/>
              </w:rPr>
              <w:t>de</w:t>
            </w:r>
          </w:p>
        </w:tc>
        <w:tc>
          <w:tcPr>
            <w:tcW w:w="475" w:type="dxa"/>
          </w:tcPr>
          <w:p>
            <w:pPr/>
          </w:p>
        </w:tc>
      </w:tr>
      <w:tr>
        <w:trPr>
          <w:trHeight w:val="696" w:hRule="exact"/>
        </w:trPr>
        <w:tc>
          <w:tcPr>
            <w:tcW w:w="1310" w:type="dxa"/>
          </w:tcPr>
          <w:p>
            <w:pPr/>
          </w:p>
        </w:tc>
        <w:tc>
          <w:tcPr>
            <w:tcW w:w="6894" w:type="dxa"/>
          </w:tcPr>
          <w:p>
            <w:pPr>
              <w:pStyle w:val="TableParagraph"/>
              <w:spacing w:line="264" w:lineRule="auto" w:before="7"/>
              <w:ind w:left="141"/>
              <w:rPr>
                <w:rFonts w:ascii="Arial" w:hAnsi="Arial"/>
                <w:sz w:val="24"/>
              </w:rPr>
            </w:pPr>
            <w:r>
              <w:rPr>
                <w:rFonts w:ascii="Arial" w:hAnsi="Arial"/>
                <w:sz w:val="24"/>
              </w:rPr>
              <w:t>concentrado en la dieta en la tasa de Ym (Energía CH</w:t>
            </w:r>
            <w:r>
              <w:rPr>
                <w:rFonts w:ascii="Arial" w:hAnsi="Arial"/>
                <w:position w:val="-2"/>
                <w:sz w:val="16"/>
              </w:rPr>
              <w:t>4 </w:t>
            </w:r>
            <w:r>
              <w:rPr>
                <w:rFonts w:ascii="Arial" w:hAnsi="Arial"/>
                <w:sz w:val="24"/>
              </w:rPr>
              <w:t>% de ingestión EB)……………………………………………………….</w:t>
            </w:r>
          </w:p>
        </w:tc>
        <w:tc>
          <w:tcPr>
            <w:tcW w:w="475" w:type="dxa"/>
          </w:tcPr>
          <w:p>
            <w:pPr>
              <w:pStyle w:val="TableParagraph"/>
              <w:spacing w:before="2"/>
              <w:rPr>
                <w:rFonts w:ascii="Times New Roman"/>
                <w:sz w:val="28"/>
              </w:rPr>
            </w:pPr>
          </w:p>
          <w:p>
            <w:pPr>
              <w:pStyle w:val="TableParagraph"/>
              <w:ind w:right="33"/>
              <w:jc w:val="right"/>
              <w:rPr>
                <w:rFonts w:ascii="Arial"/>
                <w:sz w:val="24"/>
              </w:rPr>
            </w:pPr>
            <w:r>
              <w:rPr>
                <w:rFonts w:ascii="Arial"/>
                <w:sz w:val="24"/>
              </w:rPr>
              <w:t>58</w:t>
            </w:r>
          </w:p>
        </w:tc>
      </w:tr>
      <w:tr>
        <w:trPr>
          <w:trHeight w:val="379" w:hRule="exact"/>
        </w:trPr>
        <w:tc>
          <w:tcPr>
            <w:tcW w:w="1310" w:type="dxa"/>
          </w:tcPr>
          <w:p>
            <w:pPr>
              <w:pStyle w:val="TableParagraph"/>
              <w:spacing w:before="70"/>
              <w:ind w:left="35"/>
              <w:rPr>
                <w:rFonts w:ascii="Arial"/>
                <w:b/>
                <w:sz w:val="24"/>
              </w:rPr>
            </w:pPr>
            <w:r>
              <w:rPr>
                <w:rFonts w:ascii="Arial"/>
                <w:b/>
                <w:sz w:val="24"/>
              </w:rPr>
              <w:t>Figura 10.</w:t>
            </w:r>
          </w:p>
        </w:tc>
        <w:tc>
          <w:tcPr>
            <w:tcW w:w="6894" w:type="dxa"/>
          </w:tcPr>
          <w:p>
            <w:pPr>
              <w:pStyle w:val="TableParagraph"/>
              <w:spacing w:before="70"/>
              <w:ind w:left="141"/>
              <w:rPr>
                <w:rFonts w:ascii="Arial" w:hAnsi="Arial"/>
                <w:sz w:val="24"/>
              </w:rPr>
            </w:pPr>
            <w:r>
              <w:rPr>
                <w:rFonts w:ascii="Arial" w:hAnsi="Arial"/>
                <w:sz w:val="24"/>
              </w:rPr>
              <w:t>Estimaciones en la reducción del potencial de metano entérico</w:t>
            </w:r>
          </w:p>
        </w:tc>
        <w:tc>
          <w:tcPr>
            <w:tcW w:w="475" w:type="dxa"/>
          </w:tcPr>
          <w:p>
            <w:pPr/>
          </w:p>
        </w:tc>
      </w:tr>
      <w:tr>
        <w:trPr>
          <w:trHeight w:val="317" w:hRule="exact"/>
        </w:trPr>
        <w:tc>
          <w:tcPr>
            <w:tcW w:w="1310" w:type="dxa"/>
          </w:tcPr>
          <w:p>
            <w:pPr/>
          </w:p>
        </w:tc>
        <w:tc>
          <w:tcPr>
            <w:tcW w:w="6894" w:type="dxa"/>
          </w:tcPr>
          <w:p>
            <w:pPr>
              <w:pStyle w:val="TableParagraph"/>
              <w:spacing w:before="7"/>
              <w:ind w:left="141"/>
              <w:rPr>
                <w:rFonts w:ascii="Arial" w:hAnsi="Arial"/>
                <w:sz w:val="24"/>
              </w:rPr>
            </w:pPr>
            <w:r>
              <w:rPr>
                <w:rFonts w:ascii="Arial" w:hAnsi="Arial"/>
                <w:sz w:val="24"/>
              </w:rPr>
              <w:t>y del óxido nitroso con la adopción de estrategias de reducción</w:t>
            </w:r>
          </w:p>
        </w:tc>
        <w:tc>
          <w:tcPr>
            <w:tcW w:w="475" w:type="dxa"/>
          </w:tcPr>
          <w:p>
            <w:pPr/>
          </w:p>
        </w:tc>
      </w:tr>
      <w:tr>
        <w:trPr>
          <w:trHeight w:val="377" w:hRule="exact"/>
        </w:trPr>
        <w:tc>
          <w:tcPr>
            <w:tcW w:w="1310" w:type="dxa"/>
          </w:tcPr>
          <w:p>
            <w:pPr/>
          </w:p>
        </w:tc>
        <w:tc>
          <w:tcPr>
            <w:tcW w:w="6894" w:type="dxa"/>
          </w:tcPr>
          <w:p>
            <w:pPr>
              <w:pStyle w:val="TableParagraph"/>
              <w:spacing w:before="7"/>
              <w:ind w:left="141"/>
              <w:rPr>
                <w:rFonts w:ascii="Arial" w:hAnsi="Arial"/>
                <w:sz w:val="24"/>
              </w:rPr>
            </w:pPr>
            <w:r>
              <w:rPr>
                <w:rFonts w:ascii="Arial" w:hAnsi="Arial"/>
                <w:sz w:val="24"/>
              </w:rPr>
              <w:t>de las emisiones de GEI…………………………………………...</w:t>
            </w:r>
          </w:p>
        </w:tc>
        <w:tc>
          <w:tcPr>
            <w:tcW w:w="475" w:type="dxa"/>
          </w:tcPr>
          <w:p>
            <w:pPr>
              <w:pStyle w:val="TableParagraph"/>
              <w:spacing w:before="7"/>
              <w:ind w:right="33"/>
              <w:jc w:val="right"/>
              <w:rPr>
                <w:rFonts w:ascii="Arial"/>
                <w:sz w:val="24"/>
              </w:rPr>
            </w:pPr>
            <w:r>
              <w:rPr>
                <w:rFonts w:ascii="Arial"/>
                <w:sz w:val="24"/>
              </w:rPr>
              <w:t>60</w:t>
            </w:r>
          </w:p>
        </w:tc>
      </w:tr>
      <w:tr>
        <w:trPr>
          <w:trHeight w:val="377" w:hRule="exact"/>
        </w:trPr>
        <w:tc>
          <w:tcPr>
            <w:tcW w:w="1310" w:type="dxa"/>
          </w:tcPr>
          <w:p>
            <w:pPr>
              <w:pStyle w:val="TableParagraph"/>
              <w:spacing w:before="67"/>
              <w:ind w:left="35"/>
              <w:rPr>
                <w:rFonts w:ascii="Arial"/>
                <w:b/>
                <w:sz w:val="24"/>
              </w:rPr>
            </w:pPr>
            <w:r>
              <w:rPr>
                <w:rFonts w:ascii="Arial"/>
                <w:b/>
                <w:sz w:val="24"/>
              </w:rPr>
              <w:t>Figura 11.</w:t>
            </w:r>
          </w:p>
        </w:tc>
        <w:tc>
          <w:tcPr>
            <w:tcW w:w="6894" w:type="dxa"/>
          </w:tcPr>
          <w:p>
            <w:pPr>
              <w:pStyle w:val="TableParagraph"/>
              <w:spacing w:before="67"/>
              <w:ind w:left="141"/>
              <w:rPr>
                <w:rFonts w:ascii="Arial" w:hAnsi="Arial"/>
                <w:sz w:val="24"/>
              </w:rPr>
            </w:pPr>
            <w:r>
              <w:rPr>
                <w:rFonts w:ascii="Arial" w:hAnsi="Arial"/>
                <w:sz w:val="24"/>
              </w:rPr>
              <w:t>Posibles  opciones  para  la  reducción  de  metano    entérico</w:t>
            </w:r>
          </w:p>
        </w:tc>
        <w:tc>
          <w:tcPr>
            <w:tcW w:w="475" w:type="dxa"/>
          </w:tcPr>
          <w:p>
            <w:pPr/>
          </w:p>
        </w:tc>
      </w:tr>
      <w:tr>
        <w:trPr>
          <w:trHeight w:val="377" w:hRule="exact"/>
        </w:trPr>
        <w:tc>
          <w:tcPr>
            <w:tcW w:w="1310" w:type="dxa"/>
          </w:tcPr>
          <w:p>
            <w:pPr/>
          </w:p>
        </w:tc>
        <w:tc>
          <w:tcPr>
            <w:tcW w:w="6894" w:type="dxa"/>
          </w:tcPr>
          <w:p>
            <w:pPr>
              <w:pStyle w:val="TableParagraph"/>
              <w:spacing w:before="7"/>
              <w:ind w:left="141"/>
              <w:rPr>
                <w:rFonts w:ascii="Arial" w:hAnsi="Arial"/>
                <w:sz w:val="24"/>
              </w:rPr>
            </w:pPr>
            <w:r>
              <w:rPr>
                <w:rFonts w:ascii="Arial" w:hAnsi="Arial"/>
                <w:sz w:val="24"/>
              </w:rPr>
              <w:t>producido por los rumiantes……………………………………….</w:t>
            </w:r>
          </w:p>
        </w:tc>
        <w:tc>
          <w:tcPr>
            <w:tcW w:w="475" w:type="dxa"/>
          </w:tcPr>
          <w:p>
            <w:pPr>
              <w:pStyle w:val="TableParagraph"/>
              <w:spacing w:before="7"/>
              <w:ind w:right="33"/>
              <w:jc w:val="right"/>
              <w:rPr>
                <w:rFonts w:ascii="Arial"/>
                <w:sz w:val="24"/>
              </w:rPr>
            </w:pPr>
            <w:r>
              <w:rPr>
                <w:rFonts w:ascii="Arial"/>
                <w:sz w:val="24"/>
              </w:rPr>
              <w:t>61</w:t>
            </w:r>
          </w:p>
        </w:tc>
      </w:tr>
      <w:tr>
        <w:trPr>
          <w:trHeight w:val="437" w:hRule="exact"/>
        </w:trPr>
        <w:tc>
          <w:tcPr>
            <w:tcW w:w="1310" w:type="dxa"/>
          </w:tcPr>
          <w:p>
            <w:pPr>
              <w:pStyle w:val="TableParagraph"/>
              <w:spacing w:before="67"/>
              <w:ind w:left="35"/>
              <w:rPr>
                <w:rFonts w:ascii="Arial"/>
                <w:b/>
                <w:sz w:val="24"/>
              </w:rPr>
            </w:pPr>
            <w:r>
              <w:rPr>
                <w:rFonts w:ascii="Arial"/>
                <w:b/>
                <w:sz w:val="24"/>
              </w:rPr>
              <w:t>Figura 12.</w:t>
            </w:r>
          </w:p>
        </w:tc>
        <w:tc>
          <w:tcPr>
            <w:tcW w:w="6894" w:type="dxa"/>
          </w:tcPr>
          <w:p>
            <w:pPr>
              <w:pStyle w:val="TableParagraph"/>
              <w:spacing w:before="67"/>
              <w:ind w:left="141"/>
              <w:rPr>
                <w:rFonts w:ascii="Arial" w:hAnsi="Arial"/>
                <w:sz w:val="24"/>
              </w:rPr>
            </w:pPr>
            <w:r>
              <w:rPr>
                <w:rFonts w:ascii="Arial" w:hAnsi="Arial"/>
                <w:sz w:val="24"/>
              </w:rPr>
              <w:t>Diagrama de procedimiento de las etapas de la investigación...</w:t>
            </w:r>
          </w:p>
        </w:tc>
        <w:tc>
          <w:tcPr>
            <w:tcW w:w="475" w:type="dxa"/>
          </w:tcPr>
          <w:p>
            <w:pPr>
              <w:pStyle w:val="TableParagraph"/>
              <w:spacing w:before="67"/>
              <w:ind w:right="33"/>
              <w:jc w:val="right"/>
              <w:rPr>
                <w:rFonts w:ascii="Arial"/>
                <w:sz w:val="24"/>
              </w:rPr>
            </w:pPr>
            <w:r>
              <w:rPr>
                <w:rFonts w:ascii="Arial"/>
                <w:sz w:val="24"/>
              </w:rPr>
              <w:t>66</w:t>
            </w:r>
          </w:p>
        </w:tc>
      </w:tr>
      <w:tr>
        <w:trPr>
          <w:trHeight w:val="437" w:hRule="exact"/>
        </w:trPr>
        <w:tc>
          <w:tcPr>
            <w:tcW w:w="1310" w:type="dxa"/>
          </w:tcPr>
          <w:p>
            <w:pPr>
              <w:pStyle w:val="TableParagraph"/>
              <w:spacing w:before="67"/>
              <w:ind w:left="35"/>
              <w:rPr>
                <w:rFonts w:ascii="Arial"/>
                <w:b/>
                <w:sz w:val="24"/>
              </w:rPr>
            </w:pPr>
            <w:r>
              <w:rPr>
                <w:rFonts w:ascii="Arial"/>
                <w:b/>
                <w:sz w:val="24"/>
              </w:rPr>
              <w:t>Figura 13.</w:t>
            </w:r>
          </w:p>
        </w:tc>
        <w:tc>
          <w:tcPr>
            <w:tcW w:w="6894" w:type="dxa"/>
          </w:tcPr>
          <w:p>
            <w:pPr>
              <w:pStyle w:val="TableParagraph"/>
              <w:spacing w:before="67"/>
              <w:ind w:left="141"/>
              <w:rPr>
                <w:rFonts w:ascii="Arial" w:hAnsi="Arial"/>
                <w:sz w:val="24"/>
              </w:rPr>
            </w:pPr>
            <w:r>
              <w:rPr>
                <w:rFonts w:ascii="Arial" w:hAnsi="Arial"/>
                <w:sz w:val="24"/>
              </w:rPr>
              <w:t>Localización Geográfica del Estado de México…………………</w:t>
            </w:r>
          </w:p>
        </w:tc>
        <w:tc>
          <w:tcPr>
            <w:tcW w:w="475" w:type="dxa"/>
          </w:tcPr>
          <w:p>
            <w:pPr>
              <w:pStyle w:val="TableParagraph"/>
              <w:spacing w:before="67"/>
              <w:ind w:right="33"/>
              <w:jc w:val="right"/>
              <w:rPr>
                <w:rFonts w:ascii="Arial"/>
                <w:sz w:val="24"/>
              </w:rPr>
            </w:pPr>
            <w:r>
              <w:rPr>
                <w:rFonts w:ascii="Arial"/>
                <w:sz w:val="24"/>
              </w:rPr>
              <w:t>67</w:t>
            </w:r>
          </w:p>
        </w:tc>
      </w:tr>
      <w:tr>
        <w:trPr>
          <w:trHeight w:val="379" w:hRule="exact"/>
        </w:trPr>
        <w:tc>
          <w:tcPr>
            <w:tcW w:w="1310" w:type="dxa"/>
          </w:tcPr>
          <w:p>
            <w:pPr>
              <w:pStyle w:val="TableParagraph"/>
              <w:spacing w:before="67"/>
              <w:ind w:left="35"/>
              <w:rPr>
                <w:rFonts w:ascii="Arial"/>
                <w:b/>
                <w:sz w:val="24"/>
              </w:rPr>
            </w:pPr>
            <w:r>
              <w:rPr>
                <w:rFonts w:ascii="Arial"/>
                <w:b/>
                <w:sz w:val="24"/>
              </w:rPr>
              <w:t>Figura 14.</w:t>
            </w:r>
          </w:p>
        </w:tc>
        <w:tc>
          <w:tcPr>
            <w:tcW w:w="6894" w:type="dxa"/>
          </w:tcPr>
          <w:p>
            <w:pPr>
              <w:pStyle w:val="TableParagraph"/>
              <w:spacing w:before="67"/>
              <w:ind w:left="141"/>
              <w:rPr>
                <w:rFonts w:ascii="Arial" w:hAnsi="Arial"/>
                <w:sz w:val="24"/>
              </w:rPr>
            </w:pPr>
            <w:r>
              <w:rPr>
                <w:rFonts w:ascii="Arial" w:hAnsi="Arial"/>
                <w:sz w:val="24"/>
              </w:rPr>
              <w:t>Área de estudio. Localización geográfica de los Municipios de</w:t>
            </w:r>
          </w:p>
        </w:tc>
        <w:tc>
          <w:tcPr>
            <w:tcW w:w="475" w:type="dxa"/>
          </w:tcPr>
          <w:p>
            <w:pPr/>
          </w:p>
        </w:tc>
      </w:tr>
      <w:tr>
        <w:trPr>
          <w:trHeight w:val="379" w:hRule="exact"/>
        </w:trPr>
        <w:tc>
          <w:tcPr>
            <w:tcW w:w="1310" w:type="dxa"/>
          </w:tcPr>
          <w:p>
            <w:pPr/>
          </w:p>
        </w:tc>
        <w:tc>
          <w:tcPr>
            <w:tcW w:w="6894" w:type="dxa"/>
          </w:tcPr>
          <w:p>
            <w:pPr>
              <w:pStyle w:val="TableParagraph"/>
              <w:spacing w:before="10"/>
              <w:ind w:left="141"/>
              <w:rPr>
                <w:rFonts w:ascii="Arial" w:hAnsi="Arial"/>
                <w:sz w:val="24"/>
              </w:rPr>
            </w:pPr>
            <w:r>
              <w:rPr>
                <w:rFonts w:ascii="Arial" w:hAnsi="Arial"/>
                <w:sz w:val="24"/>
              </w:rPr>
              <w:t>Amecameca y Ayapango, Estado de México.</w:t>
            </w:r>
          </w:p>
        </w:tc>
        <w:tc>
          <w:tcPr>
            <w:tcW w:w="475" w:type="dxa"/>
          </w:tcPr>
          <w:p>
            <w:pPr>
              <w:pStyle w:val="TableParagraph"/>
              <w:spacing w:before="10"/>
              <w:ind w:right="33"/>
              <w:jc w:val="right"/>
              <w:rPr>
                <w:rFonts w:ascii="Arial"/>
                <w:sz w:val="24"/>
              </w:rPr>
            </w:pPr>
            <w:r>
              <w:rPr>
                <w:rFonts w:ascii="Arial"/>
                <w:sz w:val="24"/>
              </w:rPr>
              <w:t>67</w:t>
            </w:r>
          </w:p>
        </w:tc>
      </w:tr>
      <w:tr>
        <w:trPr>
          <w:trHeight w:val="377" w:hRule="exact"/>
        </w:trPr>
        <w:tc>
          <w:tcPr>
            <w:tcW w:w="1310" w:type="dxa"/>
          </w:tcPr>
          <w:p>
            <w:pPr>
              <w:pStyle w:val="TableParagraph"/>
              <w:spacing w:before="67"/>
              <w:ind w:left="35"/>
              <w:rPr>
                <w:rFonts w:ascii="Arial"/>
                <w:b/>
                <w:sz w:val="24"/>
              </w:rPr>
            </w:pPr>
            <w:r>
              <w:rPr>
                <w:rFonts w:ascii="Arial"/>
                <w:b/>
                <w:sz w:val="24"/>
              </w:rPr>
              <w:t>Figura 15.</w:t>
            </w:r>
          </w:p>
        </w:tc>
        <w:tc>
          <w:tcPr>
            <w:tcW w:w="6894" w:type="dxa"/>
          </w:tcPr>
          <w:p>
            <w:pPr>
              <w:pStyle w:val="TableParagraph"/>
              <w:spacing w:before="67"/>
              <w:ind w:left="141"/>
              <w:rPr>
                <w:rFonts w:ascii="Arial" w:hAnsi="Arial"/>
                <w:sz w:val="24"/>
              </w:rPr>
            </w:pPr>
            <w:r>
              <w:rPr>
                <w:rFonts w:ascii="Arial" w:hAnsi="Arial"/>
                <w:sz w:val="24"/>
              </w:rPr>
              <w:t>Localización  Geográfica  de  las  Unidades  de     Producción</w:t>
            </w:r>
          </w:p>
        </w:tc>
        <w:tc>
          <w:tcPr>
            <w:tcW w:w="475" w:type="dxa"/>
          </w:tcPr>
          <w:p>
            <w:pPr/>
          </w:p>
        </w:tc>
      </w:tr>
      <w:tr>
        <w:trPr>
          <w:trHeight w:val="317" w:hRule="exact"/>
        </w:trPr>
        <w:tc>
          <w:tcPr>
            <w:tcW w:w="1310" w:type="dxa"/>
          </w:tcPr>
          <w:p>
            <w:pPr/>
          </w:p>
        </w:tc>
        <w:tc>
          <w:tcPr>
            <w:tcW w:w="6894" w:type="dxa"/>
          </w:tcPr>
          <w:p>
            <w:pPr>
              <w:pStyle w:val="TableParagraph"/>
              <w:spacing w:before="7"/>
              <w:ind w:left="141"/>
              <w:rPr>
                <w:rFonts w:ascii="Arial" w:hAnsi="Arial"/>
                <w:sz w:val="24"/>
              </w:rPr>
            </w:pPr>
            <w:r>
              <w:rPr>
                <w:rFonts w:ascii="Arial" w:hAnsi="Arial"/>
                <w:sz w:val="24"/>
              </w:rPr>
              <w:t>lechera en pequeña escala en los Municipios de Amecameca</w:t>
            </w:r>
          </w:p>
        </w:tc>
        <w:tc>
          <w:tcPr>
            <w:tcW w:w="475" w:type="dxa"/>
          </w:tcPr>
          <w:p>
            <w:pPr/>
          </w:p>
        </w:tc>
      </w:tr>
      <w:tr>
        <w:trPr>
          <w:trHeight w:val="378" w:hRule="exact"/>
        </w:trPr>
        <w:tc>
          <w:tcPr>
            <w:tcW w:w="1310" w:type="dxa"/>
          </w:tcPr>
          <w:p>
            <w:pPr/>
          </w:p>
        </w:tc>
        <w:tc>
          <w:tcPr>
            <w:tcW w:w="6894" w:type="dxa"/>
          </w:tcPr>
          <w:p>
            <w:pPr>
              <w:pStyle w:val="TableParagraph"/>
              <w:spacing w:before="7"/>
              <w:ind w:left="141"/>
              <w:rPr>
                <w:rFonts w:ascii="Arial" w:hAnsi="Arial"/>
                <w:sz w:val="24"/>
              </w:rPr>
            </w:pPr>
            <w:r>
              <w:rPr>
                <w:rFonts w:ascii="Arial" w:hAnsi="Arial"/>
                <w:sz w:val="24"/>
              </w:rPr>
              <w:t>y Ayapango, Estado de México…………………………………...</w:t>
            </w:r>
          </w:p>
        </w:tc>
        <w:tc>
          <w:tcPr>
            <w:tcW w:w="475" w:type="dxa"/>
          </w:tcPr>
          <w:p>
            <w:pPr>
              <w:pStyle w:val="TableParagraph"/>
              <w:spacing w:before="7"/>
              <w:ind w:right="33"/>
              <w:jc w:val="right"/>
              <w:rPr>
                <w:rFonts w:ascii="Arial"/>
                <w:sz w:val="24"/>
              </w:rPr>
            </w:pPr>
            <w:r>
              <w:rPr>
                <w:rFonts w:ascii="Arial"/>
                <w:sz w:val="24"/>
              </w:rPr>
              <w:t>69</w:t>
            </w:r>
          </w:p>
        </w:tc>
      </w:tr>
    </w:tbl>
    <w:p>
      <w:pPr>
        <w:spacing w:after="0"/>
        <w:jc w:val="right"/>
        <w:rPr>
          <w:rFonts w:ascii="Arial"/>
          <w:sz w:val="24"/>
        </w:rPr>
        <w:sectPr>
          <w:headerReference w:type="default" r:id="rId11"/>
          <w:pgSz w:w="12240" w:h="15840"/>
          <w:pgMar w:header="1488" w:footer="739" w:top="1960" w:bottom="920" w:left="1720" w:right="1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2"/>
        </w:rPr>
      </w:pPr>
    </w:p>
    <w:tbl>
      <w:tblPr>
        <w:tblW w:w="0" w:type="auto"/>
        <w:jc w:val="left"/>
        <w:tblInd w:w="3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6916"/>
        <w:gridCol w:w="476"/>
      </w:tblGrid>
      <w:tr>
        <w:trPr>
          <w:trHeight w:val="498" w:hRule="exact"/>
        </w:trPr>
        <w:tc>
          <w:tcPr>
            <w:tcW w:w="1296" w:type="dxa"/>
          </w:tcPr>
          <w:p>
            <w:pPr>
              <w:pStyle w:val="TableParagraph"/>
              <w:spacing w:before="69"/>
              <w:ind w:left="35"/>
              <w:rPr>
                <w:rFonts w:ascii="Arial"/>
                <w:b/>
                <w:sz w:val="24"/>
              </w:rPr>
            </w:pPr>
            <w:r>
              <w:rPr>
                <w:rFonts w:ascii="Arial"/>
                <w:b/>
                <w:sz w:val="24"/>
              </w:rPr>
              <w:t>Cuadro 1.</w:t>
            </w:r>
          </w:p>
        </w:tc>
        <w:tc>
          <w:tcPr>
            <w:tcW w:w="6916" w:type="dxa"/>
          </w:tcPr>
          <w:p>
            <w:pPr>
              <w:pStyle w:val="TableParagraph"/>
              <w:spacing w:before="69"/>
              <w:ind w:left="87" w:right="104"/>
              <w:jc w:val="center"/>
              <w:rPr>
                <w:rFonts w:ascii="Arial" w:hAnsi="Arial"/>
                <w:sz w:val="24"/>
              </w:rPr>
            </w:pPr>
            <w:r>
              <w:rPr>
                <w:rFonts w:ascii="Arial" w:hAnsi="Arial"/>
                <w:sz w:val="24"/>
              </w:rPr>
              <w:t>Poder de Calentamiento Global (PCG) de los GEI……………..</w:t>
            </w:r>
          </w:p>
        </w:tc>
        <w:tc>
          <w:tcPr>
            <w:tcW w:w="476" w:type="dxa"/>
          </w:tcPr>
          <w:p>
            <w:pPr>
              <w:pStyle w:val="TableParagraph"/>
              <w:spacing w:before="69"/>
              <w:ind w:right="33"/>
              <w:jc w:val="right"/>
              <w:rPr>
                <w:rFonts w:ascii="Arial"/>
                <w:sz w:val="24"/>
              </w:rPr>
            </w:pPr>
            <w:r>
              <w:rPr>
                <w:rFonts w:ascii="Arial"/>
                <w:sz w:val="24"/>
              </w:rPr>
              <w:t>32</w:t>
            </w:r>
          </w:p>
        </w:tc>
      </w:tr>
      <w:tr>
        <w:trPr>
          <w:trHeight w:val="563" w:hRule="exact"/>
        </w:trPr>
        <w:tc>
          <w:tcPr>
            <w:tcW w:w="1296" w:type="dxa"/>
          </w:tcPr>
          <w:p>
            <w:pPr>
              <w:pStyle w:val="TableParagraph"/>
              <w:spacing w:before="127"/>
              <w:ind w:left="35"/>
              <w:rPr>
                <w:rFonts w:ascii="Arial"/>
                <w:b/>
                <w:sz w:val="24"/>
              </w:rPr>
            </w:pPr>
            <w:r>
              <w:rPr>
                <w:rFonts w:ascii="Arial"/>
                <w:b/>
                <w:sz w:val="24"/>
              </w:rPr>
              <w:t>Cuadro 2.</w:t>
            </w:r>
          </w:p>
        </w:tc>
        <w:tc>
          <w:tcPr>
            <w:tcW w:w="6916" w:type="dxa"/>
          </w:tcPr>
          <w:p>
            <w:pPr>
              <w:pStyle w:val="TableParagraph"/>
              <w:spacing w:before="127"/>
              <w:ind w:left="87" w:right="104"/>
              <w:jc w:val="center"/>
              <w:rPr>
                <w:rFonts w:ascii="Arial" w:hAnsi="Arial"/>
                <w:sz w:val="24"/>
              </w:rPr>
            </w:pPr>
            <w:r>
              <w:rPr>
                <w:rFonts w:ascii="Arial" w:hAnsi="Arial"/>
                <w:sz w:val="24"/>
              </w:rPr>
              <w:t>Factores de Conversión de CH</w:t>
            </w:r>
            <w:r>
              <w:rPr>
                <w:rFonts w:ascii="Arial" w:hAnsi="Arial"/>
                <w:position w:val="-2"/>
                <w:sz w:val="16"/>
              </w:rPr>
              <w:t>4 </w:t>
            </w:r>
            <w:r>
              <w:rPr>
                <w:rFonts w:ascii="Arial" w:hAnsi="Arial"/>
                <w:sz w:val="24"/>
              </w:rPr>
              <w:t>para vacunos y búfalos (Ym)...</w:t>
            </w:r>
          </w:p>
        </w:tc>
        <w:tc>
          <w:tcPr>
            <w:tcW w:w="476" w:type="dxa"/>
          </w:tcPr>
          <w:p>
            <w:pPr>
              <w:pStyle w:val="TableParagraph"/>
              <w:spacing w:before="127"/>
              <w:ind w:right="33"/>
              <w:jc w:val="right"/>
              <w:rPr>
                <w:rFonts w:ascii="Arial"/>
                <w:sz w:val="24"/>
              </w:rPr>
            </w:pPr>
            <w:r>
              <w:rPr>
                <w:rFonts w:ascii="Arial"/>
                <w:sz w:val="24"/>
              </w:rPr>
              <w:t>45</w:t>
            </w:r>
          </w:p>
        </w:tc>
      </w:tr>
      <w:tr>
        <w:trPr>
          <w:trHeight w:val="492" w:hRule="exact"/>
        </w:trPr>
        <w:tc>
          <w:tcPr>
            <w:tcW w:w="1296" w:type="dxa"/>
          </w:tcPr>
          <w:p>
            <w:pPr>
              <w:pStyle w:val="TableParagraph"/>
              <w:spacing w:before="121"/>
              <w:ind w:left="35"/>
              <w:rPr>
                <w:rFonts w:ascii="Arial"/>
                <w:b/>
                <w:sz w:val="24"/>
              </w:rPr>
            </w:pPr>
            <w:r>
              <w:rPr>
                <w:rFonts w:ascii="Arial"/>
                <w:b/>
                <w:sz w:val="24"/>
              </w:rPr>
              <w:t>Cuadro 3.</w:t>
            </w:r>
          </w:p>
        </w:tc>
        <w:tc>
          <w:tcPr>
            <w:tcW w:w="6916" w:type="dxa"/>
          </w:tcPr>
          <w:p>
            <w:pPr>
              <w:pStyle w:val="TableParagraph"/>
              <w:spacing w:before="121"/>
              <w:ind w:left="87" w:right="104"/>
              <w:jc w:val="center"/>
              <w:rPr>
                <w:rFonts w:ascii="Arial" w:hAnsi="Arial"/>
                <w:sz w:val="24"/>
              </w:rPr>
            </w:pPr>
            <w:r>
              <w:rPr>
                <w:rFonts w:ascii="Arial" w:hAnsi="Arial"/>
                <w:sz w:val="24"/>
              </w:rPr>
              <w:t>Cálculo del factor de emisión de metano entérico para vacas…</w:t>
            </w:r>
          </w:p>
        </w:tc>
        <w:tc>
          <w:tcPr>
            <w:tcW w:w="476" w:type="dxa"/>
          </w:tcPr>
          <w:p>
            <w:pPr>
              <w:pStyle w:val="TableParagraph"/>
              <w:spacing w:before="121"/>
              <w:ind w:right="33"/>
              <w:jc w:val="right"/>
              <w:rPr>
                <w:rFonts w:ascii="Arial"/>
                <w:sz w:val="24"/>
              </w:rPr>
            </w:pPr>
            <w:r>
              <w:rPr>
                <w:rFonts w:ascii="Arial"/>
                <w:sz w:val="24"/>
              </w:rPr>
              <w:t>73</w:t>
            </w:r>
          </w:p>
        </w:tc>
      </w:tr>
    </w:tbl>
    <w:p>
      <w:pPr>
        <w:spacing w:after="0"/>
        <w:jc w:val="right"/>
        <w:rPr>
          <w:rFonts w:ascii="Arial"/>
          <w:sz w:val="24"/>
        </w:rPr>
        <w:sectPr>
          <w:headerReference w:type="default" r:id="rId12"/>
          <w:pgSz w:w="12240" w:h="15840"/>
          <w:pgMar w:header="1488" w:footer="739" w:top="1960" w:bottom="920" w:left="1720" w:right="1260"/>
        </w:sectPr>
      </w:pPr>
    </w:p>
    <w:p>
      <w:pPr>
        <w:pStyle w:val="BodyText"/>
        <w:ind w:left="1203"/>
        <w:rPr>
          <w:rFonts w:ascii="Times New Roman"/>
          <w:sz w:val="20"/>
        </w:rPr>
      </w:pPr>
      <w:r>
        <w:rPr>
          <w:rFonts w:ascii="Times New Roman"/>
          <w:sz w:val="20"/>
        </w:rPr>
        <w:pict>
          <v:group style="width:412.1pt;height:136.6pt;mso-position-horizontal-relative:char;mso-position-vertical-relative:line" coordorigin="0,0" coordsize="8242,2732">
            <v:shape style="position:absolute;left:0;top:0;width:8242;height:2731" type="#_x0000_t75" stroked="false">
              <v:imagedata r:id="rId14" o:title=""/>
            </v:shape>
            <v:shape style="position:absolute;left:432;top:5;width:206;height:557" type="#_x0000_t75" stroked="false">
              <v:imagedata r:id="rId15" o:title=""/>
            </v:shape>
            <v:shape style="position:absolute;left:710;top:5;width:211;height:557" type="#_x0000_t75" stroked="false">
              <v:imagedata r:id="rId16" o:title=""/>
            </v:shape>
            <v:shape style="position:absolute;left:0;top:0;width:8242;height:2732" type="#_x0000_t202" filled="false" stroked="false">
              <v:textbox inset="0,0,0,0">
                <w:txbxContent>
                  <w:p>
                    <w:pPr>
                      <w:spacing w:line="240" w:lineRule="auto" w:before="0"/>
                      <w:rPr>
                        <w:rFonts w:ascii="Times New Roman"/>
                        <w:sz w:val="47"/>
                      </w:rPr>
                    </w:pPr>
                  </w:p>
                  <w:p>
                    <w:pPr>
                      <w:spacing w:line="242" w:lineRule="auto" w:before="0"/>
                      <w:ind w:left="1118" w:right="136" w:hanging="58"/>
                      <w:jc w:val="right"/>
                      <w:rPr>
                        <w:sz w:val="38"/>
                      </w:rPr>
                    </w:pPr>
                    <w:r>
                      <w:rPr>
                        <w:color w:val="632423"/>
                        <w:w w:val="75"/>
                        <w:sz w:val="38"/>
                      </w:rPr>
                      <w:t>Somos la primera generación que siente los efectos del</w:t>
                    </w:r>
                    <w:r>
                      <w:rPr>
                        <w:color w:val="632423"/>
                        <w:w w:val="74"/>
                        <w:sz w:val="38"/>
                      </w:rPr>
                      <w:t> </w:t>
                    </w:r>
                    <w:r>
                      <w:rPr>
                        <w:color w:val="632423"/>
                        <w:w w:val="80"/>
                        <w:sz w:val="38"/>
                      </w:rPr>
                      <w:t>cambio</w:t>
                    </w:r>
                    <w:r>
                      <w:rPr>
                        <w:color w:val="632423"/>
                        <w:spacing w:val="-51"/>
                        <w:w w:val="80"/>
                        <w:sz w:val="38"/>
                      </w:rPr>
                      <w:t> </w:t>
                    </w:r>
                    <w:r>
                      <w:rPr>
                        <w:color w:val="632423"/>
                        <w:w w:val="80"/>
                        <w:sz w:val="38"/>
                      </w:rPr>
                      <w:t>climático</w:t>
                    </w:r>
                    <w:r>
                      <w:rPr>
                        <w:color w:val="632423"/>
                        <w:spacing w:val="-51"/>
                        <w:w w:val="80"/>
                        <w:sz w:val="38"/>
                      </w:rPr>
                      <w:t> </w:t>
                    </w:r>
                    <w:r>
                      <w:rPr>
                        <w:color w:val="632423"/>
                        <w:w w:val="80"/>
                        <w:sz w:val="38"/>
                      </w:rPr>
                      <w:t>y</w:t>
                    </w:r>
                    <w:r>
                      <w:rPr>
                        <w:color w:val="632423"/>
                        <w:spacing w:val="-51"/>
                        <w:w w:val="80"/>
                        <w:sz w:val="38"/>
                      </w:rPr>
                      <w:t> </w:t>
                    </w:r>
                    <w:r>
                      <w:rPr>
                        <w:color w:val="632423"/>
                        <w:w w:val="80"/>
                        <w:sz w:val="38"/>
                      </w:rPr>
                      <w:t>la</w:t>
                    </w:r>
                    <w:r>
                      <w:rPr>
                        <w:color w:val="632423"/>
                        <w:spacing w:val="-51"/>
                        <w:w w:val="80"/>
                        <w:sz w:val="38"/>
                      </w:rPr>
                      <w:t> </w:t>
                    </w:r>
                    <w:r>
                      <w:rPr>
                        <w:color w:val="632423"/>
                        <w:w w:val="80"/>
                        <w:sz w:val="38"/>
                      </w:rPr>
                      <w:t>última</w:t>
                    </w:r>
                    <w:r>
                      <w:rPr>
                        <w:color w:val="632423"/>
                        <w:spacing w:val="-51"/>
                        <w:w w:val="80"/>
                        <w:sz w:val="38"/>
                      </w:rPr>
                      <w:t> </w:t>
                    </w:r>
                    <w:r>
                      <w:rPr>
                        <w:color w:val="632423"/>
                        <w:w w:val="80"/>
                        <w:sz w:val="38"/>
                      </w:rPr>
                      <w:t>que</w:t>
                    </w:r>
                    <w:r>
                      <w:rPr>
                        <w:color w:val="632423"/>
                        <w:spacing w:val="-51"/>
                        <w:w w:val="80"/>
                        <w:sz w:val="38"/>
                      </w:rPr>
                      <w:t> </w:t>
                    </w:r>
                    <w:r>
                      <w:rPr>
                        <w:color w:val="632423"/>
                        <w:w w:val="80"/>
                        <w:sz w:val="38"/>
                      </w:rPr>
                      <w:t>puede</w:t>
                    </w:r>
                    <w:r>
                      <w:rPr>
                        <w:color w:val="632423"/>
                        <w:spacing w:val="-50"/>
                        <w:w w:val="80"/>
                        <w:sz w:val="38"/>
                      </w:rPr>
                      <w:t> </w:t>
                    </w:r>
                    <w:r>
                      <w:rPr>
                        <w:color w:val="632423"/>
                        <w:w w:val="80"/>
                        <w:sz w:val="38"/>
                      </w:rPr>
                      <w:t>hacer</w:t>
                    </w:r>
                    <w:r>
                      <w:rPr>
                        <w:color w:val="632423"/>
                        <w:spacing w:val="-51"/>
                        <w:w w:val="80"/>
                        <w:sz w:val="38"/>
                      </w:rPr>
                      <w:t> </w:t>
                    </w:r>
                    <w:r>
                      <w:rPr>
                        <w:color w:val="632423"/>
                        <w:w w:val="80"/>
                        <w:sz w:val="38"/>
                      </w:rPr>
                      <w:t>algo</w:t>
                    </w:r>
                    <w:r>
                      <w:rPr>
                        <w:color w:val="632423"/>
                        <w:spacing w:val="-51"/>
                        <w:w w:val="80"/>
                        <w:sz w:val="38"/>
                      </w:rPr>
                      <w:t> </w:t>
                    </w:r>
                    <w:r>
                      <w:rPr>
                        <w:color w:val="632423"/>
                        <w:w w:val="80"/>
                        <w:sz w:val="38"/>
                      </w:rPr>
                      <w:t>para</w:t>
                    </w:r>
                  </w:p>
                  <w:p>
                    <w:pPr>
                      <w:spacing w:line="433" w:lineRule="exact" w:before="0"/>
                      <w:ind w:left="0" w:right="139" w:firstLine="0"/>
                      <w:jc w:val="right"/>
                      <w:rPr>
                        <w:sz w:val="38"/>
                      </w:rPr>
                    </w:pPr>
                    <w:r>
                      <w:rPr>
                        <w:color w:val="632423"/>
                        <w:w w:val="75"/>
                        <w:sz w:val="38"/>
                      </w:rPr>
                      <w:t>evitarlo”.</w:t>
                    </w:r>
                  </w:p>
                  <w:p>
                    <w:pPr>
                      <w:spacing w:line="252" w:lineRule="auto" w:before="257"/>
                      <w:ind w:left="5335" w:right="139" w:firstLine="1468"/>
                      <w:jc w:val="right"/>
                      <w:rPr>
                        <w:sz w:val="23"/>
                      </w:rPr>
                    </w:pPr>
                    <w:r>
                      <w:rPr>
                        <w:color w:val="632423"/>
                        <w:w w:val="75"/>
                        <w:sz w:val="23"/>
                      </w:rPr>
                      <w:t>Barack Obama,</w:t>
                    </w:r>
                    <w:r>
                      <w:rPr>
                        <w:color w:val="632423"/>
                        <w:w w:val="78"/>
                        <w:sz w:val="23"/>
                      </w:rPr>
                      <w:t> </w:t>
                    </w:r>
                    <w:r>
                      <w:rPr>
                        <w:color w:val="632423"/>
                        <w:w w:val="80"/>
                        <w:sz w:val="23"/>
                      </w:rPr>
                      <w:t>Presidente de los Estados Unidos</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2"/>
        </w:rPr>
      </w:pPr>
    </w:p>
    <w:p>
      <w:pPr>
        <w:pStyle w:val="Heading1"/>
        <w:spacing w:before="35"/>
        <w:ind w:left="276"/>
      </w:pPr>
      <w:r>
        <w:rPr/>
        <w:pict>
          <v:rect style="position:absolute;margin-left:98.392403pt;margin-top:34.74469pt;width:444.72pt;height:6pt;mso-position-horizontal-relative:page;mso-position-vertical-relative:paragraph;z-index:1192;mso-wrap-distance-left:0;mso-wrap-distance-right:0" filled="true" fillcolor="#943634" stroked="false">
            <v:fill type="solid"/>
            <w10:wrap type="topAndBottom"/>
          </v:rect>
        </w:pict>
      </w:r>
      <w:bookmarkStart w:name="_TOC_250029" w:id="1"/>
      <w:bookmarkEnd w:id="1"/>
      <w:r>
        <w:rPr/>
        <w:t>Resumen</w:t>
      </w:r>
    </w:p>
    <w:p>
      <w:pPr>
        <w:pStyle w:val="BodyText"/>
        <w:rPr>
          <w:b/>
          <w:sz w:val="20"/>
        </w:rPr>
      </w:pPr>
    </w:p>
    <w:p>
      <w:pPr>
        <w:pStyle w:val="BodyText"/>
        <w:rPr>
          <w:b/>
          <w:sz w:val="20"/>
        </w:rPr>
      </w:pPr>
    </w:p>
    <w:p>
      <w:pPr>
        <w:pStyle w:val="BodyText"/>
        <w:spacing w:before="1"/>
        <w:rPr>
          <w:b/>
        </w:rPr>
      </w:pPr>
    </w:p>
    <w:p>
      <w:pPr>
        <w:pStyle w:val="BodyText"/>
        <w:spacing w:line="360" w:lineRule="auto" w:before="69"/>
        <w:ind w:left="276" w:right="447"/>
        <w:jc w:val="both"/>
      </w:pPr>
      <w:r>
        <w:rPr/>
        <w:t>La</w:t>
      </w:r>
      <w:r>
        <w:rPr>
          <w:spacing w:val="-5"/>
        </w:rPr>
        <w:t> </w:t>
      </w:r>
      <w:r>
        <w:rPr/>
        <w:t>reducción</w:t>
      </w:r>
      <w:r>
        <w:rPr>
          <w:spacing w:val="-5"/>
        </w:rPr>
        <w:t> </w:t>
      </w:r>
      <w:r>
        <w:rPr/>
        <w:t>de</w:t>
      </w:r>
      <w:r>
        <w:rPr>
          <w:spacing w:val="-5"/>
        </w:rPr>
        <w:t> </w:t>
      </w:r>
      <w:r>
        <w:rPr/>
        <w:t>los</w:t>
      </w:r>
      <w:r>
        <w:rPr>
          <w:spacing w:val="-5"/>
        </w:rPr>
        <w:t> </w:t>
      </w:r>
      <w:r>
        <w:rPr/>
        <w:t>gases</w:t>
      </w:r>
      <w:r>
        <w:rPr>
          <w:spacing w:val="-5"/>
        </w:rPr>
        <w:t> </w:t>
      </w:r>
      <w:r>
        <w:rPr/>
        <w:t>de</w:t>
      </w:r>
      <w:r>
        <w:rPr>
          <w:spacing w:val="-5"/>
        </w:rPr>
        <w:t> </w:t>
      </w:r>
      <w:r>
        <w:rPr/>
        <w:t>efecto</w:t>
      </w:r>
      <w:r>
        <w:rPr>
          <w:spacing w:val="-5"/>
        </w:rPr>
        <w:t> </w:t>
      </w:r>
      <w:r>
        <w:rPr/>
        <w:t>invernadero</w:t>
      </w:r>
      <w:r>
        <w:rPr>
          <w:spacing w:val="-5"/>
        </w:rPr>
        <w:t> </w:t>
      </w:r>
      <w:r>
        <w:rPr/>
        <w:t>(GEI)</w:t>
      </w:r>
      <w:r>
        <w:rPr>
          <w:spacing w:val="-5"/>
        </w:rPr>
        <w:t> </w:t>
      </w:r>
      <w:r>
        <w:rPr/>
        <w:t>es</w:t>
      </w:r>
      <w:r>
        <w:rPr>
          <w:spacing w:val="-5"/>
        </w:rPr>
        <w:t> </w:t>
      </w:r>
      <w:r>
        <w:rPr/>
        <w:t>un</w:t>
      </w:r>
      <w:r>
        <w:rPr>
          <w:spacing w:val="-5"/>
        </w:rPr>
        <w:t> </w:t>
      </w:r>
      <w:r>
        <w:rPr/>
        <w:t>requisito</w:t>
      </w:r>
      <w:r>
        <w:rPr>
          <w:spacing w:val="-5"/>
        </w:rPr>
        <w:t> </w:t>
      </w:r>
      <w:r>
        <w:rPr/>
        <w:t>internacional en la actualidad. La cría intensiva de ganado representa una fuente importante de gases</w:t>
      </w:r>
      <w:r>
        <w:rPr>
          <w:spacing w:val="-5"/>
        </w:rPr>
        <w:t> </w:t>
      </w:r>
      <w:r>
        <w:rPr/>
        <w:t>de</w:t>
      </w:r>
      <w:r>
        <w:rPr>
          <w:spacing w:val="-5"/>
        </w:rPr>
        <w:t> </w:t>
      </w:r>
      <w:r>
        <w:rPr/>
        <w:t>efecto</w:t>
      </w:r>
      <w:r>
        <w:rPr>
          <w:spacing w:val="-5"/>
        </w:rPr>
        <w:t> </w:t>
      </w:r>
      <w:r>
        <w:rPr/>
        <w:t>invernadero</w:t>
      </w:r>
      <w:r>
        <w:rPr>
          <w:spacing w:val="-5"/>
        </w:rPr>
        <w:t> </w:t>
      </w:r>
      <w:r>
        <w:rPr/>
        <w:t>a</w:t>
      </w:r>
      <w:r>
        <w:rPr>
          <w:spacing w:val="-5"/>
        </w:rPr>
        <w:t> </w:t>
      </w:r>
      <w:r>
        <w:rPr/>
        <w:t>la</w:t>
      </w:r>
      <w:r>
        <w:rPr>
          <w:spacing w:val="-5"/>
        </w:rPr>
        <w:t> </w:t>
      </w:r>
      <w:r>
        <w:rPr/>
        <w:t>atmósfera,</w:t>
      </w:r>
      <w:r>
        <w:rPr>
          <w:spacing w:val="-5"/>
        </w:rPr>
        <w:t> </w:t>
      </w:r>
      <w:r>
        <w:rPr/>
        <w:t>siendo</w:t>
      </w:r>
      <w:r>
        <w:rPr>
          <w:spacing w:val="-5"/>
        </w:rPr>
        <w:t> </w:t>
      </w:r>
      <w:r>
        <w:rPr/>
        <w:t>la</w:t>
      </w:r>
      <w:r>
        <w:rPr>
          <w:spacing w:val="-5"/>
        </w:rPr>
        <w:t> </w:t>
      </w:r>
      <w:r>
        <w:rPr/>
        <w:t>fermentación</w:t>
      </w:r>
      <w:r>
        <w:rPr>
          <w:spacing w:val="-5"/>
        </w:rPr>
        <w:t> </w:t>
      </w:r>
      <w:r>
        <w:rPr/>
        <w:t>entérica</w:t>
      </w:r>
      <w:r>
        <w:rPr>
          <w:spacing w:val="-5"/>
        </w:rPr>
        <w:t> </w:t>
      </w:r>
      <w:r>
        <w:rPr/>
        <w:t>una</w:t>
      </w:r>
      <w:r>
        <w:rPr>
          <w:spacing w:val="-5"/>
        </w:rPr>
        <w:t> </w:t>
      </w:r>
      <w:r>
        <w:rPr/>
        <w:t>de las principales fuentes de metano en esta actividad, con los rumiantes situados en el primer lugar de importancia. La producción de metano depende fundamentalmente de la cantidad y calidad del alimento ingerido, siendo la digestibilidad de la ración uno de los factores más influyentes, estableciendo una correlación negativa entre la digestibilidad de las dietas y la emisión de metano. Es por ello, que las estimaciones de las emisiones de GEI son obligatorias y deben reflejarse  en  los  Inventarios  Nacionales  de  Emisiones  de  Gases  de     </w:t>
      </w:r>
      <w:r>
        <w:rPr>
          <w:spacing w:val="23"/>
        </w:rPr>
        <w:t> </w:t>
      </w:r>
      <w:r>
        <w:rPr/>
        <w:t>Efecto</w:t>
      </w:r>
    </w:p>
    <w:p>
      <w:pPr>
        <w:pStyle w:val="BodyText"/>
        <w:spacing w:line="279" w:lineRule="exact"/>
        <w:ind w:left="276"/>
        <w:jc w:val="both"/>
        <w:rPr>
          <w:sz w:val="16"/>
        </w:rPr>
      </w:pPr>
      <w:r>
        <w:rPr/>
        <w:t>Invernadero. Para ello, el Panel Intergubernamental de Cambio Climático   (IPCC)</w:t>
      </w:r>
      <w:r>
        <w:rPr>
          <w:position w:val="11"/>
          <w:sz w:val="16"/>
        </w:rPr>
        <w:t>1</w:t>
      </w:r>
    </w:p>
    <w:p>
      <w:pPr>
        <w:pStyle w:val="BodyText"/>
        <w:spacing w:line="352" w:lineRule="auto" w:before="141"/>
        <w:ind w:left="276" w:right="447"/>
        <w:jc w:val="both"/>
      </w:pPr>
      <w:r>
        <w:rPr/>
        <w:t>ha propuesto tres niveles de enfoque (Nivel 1, Nivel 2 y Nivel 3) de acuerdo a su complejidad y disposición de los datos, para estimar las emisiones de CH</w:t>
      </w:r>
      <w:r>
        <w:rPr>
          <w:position w:val="-2"/>
          <w:sz w:val="16"/>
        </w:rPr>
        <w:t>4 </w:t>
      </w:r>
      <w:r>
        <w:rPr/>
        <w:t>entérico de la ganadería, además de proporcionar ecuaciones de cálculo de las   emisiones</w:t>
      </w:r>
    </w:p>
    <w:p>
      <w:pPr>
        <w:pStyle w:val="BodyText"/>
        <w:rPr>
          <w:sz w:val="20"/>
        </w:rPr>
      </w:pPr>
    </w:p>
    <w:p>
      <w:pPr>
        <w:pStyle w:val="BodyText"/>
        <w:spacing w:before="9"/>
        <w:rPr>
          <w:sz w:val="18"/>
        </w:rPr>
      </w:pPr>
      <w:r>
        <w:rPr/>
        <w:pict>
          <v:line style="position:absolute;mso-position-horizontal-relative:page;mso-position-vertical-relative:paragraph;z-index:1216;mso-wrap-distance-left:0;mso-wrap-distance-right:0" from="99.832443pt,13.01707pt" to="243.832403pt,13.01707pt" stroked="true" strokeweight=".48pt" strokecolor="#000000">
            <w10:wrap type="topAndBottom"/>
          </v:line>
        </w:pict>
      </w:r>
    </w:p>
    <w:p>
      <w:pPr>
        <w:pStyle w:val="BodyText"/>
        <w:spacing w:before="10"/>
        <w:rPr>
          <w:sz w:val="20"/>
        </w:rPr>
      </w:pPr>
    </w:p>
    <w:p>
      <w:pPr>
        <w:spacing w:before="78"/>
        <w:ind w:left="276" w:right="0" w:firstLine="0"/>
        <w:jc w:val="left"/>
        <w:rPr>
          <w:rFonts w:ascii="Calibri"/>
          <w:sz w:val="19"/>
        </w:rPr>
      </w:pPr>
      <w:r>
        <w:rPr>
          <w:rFonts w:ascii="Calibri"/>
          <w:w w:val="105"/>
          <w:position w:val="10"/>
          <w:sz w:val="13"/>
        </w:rPr>
        <w:t>1 </w:t>
      </w:r>
      <w:r>
        <w:rPr>
          <w:rFonts w:ascii="Calibri"/>
          <w:w w:val="105"/>
          <w:sz w:val="19"/>
        </w:rPr>
        <w:t>Intergovernmental Panel on Climate Change</w:t>
      </w:r>
    </w:p>
    <w:p>
      <w:pPr>
        <w:spacing w:after="0"/>
        <w:jc w:val="left"/>
        <w:rPr>
          <w:rFonts w:ascii="Calibri"/>
          <w:sz w:val="19"/>
        </w:rPr>
        <w:sectPr>
          <w:headerReference w:type="default" r:id="rId13"/>
          <w:pgSz w:w="12240" w:h="15840"/>
          <w:pgMar w:header="0" w:footer="739" w:top="1500" w:bottom="920" w:left="1720" w:right="960"/>
        </w:sectPr>
      </w:pPr>
    </w:p>
    <w:p>
      <w:pPr>
        <w:pStyle w:val="BodyText"/>
        <w:spacing w:line="360" w:lineRule="auto" w:before="41"/>
        <w:ind w:left="276" w:right="147"/>
        <w:jc w:val="both"/>
      </w:pPr>
      <w:r>
        <w:rPr/>
        <w:t>que dependen de diversos factores, donde el factor de conversión de metano (Ym) es determinante. Sin embargo, los estudios para obtener valores de Ym a nivel nacional</w:t>
      </w:r>
      <w:r>
        <w:rPr>
          <w:spacing w:val="-4"/>
        </w:rPr>
        <w:t> </w:t>
      </w:r>
      <w:r>
        <w:rPr/>
        <w:t>son</w:t>
      </w:r>
      <w:r>
        <w:rPr>
          <w:spacing w:val="-4"/>
        </w:rPr>
        <w:t> </w:t>
      </w:r>
      <w:r>
        <w:rPr/>
        <w:t>escasos</w:t>
      </w:r>
      <w:r>
        <w:rPr>
          <w:spacing w:val="-4"/>
        </w:rPr>
        <w:t> </w:t>
      </w:r>
      <w:r>
        <w:rPr/>
        <w:t>y</w:t>
      </w:r>
      <w:r>
        <w:rPr>
          <w:spacing w:val="-4"/>
        </w:rPr>
        <w:t> </w:t>
      </w:r>
      <w:r>
        <w:rPr/>
        <w:t>la</w:t>
      </w:r>
      <w:r>
        <w:rPr>
          <w:spacing w:val="-4"/>
        </w:rPr>
        <w:t> </w:t>
      </w:r>
      <w:r>
        <w:rPr/>
        <w:t>relación</w:t>
      </w:r>
      <w:r>
        <w:rPr>
          <w:spacing w:val="-4"/>
        </w:rPr>
        <w:t> </w:t>
      </w:r>
      <w:r>
        <w:rPr/>
        <w:t>de</w:t>
      </w:r>
      <w:r>
        <w:rPr>
          <w:spacing w:val="-4"/>
        </w:rPr>
        <w:t> </w:t>
      </w:r>
      <w:r>
        <w:rPr/>
        <w:t>la</w:t>
      </w:r>
      <w:r>
        <w:rPr>
          <w:spacing w:val="-4"/>
        </w:rPr>
        <w:t> </w:t>
      </w:r>
      <w:r>
        <w:rPr/>
        <w:t>alimentación</w:t>
      </w:r>
      <w:r>
        <w:rPr>
          <w:spacing w:val="-4"/>
        </w:rPr>
        <w:t> </w:t>
      </w:r>
      <w:r>
        <w:rPr/>
        <w:t>de</w:t>
      </w:r>
      <w:r>
        <w:rPr>
          <w:spacing w:val="-4"/>
        </w:rPr>
        <w:t> </w:t>
      </w:r>
      <w:r>
        <w:rPr/>
        <w:t>los</w:t>
      </w:r>
      <w:r>
        <w:rPr>
          <w:spacing w:val="-4"/>
        </w:rPr>
        <w:t> </w:t>
      </w:r>
      <w:r>
        <w:rPr/>
        <w:t>bovinos</w:t>
      </w:r>
      <w:r>
        <w:rPr>
          <w:spacing w:val="-4"/>
        </w:rPr>
        <w:t> </w:t>
      </w:r>
      <w:r>
        <w:rPr/>
        <w:t>con</w:t>
      </w:r>
      <w:r>
        <w:rPr>
          <w:spacing w:val="-4"/>
        </w:rPr>
        <w:t> </w:t>
      </w:r>
      <w:r>
        <w:rPr/>
        <w:t>este</w:t>
      </w:r>
      <w:r>
        <w:rPr>
          <w:spacing w:val="-4"/>
        </w:rPr>
        <w:t> </w:t>
      </w:r>
      <w:r>
        <w:rPr/>
        <w:t>factor no</w:t>
      </w:r>
      <w:r>
        <w:rPr>
          <w:spacing w:val="-7"/>
        </w:rPr>
        <w:t> </w:t>
      </w:r>
      <w:r>
        <w:rPr/>
        <w:t>se</w:t>
      </w:r>
      <w:r>
        <w:rPr>
          <w:spacing w:val="-7"/>
        </w:rPr>
        <w:t> </w:t>
      </w:r>
      <w:r>
        <w:rPr/>
        <w:t>ha</w:t>
      </w:r>
      <w:r>
        <w:rPr>
          <w:spacing w:val="-7"/>
        </w:rPr>
        <w:t> </w:t>
      </w:r>
      <w:r>
        <w:rPr/>
        <w:t>estudiado</w:t>
      </w:r>
      <w:r>
        <w:rPr>
          <w:spacing w:val="-7"/>
        </w:rPr>
        <w:t> </w:t>
      </w:r>
      <w:r>
        <w:rPr/>
        <w:t>a</w:t>
      </w:r>
      <w:r>
        <w:rPr>
          <w:spacing w:val="-7"/>
        </w:rPr>
        <w:t> </w:t>
      </w:r>
      <w:r>
        <w:rPr/>
        <w:t>profundidad</w:t>
      </w:r>
      <w:r>
        <w:rPr>
          <w:spacing w:val="-7"/>
        </w:rPr>
        <w:t> </w:t>
      </w:r>
      <w:r>
        <w:rPr/>
        <w:t>en</w:t>
      </w:r>
      <w:r>
        <w:rPr>
          <w:spacing w:val="-7"/>
        </w:rPr>
        <w:t> </w:t>
      </w:r>
      <w:r>
        <w:rPr/>
        <w:t>los</w:t>
      </w:r>
      <w:r>
        <w:rPr>
          <w:spacing w:val="-7"/>
        </w:rPr>
        <w:t> </w:t>
      </w:r>
      <w:r>
        <w:rPr/>
        <w:t>diferentes</w:t>
      </w:r>
      <w:r>
        <w:rPr>
          <w:spacing w:val="-7"/>
        </w:rPr>
        <w:t> </w:t>
      </w:r>
      <w:r>
        <w:rPr/>
        <w:t>sistemas</w:t>
      </w:r>
      <w:r>
        <w:rPr>
          <w:spacing w:val="-7"/>
        </w:rPr>
        <w:t> </w:t>
      </w:r>
      <w:r>
        <w:rPr/>
        <w:t>de</w:t>
      </w:r>
      <w:r>
        <w:rPr>
          <w:spacing w:val="-7"/>
        </w:rPr>
        <w:t> </w:t>
      </w:r>
      <w:r>
        <w:rPr/>
        <w:t>producción</w:t>
      </w:r>
      <w:r>
        <w:rPr>
          <w:spacing w:val="-7"/>
        </w:rPr>
        <w:t> </w:t>
      </w:r>
      <w:r>
        <w:rPr/>
        <w:t>lechera. Para la obtención de las emisiones de metano entérico del ganado bovino en la zona sur oriente del Estado de México se diseñó y aplicó una encuesta a 21 unidades</w:t>
      </w:r>
      <w:r>
        <w:rPr>
          <w:spacing w:val="-8"/>
        </w:rPr>
        <w:t> </w:t>
      </w:r>
      <w:r>
        <w:rPr/>
        <w:t>de</w:t>
      </w:r>
      <w:r>
        <w:rPr>
          <w:spacing w:val="-8"/>
        </w:rPr>
        <w:t> </w:t>
      </w:r>
      <w:r>
        <w:rPr/>
        <w:t>producción</w:t>
      </w:r>
      <w:r>
        <w:rPr>
          <w:spacing w:val="-8"/>
        </w:rPr>
        <w:t> </w:t>
      </w:r>
      <w:r>
        <w:rPr/>
        <w:t>lechera</w:t>
      </w:r>
      <w:r>
        <w:rPr>
          <w:spacing w:val="-8"/>
        </w:rPr>
        <w:t> </w:t>
      </w:r>
      <w:r>
        <w:rPr/>
        <w:t>en</w:t>
      </w:r>
      <w:r>
        <w:rPr>
          <w:spacing w:val="-8"/>
        </w:rPr>
        <w:t> </w:t>
      </w:r>
      <w:r>
        <w:rPr/>
        <w:t>pequeña</w:t>
      </w:r>
      <w:r>
        <w:rPr>
          <w:spacing w:val="-8"/>
        </w:rPr>
        <w:t> </w:t>
      </w:r>
      <w:r>
        <w:rPr/>
        <w:t>escala</w:t>
      </w:r>
      <w:r>
        <w:rPr>
          <w:spacing w:val="-8"/>
        </w:rPr>
        <w:t> </w:t>
      </w:r>
      <w:r>
        <w:rPr/>
        <w:t>de</w:t>
      </w:r>
      <w:r>
        <w:rPr>
          <w:spacing w:val="-8"/>
        </w:rPr>
        <w:t> </w:t>
      </w:r>
      <w:r>
        <w:rPr/>
        <w:t>manera</w:t>
      </w:r>
      <w:r>
        <w:rPr>
          <w:spacing w:val="-8"/>
        </w:rPr>
        <w:t> </w:t>
      </w:r>
      <w:r>
        <w:rPr/>
        <w:t>mensual</w:t>
      </w:r>
      <w:r>
        <w:rPr>
          <w:spacing w:val="-8"/>
        </w:rPr>
        <w:t> </w:t>
      </w:r>
      <w:r>
        <w:rPr/>
        <w:t>durante</w:t>
      </w:r>
      <w:r>
        <w:rPr>
          <w:spacing w:val="-8"/>
        </w:rPr>
        <w:t> </w:t>
      </w:r>
      <w:r>
        <w:rPr/>
        <w:t>un año (2012-2013) para obtener: el estado fisiológico del hato ganadero, características de las dietas consumidas y las necesidades energéticas, aplicando las directrices del IPCC en su Nivel 2. Para obtener la energía bruta, se utilizaron las ecuaciones del IPCC (2006) y la técnica de Tilley and Terry (1963), para determinar los Factores de Conversión de Metano (Ym) de las diferentes subcategorías de ganado bovino, se utilizaron las ecuaciones del IPCC (2006) y Cambra-López </w:t>
      </w:r>
      <w:r>
        <w:rPr>
          <w:i/>
        </w:rPr>
        <w:t>et al. </w:t>
      </w:r>
      <w:r>
        <w:rPr/>
        <w:t>(2008), con la finalidad de obtener valores de Ym propios del País, diferentes a los proporcionados por el IPCC (2006). Las estimaciones totales de metano entérico de las 21 unidades de producción lecheras en pequeña escala corresponden</w:t>
      </w:r>
      <w:r>
        <w:rPr>
          <w:spacing w:val="-5"/>
        </w:rPr>
        <w:t> </w:t>
      </w:r>
      <w:r>
        <w:rPr/>
        <w:t>a</w:t>
      </w:r>
      <w:r>
        <w:rPr>
          <w:spacing w:val="-5"/>
        </w:rPr>
        <w:t> </w:t>
      </w:r>
      <w:r>
        <w:rPr/>
        <w:t>348</w:t>
      </w:r>
      <w:r>
        <w:rPr>
          <w:spacing w:val="-5"/>
        </w:rPr>
        <w:t> </w:t>
      </w:r>
      <w:r>
        <w:rPr/>
        <w:t>vacas:</w:t>
      </w:r>
      <w:r>
        <w:rPr>
          <w:spacing w:val="-5"/>
        </w:rPr>
        <w:t> </w:t>
      </w:r>
      <w:r>
        <w:rPr/>
        <w:t>188</w:t>
      </w:r>
      <w:r>
        <w:rPr>
          <w:spacing w:val="-5"/>
        </w:rPr>
        <w:t> </w:t>
      </w:r>
      <w:r>
        <w:rPr/>
        <w:t>vacas</w:t>
      </w:r>
      <w:r>
        <w:rPr>
          <w:spacing w:val="-5"/>
        </w:rPr>
        <w:t> </w:t>
      </w:r>
      <w:r>
        <w:rPr/>
        <w:t>en</w:t>
      </w:r>
      <w:r>
        <w:rPr>
          <w:spacing w:val="-5"/>
        </w:rPr>
        <w:t> </w:t>
      </w:r>
      <w:r>
        <w:rPr/>
        <w:t>producción,</w:t>
      </w:r>
      <w:r>
        <w:rPr>
          <w:spacing w:val="-5"/>
        </w:rPr>
        <w:t> </w:t>
      </w:r>
      <w:r>
        <w:rPr/>
        <w:t>38</w:t>
      </w:r>
      <w:r>
        <w:rPr>
          <w:spacing w:val="-5"/>
        </w:rPr>
        <w:t> </w:t>
      </w:r>
      <w:r>
        <w:rPr/>
        <w:t>vacas</w:t>
      </w:r>
      <w:r>
        <w:rPr>
          <w:spacing w:val="-5"/>
        </w:rPr>
        <w:t> </w:t>
      </w:r>
      <w:r>
        <w:rPr/>
        <w:t>secas,</w:t>
      </w:r>
      <w:r>
        <w:rPr>
          <w:spacing w:val="-5"/>
        </w:rPr>
        <w:t> </w:t>
      </w:r>
      <w:r>
        <w:rPr/>
        <w:t>22</w:t>
      </w:r>
      <w:r>
        <w:rPr>
          <w:spacing w:val="-5"/>
        </w:rPr>
        <w:t> </w:t>
      </w:r>
      <w:r>
        <w:rPr/>
        <w:t>vaquillas,</w:t>
      </w:r>
    </w:p>
    <w:p>
      <w:pPr>
        <w:pStyle w:val="BodyText"/>
        <w:spacing w:line="326" w:lineRule="auto" w:before="7"/>
        <w:ind w:left="276" w:right="148"/>
        <w:jc w:val="both"/>
      </w:pPr>
      <w:r>
        <w:rPr/>
        <w:t>34 novillas y 66 terneras. Estas subcategorías animales emitieron un total de 39,241.79 Gg CH</w:t>
      </w:r>
      <w:r>
        <w:rPr>
          <w:position w:val="-2"/>
          <w:sz w:val="16"/>
        </w:rPr>
        <w:t>4 </w:t>
      </w:r>
      <w:r>
        <w:rPr/>
        <w:t>año</w:t>
      </w:r>
      <w:r>
        <w:rPr>
          <w:position w:val="11"/>
          <w:sz w:val="16"/>
        </w:rPr>
        <w:t>-1</w:t>
      </w:r>
      <w:r>
        <w:rPr/>
        <w:t>. La contribución de las vacas en producción fue de 30,657.82 Gg CH</w:t>
      </w:r>
      <w:r>
        <w:rPr>
          <w:position w:val="-2"/>
          <w:sz w:val="16"/>
        </w:rPr>
        <w:t>4 </w:t>
      </w:r>
      <w:r>
        <w:rPr/>
        <w:t>año</w:t>
      </w:r>
      <w:r>
        <w:rPr>
          <w:position w:val="11"/>
          <w:sz w:val="16"/>
        </w:rPr>
        <w:t>-1</w:t>
      </w:r>
      <w:r>
        <w:rPr/>
        <w:t>, las vacas secas 2,884.04 Gg CH</w:t>
      </w:r>
      <w:r>
        <w:rPr>
          <w:position w:val="-2"/>
          <w:sz w:val="16"/>
        </w:rPr>
        <w:t>4 </w:t>
      </w:r>
      <w:r>
        <w:rPr/>
        <w:t>año</w:t>
      </w:r>
      <w:r>
        <w:rPr>
          <w:position w:val="11"/>
          <w:sz w:val="16"/>
        </w:rPr>
        <w:t>-1</w:t>
      </w:r>
      <w:r>
        <w:rPr/>
        <w:t>, las vaquillas 1,370.31 Gg CH</w:t>
      </w:r>
      <w:r>
        <w:rPr>
          <w:position w:val="-2"/>
          <w:sz w:val="16"/>
        </w:rPr>
        <w:t>4 </w:t>
      </w:r>
      <w:r>
        <w:rPr/>
        <w:t>año</w:t>
      </w:r>
      <w:r>
        <w:rPr>
          <w:position w:val="11"/>
          <w:sz w:val="16"/>
        </w:rPr>
        <w:t>-1</w:t>
      </w:r>
      <w:r>
        <w:rPr/>
        <w:t>, novillas 1,865.13 Gg CH</w:t>
      </w:r>
      <w:r>
        <w:rPr>
          <w:position w:val="-2"/>
          <w:sz w:val="16"/>
        </w:rPr>
        <w:t>4 </w:t>
      </w:r>
      <w:r>
        <w:rPr/>
        <w:t>año</w:t>
      </w:r>
      <w:r>
        <w:rPr>
          <w:position w:val="11"/>
          <w:sz w:val="16"/>
        </w:rPr>
        <w:t>-1 </w:t>
      </w:r>
      <w:r>
        <w:rPr/>
        <w:t>y las terneras 2,461.49 Gg CH</w:t>
      </w:r>
      <w:r>
        <w:rPr>
          <w:position w:val="-2"/>
          <w:sz w:val="16"/>
        </w:rPr>
        <w:t>4 </w:t>
      </w:r>
      <w:r>
        <w:rPr/>
        <w:t>año</w:t>
      </w:r>
      <w:r>
        <w:rPr>
          <w:position w:val="11"/>
          <w:sz w:val="16"/>
        </w:rPr>
        <w:t>-1</w:t>
      </w:r>
      <w:r>
        <w:rPr/>
        <w:t>, siendo las vacas en producción las que emite mayor cantidad de CH</w:t>
      </w:r>
      <w:r>
        <w:rPr>
          <w:position w:val="-2"/>
          <w:sz w:val="16"/>
        </w:rPr>
        <w:t>4 </w:t>
      </w:r>
      <w:r>
        <w:rPr/>
        <w:t>entérico</w:t>
      </w:r>
      <w:r>
        <w:rPr>
          <w:spacing w:val="-10"/>
        </w:rPr>
        <w:t> </w:t>
      </w:r>
      <w:r>
        <w:rPr/>
        <w:t>a</w:t>
      </w:r>
      <w:r>
        <w:rPr>
          <w:spacing w:val="-10"/>
        </w:rPr>
        <w:t> </w:t>
      </w:r>
      <w:r>
        <w:rPr/>
        <w:t>la</w:t>
      </w:r>
      <w:r>
        <w:rPr>
          <w:spacing w:val="-10"/>
        </w:rPr>
        <w:t> </w:t>
      </w:r>
      <w:r>
        <w:rPr/>
        <w:t>atmósfera.</w:t>
      </w:r>
      <w:r>
        <w:rPr>
          <w:spacing w:val="-10"/>
        </w:rPr>
        <w:t> </w:t>
      </w:r>
      <w:r>
        <w:rPr/>
        <w:t>Finalmente,</w:t>
      </w:r>
      <w:r>
        <w:rPr>
          <w:spacing w:val="-10"/>
        </w:rPr>
        <w:t> </w:t>
      </w:r>
      <w:r>
        <w:rPr/>
        <w:t>la</w:t>
      </w:r>
      <w:r>
        <w:rPr>
          <w:spacing w:val="-10"/>
        </w:rPr>
        <w:t> </w:t>
      </w:r>
      <w:r>
        <w:rPr/>
        <w:t>estimación</w:t>
      </w:r>
      <w:r>
        <w:rPr>
          <w:spacing w:val="-10"/>
        </w:rPr>
        <w:t> </w:t>
      </w:r>
      <w:r>
        <w:rPr/>
        <w:t>del</w:t>
      </w:r>
      <w:r>
        <w:rPr>
          <w:spacing w:val="-10"/>
        </w:rPr>
        <w:t> </w:t>
      </w:r>
      <w:r>
        <w:rPr/>
        <w:t>Ym</w:t>
      </w:r>
      <w:r>
        <w:rPr>
          <w:spacing w:val="-10"/>
        </w:rPr>
        <w:t> </w:t>
      </w:r>
      <w:r>
        <w:rPr/>
        <w:t>presentó</w:t>
      </w:r>
      <w:r>
        <w:rPr>
          <w:spacing w:val="-10"/>
        </w:rPr>
        <w:t> </w:t>
      </w:r>
      <w:r>
        <w:rPr/>
        <w:t>una</w:t>
      </w:r>
      <w:r>
        <w:rPr>
          <w:spacing w:val="-10"/>
        </w:rPr>
        <w:t> </w:t>
      </w:r>
      <w:r>
        <w:rPr/>
        <w:t>variación</w:t>
      </w:r>
      <w:r>
        <w:rPr>
          <w:spacing w:val="-10"/>
        </w:rPr>
        <w:t> </w:t>
      </w:r>
      <w:r>
        <w:rPr/>
        <w:t>de</w:t>
      </w:r>
    </w:p>
    <w:p>
      <w:pPr>
        <w:pStyle w:val="ListParagraph"/>
        <w:numPr>
          <w:ilvl w:val="1"/>
          <w:numId w:val="2"/>
        </w:numPr>
        <w:tabs>
          <w:tab w:pos="678" w:val="left" w:leader="none"/>
        </w:tabs>
        <w:spacing w:line="240" w:lineRule="auto" w:before="40" w:after="0"/>
        <w:ind w:left="677" w:right="0" w:hanging="401"/>
        <w:jc w:val="both"/>
        <w:rPr>
          <w:sz w:val="24"/>
        </w:rPr>
      </w:pPr>
      <w:r>
        <w:rPr>
          <w:sz w:val="24"/>
        </w:rPr>
        <w:t>a 7.2 en función al estado fisiológico del</w:t>
      </w:r>
      <w:r>
        <w:rPr>
          <w:spacing w:val="-3"/>
          <w:sz w:val="24"/>
        </w:rPr>
        <w:t> </w:t>
      </w:r>
      <w:r>
        <w:rPr>
          <w:sz w:val="24"/>
        </w:rPr>
        <w:t>animal.</w:t>
      </w:r>
    </w:p>
    <w:p>
      <w:pPr>
        <w:pStyle w:val="BodyText"/>
      </w:pPr>
    </w:p>
    <w:p>
      <w:pPr>
        <w:pStyle w:val="BodyText"/>
        <w:spacing w:before="7"/>
        <w:rPr>
          <w:sz w:val="23"/>
        </w:rPr>
      </w:pPr>
    </w:p>
    <w:p>
      <w:pPr>
        <w:spacing w:before="1"/>
        <w:ind w:left="276" w:right="0" w:firstLine="0"/>
        <w:jc w:val="both"/>
        <w:rPr>
          <w:b/>
          <w:sz w:val="40"/>
        </w:rPr>
      </w:pPr>
      <w:r>
        <w:rPr>
          <w:b/>
          <w:sz w:val="40"/>
        </w:rPr>
        <w:t>Palabras Clave</w:t>
      </w:r>
    </w:p>
    <w:p>
      <w:pPr>
        <w:pStyle w:val="BodyText"/>
        <w:spacing w:line="360" w:lineRule="auto" w:before="232"/>
        <w:ind w:left="276" w:right="144"/>
        <w:jc w:val="both"/>
      </w:pPr>
      <w:r>
        <w:rPr/>
        <w:t>Gases de Efecto Invernadero, IPCC, sistemas de producción lechera,</w:t>
      </w:r>
      <w:r>
        <w:rPr>
          <w:spacing w:val="-27"/>
        </w:rPr>
        <w:t> </w:t>
      </w:r>
      <w:r>
        <w:rPr/>
        <w:t>fermentación entérica, factor de conversión de metano y medio</w:t>
      </w:r>
      <w:r>
        <w:rPr>
          <w:spacing w:val="-2"/>
        </w:rPr>
        <w:t> </w:t>
      </w:r>
      <w:r>
        <w:rPr/>
        <w:t>ambiente</w:t>
      </w:r>
    </w:p>
    <w:p>
      <w:pPr>
        <w:spacing w:after="0" w:line="360" w:lineRule="auto"/>
        <w:jc w:val="both"/>
        <w:sectPr>
          <w:headerReference w:type="default" r:id="rId17"/>
          <w:footerReference w:type="default" r:id="rId18"/>
          <w:pgSz w:w="12240" w:h="15840"/>
          <w:pgMar w:header="0" w:footer="739" w:top="1380" w:bottom="920" w:left="1720" w:right="1260"/>
          <w:pgNumType w:start="8"/>
        </w:sectPr>
      </w:pPr>
    </w:p>
    <w:p>
      <w:pPr>
        <w:pStyle w:val="BodyText"/>
        <w:ind w:left="982"/>
        <w:rPr>
          <w:sz w:val="20"/>
        </w:rPr>
      </w:pPr>
      <w:r>
        <w:rPr>
          <w:sz w:val="20"/>
        </w:rPr>
        <w:pict>
          <v:group style="width:412.35pt;height:136.6pt;mso-position-horizontal-relative:char;mso-position-vertical-relative:line" coordorigin="0,0" coordsize="8247,2732">
            <v:shape style="position:absolute;left:0;top:0;width:8246;height:2731" type="#_x0000_t75" stroked="false">
              <v:imagedata r:id="rId21" o:title=""/>
            </v:shape>
            <v:shape style="position:absolute;left:437;top:5;width:206;height:557" type="#_x0000_t75" stroked="false">
              <v:imagedata r:id="rId15" o:title=""/>
            </v:shape>
            <v:shape style="position:absolute;left:715;top:5;width:206;height:557" type="#_x0000_t75" stroked="false">
              <v:imagedata r:id="rId22" o:title=""/>
            </v:shape>
            <v:shape style="position:absolute;left:0;top:0;width:8247;height:2732" type="#_x0000_t202" filled="false" stroked="false">
              <v:textbox inset="0,0,0,0">
                <w:txbxContent>
                  <w:p>
                    <w:pPr>
                      <w:spacing w:line="240" w:lineRule="auto" w:before="0"/>
                      <w:rPr>
                        <w:sz w:val="47"/>
                      </w:rPr>
                    </w:pPr>
                  </w:p>
                  <w:p>
                    <w:pPr>
                      <w:spacing w:line="242" w:lineRule="auto" w:before="0"/>
                      <w:ind w:left="705" w:right="139" w:firstLine="432"/>
                      <w:jc w:val="right"/>
                      <w:rPr>
                        <w:sz w:val="38"/>
                      </w:rPr>
                    </w:pPr>
                    <w:r>
                      <w:rPr>
                        <w:color w:val="632423"/>
                        <w:w w:val="80"/>
                        <w:sz w:val="38"/>
                      </w:rPr>
                      <w:t>We</w:t>
                    </w:r>
                    <w:r>
                      <w:rPr>
                        <w:color w:val="632423"/>
                        <w:spacing w:val="-44"/>
                        <w:w w:val="80"/>
                        <w:sz w:val="38"/>
                      </w:rPr>
                      <w:t> </w:t>
                    </w:r>
                    <w:r>
                      <w:rPr>
                        <w:color w:val="632423"/>
                        <w:w w:val="80"/>
                        <w:sz w:val="38"/>
                      </w:rPr>
                      <w:t>are</w:t>
                    </w:r>
                    <w:r>
                      <w:rPr>
                        <w:color w:val="632423"/>
                        <w:spacing w:val="-44"/>
                        <w:w w:val="80"/>
                        <w:sz w:val="38"/>
                      </w:rPr>
                      <w:t> </w:t>
                    </w:r>
                    <w:r>
                      <w:rPr>
                        <w:color w:val="632423"/>
                        <w:w w:val="80"/>
                        <w:sz w:val="38"/>
                      </w:rPr>
                      <w:t>the</w:t>
                    </w:r>
                    <w:r>
                      <w:rPr>
                        <w:color w:val="632423"/>
                        <w:spacing w:val="-44"/>
                        <w:w w:val="80"/>
                        <w:sz w:val="38"/>
                      </w:rPr>
                      <w:t> </w:t>
                    </w:r>
                    <w:r>
                      <w:rPr>
                        <w:color w:val="632423"/>
                        <w:w w:val="80"/>
                        <w:sz w:val="38"/>
                      </w:rPr>
                      <w:t>first</w:t>
                    </w:r>
                    <w:r>
                      <w:rPr>
                        <w:color w:val="632423"/>
                        <w:spacing w:val="-44"/>
                        <w:w w:val="80"/>
                        <w:sz w:val="38"/>
                      </w:rPr>
                      <w:t> </w:t>
                    </w:r>
                    <w:r>
                      <w:rPr>
                        <w:color w:val="632423"/>
                        <w:w w:val="80"/>
                        <w:sz w:val="38"/>
                      </w:rPr>
                      <w:t>generation</w:t>
                    </w:r>
                    <w:r>
                      <w:rPr>
                        <w:color w:val="632423"/>
                        <w:spacing w:val="-43"/>
                        <w:w w:val="80"/>
                        <w:sz w:val="38"/>
                      </w:rPr>
                      <w:t> </w:t>
                    </w:r>
                    <w:r>
                      <w:rPr>
                        <w:color w:val="632423"/>
                        <w:w w:val="80"/>
                        <w:sz w:val="38"/>
                      </w:rPr>
                      <w:t>to</w:t>
                    </w:r>
                    <w:r>
                      <w:rPr>
                        <w:color w:val="632423"/>
                        <w:spacing w:val="-43"/>
                        <w:w w:val="80"/>
                        <w:sz w:val="38"/>
                      </w:rPr>
                      <w:t> </w:t>
                    </w:r>
                    <w:r>
                      <w:rPr>
                        <w:color w:val="632423"/>
                        <w:w w:val="80"/>
                        <w:sz w:val="38"/>
                      </w:rPr>
                      <w:t>feel</w:t>
                    </w:r>
                    <w:r>
                      <w:rPr>
                        <w:color w:val="632423"/>
                        <w:spacing w:val="-44"/>
                        <w:w w:val="80"/>
                        <w:sz w:val="38"/>
                      </w:rPr>
                      <w:t> </w:t>
                    </w:r>
                    <w:r>
                      <w:rPr>
                        <w:color w:val="632423"/>
                        <w:w w:val="80"/>
                        <w:sz w:val="38"/>
                      </w:rPr>
                      <w:t>the</w:t>
                    </w:r>
                    <w:r>
                      <w:rPr>
                        <w:color w:val="632423"/>
                        <w:spacing w:val="-41"/>
                        <w:w w:val="80"/>
                        <w:sz w:val="38"/>
                      </w:rPr>
                      <w:t> </w:t>
                    </w:r>
                    <w:r>
                      <w:rPr>
                        <w:color w:val="632423"/>
                        <w:w w:val="80"/>
                        <w:sz w:val="38"/>
                      </w:rPr>
                      <w:t>effects</w:t>
                    </w:r>
                    <w:r>
                      <w:rPr>
                        <w:color w:val="632423"/>
                        <w:spacing w:val="-43"/>
                        <w:w w:val="80"/>
                        <w:sz w:val="38"/>
                      </w:rPr>
                      <w:t> </w:t>
                    </w:r>
                    <w:r>
                      <w:rPr>
                        <w:color w:val="632423"/>
                        <w:w w:val="80"/>
                        <w:sz w:val="38"/>
                      </w:rPr>
                      <w:t>of</w:t>
                    </w:r>
                    <w:r>
                      <w:rPr>
                        <w:color w:val="632423"/>
                        <w:spacing w:val="-45"/>
                        <w:w w:val="80"/>
                        <w:sz w:val="38"/>
                      </w:rPr>
                      <w:t> </w:t>
                    </w:r>
                    <w:r>
                      <w:rPr>
                        <w:color w:val="632423"/>
                        <w:w w:val="80"/>
                        <w:sz w:val="38"/>
                      </w:rPr>
                      <w:t>climate</w:t>
                    </w:r>
                    <w:r>
                      <w:rPr>
                        <w:color w:val="632423"/>
                        <w:w w:val="77"/>
                        <w:sz w:val="38"/>
                      </w:rPr>
                      <w:t> </w:t>
                    </w:r>
                    <w:r>
                      <w:rPr>
                        <w:color w:val="632423"/>
                        <w:w w:val="80"/>
                        <w:sz w:val="38"/>
                      </w:rPr>
                      <w:t>change</w:t>
                    </w:r>
                    <w:r>
                      <w:rPr>
                        <w:color w:val="632423"/>
                        <w:spacing w:val="-35"/>
                        <w:w w:val="80"/>
                        <w:sz w:val="38"/>
                      </w:rPr>
                      <w:t> </w:t>
                    </w:r>
                    <w:r>
                      <w:rPr>
                        <w:color w:val="632423"/>
                        <w:w w:val="80"/>
                        <w:sz w:val="38"/>
                      </w:rPr>
                      <w:t>and</w:t>
                    </w:r>
                    <w:r>
                      <w:rPr>
                        <w:color w:val="632423"/>
                        <w:spacing w:val="-35"/>
                        <w:w w:val="80"/>
                        <w:sz w:val="38"/>
                      </w:rPr>
                      <w:t> </w:t>
                    </w:r>
                    <w:r>
                      <w:rPr>
                        <w:color w:val="632423"/>
                        <w:w w:val="80"/>
                        <w:sz w:val="38"/>
                      </w:rPr>
                      <w:t>the</w:t>
                    </w:r>
                    <w:r>
                      <w:rPr>
                        <w:color w:val="632423"/>
                        <w:spacing w:val="-35"/>
                        <w:w w:val="80"/>
                        <w:sz w:val="38"/>
                      </w:rPr>
                      <w:t> </w:t>
                    </w:r>
                    <w:r>
                      <w:rPr>
                        <w:color w:val="632423"/>
                        <w:w w:val="80"/>
                        <w:sz w:val="38"/>
                      </w:rPr>
                      <w:t>last</w:t>
                    </w:r>
                    <w:r>
                      <w:rPr>
                        <w:color w:val="632423"/>
                        <w:spacing w:val="-35"/>
                        <w:w w:val="80"/>
                        <w:sz w:val="38"/>
                      </w:rPr>
                      <w:t> </w:t>
                    </w:r>
                    <w:r>
                      <w:rPr>
                        <w:color w:val="632423"/>
                        <w:w w:val="80"/>
                        <w:sz w:val="38"/>
                      </w:rPr>
                      <w:t>thing</w:t>
                    </w:r>
                    <w:r>
                      <w:rPr>
                        <w:color w:val="632423"/>
                        <w:spacing w:val="-34"/>
                        <w:w w:val="80"/>
                        <w:sz w:val="38"/>
                      </w:rPr>
                      <w:t> </w:t>
                    </w:r>
                    <w:r>
                      <w:rPr>
                        <w:color w:val="632423"/>
                        <w:w w:val="80"/>
                        <w:sz w:val="38"/>
                      </w:rPr>
                      <w:t>you</w:t>
                    </w:r>
                    <w:r>
                      <w:rPr>
                        <w:color w:val="632423"/>
                        <w:spacing w:val="-35"/>
                        <w:w w:val="80"/>
                        <w:sz w:val="38"/>
                      </w:rPr>
                      <w:t> </w:t>
                    </w:r>
                    <w:r>
                      <w:rPr>
                        <w:color w:val="632423"/>
                        <w:w w:val="80"/>
                        <w:sz w:val="38"/>
                      </w:rPr>
                      <w:t>can</w:t>
                    </w:r>
                    <w:r>
                      <w:rPr>
                        <w:color w:val="632423"/>
                        <w:spacing w:val="-35"/>
                        <w:w w:val="80"/>
                        <w:sz w:val="38"/>
                      </w:rPr>
                      <w:t> </w:t>
                    </w:r>
                    <w:r>
                      <w:rPr>
                        <w:color w:val="632423"/>
                        <w:w w:val="80"/>
                        <w:sz w:val="38"/>
                      </w:rPr>
                      <w:t>do</w:t>
                    </w:r>
                    <w:r>
                      <w:rPr>
                        <w:color w:val="632423"/>
                        <w:spacing w:val="-32"/>
                        <w:w w:val="80"/>
                        <w:sz w:val="38"/>
                      </w:rPr>
                      <w:t> </w:t>
                    </w:r>
                    <w:r>
                      <w:rPr>
                        <w:color w:val="632423"/>
                        <w:w w:val="80"/>
                        <w:sz w:val="38"/>
                      </w:rPr>
                      <w:t>something</w:t>
                    </w:r>
                    <w:r>
                      <w:rPr>
                        <w:color w:val="632423"/>
                        <w:spacing w:val="-35"/>
                        <w:w w:val="80"/>
                        <w:sz w:val="38"/>
                      </w:rPr>
                      <w:t> </w:t>
                    </w:r>
                    <w:r>
                      <w:rPr>
                        <w:color w:val="632423"/>
                        <w:w w:val="80"/>
                        <w:sz w:val="38"/>
                      </w:rPr>
                      <w:t>about</w:t>
                    </w:r>
                    <w:r>
                      <w:rPr>
                        <w:color w:val="632423"/>
                        <w:spacing w:val="-35"/>
                        <w:w w:val="80"/>
                        <w:sz w:val="38"/>
                      </w:rPr>
                      <w:t> </w:t>
                    </w:r>
                    <w:r>
                      <w:rPr>
                        <w:color w:val="632423"/>
                        <w:w w:val="80"/>
                        <w:sz w:val="38"/>
                      </w:rPr>
                      <w:t>it”.</w:t>
                    </w:r>
                  </w:p>
                  <w:p>
                    <w:pPr>
                      <w:spacing w:line="256" w:lineRule="auto" w:before="248"/>
                      <w:ind w:left="5642" w:right="144" w:firstLine="1171"/>
                      <w:jc w:val="right"/>
                      <w:rPr>
                        <w:sz w:val="23"/>
                      </w:rPr>
                    </w:pPr>
                    <w:r>
                      <w:rPr>
                        <w:color w:val="632423"/>
                        <w:w w:val="75"/>
                        <w:sz w:val="23"/>
                      </w:rPr>
                      <w:t>Barack Obama,</w:t>
                    </w:r>
                    <w:r>
                      <w:rPr>
                        <w:color w:val="632423"/>
                        <w:w w:val="78"/>
                        <w:sz w:val="23"/>
                      </w:rPr>
                      <w:t> </w:t>
                    </w:r>
                    <w:r>
                      <w:rPr>
                        <w:color w:val="632423"/>
                        <w:w w:val="80"/>
                        <w:sz w:val="23"/>
                      </w:rPr>
                      <w:t>President of the United States</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Heading1"/>
        <w:spacing w:before="35"/>
        <w:ind w:left="276"/>
      </w:pPr>
      <w:r>
        <w:rPr/>
        <w:pict>
          <v:rect style="position:absolute;margin-left:98.392403pt;margin-top:34.744675pt;width:444.72pt;height:6pt;mso-position-horizontal-relative:page;mso-position-vertical-relative:paragraph;z-index:1288;mso-wrap-distance-left:0;mso-wrap-distance-right:0" filled="true" fillcolor="#943634" stroked="false">
            <v:fill type="solid"/>
            <w10:wrap type="topAndBottom"/>
          </v:rect>
        </w:pict>
      </w:r>
      <w:bookmarkStart w:name="_TOC_250028" w:id="2"/>
      <w:bookmarkEnd w:id="2"/>
      <w:r>
        <w:rPr/>
        <w:t>Abstract</w:t>
      </w:r>
    </w:p>
    <w:p>
      <w:pPr>
        <w:pStyle w:val="BodyText"/>
        <w:rPr>
          <w:b/>
          <w:sz w:val="20"/>
        </w:rPr>
      </w:pPr>
    </w:p>
    <w:p>
      <w:pPr>
        <w:pStyle w:val="BodyText"/>
        <w:rPr>
          <w:b/>
          <w:sz w:val="20"/>
        </w:rPr>
      </w:pPr>
    </w:p>
    <w:p>
      <w:pPr>
        <w:pStyle w:val="BodyText"/>
        <w:spacing w:before="1"/>
        <w:rPr>
          <w:b/>
        </w:rPr>
      </w:pPr>
    </w:p>
    <w:p>
      <w:pPr>
        <w:pStyle w:val="BodyText"/>
        <w:spacing w:line="360" w:lineRule="auto" w:before="69"/>
        <w:ind w:left="276" w:right="223"/>
        <w:jc w:val="both"/>
      </w:pPr>
      <w:r>
        <w:rPr/>
        <w:t>Nowadays, reduction of greenhouse gases (GHG) is an international requirement. Intensive livestock farming is a considerable source of greenhouse gases into the atmosphere, being the enteric fermentation one of the main sources of methane in this activity, with ruminants located in the first place of importance. Methane production depends mainly on the quantity and quality of food eaten, being the digestibility of the ration one of the most influential factors, establishing a negative correlation between the digestibility of diets and methane emissions. This is why estimations of GHG are mandatory and must be reflected in the National Inventory of</w:t>
      </w:r>
      <w:r>
        <w:rPr>
          <w:spacing w:val="-6"/>
        </w:rPr>
        <w:t> </w:t>
      </w:r>
      <w:r>
        <w:rPr/>
        <w:t>Greenhouse</w:t>
      </w:r>
      <w:r>
        <w:rPr>
          <w:spacing w:val="-6"/>
        </w:rPr>
        <w:t> </w:t>
      </w:r>
      <w:r>
        <w:rPr/>
        <w:t>gases.</w:t>
      </w:r>
      <w:r>
        <w:rPr>
          <w:spacing w:val="-6"/>
        </w:rPr>
        <w:t> </w:t>
      </w:r>
      <w:r>
        <w:rPr/>
        <w:t>To</w:t>
      </w:r>
      <w:r>
        <w:rPr>
          <w:spacing w:val="-6"/>
        </w:rPr>
        <w:t> </w:t>
      </w:r>
      <w:r>
        <w:rPr/>
        <w:t>this</w:t>
      </w:r>
      <w:r>
        <w:rPr>
          <w:spacing w:val="-6"/>
        </w:rPr>
        <w:t> </w:t>
      </w:r>
      <w:r>
        <w:rPr/>
        <w:t>end,</w:t>
      </w:r>
      <w:r>
        <w:rPr>
          <w:spacing w:val="-6"/>
        </w:rPr>
        <w:t> </w:t>
      </w:r>
      <w:r>
        <w:rPr/>
        <w:t>the</w:t>
      </w:r>
      <w:r>
        <w:rPr>
          <w:spacing w:val="-6"/>
        </w:rPr>
        <w:t> </w:t>
      </w:r>
      <w:r>
        <w:rPr/>
        <w:t>Intergovernmental</w:t>
      </w:r>
      <w:r>
        <w:rPr>
          <w:spacing w:val="-6"/>
        </w:rPr>
        <w:t> </w:t>
      </w:r>
      <w:r>
        <w:rPr/>
        <w:t>Panel</w:t>
      </w:r>
      <w:r>
        <w:rPr>
          <w:spacing w:val="-6"/>
        </w:rPr>
        <w:t> </w:t>
      </w:r>
      <w:r>
        <w:rPr/>
        <w:t>on</w:t>
      </w:r>
      <w:r>
        <w:rPr>
          <w:spacing w:val="-6"/>
        </w:rPr>
        <w:t> </w:t>
      </w:r>
      <w:r>
        <w:rPr/>
        <w:t>Climate</w:t>
      </w:r>
      <w:r>
        <w:rPr>
          <w:spacing w:val="-6"/>
        </w:rPr>
        <w:t> </w:t>
      </w:r>
      <w:r>
        <w:rPr/>
        <w:t>Change (IPCC) has proposed three levels of approach (Tier 1, Tier 2 and Tier 3) used according to its complexity and data availability, to estimate enteric CH</w:t>
      </w:r>
      <w:r>
        <w:rPr>
          <w:position w:val="-2"/>
          <w:sz w:val="16"/>
        </w:rPr>
        <w:t>4 </w:t>
      </w:r>
      <w:r>
        <w:rPr/>
        <w:t>emissions from</w:t>
      </w:r>
      <w:r>
        <w:rPr>
          <w:spacing w:val="-11"/>
        </w:rPr>
        <w:t> </w:t>
      </w:r>
      <w:r>
        <w:rPr/>
        <w:t>livestock,</w:t>
      </w:r>
      <w:r>
        <w:rPr>
          <w:spacing w:val="-11"/>
        </w:rPr>
        <w:t> </w:t>
      </w:r>
      <w:r>
        <w:rPr/>
        <w:t>they</w:t>
      </w:r>
      <w:r>
        <w:rPr>
          <w:spacing w:val="-11"/>
        </w:rPr>
        <w:t> </w:t>
      </w:r>
      <w:r>
        <w:rPr/>
        <w:t>also</w:t>
      </w:r>
      <w:r>
        <w:rPr>
          <w:spacing w:val="-11"/>
        </w:rPr>
        <w:t> </w:t>
      </w:r>
      <w:r>
        <w:rPr/>
        <w:t>provide</w:t>
      </w:r>
      <w:r>
        <w:rPr>
          <w:spacing w:val="-11"/>
        </w:rPr>
        <w:t> </w:t>
      </w:r>
      <w:r>
        <w:rPr/>
        <w:t>equations</w:t>
      </w:r>
      <w:r>
        <w:rPr>
          <w:spacing w:val="-11"/>
        </w:rPr>
        <w:t> </w:t>
      </w:r>
      <w:r>
        <w:rPr/>
        <w:t>to</w:t>
      </w:r>
      <w:r>
        <w:rPr>
          <w:spacing w:val="-11"/>
        </w:rPr>
        <w:t> </w:t>
      </w:r>
      <w:r>
        <w:rPr/>
        <w:t>calculate</w:t>
      </w:r>
      <w:r>
        <w:rPr>
          <w:spacing w:val="-11"/>
        </w:rPr>
        <w:t> </w:t>
      </w:r>
      <w:r>
        <w:rPr/>
        <w:t>emissions</w:t>
      </w:r>
      <w:r>
        <w:rPr>
          <w:spacing w:val="-11"/>
        </w:rPr>
        <w:t> </w:t>
      </w:r>
      <w:r>
        <w:rPr/>
        <w:t>that</w:t>
      </w:r>
      <w:r>
        <w:rPr>
          <w:spacing w:val="-11"/>
        </w:rPr>
        <w:t> </w:t>
      </w:r>
      <w:r>
        <w:rPr/>
        <w:t>dependent</w:t>
      </w:r>
      <w:r>
        <w:rPr>
          <w:spacing w:val="-10"/>
        </w:rPr>
        <w:t> </w:t>
      </w:r>
      <w:r>
        <w:rPr/>
        <w:t>on several factors, where methane conversion factor (Ym) is decisive. However, research to obtain values of Ym at national level are scarce and the relationship of feeding cattle with this factor has not been fully studied in the different milk production systems. To obtain enteric methane emissions from cattle in the   </w:t>
      </w:r>
      <w:r>
        <w:rPr>
          <w:spacing w:val="3"/>
        </w:rPr>
        <w:t> </w:t>
      </w:r>
      <w:r>
        <w:rPr/>
        <w:t>south</w:t>
      </w:r>
    </w:p>
    <w:p>
      <w:pPr>
        <w:spacing w:after="0" w:line="360" w:lineRule="auto"/>
        <w:jc w:val="both"/>
        <w:sectPr>
          <w:headerReference w:type="default" r:id="rId19"/>
          <w:footerReference w:type="default" r:id="rId20"/>
          <w:pgSz w:w="12240" w:h="15840"/>
          <w:pgMar w:header="0" w:footer="739" w:top="1500" w:bottom="920" w:left="1720" w:right="1180"/>
          <w:pgNumType w:start="9"/>
        </w:sectPr>
      </w:pPr>
    </w:p>
    <w:p>
      <w:pPr>
        <w:pStyle w:val="BodyText"/>
        <w:spacing w:line="360" w:lineRule="auto" w:before="41"/>
        <w:ind w:left="276" w:right="143"/>
        <w:jc w:val="both"/>
      </w:pPr>
      <w:r>
        <w:rPr/>
        <w:t>east zone of the State of Mexico, a survey was designed and implemented in 21 units of small-scale dairy production on a monthly basis for a year, (from 2012 to 2013)</w:t>
      </w:r>
      <w:r>
        <w:rPr>
          <w:spacing w:val="-14"/>
        </w:rPr>
        <w:t> </w:t>
      </w:r>
      <w:r>
        <w:rPr/>
        <w:t>to</w:t>
      </w:r>
      <w:r>
        <w:rPr>
          <w:spacing w:val="-15"/>
        </w:rPr>
        <w:t> </w:t>
      </w:r>
      <w:r>
        <w:rPr/>
        <w:t>obtain:</w:t>
      </w:r>
      <w:r>
        <w:rPr>
          <w:spacing w:val="-14"/>
        </w:rPr>
        <w:t> </w:t>
      </w:r>
      <w:r>
        <w:rPr/>
        <w:t>the</w:t>
      </w:r>
      <w:r>
        <w:rPr>
          <w:spacing w:val="-14"/>
        </w:rPr>
        <w:t> </w:t>
      </w:r>
      <w:r>
        <w:rPr/>
        <w:t>physiological</w:t>
      </w:r>
      <w:r>
        <w:rPr>
          <w:spacing w:val="-14"/>
        </w:rPr>
        <w:t> </w:t>
      </w:r>
      <w:r>
        <w:rPr/>
        <w:t>state</w:t>
      </w:r>
      <w:r>
        <w:rPr>
          <w:spacing w:val="-14"/>
        </w:rPr>
        <w:t> </w:t>
      </w:r>
      <w:r>
        <w:rPr/>
        <w:t>of</w:t>
      </w:r>
      <w:r>
        <w:rPr>
          <w:spacing w:val="-14"/>
        </w:rPr>
        <w:t> </w:t>
      </w:r>
      <w:r>
        <w:rPr/>
        <w:t>the</w:t>
      </w:r>
      <w:r>
        <w:rPr>
          <w:spacing w:val="-14"/>
        </w:rPr>
        <w:t> </w:t>
      </w:r>
      <w:r>
        <w:rPr/>
        <w:t>herd,</w:t>
      </w:r>
      <w:r>
        <w:rPr>
          <w:spacing w:val="-14"/>
        </w:rPr>
        <w:t> </w:t>
      </w:r>
      <w:r>
        <w:rPr/>
        <w:t>characteristics</w:t>
      </w:r>
      <w:r>
        <w:rPr>
          <w:spacing w:val="-14"/>
        </w:rPr>
        <w:t> </w:t>
      </w:r>
      <w:r>
        <w:rPr/>
        <w:t>of</w:t>
      </w:r>
      <w:r>
        <w:rPr>
          <w:spacing w:val="-14"/>
        </w:rPr>
        <w:t> </w:t>
      </w:r>
      <w:r>
        <w:rPr/>
        <w:t>consumed</w:t>
      </w:r>
      <w:r>
        <w:rPr>
          <w:spacing w:val="-14"/>
        </w:rPr>
        <w:t> </w:t>
      </w:r>
      <w:r>
        <w:rPr/>
        <w:t>diets and</w:t>
      </w:r>
      <w:r>
        <w:rPr>
          <w:spacing w:val="-6"/>
        </w:rPr>
        <w:t> </w:t>
      </w:r>
      <w:r>
        <w:rPr/>
        <w:t>energy</w:t>
      </w:r>
      <w:r>
        <w:rPr>
          <w:spacing w:val="-6"/>
        </w:rPr>
        <w:t> </w:t>
      </w:r>
      <w:r>
        <w:rPr/>
        <w:t>needs,</w:t>
      </w:r>
      <w:r>
        <w:rPr>
          <w:spacing w:val="-6"/>
        </w:rPr>
        <w:t> </w:t>
      </w:r>
      <w:r>
        <w:rPr/>
        <w:t>using</w:t>
      </w:r>
      <w:r>
        <w:rPr>
          <w:spacing w:val="-6"/>
        </w:rPr>
        <w:t> </w:t>
      </w:r>
      <w:r>
        <w:rPr/>
        <w:t>the</w:t>
      </w:r>
      <w:r>
        <w:rPr>
          <w:spacing w:val="-6"/>
        </w:rPr>
        <w:t> </w:t>
      </w:r>
      <w:r>
        <w:rPr/>
        <w:t>guidelines</w:t>
      </w:r>
      <w:r>
        <w:rPr>
          <w:spacing w:val="-6"/>
        </w:rPr>
        <w:t> </w:t>
      </w:r>
      <w:r>
        <w:rPr/>
        <w:t>of</w:t>
      </w:r>
      <w:r>
        <w:rPr>
          <w:spacing w:val="-6"/>
        </w:rPr>
        <w:t> </w:t>
      </w:r>
      <w:r>
        <w:rPr/>
        <w:t>the</w:t>
      </w:r>
      <w:r>
        <w:rPr>
          <w:spacing w:val="-6"/>
        </w:rPr>
        <w:t> </w:t>
      </w:r>
      <w:r>
        <w:rPr/>
        <w:t>IPCC</w:t>
      </w:r>
      <w:r>
        <w:rPr>
          <w:spacing w:val="-6"/>
        </w:rPr>
        <w:t> </w:t>
      </w:r>
      <w:r>
        <w:rPr/>
        <w:t>in</w:t>
      </w:r>
      <w:r>
        <w:rPr>
          <w:spacing w:val="-6"/>
        </w:rPr>
        <w:t> </w:t>
      </w:r>
      <w:r>
        <w:rPr/>
        <w:t>its</w:t>
      </w:r>
      <w:r>
        <w:rPr>
          <w:spacing w:val="-6"/>
        </w:rPr>
        <w:t> </w:t>
      </w:r>
      <w:r>
        <w:rPr/>
        <w:t>Tier</w:t>
      </w:r>
      <w:r>
        <w:rPr>
          <w:spacing w:val="-6"/>
        </w:rPr>
        <w:t> </w:t>
      </w:r>
      <w:r>
        <w:rPr/>
        <w:t>2.</w:t>
      </w:r>
      <w:r>
        <w:rPr>
          <w:spacing w:val="-6"/>
        </w:rPr>
        <w:t> </w:t>
      </w:r>
      <w:r>
        <w:rPr/>
        <w:t>For</w:t>
      </w:r>
      <w:r>
        <w:rPr>
          <w:spacing w:val="-6"/>
        </w:rPr>
        <w:t> </w:t>
      </w:r>
      <w:r>
        <w:rPr/>
        <w:t>obtaining</w:t>
      </w:r>
      <w:r>
        <w:rPr>
          <w:spacing w:val="-6"/>
        </w:rPr>
        <w:t> </w:t>
      </w:r>
      <w:r>
        <w:rPr/>
        <w:t>gross energy, equations of the IPCC (2006) and the technique of Tindel and Terry (1963) were used, to determinate the methane conversion factors (Ym) of the different subcategories of cattle, it was necessary to use equations of the IPCC (2006) and the equation of Cambra-López </w:t>
      </w:r>
      <w:r>
        <w:rPr>
          <w:i/>
        </w:rPr>
        <w:t>et al. </w:t>
      </w:r>
      <w:r>
        <w:rPr/>
        <w:t>(2008), in order to obtain national Ym values different from the ones provided by the IPCC (2006). Total estimations of enteric methane from the 21 units in small-scale dairy production correspond to 348 </w:t>
      </w:r>
      <w:r>
        <w:rPr>
          <w:spacing w:val="3"/>
        </w:rPr>
        <w:t> </w:t>
      </w:r>
      <w:r>
        <w:rPr/>
        <w:t>cows:</w:t>
      </w:r>
    </w:p>
    <w:p>
      <w:pPr>
        <w:pStyle w:val="BodyText"/>
        <w:spacing w:line="326" w:lineRule="auto" w:before="2"/>
        <w:ind w:left="276" w:right="144"/>
        <w:jc w:val="both"/>
      </w:pPr>
      <w:r>
        <w:rPr/>
        <w:t>188 dairy cows, 38 dry cows, 22 heifers, 34 heifers calves and 66 calves. These animal subcategories issued a total of 39,241.79 Gg CH</w:t>
      </w:r>
      <w:r>
        <w:rPr>
          <w:position w:val="-2"/>
          <w:sz w:val="16"/>
        </w:rPr>
        <w:t>4 </w:t>
      </w:r>
      <w:r>
        <w:rPr/>
        <w:t>yr</w:t>
      </w:r>
      <w:r>
        <w:rPr>
          <w:position w:val="11"/>
          <w:sz w:val="16"/>
        </w:rPr>
        <w:t>-1</w:t>
      </w:r>
      <w:r>
        <w:rPr/>
        <w:t>. The contribution of cows in production was 30,657.82 Gg CH</w:t>
      </w:r>
      <w:r>
        <w:rPr>
          <w:position w:val="-2"/>
          <w:sz w:val="16"/>
        </w:rPr>
        <w:t>4 </w:t>
      </w:r>
      <w:r>
        <w:rPr/>
        <w:t>yr</w:t>
      </w:r>
      <w:r>
        <w:rPr>
          <w:position w:val="11"/>
          <w:sz w:val="16"/>
        </w:rPr>
        <w:t>-1</w:t>
      </w:r>
      <w:r>
        <w:rPr/>
        <w:t>, dry cows 2,884.04 Gg CH</w:t>
      </w:r>
      <w:r>
        <w:rPr>
          <w:position w:val="-2"/>
          <w:sz w:val="16"/>
        </w:rPr>
        <w:t>4 </w:t>
      </w:r>
      <w:r>
        <w:rPr/>
        <w:t>yr</w:t>
      </w:r>
      <w:r>
        <w:rPr>
          <w:position w:val="11"/>
          <w:sz w:val="16"/>
        </w:rPr>
        <w:t>-1</w:t>
      </w:r>
      <w:r>
        <w:rPr/>
        <w:t>, heifers 1,370.31 Gg CH</w:t>
      </w:r>
      <w:r>
        <w:rPr>
          <w:position w:val="-2"/>
          <w:sz w:val="16"/>
        </w:rPr>
        <w:t>4 </w:t>
      </w:r>
      <w:r>
        <w:rPr/>
        <w:t>yr</w:t>
      </w:r>
      <w:r>
        <w:rPr>
          <w:position w:val="11"/>
          <w:sz w:val="16"/>
        </w:rPr>
        <w:t>-1</w:t>
      </w:r>
      <w:r>
        <w:rPr/>
        <w:t>, heifers calves 1,865.13 Gg CH</w:t>
      </w:r>
      <w:r>
        <w:rPr>
          <w:position w:val="-2"/>
          <w:sz w:val="16"/>
        </w:rPr>
        <w:t>4 </w:t>
      </w:r>
      <w:r>
        <w:rPr/>
        <w:t>yr</w:t>
      </w:r>
      <w:r>
        <w:rPr>
          <w:position w:val="11"/>
          <w:sz w:val="16"/>
        </w:rPr>
        <w:t>-1 </w:t>
      </w:r>
      <w:r>
        <w:rPr/>
        <w:t>and calves 2,461.49 Gg CH</w:t>
      </w:r>
      <w:r>
        <w:rPr>
          <w:position w:val="-2"/>
          <w:sz w:val="16"/>
        </w:rPr>
        <w:t>4 </w:t>
      </w:r>
      <w:r>
        <w:rPr/>
        <w:t>year</w:t>
      </w:r>
      <w:r>
        <w:rPr>
          <w:position w:val="11"/>
          <w:sz w:val="16"/>
        </w:rPr>
        <w:t>-1</w:t>
      </w:r>
      <w:r>
        <w:rPr/>
        <w:t>, being the dairy cows the ones that emitted the greatest amount of enteric CH</w:t>
      </w:r>
      <w:r>
        <w:rPr>
          <w:position w:val="-2"/>
          <w:sz w:val="16"/>
        </w:rPr>
        <w:t>4  </w:t>
      </w:r>
      <w:r>
        <w:rPr/>
        <w:t>to the atmosphere. Finally, Ym estimation varied from 6.9 to</w:t>
      </w:r>
    </w:p>
    <w:p>
      <w:pPr>
        <w:pStyle w:val="BodyText"/>
        <w:spacing w:before="22"/>
        <w:ind w:left="276"/>
        <w:jc w:val="both"/>
      </w:pPr>
      <w:r>
        <w:rPr/>
        <w:t>7.2 depending on the physiological state of the animal.</w:t>
      </w:r>
    </w:p>
    <w:p>
      <w:pPr>
        <w:pStyle w:val="BodyText"/>
      </w:pPr>
    </w:p>
    <w:p>
      <w:pPr>
        <w:pStyle w:val="BodyText"/>
      </w:pPr>
    </w:p>
    <w:p>
      <w:pPr>
        <w:pStyle w:val="BodyText"/>
      </w:pPr>
    </w:p>
    <w:p>
      <w:pPr>
        <w:spacing w:before="138"/>
        <w:ind w:left="276" w:right="0" w:firstLine="0"/>
        <w:jc w:val="both"/>
        <w:rPr>
          <w:b/>
          <w:sz w:val="40"/>
        </w:rPr>
      </w:pPr>
      <w:r>
        <w:rPr>
          <w:b/>
          <w:sz w:val="40"/>
        </w:rPr>
        <w:t>Keywords</w:t>
      </w:r>
    </w:p>
    <w:p>
      <w:pPr>
        <w:pStyle w:val="BodyText"/>
        <w:spacing w:line="360" w:lineRule="auto" w:before="232"/>
        <w:ind w:left="276" w:right="144"/>
        <w:jc w:val="both"/>
      </w:pPr>
      <w:r>
        <w:rPr/>
        <w:t>Greenhouse gases, IPCC, milk production systems, enteric fermentation, methane conversion factor and environment.</w:t>
      </w:r>
    </w:p>
    <w:p>
      <w:pPr>
        <w:spacing w:after="0" w:line="360" w:lineRule="auto"/>
        <w:jc w:val="both"/>
        <w:sectPr>
          <w:headerReference w:type="default" r:id="rId23"/>
          <w:footerReference w:type="default" r:id="rId24"/>
          <w:pgSz w:w="12240" w:h="15840"/>
          <w:pgMar w:header="0" w:footer="739" w:top="1380" w:bottom="920" w:left="1720" w:right="1260"/>
          <w:pgNumType w:start="10"/>
        </w:sectPr>
      </w:pPr>
    </w:p>
    <w:p>
      <w:pPr>
        <w:pStyle w:val="BodyText"/>
      </w:pPr>
    </w:p>
    <w:p>
      <w:pPr>
        <w:pStyle w:val="BodyText"/>
        <w:ind w:left="1327"/>
        <w:rPr>
          <w:sz w:val="20"/>
        </w:rPr>
      </w:pPr>
      <w:r>
        <w:rPr>
          <w:sz w:val="20"/>
        </w:rPr>
        <w:pict>
          <v:group style="width:412.1pt;height:181.95pt;mso-position-horizontal-relative:char;mso-position-vertical-relative:line" coordorigin="0,0" coordsize="8242,3639">
            <v:shape style="position:absolute;left:0;top:0;width:8242;height:3638" type="#_x0000_t75" stroked="false">
              <v:imagedata r:id="rId27" o:title=""/>
            </v:shape>
            <v:shape style="position:absolute;left:432;top:5;width:206;height:552" type="#_x0000_t75" stroked="false">
              <v:imagedata r:id="rId9" o:title=""/>
            </v:shape>
            <v:shape style="position:absolute;left:710;top:5;width:206;height:552" type="#_x0000_t75" stroked="false">
              <v:imagedata r:id="rId10" o:title=""/>
            </v:shape>
            <v:shape style="position:absolute;left:0;top:0;width:8242;height:3639" type="#_x0000_t202" filled="false" stroked="false">
              <v:textbox inset="0,0,0,0">
                <w:txbxContent>
                  <w:p>
                    <w:pPr>
                      <w:spacing w:line="240" w:lineRule="auto" w:before="7"/>
                      <w:rPr>
                        <w:sz w:val="46"/>
                      </w:rPr>
                    </w:pPr>
                  </w:p>
                  <w:p>
                    <w:pPr>
                      <w:spacing w:line="242" w:lineRule="auto" w:before="0"/>
                      <w:ind w:left="595" w:right="136" w:firstLine="1118"/>
                      <w:jc w:val="both"/>
                      <w:rPr>
                        <w:sz w:val="38"/>
                      </w:rPr>
                    </w:pPr>
                    <w:r>
                      <w:rPr>
                        <w:color w:val="632423"/>
                        <w:w w:val="80"/>
                        <w:sz w:val="38"/>
                      </w:rPr>
                      <w:t>La</w:t>
                    </w:r>
                    <w:r>
                      <w:rPr>
                        <w:color w:val="632423"/>
                        <w:spacing w:val="-54"/>
                        <w:w w:val="80"/>
                        <w:sz w:val="38"/>
                      </w:rPr>
                      <w:t> </w:t>
                    </w:r>
                    <w:r>
                      <w:rPr>
                        <w:color w:val="632423"/>
                        <w:w w:val="80"/>
                        <w:sz w:val="38"/>
                      </w:rPr>
                      <w:t>producción</w:t>
                    </w:r>
                    <w:r>
                      <w:rPr>
                        <w:color w:val="632423"/>
                        <w:spacing w:val="-54"/>
                        <w:w w:val="80"/>
                        <w:sz w:val="38"/>
                      </w:rPr>
                      <w:t> </w:t>
                    </w:r>
                    <w:r>
                      <w:rPr>
                        <w:color w:val="632423"/>
                        <w:w w:val="80"/>
                        <w:sz w:val="38"/>
                      </w:rPr>
                      <w:t>animal</w:t>
                    </w:r>
                    <w:r>
                      <w:rPr>
                        <w:color w:val="632423"/>
                        <w:spacing w:val="-55"/>
                        <w:w w:val="80"/>
                        <w:sz w:val="38"/>
                      </w:rPr>
                      <w:t> </w:t>
                    </w:r>
                    <w:r>
                      <w:rPr>
                        <w:color w:val="632423"/>
                        <w:w w:val="80"/>
                        <w:sz w:val="38"/>
                      </w:rPr>
                      <w:t>es</w:t>
                    </w:r>
                    <w:r>
                      <w:rPr>
                        <w:color w:val="632423"/>
                        <w:spacing w:val="-54"/>
                        <w:w w:val="80"/>
                        <w:sz w:val="38"/>
                      </w:rPr>
                      <w:t> </w:t>
                    </w:r>
                    <w:r>
                      <w:rPr>
                        <w:color w:val="632423"/>
                        <w:w w:val="80"/>
                        <w:sz w:val="38"/>
                      </w:rPr>
                      <w:t>una</w:t>
                    </w:r>
                    <w:r>
                      <w:rPr>
                        <w:color w:val="632423"/>
                        <w:spacing w:val="-52"/>
                        <w:w w:val="80"/>
                        <w:sz w:val="38"/>
                      </w:rPr>
                      <w:t> </w:t>
                    </w:r>
                    <w:r>
                      <w:rPr>
                        <w:color w:val="632423"/>
                        <w:w w:val="80"/>
                        <w:sz w:val="38"/>
                      </w:rPr>
                      <w:t>fuente</w:t>
                    </w:r>
                    <w:r>
                      <w:rPr>
                        <w:color w:val="632423"/>
                        <w:spacing w:val="-54"/>
                        <w:w w:val="80"/>
                        <w:sz w:val="38"/>
                      </w:rPr>
                      <w:t> </w:t>
                    </w:r>
                    <w:r>
                      <w:rPr>
                        <w:color w:val="632423"/>
                        <w:w w:val="80"/>
                        <w:sz w:val="38"/>
                      </w:rPr>
                      <w:t>importante</w:t>
                    </w:r>
                    <w:r>
                      <w:rPr>
                        <w:color w:val="632423"/>
                        <w:spacing w:val="-54"/>
                        <w:w w:val="80"/>
                        <w:sz w:val="38"/>
                      </w:rPr>
                      <w:t> </w:t>
                    </w:r>
                    <w:r>
                      <w:rPr>
                        <w:color w:val="632423"/>
                        <w:w w:val="80"/>
                        <w:sz w:val="38"/>
                      </w:rPr>
                      <w:t>de emisiones</w:t>
                    </w:r>
                    <w:r>
                      <w:rPr>
                        <w:color w:val="632423"/>
                        <w:spacing w:val="-53"/>
                        <w:w w:val="80"/>
                        <w:sz w:val="38"/>
                      </w:rPr>
                      <w:t> </w:t>
                    </w:r>
                    <w:r>
                      <w:rPr>
                        <w:color w:val="632423"/>
                        <w:w w:val="80"/>
                        <w:sz w:val="38"/>
                      </w:rPr>
                      <w:t>de</w:t>
                    </w:r>
                    <w:r>
                      <w:rPr>
                        <w:color w:val="632423"/>
                        <w:spacing w:val="-53"/>
                        <w:w w:val="80"/>
                        <w:sz w:val="38"/>
                      </w:rPr>
                      <w:t> </w:t>
                    </w:r>
                    <w:r>
                      <w:rPr>
                        <w:color w:val="632423"/>
                        <w:w w:val="80"/>
                        <w:sz w:val="38"/>
                      </w:rPr>
                      <w:t>GEI</w:t>
                    </w:r>
                    <w:r>
                      <w:rPr>
                        <w:color w:val="632423"/>
                        <w:spacing w:val="-52"/>
                        <w:w w:val="80"/>
                        <w:sz w:val="38"/>
                      </w:rPr>
                      <w:t> </w:t>
                    </w:r>
                    <w:r>
                      <w:rPr>
                        <w:color w:val="632423"/>
                        <w:w w:val="80"/>
                        <w:sz w:val="38"/>
                      </w:rPr>
                      <w:t>en</w:t>
                    </w:r>
                    <w:r>
                      <w:rPr>
                        <w:color w:val="632423"/>
                        <w:spacing w:val="-53"/>
                        <w:w w:val="80"/>
                        <w:sz w:val="38"/>
                      </w:rPr>
                      <w:t> </w:t>
                    </w:r>
                    <w:r>
                      <w:rPr>
                        <w:color w:val="632423"/>
                        <w:w w:val="80"/>
                        <w:sz w:val="38"/>
                      </w:rPr>
                      <w:t>todo</w:t>
                    </w:r>
                    <w:r>
                      <w:rPr>
                        <w:color w:val="632423"/>
                        <w:spacing w:val="-52"/>
                        <w:w w:val="80"/>
                        <w:sz w:val="38"/>
                      </w:rPr>
                      <w:t> </w:t>
                    </w:r>
                    <w:r>
                      <w:rPr>
                        <w:color w:val="632423"/>
                        <w:w w:val="80"/>
                        <w:sz w:val="38"/>
                      </w:rPr>
                      <w:t>el</w:t>
                    </w:r>
                    <w:r>
                      <w:rPr>
                        <w:color w:val="632423"/>
                        <w:spacing w:val="-53"/>
                        <w:w w:val="80"/>
                        <w:sz w:val="38"/>
                      </w:rPr>
                      <w:t> </w:t>
                    </w:r>
                    <w:r>
                      <w:rPr>
                        <w:color w:val="632423"/>
                        <w:w w:val="80"/>
                        <w:sz w:val="38"/>
                      </w:rPr>
                      <w:t>mundo.</w:t>
                    </w:r>
                    <w:r>
                      <w:rPr>
                        <w:color w:val="632423"/>
                        <w:spacing w:val="-54"/>
                        <w:w w:val="80"/>
                        <w:sz w:val="38"/>
                      </w:rPr>
                      <w:t> </w:t>
                    </w:r>
                    <w:r>
                      <w:rPr>
                        <w:color w:val="632423"/>
                        <w:w w:val="80"/>
                        <w:sz w:val="38"/>
                      </w:rPr>
                      <w:t>Se</w:t>
                    </w:r>
                    <w:r>
                      <w:rPr>
                        <w:color w:val="632423"/>
                        <w:spacing w:val="-53"/>
                        <w:w w:val="80"/>
                        <w:sz w:val="38"/>
                      </w:rPr>
                      <w:t> </w:t>
                    </w:r>
                    <w:r>
                      <w:rPr>
                        <w:color w:val="632423"/>
                        <w:w w:val="80"/>
                        <w:sz w:val="38"/>
                      </w:rPr>
                      <w:t>ha</w:t>
                    </w:r>
                    <w:r>
                      <w:rPr>
                        <w:color w:val="632423"/>
                        <w:spacing w:val="-53"/>
                        <w:w w:val="80"/>
                        <w:sz w:val="38"/>
                      </w:rPr>
                      <w:t> </w:t>
                    </w:r>
                    <w:r>
                      <w:rPr>
                        <w:color w:val="632423"/>
                        <w:w w:val="80"/>
                        <w:sz w:val="38"/>
                      </w:rPr>
                      <w:t>calculado</w:t>
                    </w:r>
                    <w:r>
                      <w:rPr>
                        <w:color w:val="632423"/>
                        <w:spacing w:val="-52"/>
                        <w:w w:val="80"/>
                        <w:sz w:val="38"/>
                      </w:rPr>
                      <w:t> </w:t>
                    </w:r>
                    <w:r>
                      <w:rPr>
                        <w:color w:val="632423"/>
                        <w:w w:val="80"/>
                        <w:sz w:val="38"/>
                      </w:rPr>
                      <w:t>que</w:t>
                    </w:r>
                    <w:r>
                      <w:rPr>
                        <w:color w:val="632423"/>
                        <w:spacing w:val="-53"/>
                        <w:w w:val="80"/>
                        <w:sz w:val="38"/>
                      </w:rPr>
                      <w:t> </w:t>
                    </w:r>
                    <w:r>
                      <w:rPr>
                        <w:color w:val="632423"/>
                        <w:w w:val="80"/>
                        <w:sz w:val="38"/>
                      </w:rPr>
                      <w:t>la contribución</w:t>
                    </w:r>
                    <w:r>
                      <w:rPr>
                        <w:color w:val="632423"/>
                        <w:spacing w:val="-45"/>
                        <w:w w:val="80"/>
                        <w:sz w:val="38"/>
                      </w:rPr>
                      <w:t> </w:t>
                    </w:r>
                    <w:r>
                      <w:rPr>
                        <w:color w:val="632423"/>
                        <w:w w:val="80"/>
                        <w:sz w:val="38"/>
                      </w:rPr>
                      <w:t>del</w:t>
                    </w:r>
                    <w:r>
                      <w:rPr>
                        <w:color w:val="632423"/>
                        <w:spacing w:val="-46"/>
                        <w:w w:val="80"/>
                        <w:sz w:val="38"/>
                      </w:rPr>
                      <w:t> </w:t>
                    </w:r>
                    <w:r>
                      <w:rPr>
                        <w:color w:val="632423"/>
                        <w:w w:val="80"/>
                        <w:sz w:val="38"/>
                      </w:rPr>
                      <w:t>ganado</w:t>
                    </w:r>
                    <w:r>
                      <w:rPr>
                        <w:color w:val="632423"/>
                        <w:spacing w:val="-45"/>
                        <w:w w:val="80"/>
                        <w:sz w:val="38"/>
                      </w:rPr>
                      <w:t> </w:t>
                    </w:r>
                    <w:r>
                      <w:rPr>
                        <w:color w:val="632423"/>
                        <w:w w:val="80"/>
                        <w:sz w:val="38"/>
                      </w:rPr>
                      <w:t>a</w:t>
                    </w:r>
                    <w:r>
                      <w:rPr>
                        <w:color w:val="632423"/>
                        <w:spacing w:val="-46"/>
                        <w:w w:val="80"/>
                        <w:sz w:val="38"/>
                      </w:rPr>
                      <w:t> </w:t>
                    </w:r>
                    <w:r>
                      <w:rPr>
                        <w:color w:val="632423"/>
                        <w:w w:val="80"/>
                        <w:sz w:val="38"/>
                      </w:rPr>
                      <w:t>las</w:t>
                    </w:r>
                    <w:r>
                      <w:rPr>
                        <w:color w:val="632423"/>
                        <w:spacing w:val="-45"/>
                        <w:w w:val="80"/>
                        <w:sz w:val="38"/>
                      </w:rPr>
                      <w:t> </w:t>
                    </w:r>
                    <w:r>
                      <w:rPr>
                        <w:color w:val="632423"/>
                        <w:w w:val="80"/>
                        <w:sz w:val="38"/>
                      </w:rPr>
                      <w:t>emisiones</w:t>
                    </w:r>
                    <w:r>
                      <w:rPr>
                        <w:color w:val="632423"/>
                        <w:spacing w:val="-45"/>
                        <w:w w:val="80"/>
                        <w:sz w:val="38"/>
                      </w:rPr>
                      <w:t> </w:t>
                    </w:r>
                    <w:r>
                      <w:rPr>
                        <w:color w:val="632423"/>
                        <w:w w:val="80"/>
                        <w:sz w:val="38"/>
                      </w:rPr>
                      <w:t>mundiales</w:t>
                    </w:r>
                    <w:r>
                      <w:rPr>
                        <w:color w:val="632423"/>
                        <w:spacing w:val="-45"/>
                        <w:w w:val="80"/>
                        <w:sz w:val="38"/>
                      </w:rPr>
                      <w:t> </w:t>
                    </w:r>
                    <w:r>
                      <w:rPr>
                        <w:color w:val="632423"/>
                        <w:w w:val="80"/>
                        <w:sz w:val="38"/>
                      </w:rPr>
                      <w:t>de</w:t>
                    </w:r>
                    <w:r>
                      <w:rPr>
                        <w:color w:val="632423"/>
                        <w:spacing w:val="-46"/>
                        <w:w w:val="80"/>
                        <w:sz w:val="38"/>
                      </w:rPr>
                      <w:t> </w:t>
                    </w:r>
                    <w:r>
                      <w:rPr>
                        <w:color w:val="632423"/>
                        <w:w w:val="80"/>
                        <w:sz w:val="38"/>
                      </w:rPr>
                      <w:t>los GEI</w:t>
                    </w:r>
                    <w:r>
                      <w:rPr>
                        <w:color w:val="632423"/>
                        <w:spacing w:val="-42"/>
                        <w:w w:val="80"/>
                        <w:sz w:val="38"/>
                      </w:rPr>
                      <w:t> </w:t>
                    </w:r>
                    <w:r>
                      <w:rPr>
                        <w:color w:val="632423"/>
                        <w:w w:val="80"/>
                        <w:sz w:val="38"/>
                      </w:rPr>
                      <w:t>antropogénicos</w:t>
                    </w:r>
                    <w:r>
                      <w:rPr>
                        <w:color w:val="632423"/>
                        <w:spacing w:val="-43"/>
                        <w:w w:val="80"/>
                        <w:sz w:val="38"/>
                      </w:rPr>
                      <w:t> </w:t>
                    </w:r>
                    <w:r>
                      <w:rPr>
                        <w:color w:val="632423"/>
                        <w:w w:val="80"/>
                        <w:sz w:val="38"/>
                      </w:rPr>
                      <w:t>representan</w:t>
                    </w:r>
                    <w:r>
                      <w:rPr>
                        <w:color w:val="632423"/>
                        <w:spacing w:val="-43"/>
                        <w:w w:val="80"/>
                        <w:sz w:val="38"/>
                      </w:rPr>
                      <w:t> </w:t>
                    </w:r>
                    <w:r>
                      <w:rPr>
                        <w:color w:val="632423"/>
                        <w:w w:val="80"/>
                        <w:sz w:val="38"/>
                      </w:rPr>
                      <w:t>entre</w:t>
                    </w:r>
                    <w:r>
                      <w:rPr>
                        <w:color w:val="632423"/>
                        <w:spacing w:val="-41"/>
                        <w:w w:val="80"/>
                        <w:sz w:val="38"/>
                      </w:rPr>
                      <w:t> </w:t>
                    </w:r>
                    <w:r>
                      <w:rPr>
                        <w:color w:val="632423"/>
                        <w:w w:val="80"/>
                        <w:sz w:val="38"/>
                      </w:rPr>
                      <w:t>el</w:t>
                    </w:r>
                    <w:r>
                      <w:rPr>
                        <w:color w:val="632423"/>
                        <w:spacing w:val="-43"/>
                        <w:w w:val="80"/>
                        <w:sz w:val="38"/>
                      </w:rPr>
                      <w:t> </w:t>
                    </w:r>
                    <w:r>
                      <w:rPr>
                        <w:color w:val="632423"/>
                        <w:w w:val="80"/>
                        <w:sz w:val="38"/>
                      </w:rPr>
                      <w:t>7</w:t>
                    </w:r>
                    <w:r>
                      <w:rPr>
                        <w:color w:val="632423"/>
                        <w:spacing w:val="-44"/>
                        <w:w w:val="80"/>
                        <w:sz w:val="38"/>
                      </w:rPr>
                      <w:t> </w:t>
                    </w:r>
                    <w:r>
                      <w:rPr>
                        <w:color w:val="632423"/>
                        <w:w w:val="80"/>
                        <w:sz w:val="38"/>
                      </w:rPr>
                      <w:t>y</w:t>
                    </w:r>
                    <w:r>
                      <w:rPr>
                        <w:color w:val="632423"/>
                        <w:spacing w:val="-43"/>
                        <w:w w:val="80"/>
                        <w:sz w:val="38"/>
                      </w:rPr>
                      <w:t> </w:t>
                    </w:r>
                    <w:r>
                      <w:rPr>
                        <w:color w:val="632423"/>
                        <w:w w:val="80"/>
                        <w:sz w:val="38"/>
                      </w:rPr>
                      <w:t>el</w:t>
                    </w:r>
                    <w:r>
                      <w:rPr>
                        <w:color w:val="632423"/>
                        <w:spacing w:val="-41"/>
                        <w:w w:val="80"/>
                        <w:sz w:val="38"/>
                      </w:rPr>
                      <w:t> </w:t>
                    </w:r>
                    <w:r>
                      <w:rPr>
                        <w:color w:val="632423"/>
                        <w:w w:val="80"/>
                        <w:sz w:val="38"/>
                      </w:rPr>
                      <w:t>18%</w:t>
                    </w:r>
                    <w:r>
                      <w:rPr>
                        <w:color w:val="632423"/>
                        <w:spacing w:val="-43"/>
                        <w:w w:val="80"/>
                        <w:sz w:val="38"/>
                      </w:rPr>
                      <w:t> </w:t>
                    </w:r>
                    <w:r>
                      <w:rPr>
                        <w:color w:val="632423"/>
                        <w:w w:val="80"/>
                        <w:sz w:val="38"/>
                      </w:rPr>
                      <w:t>de</w:t>
                    </w:r>
                    <w:r>
                      <w:rPr>
                        <w:color w:val="632423"/>
                        <w:spacing w:val="-41"/>
                        <w:w w:val="80"/>
                        <w:sz w:val="38"/>
                      </w:rPr>
                      <w:t> </w:t>
                    </w:r>
                    <w:r>
                      <w:rPr>
                        <w:color w:val="632423"/>
                        <w:w w:val="80"/>
                        <w:sz w:val="38"/>
                      </w:rPr>
                      <w:t>las</w:t>
                    </w:r>
                  </w:p>
                  <w:p>
                    <w:pPr>
                      <w:spacing w:before="0"/>
                      <w:ind w:left="0" w:right="138" w:firstLine="0"/>
                      <w:jc w:val="right"/>
                      <w:rPr>
                        <w:sz w:val="38"/>
                      </w:rPr>
                    </w:pPr>
                    <w:r>
                      <w:rPr>
                        <w:color w:val="632423"/>
                        <w:w w:val="75"/>
                        <w:sz w:val="38"/>
                      </w:rPr>
                      <w:t>emisiones totales”.</w:t>
                    </w:r>
                  </w:p>
                  <w:p>
                    <w:pPr>
                      <w:spacing w:before="252"/>
                      <w:ind w:left="0" w:right="139" w:firstLine="0"/>
                      <w:jc w:val="right"/>
                      <w:rPr>
                        <w:sz w:val="23"/>
                      </w:rPr>
                    </w:pPr>
                    <w:r>
                      <w:rPr>
                        <w:color w:val="632423"/>
                        <w:w w:val="75"/>
                        <w:sz w:val="23"/>
                      </w:rPr>
                      <w:t>IPCC, FAO y EPA.</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pStyle w:val="Heading1"/>
        <w:spacing w:line="2930" w:lineRule="exact"/>
        <w:ind w:left="257" w:right="311"/>
      </w:pPr>
      <w:r>
        <w:rPr/>
        <w:pict>
          <v:rect style="position:absolute;margin-left:176.632401pt;margin-top:107.896637pt;width:366.24pt;height:6pt;mso-position-horizontal-relative:page;mso-position-vertical-relative:paragraph;z-index:-310672" filled="true" fillcolor="#943634" stroked="false">
            <v:fill type="solid"/>
            <w10:wrap type="none"/>
          </v:rect>
        </w:pict>
      </w:r>
      <w:r>
        <w:rPr/>
        <w:drawing>
          <wp:anchor distT="0" distB="0" distL="0" distR="0" allowOverlap="1" layoutInCell="1" locked="0" behindDoc="1" simplePos="0" relativeHeight="268124807">
            <wp:simplePos x="0" y="0"/>
            <wp:positionH relativeFrom="page">
              <wp:posOffset>1011839</wp:posOffset>
            </wp:positionH>
            <wp:positionV relativeFrom="paragraph">
              <wp:posOffset>-443272</wp:posOffset>
            </wp:positionV>
            <wp:extent cx="1136903" cy="1962912"/>
            <wp:effectExtent l="0" t="0" r="0" b="0"/>
            <wp:wrapNone/>
            <wp:docPr id="5" name="image12.png" descr=""/>
            <wp:cNvGraphicFramePr>
              <a:graphicFrameLocks noChangeAspect="1"/>
            </wp:cNvGraphicFramePr>
            <a:graphic>
              <a:graphicData uri="http://schemas.openxmlformats.org/drawingml/2006/picture">
                <pic:pic>
                  <pic:nvPicPr>
                    <pic:cNvPr id="6" name="image12.png"/>
                    <pic:cNvPicPr/>
                  </pic:nvPicPr>
                  <pic:blipFill>
                    <a:blip r:embed="rId28" cstate="print"/>
                    <a:stretch>
                      <a:fillRect/>
                    </a:stretch>
                  </pic:blipFill>
                  <pic:spPr>
                    <a:xfrm>
                      <a:off x="0" y="0"/>
                      <a:ext cx="1136903" cy="1962912"/>
                    </a:xfrm>
                    <a:prstGeom prst="rect">
                      <a:avLst/>
                    </a:prstGeom>
                  </pic:spPr>
                </pic:pic>
              </a:graphicData>
            </a:graphic>
          </wp:anchor>
        </w:drawing>
      </w:r>
      <w:r>
        <w:rPr/>
        <w:pict>
          <v:shape style="position:absolute;margin-left:99.832443pt;margin-top:151.326462pt;width:47.25pt;height:70.8pt;mso-position-horizontal-relative:page;mso-position-vertical-relative:paragraph;z-index:-310624" type="#_x0000_t202" filled="false" stroked="false">
            <v:textbox inset="0,0,0,0">
              <w:txbxContent>
                <w:p>
                  <w:pPr>
                    <w:spacing w:line="1416" w:lineRule="exact" w:before="0"/>
                    <w:ind w:left="0" w:right="0" w:firstLine="0"/>
                    <w:jc w:val="left"/>
                    <w:rPr>
                      <w:sz w:val="141"/>
                    </w:rPr>
                  </w:pPr>
                  <w:r>
                    <w:rPr>
                      <w:color w:val="943634"/>
                      <w:w w:val="100"/>
                      <w:sz w:val="141"/>
                    </w:rPr>
                    <w:t>E</w:t>
                  </w:r>
                </w:p>
              </w:txbxContent>
            </v:textbox>
            <w10:wrap type="none"/>
          </v:shape>
        </w:pict>
      </w:r>
      <w:bookmarkStart w:name="_TOC_250027" w:id="3"/>
      <w:r>
        <w:rPr>
          <w:b w:val="0"/>
          <w:color w:val="943634"/>
          <w:spacing w:val="155"/>
          <w:w w:val="99"/>
          <w:position w:val="-27"/>
          <w:sz w:val="300"/>
        </w:rPr>
        <w:t>1</w:t>
      </w:r>
      <w:r>
        <w:rPr>
          <w:w w:val="101"/>
        </w:rPr>
        <w:t>I</w:t>
      </w:r>
      <w:r>
        <w:rPr>
          <w:spacing w:val="2"/>
          <w:w w:val="101"/>
        </w:rPr>
        <w:t>n</w:t>
      </w:r>
      <w:r>
        <w:rPr>
          <w:spacing w:val="1"/>
          <w:w w:val="101"/>
        </w:rPr>
        <w:t>tr</w:t>
      </w:r>
      <w:r>
        <w:rPr>
          <w:spacing w:val="2"/>
          <w:w w:val="101"/>
        </w:rPr>
        <w:t>odu</w:t>
      </w:r>
      <w:r>
        <w:rPr>
          <w:spacing w:val="1"/>
          <w:w w:val="101"/>
        </w:rPr>
        <w:t>cc</w:t>
      </w:r>
      <w:r>
        <w:rPr>
          <w:w w:val="101"/>
        </w:rPr>
        <w:t>i</w:t>
      </w:r>
      <w:r>
        <w:rPr>
          <w:spacing w:val="2"/>
          <w:w w:val="101"/>
        </w:rPr>
        <w:t>ó</w:t>
      </w:r>
      <w:r>
        <w:rPr>
          <w:w w:val="101"/>
        </w:rPr>
        <w:t>n</w:t>
      </w:r>
      <w:r>
        <w:rPr>
          <w:spacing w:val="4"/>
        </w:rPr>
        <w:t> </w:t>
      </w:r>
      <w:r>
        <w:rPr>
          <w:spacing w:val="2"/>
          <w:w w:val="101"/>
        </w:rPr>
        <w:t>gene</w:t>
      </w:r>
      <w:r>
        <w:rPr>
          <w:w w:val="101"/>
        </w:rPr>
        <w:t>r</w:t>
      </w:r>
      <w:bookmarkEnd w:id="3"/>
      <w:r>
        <w:rPr>
          <w:spacing w:val="1"/>
          <w:w w:val="101"/>
        </w:rPr>
        <w:t>al</w:t>
      </w:r>
    </w:p>
    <w:p>
      <w:pPr>
        <w:pStyle w:val="BodyText"/>
        <w:spacing w:line="343" w:lineRule="auto" w:before="184"/>
        <w:ind w:left="1464" w:right="324"/>
        <w:jc w:val="both"/>
      </w:pPr>
      <w:r>
        <w:rPr/>
        <w:t>l cambio climático está transformando los ecosistemas de la tierra y amenazando el bienestar de la generación actual y las futuras. Para mantener</w:t>
      </w:r>
      <w:r>
        <w:rPr>
          <w:spacing w:val="-7"/>
        </w:rPr>
        <w:t> </w:t>
      </w:r>
      <w:r>
        <w:rPr/>
        <w:t>el</w:t>
      </w:r>
      <w:r>
        <w:rPr>
          <w:spacing w:val="-7"/>
        </w:rPr>
        <w:t> </w:t>
      </w:r>
      <w:r>
        <w:rPr/>
        <w:t>aumento</w:t>
      </w:r>
      <w:r>
        <w:rPr>
          <w:spacing w:val="-7"/>
        </w:rPr>
        <w:t> </w:t>
      </w:r>
      <w:r>
        <w:rPr/>
        <w:t>de</w:t>
      </w:r>
      <w:r>
        <w:rPr>
          <w:spacing w:val="-7"/>
        </w:rPr>
        <w:t> </w:t>
      </w:r>
      <w:r>
        <w:rPr/>
        <w:t>la</w:t>
      </w:r>
      <w:r>
        <w:rPr>
          <w:spacing w:val="-7"/>
        </w:rPr>
        <w:t> </w:t>
      </w:r>
      <w:r>
        <w:rPr/>
        <w:t>temperatura</w:t>
      </w:r>
      <w:r>
        <w:rPr>
          <w:spacing w:val="-7"/>
        </w:rPr>
        <w:t> </w:t>
      </w:r>
      <w:r>
        <w:rPr/>
        <w:t>mundial</w:t>
      </w:r>
      <w:r>
        <w:rPr>
          <w:spacing w:val="-7"/>
        </w:rPr>
        <w:t> </w:t>
      </w:r>
      <w:r>
        <w:rPr/>
        <w:t>por</w:t>
      </w:r>
      <w:r>
        <w:rPr>
          <w:spacing w:val="-7"/>
        </w:rPr>
        <w:t> </w:t>
      </w:r>
      <w:r>
        <w:rPr/>
        <w:t>debajo</w:t>
      </w:r>
      <w:r>
        <w:rPr>
          <w:spacing w:val="-7"/>
        </w:rPr>
        <w:t> </w:t>
      </w:r>
      <w:r>
        <w:rPr/>
        <w:t>de</w:t>
      </w:r>
      <w:r>
        <w:rPr>
          <w:spacing w:val="-7"/>
        </w:rPr>
        <w:t> </w:t>
      </w:r>
      <w:r>
        <w:rPr/>
        <w:t>2</w:t>
      </w:r>
      <w:r>
        <w:rPr>
          <w:position w:val="11"/>
          <w:sz w:val="16"/>
        </w:rPr>
        <w:t>o</w:t>
      </w:r>
      <w:r>
        <w:rPr/>
        <w:t>C</w:t>
      </w:r>
      <w:r>
        <w:rPr>
          <w:spacing w:val="-7"/>
        </w:rPr>
        <w:t> </w:t>
      </w:r>
      <w:r>
        <w:rPr/>
        <w:t>y</w:t>
      </w:r>
      <w:r>
        <w:rPr>
          <w:spacing w:val="-7"/>
        </w:rPr>
        <w:t> </w:t>
      </w:r>
      <w:r>
        <w:rPr/>
        <w:t>evitar</w:t>
      </w:r>
    </w:p>
    <w:p>
      <w:pPr>
        <w:pStyle w:val="BodyText"/>
        <w:spacing w:line="360" w:lineRule="auto" w:before="10"/>
        <w:ind w:left="516" w:right="311"/>
      </w:pPr>
      <w:r>
        <w:rPr/>
        <w:t>cambios</w:t>
      </w:r>
      <w:r>
        <w:rPr>
          <w:spacing w:val="-8"/>
        </w:rPr>
        <w:t> </w:t>
      </w:r>
      <w:r>
        <w:rPr/>
        <w:t>climáticos</w:t>
      </w:r>
      <w:r>
        <w:rPr>
          <w:spacing w:val="-8"/>
        </w:rPr>
        <w:t> </w:t>
      </w:r>
      <w:r>
        <w:rPr/>
        <w:t>“peligrosos”,</w:t>
      </w:r>
      <w:r>
        <w:rPr>
          <w:spacing w:val="-8"/>
        </w:rPr>
        <w:t> </w:t>
      </w:r>
      <w:r>
        <w:rPr/>
        <w:t>se</w:t>
      </w:r>
      <w:r>
        <w:rPr>
          <w:spacing w:val="-8"/>
        </w:rPr>
        <w:t> </w:t>
      </w:r>
      <w:r>
        <w:rPr/>
        <w:t>requieren</w:t>
      </w:r>
      <w:r>
        <w:rPr>
          <w:spacing w:val="-8"/>
        </w:rPr>
        <w:t> </w:t>
      </w:r>
      <w:r>
        <w:rPr/>
        <w:t>con</w:t>
      </w:r>
      <w:r>
        <w:rPr>
          <w:spacing w:val="-8"/>
        </w:rPr>
        <w:t> </w:t>
      </w:r>
      <w:r>
        <w:rPr/>
        <w:t>urgencia</w:t>
      </w:r>
      <w:r>
        <w:rPr>
          <w:spacing w:val="-8"/>
        </w:rPr>
        <w:t> </w:t>
      </w:r>
      <w:r>
        <w:rPr/>
        <w:t>recortes</w:t>
      </w:r>
      <w:r>
        <w:rPr>
          <w:spacing w:val="-8"/>
        </w:rPr>
        <w:t> </w:t>
      </w:r>
      <w:r>
        <w:rPr/>
        <w:t>sustanciales</w:t>
      </w:r>
      <w:r>
        <w:rPr>
          <w:spacing w:val="-8"/>
        </w:rPr>
        <w:t> </w:t>
      </w:r>
      <w:r>
        <w:rPr/>
        <w:t>de las emisiones mundiales de gases de efecto invernadero (GEI) (UNFCCC, 2009). El sector ganadero mundial contribuye con una parte importante de las emisiones de GEI de origen antropogénico, pero también puede colaborar de manera importante con los esfuerzos de mitigación necesarios. Por lo que se necesitan</w:t>
      </w:r>
      <w:r>
        <w:rPr>
          <w:spacing w:val="-39"/>
        </w:rPr>
        <w:t> </w:t>
      </w:r>
      <w:r>
        <w:rPr/>
        <w:t>con urgencia medidas concertadas y colectivas por parte de todos los interesados del sector para garantizar la aplicación de las estrategias de mitigación existentes y prometedoras.</w:t>
      </w:r>
      <w:r>
        <w:rPr>
          <w:spacing w:val="36"/>
        </w:rPr>
        <w:t> </w:t>
      </w:r>
      <w:r>
        <w:rPr/>
        <w:t>De</w:t>
      </w:r>
      <w:r>
        <w:rPr>
          <w:spacing w:val="36"/>
        </w:rPr>
        <w:t> </w:t>
      </w:r>
      <w:r>
        <w:rPr/>
        <w:t>hecho,</w:t>
      </w:r>
      <w:r>
        <w:rPr>
          <w:spacing w:val="36"/>
        </w:rPr>
        <w:t> </w:t>
      </w:r>
      <w:r>
        <w:rPr/>
        <w:t>la</w:t>
      </w:r>
      <w:r>
        <w:rPr>
          <w:spacing w:val="36"/>
        </w:rPr>
        <w:t> </w:t>
      </w:r>
      <w:r>
        <w:rPr/>
        <w:t>necesidad</w:t>
      </w:r>
      <w:r>
        <w:rPr>
          <w:spacing w:val="36"/>
        </w:rPr>
        <w:t> </w:t>
      </w:r>
      <w:r>
        <w:rPr/>
        <w:t>de</w:t>
      </w:r>
      <w:r>
        <w:rPr>
          <w:spacing w:val="36"/>
        </w:rPr>
        <w:t> </w:t>
      </w:r>
      <w:r>
        <w:rPr/>
        <w:t>reducir</w:t>
      </w:r>
      <w:r>
        <w:rPr>
          <w:spacing w:val="36"/>
        </w:rPr>
        <w:t> </w:t>
      </w:r>
      <w:r>
        <w:rPr/>
        <w:t>las</w:t>
      </w:r>
      <w:r>
        <w:rPr>
          <w:spacing w:val="36"/>
        </w:rPr>
        <w:t> </w:t>
      </w:r>
      <w:r>
        <w:rPr/>
        <w:t>emisiones</w:t>
      </w:r>
      <w:r>
        <w:rPr>
          <w:spacing w:val="36"/>
        </w:rPr>
        <w:t> </w:t>
      </w:r>
      <w:r>
        <w:rPr/>
        <w:t>del</w:t>
      </w:r>
      <w:r>
        <w:rPr>
          <w:spacing w:val="36"/>
        </w:rPr>
        <w:t> </w:t>
      </w:r>
      <w:r>
        <w:rPr/>
        <w:t>sector</w:t>
      </w:r>
      <w:r>
        <w:rPr>
          <w:spacing w:val="36"/>
        </w:rPr>
        <w:t> </w:t>
      </w:r>
      <w:r>
        <w:rPr/>
        <w:t>y</w:t>
      </w:r>
      <w:r>
        <w:rPr>
          <w:spacing w:val="36"/>
        </w:rPr>
        <w:t> </w:t>
      </w:r>
      <w:r>
        <w:rPr/>
        <w:t>su</w:t>
      </w:r>
    </w:p>
    <w:p>
      <w:pPr>
        <w:spacing w:after="0" w:line="360" w:lineRule="auto"/>
        <w:sectPr>
          <w:headerReference w:type="default" r:id="rId25"/>
          <w:footerReference w:type="default" r:id="rId26"/>
          <w:pgSz w:w="12240" w:h="15840"/>
          <w:pgMar w:header="741" w:footer="739" w:top="1220" w:bottom="920" w:left="1480" w:right="1080"/>
          <w:pgNumType w:start="1"/>
        </w:sectPr>
      </w:pPr>
    </w:p>
    <w:p>
      <w:pPr>
        <w:pStyle w:val="BodyText"/>
        <w:spacing w:before="4"/>
        <w:rPr>
          <w:sz w:val="11"/>
        </w:rPr>
      </w:pPr>
    </w:p>
    <w:p>
      <w:pPr>
        <w:pStyle w:val="BodyText"/>
        <w:spacing w:line="360" w:lineRule="auto" w:before="69"/>
        <w:ind w:left="276" w:right="143"/>
        <w:jc w:val="both"/>
      </w:pPr>
      <w:r>
        <w:rPr/>
        <w:t>huella ecológica se ha hecho cada vez más apremiante en vista de su continuo aumento para garantizar la seguridad alimentaria y alimentar a una población mundial creciente, más rica y urbanizada (FAO, 2013).</w:t>
      </w:r>
    </w:p>
    <w:p>
      <w:pPr>
        <w:pStyle w:val="BodyText"/>
        <w:spacing w:line="355" w:lineRule="auto" w:before="2"/>
        <w:ind w:left="276" w:right="143"/>
        <w:jc w:val="both"/>
      </w:pPr>
      <w:r>
        <w:rPr/>
        <w:t>Sin lugar a dudas, el sector pecuario representa una fuente significativa de emisiones de GEI en todo el mundo, al generar bióxido de carbono (CO</w:t>
      </w:r>
      <w:r>
        <w:rPr>
          <w:position w:val="-2"/>
          <w:sz w:val="16"/>
        </w:rPr>
        <w:t>2</w:t>
      </w:r>
      <w:r>
        <w:rPr/>
        <w:t>), metano (CH</w:t>
      </w:r>
      <w:r>
        <w:rPr>
          <w:position w:val="-2"/>
          <w:sz w:val="16"/>
        </w:rPr>
        <w:t>4</w:t>
      </w:r>
      <w:r>
        <w:rPr/>
        <w:t>) y óxido nitroso (N</w:t>
      </w:r>
      <w:r>
        <w:rPr>
          <w:position w:val="-2"/>
          <w:sz w:val="16"/>
        </w:rPr>
        <w:t>2</w:t>
      </w:r>
      <w:r>
        <w:rPr/>
        <w:t>O) a lo largo del proceso productivo. El ganado contribuye con el cambio climático al emitir GEI, bien sea directamente a través de la fermentación entérica o por el estiércol o indirectamente por las actividades desarrolladas durante la producción de alimentos y la conversión de bosques en</w:t>
      </w:r>
    </w:p>
    <w:p>
      <w:pPr>
        <w:pStyle w:val="BodyText"/>
        <w:spacing w:line="352" w:lineRule="auto" w:before="13"/>
        <w:ind w:left="276" w:right="143"/>
        <w:jc w:val="both"/>
      </w:pPr>
      <w:r>
        <w:rPr/>
        <w:t>pastizales. Se ha calculado, con base en el análisis del ciclo de vida (ACV), que el sector emite aproximadamente 7,1 Gt de CO</w:t>
      </w:r>
      <w:r>
        <w:rPr>
          <w:position w:val="-2"/>
          <w:sz w:val="16"/>
        </w:rPr>
        <w:t>2</w:t>
      </w:r>
      <w:r>
        <w:rPr/>
        <w:t>-eq/año [</w:t>
      </w:r>
      <w:r>
        <w:rPr>
          <w:position w:val="11"/>
          <w:sz w:val="16"/>
        </w:rPr>
        <w:t>2</w:t>
      </w:r>
      <w:r>
        <w:rPr/>
        <w:t>], o cerca del 18% del total de las emisiones de los GEI antropogénicas (Steinfeld </w:t>
      </w:r>
      <w:r>
        <w:rPr>
          <w:i/>
        </w:rPr>
        <w:t>et al.</w:t>
      </w:r>
      <w:r>
        <w:rPr/>
        <w:t>, 2009). Por otra parte, Khalil (2000), reporta que la ganadería es responsable de cerca del 23% de las emisiones de CH</w:t>
      </w:r>
      <w:r>
        <w:rPr>
          <w:position w:val="-2"/>
          <w:sz w:val="16"/>
        </w:rPr>
        <w:t>4 </w:t>
      </w:r>
      <w:r>
        <w:rPr/>
        <w:t>globales de origen antropogénico. Debido mayoritariamente a la digestión de los rumiantes, que emiten CH</w:t>
      </w:r>
      <w:r>
        <w:rPr>
          <w:position w:val="-2"/>
          <w:sz w:val="16"/>
        </w:rPr>
        <w:t>4 </w:t>
      </w:r>
      <w:r>
        <w:rPr/>
        <w:t>fundamentalmente por la fermentación entérica y en menor medida por la fermentación de las deposiciones ganaderas, figurando el ganado bovino como el principal responsable (Crutzen </w:t>
      </w:r>
      <w:r>
        <w:rPr>
          <w:i/>
        </w:rPr>
        <w:t>et al.</w:t>
      </w:r>
      <w:r>
        <w:rPr/>
        <w:t>, 1986; IPCC 2006; Cambra-López </w:t>
      </w:r>
      <w:r>
        <w:rPr>
          <w:i/>
        </w:rPr>
        <w:t>et al., </w:t>
      </w:r>
      <w:r>
        <w:rPr/>
        <w:t>2008).</w:t>
      </w:r>
    </w:p>
    <w:p>
      <w:pPr>
        <w:pStyle w:val="BodyText"/>
        <w:spacing w:line="357" w:lineRule="auto" w:before="11"/>
        <w:ind w:left="276" w:right="143"/>
        <w:jc w:val="both"/>
      </w:pPr>
      <w:r>
        <w:rPr/>
        <w:t>El CH</w:t>
      </w:r>
      <w:r>
        <w:rPr>
          <w:position w:val="-2"/>
          <w:sz w:val="16"/>
        </w:rPr>
        <w:t>4 </w:t>
      </w:r>
      <w:r>
        <w:rPr/>
        <w:t>que emiten los rumiantes por fermentación entérica se debe al sistema digestivo</w:t>
      </w:r>
      <w:r>
        <w:rPr>
          <w:spacing w:val="-9"/>
        </w:rPr>
        <w:t> </w:t>
      </w:r>
      <w:r>
        <w:rPr/>
        <w:t>que</w:t>
      </w:r>
      <w:r>
        <w:rPr>
          <w:spacing w:val="-9"/>
        </w:rPr>
        <w:t> </w:t>
      </w:r>
      <w:r>
        <w:rPr/>
        <w:t>poseen</w:t>
      </w:r>
      <w:r>
        <w:rPr>
          <w:spacing w:val="-9"/>
        </w:rPr>
        <w:t> </w:t>
      </w:r>
      <w:r>
        <w:rPr/>
        <w:t>el</w:t>
      </w:r>
      <w:r>
        <w:rPr>
          <w:spacing w:val="-9"/>
        </w:rPr>
        <w:t> </w:t>
      </w:r>
      <w:r>
        <w:rPr/>
        <w:t>cual</w:t>
      </w:r>
      <w:r>
        <w:rPr>
          <w:spacing w:val="-9"/>
        </w:rPr>
        <w:t> </w:t>
      </w:r>
      <w:r>
        <w:rPr/>
        <w:t>ejerce</w:t>
      </w:r>
      <w:r>
        <w:rPr>
          <w:spacing w:val="-9"/>
        </w:rPr>
        <w:t> </w:t>
      </w:r>
      <w:r>
        <w:rPr/>
        <w:t>una</w:t>
      </w:r>
      <w:r>
        <w:rPr>
          <w:spacing w:val="-9"/>
        </w:rPr>
        <w:t> </w:t>
      </w:r>
      <w:r>
        <w:rPr/>
        <w:t>influencia</w:t>
      </w:r>
      <w:r>
        <w:rPr>
          <w:spacing w:val="-9"/>
        </w:rPr>
        <w:t> </w:t>
      </w:r>
      <w:r>
        <w:rPr/>
        <w:t>significativa</w:t>
      </w:r>
      <w:r>
        <w:rPr>
          <w:spacing w:val="-9"/>
        </w:rPr>
        <w:t> </w:t>
      </w:r>
      <w:r>
        <w:rPr/>
        <w:t>en</w:t>
      </w:r>
      <w:r>
        <w:rPr>
          <w:spacing w:val="-9"/>
        </w:rPr>
        <w:t> </w:t>
      </w:r>
      <w:r>
        <w:rPr/>
        <w:t>la</w:t>
      </w:r>
      <w:r>
        <w:rPr>
          <w:spacing w:val="-9"/>
        </w:rPr>
        <w:t> </w:t>
      </w:r>
      <w:r>
        <w:rPr/>
        <w:t>tasa</w:t>
      </w:r>
      <w:r>
        <w:rPr>
          <w:spacing w:val="-9"/>
        </w:rPr>
        <w:t> </w:t>
      </w:r>
      <w:r>
        <w:rPr/>
        <w:t>de</w:t>
      </w:r>
      <w:r>
        <w:rPr>
          <w:spacing w:val="-9"/>
        </w:rPr>
        <w:t> </w:t>
      </w:r>
      <w:r>
        <w:rPr/>
        <w:t>emisión de este gas. Los rumiantes tienen una cámara expansiva, el rumen, en la parte delantera de su tracto digestivo, donde se produce una fermentación microbiana intensiva de su dieta, lo que les significa la capacidad de digerir la celulosa (IPCC, 2002; IPCC, 2006). El sistema digestivo de los rumiantes tiene la capacidad de aprovechar y convertir material fibroso con altos contenidos de carbohidratos estructurales,</w:t>
      </w:r>
      <w:r>
        <w:rPr>
          <w:spacing w:val="-8"/>
        </w:rPr>
        <w:t> </w:t>
      </w:r>
      <w:r>
        <w:rPr/>
        <w:t>en</w:t>
      </w:r>
      <w:r>
        <w:rPr>
          <w:spacing w:val="-8"/>
        </w:rPr>
        <w:t> </w:t>
      </w:r>
      <w:r>
        <w:rPr/>
        <w:t>alimentos</w:t>
      </w:r>
      <w:r>
        <w:rPr>
          <w:spacing w:val="-8"/>
        </w:rPr>
        <w:t> </w:t>
      </w:r>
      <w:r>
        <w:rPr/>
        <w:t>de</w:t>
      </w:r>
      <w:r>
        <w:rPr>
          <w:spacing w:val="-8"/>
        </w:rPr>
        <w:t> </w:t>
      </w:r>
      <w:r>
        <w:rPr/>
        <w:t>alta</w:t>
      </w:r>
      <w:r>
        <w:rPr>
          <w:spacing w:val="-8"/>
        </w:rPr>
        <w:t> </w:t>
      </w:r>
      <w:r>
        <w:rPr/>
        <w:t>calidad</w:t>
      </w:r>
      <w:r>
        <w:rPr>
          <w:spacing w:val="-8"/>
        </w:rPr>
        <w:t> </w:t>
      </w:r>
      <w:r>
        <w:rPr/>
        <w:t>nutritiva:</w:t>
      </w:r>
      <w:r>
        <w:rPr>
          <w:spacing w:val="-8"/>
        </w:rPr>
        <w:t> </w:t>
      </w:r>
      <w:r>
        <w:rPr/>
        <w:t>carne</w:t>
      </w:r>
      <w:r>
        <w:rPr>
          <w:spacing w:val="-8"/>
        </w:rPr>
        <w:t> </w:t>
      </w:r>
      <w:r>
        <w:rPr/>
        <w:t>y</w:t>
      </w:r>
      <w:r>
        <w:rPr>
          <w:spacing w:val="-8"/>
        </w:rPr>
        <w:t> </w:t>
      </w:r>
      <w:r>
        <w:rPr/>
        <w:t>leche.</w:t>
      </w:r>
      <w:r>
        <w:rPr>
          <w:spacing w:val="-8"/>
        </w:rPr>
        <w:t> </w:t>
      </w:r>
      <w:r>
        <w:rPr/>
        <w:t>Sin</w:t>
      </w:r>
      <w:r>
        <w:rPr>
          <w:spacing w:val="-8"/>
        </w:rPr>
        <w:t> </w:t>
      </w:r>
      <w:r>
        <w:rPr/>
        <w:t>embargo,</w:t>
      </w:r>
      <w:r>
        <w:rPr>
          <w:spacing w:val="-8"/>
        </w:rPr>
        <w:t> </w:t>
      </w:r>
      <w:r>
        <w:rPr/>
        <w:t>por sus características innatas, este mismo sistema digestivo también produce CH</w:t>
      </w:r>
      <w:r>
        <w:rPr>
          <w:position w:val="-2"/>
          <w:sz w:val="16"/>
        </w:rPr>
        <w:t>4</w:t>
      </w:r>
      <w:r>
        <w:rPr/>
        <w:t>,</w:t>
      </w:r>
      <w:r>
        <w:rPr>
          <w:spacing w:val="56"/>
        </w:rPr>
        <w:t> </w:t>
      </w:r>
      <w:r>
        <w:rPr/>
        <w:t>el</w:t>
      </w:r>
    </w:p>
    <w:p>
      <w:pPr>
        <w:pStyle w:val="BodyText"/>
        <w:rPr>
          <w:sz w:val="20"/>
        </w:rPr>
      </w:pPr>
    </w:p>
    <w:p>
      <w:pPr>
        <w:pStyle w:val="BodyText"/>
        <w:spacing w:before="4"/>
        <w:rPr>
          <w:sz w:val="15"/>
        </w:rPr>
      </w:pPr>
      <w:r>
        <w:rPr/>
        <w:pict>
          <v:line style="position:absolute;mso-position-horizontal-relative:page;mso-position-vertical-relative:paragraph;z-index:1432;mso-wrap-distance-left:0;mso-wrap-distance-right:0" from="99.832428pt,11.056952pt" to="243.832398pt,11.056952pt" stroked="true" strokeweight=".48pt" strokecolor="#000000">
            <w10:wrap type="topAndBottom"/>
          </v:line>
        </w:pict>
      </w:r>
    </w:p>
    <w:p>
      <w:pPr>
        <w:pStyle w:val="BodyText"/>
        <w:spacing w:before="10"/>
        <w:rPr>
          <w:sz w:val="20"/>
        </w:rPr>
      </w:pPr>
    </w:p>
    <w:p>
      <w:pPr>
        <w:spacing w:before="78"/>
        <w:ind w:left="276" w:right="0" w:firstLine="0"/>
        <w:jc w:val="left"/>
        <w:rPr>
          <w:rFonts w:ascii="Calibri"/>
          <w:sz w:val="19"/>
        </w:rPr>
      </w:pPr>
      <w:r>
        <w:rPr>
          <w:rFonts w:ascii="Calibri"/>
          <w:w w:val="105"/>
          <w:position w:val="10"/>
          <w:sz w:val="13"/>
        </w:rPr>
        <w:t>2 </w:t>
      </w:r>
      <w:r>
        <w:rPr>
          <w:rFonts w:ascii="Calibri"/>
          <w:w w:val="105"/>
          <w:sz w:val="19"/>
        </w:rPr>
        <w:t>CO</w:t>
      </w:r>
      <w:r>
        <w:rPr>
          <w:rFonts w:ascii="Calibri"/>
          <w:w w:val="105"/>
          <w:position w:val="-2"/>
          <w:sz w:val="13"/>
        </w:rPr>
        <w:t>2</w:t>
      </w:r>
      <w:r>
        <w:rPr>
          <w:rFonts w:ascii="Calibri"/>
          <w:w w:val="105"/>
          <w:sz w:val="19"/>
        </w:rPr>
        <w:t>-eq hace referencia al CO</w:t>
      </w:r>
      <w:r>
        <w:rPr>
          <w:rFonts w:ascii="Calibri"/>
          <w:w w:val="105"/>
          <w:position w:val="-2"/>
          <w:sz w:val="13"/>
        </w:rPr>
        <w:t>2 </w:t>
      </w:r>
      <w:r>
        <w:rPr>
          <w:rFonts w:ascii="Calibri"/>
          <w:w w:val="105"/>
          <w:sz w:val="19"/>
        </w:rPr>
        <w:t>equivalente = CO</w:t>
      </w:r>
      <w:r>
        <w:rPr>
          <w:rFonts w:ascii="Calibri"/>
          <w:w w:val="105"/>
          <w:position w:val="-2"/>
          <w:sz w:val="13"/>
        </w:rPr>
        <w:t>2</w:t>
      </w:r>
      <w:r>
        <w:rPr>
          <w:rFonts w:ascii="Calibri"/>
          <w:w w:val="105"/>
          <w:sz w:val="19"/>
        </w:rPr>
        <w:t>*1 + CH</w:t>
      </w:r>
      <w:r>
        <w:rPr>
          <w:rFonts w:ascii="Calibri"/>
          <w:w w:val="105"/>
          <w:position w:val="-2"/>
          <w:sz w:val="13"/>
        </w:rPr>
        <w:t>4</w:t>
      </w:r>
      <w:r>
        <w:rPr>
          <w:rFonts w:ascii="Calibri"/>
          <w:w w:val="105"/>
          <w:sz w:val="19"/>
        </w:rPr>
        <w:t>*21 + N</w:t>
      </w:r>
      <w:r>
        <w:rPr>
          <w:rFonts w:ascii="Calibri"/>
          <w:w w:val="105"/>
          <w:position w:val="-2"/>
          <w:sz w:val="13"/>
        </w:rPr>
        <w:t>2</w:t>
      </w:r>
      <w:r>
        <w:rPr>
          <w:rFonts w:ascii="Calibri"/>
          <w:w w:val="105"/>
          <w:sz w:val="19"/>
        </w:rPr>
        <w:t>O*310 y es la suma de los 3 gases, corregidos por su potencial de calentamiento global (PCG).</w:t>
      </w:r>
    </w:p>
    <w:p>
      <w:pPr>
        <w:spacing w:line="254" w:lineRule="auto" w:before="13"/>
        <w:ind w:left="276" w:right="129" w:firstLine="0"/>
        <w:jc w:val="left"/>
        <w:rPr>
          <w:rFonts w:ascii="Calibri" w:hAnsi="Calibri"/>
          <w:sz w:val="19"/>
        </w:rPr>
      </w:pPr>
      <w:r>
        <w:rPr>
          <w:rFonts w:ascii="Calibri" w:hAnsi="Calibri"/>
          <w:b/>
          <w:w w:val="105"/>
          <w:sz w:val="19"/>
        </w:rPr>
        <w:t>Fuente: </w:t>
      </w:r>
      <w:r>
        <w:rPr>
          <w:rFonts w:ascii="Calibri" w:hAnsi="Calibri"/>
          <w:w w:val="105"/>
          <w:sz w:val="19"/>
        </w:rPr>
        <w:t>Climate Chanege 1995, The Science of Climate Change: Summary for Policymackers Technical Summary of the Working Group I Report, página 22. Disponible en </w:t>
      </w:r>
      <w:hyperlink r:id="rId29">
        <w:r>
          <w:rPr>
            <w:rFonts w:ascii="Calibri" w:hAnsi="Calibri"/>
            <w:w w:val="105"/>
            <w:sz w:val="19"/>
          </w:rPr>
          <w:t>http://unfccc.int</w:t>
        </w:r>
      </w:hyperlink>
    </w:p>
    <w:p>
      <w:pPr>
        <w:spacing w:after="0" w:line="254" w:lineRule="auto"/>
        <w:jc w:val="left"/>
        <w:rPr>
          <w:rFonts w:ascii="Calibri" w:hAnsi="Calibri"/>
          <w:sz w:val="19"/>
        </w:rPr>
        <w:sectPr>
          <w:pgSz w:w="12240" w:h="15840"/>
          <w:pgMar w:header="741" w:footer="739" w:top="1220" w:bottom="920" w:left="1720" w:right="1260"/>
        </w:sectPr>
      </w:pPr>
    </w:p>
    <w:p>
      <w:pPr>
        <w:pStyle w:val="BodyText"/>
        <w:spacing w:before="8"/>
        <w:rPr>
          <w:rFonts w:ascii="Calibri"/>
          <w:sz w:val="10"/>
        </w:rPr>
      </w:pPr>
    </w:p>
    <w:p>
      <w:pPr>
        <w:pStyle w:val="BodyText"/>
        <w:spacing w:line="357" w:lineRule="auto" w:before="70"/>
        <w:ind w:left="276" w:right="144"/>
        <w:jc w:val="both"/>
      </w:pPr>
      <w:r>
        <w:rPr/>
        <w:t>que</w:t>
      </w:r>
      <w:r>
        <w:rPr>
          <w:spacing w:val="-13"/>
        </w:rPr>
        <w:t> </w:t>
      </w:r>
      <w:r>
        <w:rPr/>
        <w:t>liberado</w:t>
      </w:r>
      <w:r>
        <w:rPr>
          <w:spacing w:val="-13"/>
        </w:rPr>
        <w:t> </w:t>
      </w:r>
      <w:r>
        <w:rPr/>
        <w:t>a</w:t>
      </w:r>
      <w:r>
        <w:rPr>
          <w:spacing w:val="-13"/>
        </w:rPr>
        <w:t> </w:t>
      </w:r>
      <w:r>
        <w:rPr/>
        <w:t>la</w:t>
      </w:r>
      <w:r>
        <w:rPr>
          <w:spacing w:val="-13"/>
        </w:rPr>
        <w:t> </w:t>
      </w:r>
      <w:r>
        <w:rPr/>
        <w:t>atmósfera</w:t>
      </w:r>
      <w:r>
        <w:rPr>
          <w:spacing w:val="-13"/>
        </w:rPr>
        <w:t> </w:t>
      </w:r>
      <w:r>
        <w:rPr/>
        <w:t>tiene</w:t>
      </w:r>
      <w:r>
        <w:rPr>
          <w:spacing w:val="-13"/>
        </w:rPr>
        <w:t> </w:t>
      </w:r>
      <w:r>
        <w:rPr/>
        <w:t>consecuencias</w:t>
      </w:r>
      <w:r>
        <w:rPr>
          <w:spacing w:val="-13"/>
        </w:rPr>
        <w:t> </w:t>
      </w:r>
      <w:r>
        <w:rPr/>
        <w:t>indeseadas</w:t>
      </w:r>
      <w:r>
        <w:rPr>
          <w:spacing w:val="-13"/>
        </w:rPr>
        <w:t> </w:t>
      </w:r>
      <w:r>
        <w:rPr/>
        <w:t>desde</w:t>
      </w:r>
      <w:r>
        <w:rPr>
          <w:spacing w:val="-13"/>
        </w:rPr>
        <w:t> </w:t>
      </w:r>
      <w:r>
        <w:rPr/>
        <w:t>el</w:t>
      </w:r>
      <w:r>
        <w:rPr>
          <w:spacing w:val="-14"/>
        </w:rPr>
        <w:t> </w:t>
      </w:r>
      <w:r>
        <w:rPr/>
        <w:t>punto</w:t>
      </w:r>
      <w:r>
        <w:rPr>
          <w:spacing w:val="-13"/>
        </w:rPr>
        <w:t> </w:t>
      </w:r>
      <w:r>
        <w:rPr/>
        <w:t>de</w:t>
      </w:r>
      <w:r>
        <w:rPr>
          <w:spacing w:val="-13"/>
        </w:rPr>
        <w:t> </w:t>
      </w:r>
      <w:r>
        <w:rPr/>
        <w:t>vista ambiental (Carmona </w:t>
      </w:r>
      <w:r>
        <w:rPr>
          <w:i/>
        </w:rPr>
        <w:t>et al.</w:t>
      </w:r>
      <w:r>
        <w:rPr/>
        <w:t>, 2005). Según publicaciones recientes, las emisiones de CH</w:t>
      </w:r>
      <w:r>
        <w:rPr>
          <w:position w:val="-2"/>
          <w:sz w:val="16"/>
        </w:rPr>
        <w:t>4 </w:t>
      </w:r>
      <w:r>
        <w:rPr/>
        <w:t>de origen animal son responsables en contribuir al calentamiento global, superado sólo por el CO</w:t>
      </w:r>
      <w:r>
        <w:rPr>
          <w:position w:val="-2"/>
          <w:sz w:val="16"/>
        </w:rPr>
        <w:t>2 </w:t>
      </w:r>
      <w:r>
        <w:rPr/>
        <w:t>(FAO</w:t>
      </w:r>
      <w:r>
        <w:rPr>
          <w:spacing w:val="20"/>
        </w:rPr>
        <w:t> </w:t>
      </w:r>
      <w:r>
        <w:rPr/>
        <w:t>2007).</w:t>
      </w:r>
    </w:p>
    <w:p>
      <w:pPr>
        <w:pStyle w:val="BodyText"/>
        <w:spacing w:line="355" w:lineRule="auto"/>
        <w:ind w:left="276" w:right="129"/>
      </w:pPr>
      <w:r>
        <w:rPr/>
        <w:t>Las características de la dieta de los bovinos tienen un efecto significativo en la producción de gas CH</w:t>
      </w:r>
      <w:r>
        <w:rPr>
          <w:position w:val="-2"/>
          <w:sz w:val="16"/>
        </w:rPr>
        <w:t>4 </w:t>
      </w:r>
      <w:r>
        <w:rPr/>
        <w:t>a nivel global, de ahí que países con pocas limitaciones alimentarias para su ganado, reportan datos de menores emisiones y mayores eficiencias energética. En los países en vías de desarrollo, las emisiones son aproximadamente de 55 kg CH</w:t>
      </w:r>
      <w:r>
        <w:rPr>
          <w:position w:val="-2"/>
          <w:sz w:val="16"/>
        </w:rPr>
        <w:t>4</w:t>
      </w:r>
      <w:r>
        <w:rPr/>
        <w:t>/año por animal, en contraste a lo reportado para países desarrollados, de 35 kg CH</w:t>
      </w:r>
      <w:r>
        <w:rPr>
          <w:position w:val="-2"/>
          <w:sz w:val="16"/>
        </w:rPr>
        <w:t>4</w:t>
      </w:r>
      <w:r>
        <w:rPr/>
        <w:t>/año por animal. Se considera que en sistemas de producción de alta tecnificación las emisiones anuales de CH</w:t>
      </w:r>
      <w:r>
        <w:rPr>
          <w:position w:val="-2"/>
          <w:sz w:val="16"/>
        </w:rPr>
        <w:t>4 </w:t>
      </w:r>
      <w:r>
        <w:rPr/>
        <w:t>en animales adultos está entre 60 y 126 kg de CH</w:t>
      </w:r>
      <w:r>
        <w:rPr>
          <w:position w:val="-2"/>
          <w:sz w:val="16"/>
        </w:rPr>
        <w:t>4</w:t>
      </w:r>
      <w:r>
        <w:rPr/>
        <w:t>/año. Por lo tanto, las emisiones anuales de CH</w:t>
      </w:r>
      <w:r>
        <w:rPr>
          <w:position w:val="-2"/>
          <w:sz w:val="16"/>
        </w:rPr>
        <w:t>4 </w:t>
      </w:r>
      <w:r>
        <w:rPr/>
        <w:t>para animales adultos oscilan entre 32 y 83 kg en países en vías de desarrollo y entre 60 y 90 kg para países desarrollados. (Carmona </w:t>
      </w:r>
      <w:r>
        <w:rPr>
          <w:i/>
        </w:rPr>
        <w:t>et al.</w:t>
      </w:r>
      <w:r>
        <w:rPr/>
        <w:t>, 2005; IPCC, 2001). Carmona </w:t>
      </w:r>
      <w:r>
        <w:rPr>
          <w:i/>
        </w:rPr>
        <w:t>et al. </w:t>
      </w:r>
      <w:r>
        <w:rPr/>
        <w:t>(2005), indican que la producción de CH</w:t>
      </w:r>
      <w:r>
        <w:rPr>
          <w:position w:val="-2"/>
          <w:sz w:val="16"/>
        </w:rPr>
        <w:t>4 </w:t>
      </w:r>
      <w:r>
        <w:rPr/>
        <w:t>en los últimos años ha tomado</w:t>
      </w:r>
      <w:r>
        <w:rPr>
          <w:spacing w:val="-11"/>
        </w:rPr>
        <w:t> </w:t>
      </w:r>
      <w:r>
        <w:rPr/>
        <w:t>gran</w:t>
      </w:r>
      <w:r>
        <w:rPr>
          <w:spacing w:val="-11"/>
        </w:rPr>
        <w:t> </w:t>
      </w:r>
      <w:r>
        <w:rPr/>
        <w:t>importancia</w:t>
      </w:r>
      <w:r>
        <w:rPr>
          <w:spacing w:val="-11"/>
        </w:rPr>
        <w:t> </w:t>
      </w:r>
      <w:r>
        <w:rPr/>
        <w:t>en</w:t>
      </w:r>
      <w:r>
        <w:rPr>
          <w:spacing w:val="-11"/>
        </w:rPr>
        <w:t> </w:t>
      </w:r>
      <w:r>
        <w:rPr/>
        <w:t>la</w:t>
      </w:r>
      <w:r>
        <w:rPr>
          <w:spacing w:val="-11"/>
        </w:rPr>
        <w:t> </w:t>
      </w:r>
      <w:r>
        <w:rPr/>
        <w:t>producción</w:t>
      </w:r>
      <w:r>
        <w:rPr>
          <w:spacing w:val="-11"/>
        </w:rPr>
        <w:t> </w:t>
      </w:r>
      <w:r>
        <w:rPr/>
        <w:t>animal</w:t>
      </w:r>
      <w:r>
        <w:rPr>
          <w:spacing w:val="-11"/>
        </w:rPr>
        <w:t> </w:t>
      </w:r>
      <w:r>
        <w:rPr/>
        <w:t>debido</w:t>
      </w:r>
      <w:r>
        <w:rPr>
          <w:spacing w:val="-11"/>
        </w:rPr>
        <w:t> </w:t>
      </w:r>
      <w:r>
        <w:rPr/>
        <w:t>a</w:t>
      </w:r>
      <w:r>
        <w:rPr>
          <w:spacing w:val="-11"/>
        </w:rPr>
        <w:t> </w:t>
      </w:r>
      <w:r>
        <w:rPr/>
        <w:t>sus</w:t>
      </w:r>
      <w:r>
        <w:rPr>
          <w:spacing w:val="-11"/>
        </w:rPr>
        <w:t> </w:t>
      </w:r>
      <w:r>
        <w:rPr/>
        <w:t>efectos</w:t>
      </w:r>
      <w:r>
        <w:rPr>
          <w:spacing w:val="-11"/>
        </w:rPr>
        <w:t> </w:t>
      </w:r>
      <w:r>
        <w:rPr/>
        <w:t>negativos</w:t>
      </w:r>
      <w:r>
        <w:rPr>
          <w:spacing w:val="-11"/>
        </w:rPr>
        <w:t> </w:t>
      </w:r>
      <w:r>
        <w:rPr/>
        <w:t>en el medio ambiente. Así también menciona que otro aspecto de relevancia, es la eficiencia energética de los sustratos alimenticios fermentados en el rumen, la cual disminuye</w:t>
      </w:r>
      <w:r>
        <w:rPr>
          <w:spacing w:val="-9"/>
        </w:rPr>
        <w:t> </w:t>
      </w:r>
      <w:r>
        <w:rPr/>
        <w:t>en</w:t>
      </w:r>
      <w:r>
        <w:rPr>
          <w:spacing w:val="-9"/>
        </w:rPr>
        <w:t> </w:t>
      </w:r>
      <w:r>
        <w:rPr/>
        <w:t>proporciones</w:t>
      </w:r>
      <w:r>
        <w:rPr>
          <w:spacing w:val="-9"/>
        </w:rPr>
        <w:t> </w:t>
      </w:r>
      <w:r>
        <w:rPr/>
        <w:t>variables</w:t>
      </w:r>
      <w:r>
        <w:rPr>
          <w:spacing w:val="-9"/>
        </w:rPr>
        <w:t> </w:t>
      </w:r>
      <w:r>
        <w:rPr/>
        <w:t>dependiendo</w:t>
      </w:r>
      <w:r>
        <w:rPr>
          <w:spacing w:val="-9"/>
        </w:rPr>
        <w:t> </w:t>
      </w:r>
      <w:r>
        <w:rPr/>
        <w:t>de</w:t>
      </w:r>
      <w:r>
        <w:rPr>
          <w:spacing w:val="-9"/>
        </w:rPr>
        <w:t> </w:t>
      </w:r>
      <w:r>
        <w:rPr/>
        <w:t>las</w:t>
      </w:r>
      <w:r>
        <w:rPr>
          <w:spacing w:val="-9"/>
        </w:rPr>
        <w:t> </w:t>
      </w:r>
      <w:r>
        <w:rPr/>
        <w:t>características</w:t>
      </w:r>
      <w:r>
        <w:rPr>
          <w:spacing w:val="-9"/>
        </w:rPr>
        <w:t> </w:t>
      </w:r>
      <w:r>
        <w:rPr/>
        <w:t>de</w:t>
      </w:r>
      <w:r>
        <w:rPr>
          <w:spacing w:val="-9"/>
        </w:rPr>
        <w:t> </w:t>
      </w:r>
      <w:r>
        <w:rPr/>
        <w:t>la</w:t>
      </w:r>
      <w:r>
        <w:rPr>
          <w:spacing w:val="-9"/>
        </w:rPr>
        <w:t> </w:t>
      </w:r>
      <w:r>
        <w:rPr/>
        <w:t>dieta, debido a que las emisiones de gases, específicamente de CH</w:t>
      </w:r>
      <w:r>
        <w:rPr>
          <w:position w:val="-2"/>
          <w:sz w:val="16"/>
        </w:rPr>
        <w:t>4</w:t>
      </w:r>
      <w:r>
        <w:rPr/>
        <w:t>, involucran</w:t>
      </w:r>
      <w:r>
        <w:rPr>
          <w:spacing w:val="-46"/>
        </w:rPr>
        <w:t> </w:t>
      </w:r>
      <w:r>
        <w:rPr/>
        <w:t>pérdidas a través del eructo. Johnson y Johnson (1995) señalan que, el CH</w:t>
      </w:r>
      <w:r>
        <w:rPr>
          <w:position w:val="-2"/>
          <w:sz w:val="16"/>
        </w:rPr>
        <w:t>4 </w:t>
      </w:r>
      <w:r>
        <w:rPr/>
        <w:t>colabora en los efectos climáticos directamente, a través de su interacción con la energía infrarroja e</w:t>
      </w:r>
      <w:r>
        <w:rPr>
          <w:spacing w:val="-16"/>
        </w:rPr>
        <w:t> </w:t>
      </w:r>
      <w:r>
        <w:rPr/>
        <w:t>indirectamente</w:t>
      </w:r>
      <w:r>
        <w:rPr>
          <w:spacing w:val="-16"/>
        </w:rPr>
        <w:t> </w:t>
      </w:r>
      <w:r>
        <w:rPr/>
        <w:t>a</w:t>
      </w:r>
      <w:r>
        <w:rPr>
          <w:spacing w:val="-16"/>
        </w:rPr>
        <w:t> </w:t>
      </w:r>
      <w:r>
        <w:rPr/>
        <w:t>través</w:t>
      </w:r>
      <w:r>
        <w:rPr>
          <w:spacing w:val="-16"/>
        </w:rPr>
        <w:t> </w:t>
      </w:r>
      <w:r>
        <w:rPr/>
        <w:t>de</w:t>
      </w:r>
      <w:r>
        <w:rPr>
          <w:spacing w:val="-16"/>
        </w:rPr>
        <w:t> </w:t>
      </w:r>
      <w:r>
        <w:rPr/>
        <w:t>las</w:t>
      </w:r>
      <w:r>
        <w:rPr>
          <w:spacing w:val="-16"/>
        </w:rPr>
        <w:t> </w:t>
      </w:r>
      <w:r>
        <w:rPr/>
        <w:t>reacciones</w:t>
      </w:r>
      <w:r>
        <w:rPr>
          <w:spacing w:val="-16"/>
        </w:rPr>
        <w:t> </w:t>
      </w:r>
      <w:r>
        <w:rPr/>
        <w:t>de</w:t>
      </w:r>
      <w:r>
        <w:rPr>
          <w:spacing w:val="-16"/>
        </w:rPr>
        <w:t> </w:t>
      </w:r>
      <w:r>
        <w:rPr/>
        <w:t>oxidación</w:t>
      </w:r>
      <w:r>
        <w:rPr>
          <w:spacing w:val="-16"/>
        </w:rPr>
        <w:t> </w:t>
      </w:r>
      <w:r>
        <w:rPr/>
        <w:t>atmosféricas</w:t>
      </w:r>
      <w:r>
        <w:rPr>
          <w:spacing w:val="-16"/>
        </w:rPr>
        <w:t> </w:t>
      </w:r>
      <w:r>
        <w:rPr/>
        <w:t>que</w:t>
      </w:r>
      <w:r>
        <w:rPr>
          <w:spacing w:val="-16"/>
        </w:rPr>
        <w:t> </w:t>
      </w:r>
      <w:r>
        <w:rPr/>
        <w:t>producen CO</w:t>
      </w:r>
      <w:r>
        <w:rPr>
          <w:position w:val="-2"/>
          <w:sz w:val="16"/>
        </w:rPr>
        <w:t>2</w:t>
      </w:r>
      <w:r>
        <w:rPr/>
        <w:t>. Por esto se considera que en la actualidad los sistemas de producción</w:t>
      </w:r>
      <w:r>
        <w:rPr>
          <w:spacing w:val="-27"/>
        </w:rPr>
        <w:t> </w:t>
      </w:r>
      <w:r>
        <w:rPr/>
        <w:t>animal sostenibles deben propender por una menor producción de CH</w:t>
      </w:r>
      <w:r>
        <w:rPr>
          <w:position w:val="-2"/>
          <w:sz w:val="16"/>
        </w:rPr>
        <w:t>4</w:t>
      </w:r>
      <w:r>
        <w:rPr/>
        <w:t>. Moss </w:t>
      </w:r>
      <w:r>
        <w:rPr>
          <w:i/>
        </w:rPr>
        <w:t>et al.</w:t>
      </w:r>
      <w:r>
        <w:rPr>
          <w:i/>
          <w:spacing w:val="-28"/>
        </w:rPr>
        <w:t> </w:t>
      </w:r>
      <w:r>
        <w:rPr/>
        <w:t>(2000) menciona que el dióxido de carbono recibe la mayor parte de la atención como un factor en el calentamiento global, son otros gases los que se deben considerar, incluyendo el CH</w:t>
      </w:r>
      <w:r>
        <w:rPr>
          <w:position w:val="-2"/>
          <w:sz w:val="16"/>
        </w:rPr>
        <w:t>4</w:t>
      </w:r>
      <w:r>
        <w:rPr/>
        <w:t>, el N</w:t>
      </w:r>
      <w:r>
        <w:rPr>
          <w:position w:val="-2"/>
          <w:sz w:val="16"/>
        </w:rPr>
        <w:t>2</w:t>
      </w:r>
      <w:r>
        <w:rPr/>
        <w:t>O y los clorofluorocarbonos</w:t>
      </w:r>
      <w:r>
        <w:rPr>
          <w:spacing w:val="-5"/>
        </w:rPr>
        <w:t> </w:t>
      </w:r>
      <w:r>
        <w:rPr/>
        <w:t>(CFC).</w:t>
      </w:r>
    </w:p>
    <w:p>
      <w:pPr>
        <w:pStyle w:val="BodyText"/>
        <w:spacing w:line="355" w:lineRule="auto"/>
        <w:ind w:left="276" w:right="143"/>
        <w:jc w:val="both"/>
      </w:pPr>
      <w:r>
        <w:rPr/>
        <w:t>En México, la ganadería es la tercera fuente más importante de emisiones de CH</w:t>
      </w:r>
      <w:r>
        <w:rPr>
          <w:position w:val="-2"/>
          <w:sz w:val="16"/>
        </w:rPr>
        <w:t>4</w:t>
      </w:r>
      <w:r>
        <w:rPr/>
        <w:t>, y las principales medidas de mitigación aplicables a esta actividad se refieren a un manejo sustentable de las tierras de pastoreo y al manejo de productos </w:t>
      </w:r>
      <w:r>
        <w:rPr>
          <w:spacing w:val="53"/>
        </w:rPr>
        <w:t> </w:t>
      </w:r>
      <w:r>
        <w:rPr/>
        <w:t>derivados</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BodyText"/>
        <w:spacing w:line="355" w:lineRule="auto" w:before="69"/>
        <w:ind w:left="276" w:right="143"/>
        <w:jc w:val="both"/>
      </w:pPr>
      <w:r>
        <w:rPr/>
        <w:t>de</w:t>
      </w:r>
      <w:r>
        <w:rPr>
          <w:spacing w:val="-7"/>
        </w:rPr>
        <w:t> </w:t>
      </w:r>
      <w:r>
        <w:rPr/>
        <w:t>la</w:t>
      </w:r>
      <w:r>
        <w:rPr>
          <w:spacing w:val="-7"/>
        </w:rPr>
        <w:t> </w:t>
      </w:r>
      <w:r>
        <w:rPr/>
        <w:t>fermentación</w:t>
      </w:r>
      <w:r>
        <w:rPr>
          <w:spacing w:val="-7"/>
        </w:rPr>
        <w:t> </w:t>
      </w:r>
      <w:r>
        <w:rPr/>
        <w:t>entérica</w:t>
      </w:r>
      <w:r>
        <w:rPr>
          <w:spacing w:val="-7"/>
        </w:rPr>
        <w:t> </w:t>
      </w:r>
      <w:r>
        <w:rPr/>
        <w:t>y</w:t>
      </w:r>
      <w:r>
        <w:rPr>
          <w:spacing w:val="-7"/>
        </w:rPr>
        <w:t> </w:t>
      </w:r>
      <w:r>
        <w:rPr/>
        <w:t>de</w:t>
      </w:r>
      <w:r>
        <w:rPr>
          <w:spacing w:val="-7"/>
        </w:rPr>
        <w:t> </w:t>
      </w:r>
      <w:r>
        <w:rPr/>
        <w:t>las</w:t>
      </w:r>
      <w:r>
        <w:rPr>
          <w:spacing w:val="-7"/>
        </w:rPr>
        <w:t> </w:t>
      </w:r>
      <w:r>
        <w:rPr/>
        <w:t>excretas</w:t>
      </w:r>
      <w:r>
        <w:rPr>
          <w:spacing w:val="-7"/>
        </w:rPr>
        <w:t> </w:t>
      </w:r>
      <w:r>
        <w:rPr/>
        <w:t>de</w:t>
      </w:r>
      <w:r>
        <w:rPr>
          <w:spacing w:val="-7"/>
        </w:rPr>
        <w:t> </w:t>
      </w:r>
      <w:r>
        <w:rPr/>
        <w:t>animales</w:t>
      </w:r>
      <w:r>
        <w:rPr>
          <w:spacing w:val="-7"/>
        </w:rPr>
        <w:t> </w:t>
      </w:r>
      <w:r>
        <w:rPr/>
        <w:t>(INE-SEMARNAT,</w:t>
      </w:r>
      <w:r>
        <w:rPr>
          <w:spacing w:val="-7"/>
        </w:rPr>
        <w:t> </w:t>
      </w:r>
      <w:r>
        <w:rPr/>
        <w:t>2009). Las emisiones promedio de CH</w:t>
      </w:r>
      <w:r>
        <w:rPr>
          <w:position w:val="-2"/>
          <w:sz w:val="16"/>
        </w:rPr>
        <w:t>4 </w:t>
      </w:r>
      <w:r>
        <w:rPr/>
        <w:t>en México para el periodo de 1990 - 2002 fueron de 1,823 Gg, como suma de la fermentación entérica y el manejo de estiércol. Así también, las emisiones generadas fueron principalmente por el ganado bovino, el de</w:t>
      </w:r>
      <w:r>
        <w:rPr>
          <w:spacing w:val="-11"/>
        </w:rPr>
        <w:t> </w:t>
      </w:r>
      <w:r>
        <w:rPr/>
        <w:t>carne</w:t>
      </w:r>
      <w:r>
        <w:rPr>
          <w:spacing w:val="-11"/>
        </w:rPr>
        <w:t> </w:t>
      </w:r>
      <w:r>
        <w:rPr/>
        <w:t>y</w:t>
      </w:r>
      <w:r>
        <w:rPr>
          <w:spacing w:val="-11"/>
        </w:rPr>
        <w:t> </w:t>
      </w:r>
      <w:r>
        <w:rPr/>
        <w:t>doble</w:t>
      </w:r>
      <w:r>
        <w:rPr>
          <w:spacing w:val="-11"/>
        </w:rPr>
        <w:t> </w:t>
      </w:r>
      <w:r>
        <w:rPr/>
        <w:t>propósito</w:t>
      </w:r>
      <w:r>
        <w:rPr>
          <w:spacing w:val="-11"/>
        </w:rPr>
        <w:t> </w:t>
      </w:r>
      <w:r>
        <w:rPr/>
        <w:t>produjeron</w:t>
      </w:r>
      <w:r>
        <w:rPr>
          <w:spacing w:val="-11"/>
        </w:rPr>
        <w:t> </w:t>
      </w:r>
      <w:r>
        <w:rPr/>
        <w:t>el</w:t>
      </w:r>
      <w:r>
        <w:rPr>
          <w:spacing w:val="-11"/>
        </w:rPr>
        <w:t> </w:t>
      </w:r>
      <w:r>
        <w:rPr/>
        <w:t>89%,</w:t>
      </w:r>
      <w:r>
        <w:rPr>
          <w:spacing w:val="-11"/>
        </w:rPr>
        <w:t> </w:t>
      </w:r>
      <w:r>
        <w:rPr/>
        <w:t>el</w:t>
      </w:r>
      <w:r>
        <w:rPr>
          <w:spacing w:val="-11"/>
        </w:rPr>
        <w:t> </w:t>
      </w:r>
      <w:r>
        <w:rPr/>
        <w:t>lechero</w:t>
      </w:r>
      <w:r>
        <w:rPr>
          <w:spacing w:val="-11"/>
        </w:rPr>
        <w:t> </w:t>
      </w:r>
      <w:r>
        <w:rPr/>
        <w:t>fue</w:t>
      </w:r>
      <w:r>
        <w:rPr>
          <w:spacing w:val="-11"/>
        </w:rPr>
        <w:t> </w:t>
      </w:r>
      <w:r>
        <w:rPr/>
        <w:t>el</w:t>
      </w:r>
      <w:r>
        <w:rPr>
          <w:spacing w:val="-11"/>
        </w:rPr>
        <w:t> </w:t>
      </w:r>
      <w:r>
        <w:rPr/>
        <w:t>responsable</w:t>
      </w:r>
      <w:r>
        <w:rPr>
          <w:spacing w:val="-11"/>
        </w:rPr>
        <w:t> </w:t>
      </w:r>
      <w:r>
        <w:rPr/>
        <w:t>del</w:t>
      </w:r>
      <w:r>
        <w:rPr>
          <w:spacing w:val="-11"/>
        </w:rPr>
        <w:t> </w:t>
      </w:r>
      <w:r>
        <w:rPr/>
        <w:t>10% y los demás animales el 1% restante (INE-SEMARNAT, 2006). Las emisiones promedio de CH</w:t>
      </w:r>
      <w:r>
        <w:rPr>
          <w:position w:val="-2"/>
          <w:sz w:val="16"/>
        </w:rPr>
        <w:t>4 </w:t>
      </w:r>
      <w:r>
        <w:rPr/>
        <w:t>estimadas de la sección ganadera en CO</w:t>
      </w:r>
      <w:r>
        <w:rPr>
          <w:position w:val="-2"/>
          <w:sz w:val="16"/>
        </w:rPr>
        <w:t>2 </w:t>
      </w:r>
      <w:r>
        <w:rPr/>
        <w:t>equivalente fueron del orden de 34,241 Gg para el periodo comprendido entre los años 1990 - 2002, que equivalen al 88% del total de las emisiones de CH</w:t>
      </w:r>
      <w:r>
        <w:rPr>
          <w:position w:val="-2"/>
          <w:sz w:val="16"/>
        </w:rPr>
        <w:t>4 </w:t>
      </w:r>
      <w:r>
        <w:rPr/>
        <w:t>de todo el sector y el 12 % restante corresponde al N</w:t>
      </w:r>
      <w:r>
        <w:rPr>
          <w:position w:val="-2"/>
          <w:sz w:val="16"/>
        </w:rPr>
        <w:t>2</w:t>
      </w:r>
      <w:r>
        <w:rPr/>
        <w:t>O. Para el mismo periodo, las emisiones promedio de CH</w:t>
      </w:r>
      <w:r>
        <w:rPr>
          <w:position w:val="-2"/>
          <w:sz w:val="16"/>
        </w:rPr>
        <w:t>4 </w:t>
      </w:r>
      <w:r>
        <w:rPr/>
        <w:t>representan el 84% de la categoría y las de N</w:t>
      </w:r>
      <w:r>
        <w:rPr>
          <w:position w:val="-2"/>
          <w:sz w:val="16"/>
        </w:rPr>
        <w:t>2</w:t>
      </w:r>
      <w:r>
        <w:rPr/>
        <w:t>O el 16% restante. (INE- SEMARNAT, 2006). Para 2010, la Quinta Comunicación Nacional ante la Convención Marco de las Naciones Unidas Sobre Cambio Climático de México, señala que las emisiones en unidades de bióxido de carbono equivalente (CO</w:t>
      </w:r>
      <w:r>
        <w:rPr>
          <w:position w:val="-2"/>
          <w:sz w:val="16"/>
        </w:rPr>
        <w:t>2</w:t>
      </w:r>
      <w:r>
        <w:rPr/>
        <w:t>-eq) en la categoría de Agricultura fueron de 12.3% (92,184.4 Gg). Por otra parte, las emisiones de CH</w:t>
      </w:r>
      <w:r>
        <w:rPr>
          <w:position w:val="-2"/>
          <w:sz w:val="16"/>
        </w:rPr>
        <w:t>4 </w:t>
      </w:r>
      <w:r>
        <w:rPr/>
        <w:t>de esta categoría fueron de 7,938.9 Gg, lo que representa un incremento de 59.8% con respecto a 1990. Por lo que fue uno de los sectores con mayor contribución porcentual de emisiones de CH</w:t>
      </w:r>
      <w:r>
        <w:rPr>
          <w:position w:val="-2"/>
          <w:sz w:val="16"/>
        </w:rPr>
        <w:t>4 </w:t>
      </w:r>
      <w:r>
        <w:rPr/>
        <w:t>en el 2010 a través de la fermentación</w:t>
      </w:r>
      <w:r>
        <w:rPr>
          <w:spacing w:val="-13"/>
        </w:rPr>
        <w:t> </w:t>
      </w:r>
      <w:r>
        <w:rPr/>
        <w:t>entérica</w:t>
      </w:r>
      <w:r>
        <w:rPr>
          <w:spacing w:val="-13"/>
        </w:rPr>
        <w:t> </w:t>
      </w:r>
      <w:r>
        <w:rPr/>
        <w:t>con</w:t>
      </w:r>
      <w:r>
        <w:rPr>
          <w:spacing w:val="-13"/>
        </w:rPr>
        <w:t> </w:t>
      </w:r>
      <w:r>
        <w:rPr/>
        <w:t>un</w:t>
      </w:r>
      <w:r>
        <w:rPr>
          <w:spacing w:val="-13"/>
        </w:rPr>
        <w:t> </w:t>
      </w:r>
      <w:r>
        <w:rPr/>
        <w:t>22.8%</w:t>
      </w:r>
      <w:r>
        <w:rPr>
          <w:spacing w:val="-13"/>
        </w:rPr>
        <w:t> </w:t>
      </w:r>
      <w:r>
        <w:rPr/>
        <w:t>del</w:t>
      </w:r>
      <w:r>
        <w:rPr>
          <w:spacing w:val="-13"/>
        </w:rPr>
        <w:t> </w:t>
      </w:r>
      <w:r>
        <w:rPr/>
        <w:t>total</w:t>
      </w:r>
      <w:r>
        <w:rPr>
          <w:spacing w:val="-13"/>
        </w:rPr>
        <w:t> </w:t>
      </w:r>
      <w:r>
        <w:rPr/>
        <w:t>de</w:t>
      </w:r>
      <w:r>
        <w:rPr>
          <w:spacing w:val="-13"/>
        </w:rPr>
        <w:t> </w:t>
      </w:r>
      <w:r>
        <w:rPr/>
        <w:t>las</w:t>
      </w:r>
      <w:r>
        <w:rPr>
          <w:spacing w:val="-13"/>
        </w:rPr>
        <w:t> </w:t>
      </w:r>
      <w:r>
        <w:rPr/>
        <w:t>emisiones</w:t>
      </w:r>
      <w:r>
        <w:rPr>
          <w:spacing w:val="-13"/>
        </w:rPr>
        <w:t> </w:t>
      </w:r>
      <w:r>
        <w:rPr/>
        <w:t>de</w:t>
      </w:r>
      <w:r>
        <w:rPr>
          <w:spacing w:val="-13"/>
        </w:rPr>
        <w:t> </w:t>
      </w:r>
      <w:r>
        <w:rPr/>
        <w:t>metano,</w:t>
      </w:r>
      <w:r>
        <w:rPr>
          <w:spacing w:val="-13"/>
        </w:rPr>
        <w:t> </w:t>
      </w:r>
      <w:r>
        <w:rPr/>
        <w:t>ocupando el segundo lugar, después de las emisiones fugitivas de petróleo y gas natural (45.9%). Por otra parte, la categoría Agricultura a través de la subcategoría de fermentación entérica presenta una contribución porcentual de emisiones de CH</w:t>
      </w:r>
      <w:r>
        <w:rPr>
          <w:position w:val="-2"/>
          <w:sz w:val="16"/>
        </w:rPr>
        <w:t>4 </w:t>
      </w:r>
      <w:r>
        <w:rPr/>
        <w:t>del 41.2% (37,961.5 Gg) del sector (INE-SEMARNAT,</w:t>
      </w:r>
      <w:r>
        <w:rPr>
          <w:spacing w:val="-9"/>
        </w:rPr>
        <w:t> </w:t>
      </w:r>
      <w:r>
        <w:rPr/>
        <w:t>2012).</w:t>
      </w:r>
    </w:p>
    <w:p>
      <w:pPr>
        <w:pStyle w:val="BodyText"/>
        <w:spacing w:line="352" w:lineRule="auto" w:before="8"/>
        <w:ind w:left="276" w:right="143"/>
        <w:jc w:val="both"/>
      </w:pPr>
      <w:r>
        <w:rPr/>
        <w:t>El CH</w:t>
      </w:r>
      <w:r>
        <w:rPr>
          <w:position w:val="-2"/>
          <w:sz w:val="16"/>
        </w:rPr>
        <w:t>4 </w:t>
      </w:r>
      <w:r>
        <w:rPr/>
        <w:t>es un compuesto molecular que se encuentra en abundancia en la atmósfera, con unas propiedades radiativas tales que le confieren una capacidad elevada de absorción de la energía infrarroja, contribuyendo así al calentamiento global. La concentración de CH</w:t>
      </w:r>
      <w:r>
        <w:rPr>
          <w:position w:val="-2"/>
          <w:sz w:val="16"/>
        </w:rPr>
        <w:t>4 </w:t>
      </w:r>
      <w:r>
        <w:rPr/>
        <w:t>en la atmósfera ha aumentado rápidamente y se ha multiplicado por dos desde el comienzo de la Era Industrial (Steel </w:t>
      </w:r>
      <w:r>
        <w:rPr>
          <w:i/>
        </w:rPr>
        <w:t>et al.</w:t>
      </w:r>
      <w:r>
        <w:rPr/>
        <w:t>, 1992; Moss </w:t>
      </w:r>
      <w:r>
        <w:rPr>
          <w:i/>
        </w:rPr>
        <w:t>et al.</w:t>
      </w:r>
      <w:r>
        <w:rPr/>
        <w:t>, 2000; Wuebbles y Hayhoe, 2002; IPCC, 2007). Además, el CH</w:t>
      </w:r>
      <w:r>
        <w:rPr>
          <w:position w:val="-2"/>
          <w:sz w:val="16"/>
        </w:rPr>
        <w:t>4 </w:t>
      </w:r>
      <w:r>
        <w:rPr/>
        <w:t>tiene un potencial de calentamiento de la tierra 23 veces superior al CO</w:t>
      </w:r>
      <w:r>
        <w:rPr>
          <w:position w:val="-2"/>
          <w:sz w:val="16"/>
        </w:rPr>
        <w:t>2 </w:t>
      </w:r>
      <w:r>
        <w:rPr/>
        <w:t>(IPCC, 2001), es decir que cada kilo de CH</w:t>
      </w:r>
      <w:r>
        <w:rPr>
          <w:position w:val="-2"/>
          <w:sz w:val="16"/>
        </w:rPr>
        <w:t>4  </w:t>
      </w:r>
      <w:r>
        <w:rPr/>
        <w:t>liberado a la atmosfera contribuye al   calentamiento</w:t>
      </w:r>
    </w:p>
    <w:p>
      <w:pPr>
        <w:spacing w:after="0" w:line="352" w:lineRule="auto"/>
        <w:jc w:val="both"/>
        <w:sectPr>
          <w:pgSz w:w="12240" w:h="15840"/>
          <w:pgMar w:header="741" w:footer="739" w:top="1220" w:bottom="920" w:left="1720" w:right="1260"/>
        </w:sectPr>
      </w:pPr>
    </w:p>
    <w:p>
      <w:pPr>
        <w:pStyle w:val="BodyText"/>
        <w:spacing w:before="4"/>
        <w:rPr>
          <w:sz w:val="11"/>
        </w:rPr>
      </w:pPr>
    </w:p>
    <w:p>
      <w:pPr>
        <w:pStyle w:val="BodyText"/>
        <w:spacing w:line="352" w:lineRule="auto" w:before="69"/>
        <w:ind w:left="276"/>
      </w:pPr>
      <w:r>
        <w:rPr/>
        <w:t>global relativo tanto como la emisión de 23 kg. de CO</w:t>
      </w:r>
      <w:r>
        <w:rPr>
          <w:position w:val="-2"/>
          <w:sz w:val="16"/>
        </w:rPr>
        <w:t>2</w:t>
      </w:r>
      <w:r>
        <w:rPr/>
        <w:t>, calculado para un horizonte temporal de 100 años.</w:t>
      </w:r>
    </w:p>
    <w:p>
      <w:pPr>
        <w:spacing w:after="0" w:line="352" w:lineRule="auto"/>
        <w:sectPr>
          <w:pgSz w:w="12240" w:h="15840"/>
          <w:pgMar w:header="741" w:footer="739" w:top="1220" w:bottom="920" w:left="1720" w:right="1260"/>
        </w:sectPr>
      </w:pPr>
    </w:p>
    <w:p>
      <w:pPr>
        <w:pStyle w:val="BodyText"/>
        <w:spacing w:before="1"/>
        <w:rPr>
          <w:sz w:val="26"/>
        </w:rPr>
      </w:pPr>
    </w:p>
    <w:p>
      <w:pPr>
        <w:pStyle w:val="BodyText"/>
        <w:ind w:left="1077"/>
        <w:rPr>
          <w:sz w:val="20"/>
        </w:rPr>
      </w:pPr>
      <w:r>
        <w:rPr>
          <w:sz w:val="20"/>
        </w:rPr>
        <w:pict>
          <v:group style="width:412.35pt;height:136.6pt;mso-position-horizontal-relative:char;mso-position-vertical-relative:line" coordorigin="0,0" coordsize="8247,2732">
            <v:shape style="position:absolute;left:0;top:0;width:8246;height:2731" type="#_x0000_t75" stroked="false">
              <v:imagedata r:id="rId21" o:title=""/>
            </v:shape>
            <v:shape style="position:absolute;left:437;top:5;width:206;height:557" type="#_x0000_t75" stroked="false">
              <v:imagedata r:id="rId15" o:title=""/>
            </v:shape>
            <v:shape style="position:absolute;left:715;top:5;width:206;height:557" type="#_x0000_t75" stroked="false">
              <v:imagedata r:id="rId22" o:title=""/>
            </v:shape>
            <v:shape style="position:absolute;left:0;top:0;width:8247;height:2732" type="#_x0000_t202" filled="false" stroked="false">
              <v:textbox inset="0,0,0,0">
                <w:txbxContent>
                  <w:p>
                    <w:pPr>
                      <w:spacing w:line="240" w:lineRule="auto" w:before="3"/>
                      <w:rPr>
                        <w:sz w:val="47"/>
                      </w:rPr>
                    </w:pPr>
                  </w:p>
                  <w:p>
                    <w:pPr>
                      <w:spacing w:line="442" w:lineRule="exact" w:before="0"/>
                      <w:ind w:left="1699" w:right="139" w:hanging="1205"/>
                      <w:jc w:val="right"/>
                      <w:rPr>
                        <w:sz w:val="38"/>
                      </w:rPr>
                    </w:pPr>
                    <w:r>
                      <w:rPr>
                        <w:color w:val="632423"/>
                        <w:w w:val="75"/>
                        <w:sz w:val="38"/>
                      </w:rPr>
                      <w:t>Los rumiantes producen, aproximadamente, el 97% del CH</w:t>
                    </w:r>
                    <w:r>
                      <w:rPr>
                        <w:color w:val="632423"/>
                        <w:w w:val="75"/>
                        <w:position w:val="-3"/>
                        <w:sz w:val="25"/>
                      </w:rPr>
                      <w:t>4</w:t>
                    </w:r>
                    <w:r>
                      <w:rPr>
                        <w:color w:val="632423"/>
                        <w:w w:val="82"/>
                        <w:position w:val="-3"/>
                        <w:sz w:val="25"/>
                      </w:rPr>
                      <w:t> </w:t>
                    </w:r>
                    <w:r>
                      <w:rPr>
                        <w:color w:val="632423"/>
                        <w:w w:val="75"/>
                        <w:sz w:val="38"/>
                      </w:rPr>
                      <w:t>emitido anualmente por los animales</w:t>
                    </w:r>
                    <w:r>
                      <w:rPr>
                        <w:color w:val="632423"/>
                        <w:spacing w:val="53"/>
                        <w:w w:val="75"/>
                        <w:sz w:val="38"/>
                      </w:rPr>
                      <w:t> </w:t>
                    </w:r>
                    <w:r>
                      <w:rPr>
                        <w:color w:val="632423"/>
                        <w:w w:val="75"/>
                        <w:sz w:val="38"/>
                      </w:rPr>
                      <w:t>domésticos”.</w:t>
                    </w:r>
                  </w:p>
                  <w:p>
                    <w:pPr>
                      <w:spacing w:before="232"/>
                      <w:ind w:left="0" w:right="147" w:firstLine="0"/>
                      <w:jc w:val="right"/>
                      <w:rPr>
                        <w:sz w:val="23"/>
                      </w:rPr>
                    </w:pPr>
                    <w:r>
                      <w:rPr>
                        <w:color w:val="632423"/>
                        <w:w w:val="85"/>
                        <w:sz w:val="23"/>
                      </w:rPr>
                      <w:t>Johnson </w:t>
                    </w:r>
                    <w:r>
                      <w:rPr>
                        <w:rFonts w:ascii="Calibri"/>
                        <w:i/>
                        <w:color w:val="632423"/>
                        <w:w w:val="85"/>
                        <w:sz w:val="24"/>
                      </w:rPr>
                      <w:t>et al</w:t>
                    </w:r>
                    <w:r>
                      <w:rPr>
                        <w:color w:val="632423"/>
                        <w:w w:val="85"/>
                        <w:sz w:val="23"/>
                      </w:rPr>
                      <w:t>., 2000</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pStyle w:val="Heading1"/>
        <w:spacing w:before="35"/>
        <w:ind w:left="2087"/>
      </w:pPr>
      <w:r>
        <w:rPr/>
        <w:pict>
          <v:rect style="position:absolute;margin-left:184.072403pt;margin-top:34.744694pt;width:358.8pt;height:6pt;mso-position-horizontal-relative:page;mso-position-vertical-relative:paragraph;z-index:1504;mso-wrap-distance-left:0;mso-wrap-distance-right:0" filled="true" fillcolor="#943634" stroked="false">
            <v:fill type="solid"/>
            <w10:wrap type="topAndBottom"/>
          </v:rect>
        </w:pict>
      </w:r>
      <w:r>
        <w:rPr/>
        <w:pict>
          <v:group style="position:absolute;margin-left:86.872437pt;margin-top:-107.815308pt;width:89.8pt;height:189.95pt;mso-position-horizontal-relative:page;mso-position-vertical-relative:paragraph;z-index:1552" coordorigin="1737,-2156" coordsize="1796,3799">
            <v:shape style="position:absolute;left:1737;top:-2156;width:1795;height:3091" type="#_x0000_t75" stroked="false">
              <v:imagedata r:id="rId30" o:title=""/>
            </v:shape>
            <v:shape style="position:absolute;left:1737;top:-2156;width:1796;height:3799" type="#_x0000_t202" filled="false" stroked="false">
              <v:textbox inset="0,0,0,0">
                <w:txbxContent>
                  <w:p>
                    <w:pPr>
                      <w:spacing w:before="181"/>
                      <w:ind w:left="143" w:right="-17" w:firstLine="0"/>
                      <w:jc w:val="left"/>
                      <w:rPr>
                        <w:sz w:val="300"/>
                      </w:rPr>
                    </w:pPr>
                    <w:r>
                      <w:rPr>
                        <w:color w:val="943634"/>
                        <w:w w:val="99"/>
                        <w:sz w:val="300"/>
                      </w:rPr>
                      <w:t>2</w:t>
                    </w:r>
                  </w:p>
                </w:txbxContent>
              </v:textbox>
              <w10:wrap type="none"/>
            </v:shape>
            <w10:wrap type="none"/>
          </v:group>
        </w:pict>
      </w:r>
      <w:r>
        <w:rPr/>
        <w:t>Antecedentes</w:t>
      </w:r>
    </w:p>
    <w:p>
      <w:pPr>
        <w:pStyle w:val="BodyText"/>
        <w:spacing w:before="6"/>
        <w:rPr>
          <w:b/>
          <w:sz w:val="71"/>
        </w:rPr>
      </w:pPr>
    </w:p>
    <w:p>
      <w:pPr>
        <w:pStyle w:val="Heading2"/>
        <w:numPr>
          <w:ilvl w:val="1"/>
          <w:numId w:val="3"/>
        </w:numPr>
        <w:tabs>
          <w:tab w:pos="1000" w:val="left" w:leader="none"/>
        </w:tabs>
        <w:spacing w:line="240" w:lineRule="auto" w:before="0" w:after="0"/>
        <w:ind w:left="999" w:right="0" w:hanging="623"/>
        <w:jc w:val="both"/>
      </w:pPr>
      <w:bookmarkStart w:name="_TOC_250026" w:id="4"/>
      <w:bookmarkEnd w:id="4"/>
      <w:r>
        <w:rPr/>
        <w:t>Internacionales</w:t>
      </w:r>
    </w:p>
    <w:p>
      <w:pPr>
        <w:pStyle w:val="BodyText"/>
        <w:spacing w:before="7"/>
        <w:rPr>
          <w:b/>
          <w:sz w:val="35"/>
        </w:rPr>
      </w:pPr>
    </w:p>
    <w:p>
      <w:pPr>
        <w:pStyle w:val="BodyText"/>
        <w:spacing w:line="355" w:lineRule="auto"/>
        <w:ind w:left="376" w:right="224"/>
        <w:jc w:val="both"/>
      </w:pPr>
      <w:r>
        <w:rPr/>
        <w:t>Johnson </w:t>
      </w:r>
      <w:r>
        <w:rPr>
          <w:i/>
        </w:rPr>
        <w:t>et al. </w:t>
      </w:r>
      <w:r>
        <w:rPr/>
        <w:t>(1995), demostraron que el ganado rumiante produce de 250 a 500 litros de CH</w:t>
      </w:r>
      <w:r>
        <w:rPr>
          <w:position w:val="-2"/>
          <w:sz w:val="16"/>
        </w:rPr>
        <w:t>4 </w:t>
      </w:r>
      <w:r>
        <w:rPr/>
        <w:t>al día. Estas emisiones de CH</w:t>
      </w:r>
      <w:r>
        <w:rPr>
          <w:position w:val="-2"/>
          <w:sz w:val="16"/>
        </w:rPr>
        <w:t>4 </w:t>
      </w:r>
      <w:r>
        <w:rPr/>
        <w:t>que emite el ganado influye en el calentamiento global, debido a diversos factores como el tipo y niveles de</w:t>
      </w:r>
      <w:r>
        <w:rPr>
          <w:spacing w:val="-42"/>
        </w:rPr>
        <w:t> </w:t>
      </w:r>
      <w:r>
        <w:rPr/>
        <w:t>consumo de</w:t>
      </w:r>
      <w:r>
        <w:rPr>
          <w:spacing w:val="-12"/>
        </w:rPr>
        <w:t> </w:t>
      </w:r>
      <w:r>
        <w:rPr/>
        <w:t>alimento,</w:t>
      </w:r>
      <w:r>
        <w:rPr>
          <w:spacing w:val="-12"/>
        </w:rPr>
        <w:t> </w:t>
      </w:r>
      <w:r>
        <w:rPr/>
        <w:t>tipo</w:t>
      </w:r>
      <w:r>
        <w:rPr>
          <w:spacing w:val="-12"/>
        </w:rPr>
        <w:t> </w:t>
      </w:r>
      <w:r>
        <w:rPr/>
        <w:t>de</w:t>
      </w:r>
      <w:r>
        <w:rPr>
          <w:spacing w:val="-12"/>
        </w:rPr>
        <w:t> </w:t>
      </w:r>
      <w:r>
        <w:rPr/>
        <w:t>carbohidratos,</w:t>
      </w:r>
      <w:r>
        <w:rPr>
          <w:spacing w:val="-12"/>
        </w:rPr>
        <w:t> </w:t>
      </w:r>
      <w:r>
        <w:rPr/>
        <w:t>lípidos</w:t>
      </w:r>
      <w:r>
        <w:rPr>
          <w:spacing w:val="-12"/>
        </w:rPr>
        <w:t> </w:t>
      </w:r>
      <w:r>
        <w:rPr/>
        <w:t>o</w:t>
      </w:r>
      <w:r>
        <w:rPr>
          <w:spacing w:val="-12"/>
        </w:rPr>
        <w:t> </w:t>
      </w:r>
      <w:r>
        <w:rPr/>
        <w:t>ionóforos</w:t>
      </w:r>
      <w:r>
        <w:rPr>
          <w:spacing w:val="-12"/>
        </w:rPr>
        <w:t> </w:t>
      </w:r>
      <w:r>
        <w:rPr/>
        <w:t>en</w:t>
      </w:r>
      <w:r>
        <w:rPr>
          <w:spacing w:val="-12"/>
        </w:rPr>
        <w:t> </w:t>
      </w:r>
      <w:r>
        <w:rPr/>
        <w:t>la</w:t>
      </w:r>
      <w:r>
        <w:rPr>
          <w:spacing w:val="-12"/>
        </w:rPr>
        <w:t> </w:t>
      </w:r>
      <w:r>
        <w:rPr/>
        <w:t>dieta,</w:t>
      </w:r>
      <w:r>
        <w:rPr>
          <w:spacing w:val="-12"/>
        </w:rPr>
        <w:t> </w:t>
      </w:r>
      <w:r>
        <w:rPr/>
        <w:t>procesamiento</w:t>
      </w:r>
      <w:r>
        <w:rPr>
          <w:spacing w:val="-12"/>
        </w:rPr>
        <w:t> </w:t>
      </w:r>
      <w:r>
        <w:rPr/>
        <w:t>del alimento y las alteraciones en la microflora ruminal. Determinando que la manipulación de estos factores, puede reducir o incrementar las emisiones de CH</w:t>
      </w:r>
      <w:r>
        <w:rPr>
          <w:position w:val="-2"/>
          <w:sz w:val="16"/>
        </w:rPr>
        <w:t>4 </w:t>
      </w:r>
      <w:r>
        <w:rPr/>
        <w:t>que genera el ganado.</w:t>
      </w:r>
    </w:p>
    <w:p>
      <w:pPr>
        <w:pStyle w:val="BodyText"/>
        <w:spacing w:line="360" w:lineRule="auto" w:before="8"/>
        <w:ind w:left="376" w:right="225"/>
        <w:jc w:val="both"/>
      </w:pPr>
      <w:r>
        <w:rPr/>
        <w:t>El</w:t>
      </w:r>
      <w:r>
        <w:rPr>
          <w:spacing w:val="-6"/>
        </w:rPr>
        <w:t> </w:t>
      </w:r>
      <w:r>
        <w:rPr/>
        <w:t>IPCC-OCDE-AIE,</w:t>
      </w:r>
      <w:r>
        <w:rPr>
          <w:spacing w:val="-6"/>
        </w:rPr>
        <w:t> </w:t>
      </w:r>
      <w:r>
        <w:rPr/>
        <w:t>(1996),</w:t>
      </w:r>
      <w:r>
        <w:rPr>
          <w:spacing w:val="-6"/>
        </w:rPr>
        <w:t> </w:t>
      </w:r>
      <w:r>
        <w:rPr/>
        <w:t>elaboraron</w:t>
      </w:r>
      <w:r>
        <w:rPr>
          <w:spacing w:val="-7"/>
        </w:rPr>
        <w:t> </w:t>
      </w:r>
      <w:r>
        <w:rPr/>
        <w:t>las</w:t>
      </w:r>
      <w:r>
        <w:rPr>
          <w:spacing w:val="-6"/>
        </w:rPr>
        <w:t> </w:t>
      </w:r>
      <w:r>
        <w:rPr/>
        <w:t>“Directrices</w:t>
      </w:r>
      <w:r>
        <w:rPr>
          <w:spacing w:val="-6"/>
        </w:rPr>
        <w:t> </w:t>
      </w:r>
      <w:r>
        <w:rPr/>
        <w:t>del</w:t>
      </w:r>
      <w:r>
        <w:rPr>
          <w:spacing w:val="-6"/>
        </w:rPr>
        <w:t> </w:t>
      </w:r>
      <w:r>
        <w:rPr/>
        <w:t>IPCC</w:t>
      </w:r>
      <w:r>
        <w:rPr>
          <w:spacing w:val="-6"/>
        </w:rPr>
        <w:t> </w:t>
      </w:r>
      <w:r>
        <w:rPr/>
        <w:t>para</w:t>
      </w:r>
      <w:r>
        <w:rPr>
          <w:spacing w:val="-6"/>
        </w:rPr>
        <w:t> </w:t>
      </w:r>
      <w:r>
        <w:rPr/>
        <w:t>la</w:t>
      </w:r>
      <w:r>
        <w:rPr>
          <w:spacing w:val="-6"/>
        </w:rPr>
        <w:t> </w:t>
      </w:r>
      <w:r>
        <w:rPr/>
        <w:t>realización de los Inventarios Nacionales de Gases de Efecto Invernadero” a través de metodologías desarrolladas por el Grupo de Expertos sobre Cambio Climático, los cuales emanan de la firma realizada en el Convenio Marco de las Naciones</w:t>
      </w:r>
      <w:r>
        <w:rPr>
          <w:spacing w:val="-13"/>
        </w:rPr>
        <w:t> </w:t>
      </w:r>
      <w:r>
        <w:rPr/>
        <w:t>Unidas</w:t>
      </w:r>
    </w:p>
    <w:p>
      <w:pPr>
        <w:spacing w:after="0" w:line="360" w:lineRule="auto"/>
        <w:jc w:val="both"/>
        <w:sectPr>
          <w:pgSz w:w="12240" w:h="15840"/>
          <w:pgMar w:header="741" w:footer="739" w:top="1220" w:bottom="920" w:left="1620" w:right="1180"/>
        </w:sectPr>
      </w:pPr>
    </w:p>
    <w:p>
      <w:pPr>
        <w:pStyle w:val="BodyText"/>
        <w:spacing w:before="4"/>
        <w:rPr>
          <w:sz w:val="11"/>
        </w:rPr>
      </w:pPr>
    </w:p>
    <w:p>
      <w:pPr>
        <w:pStyle w:val="BodyText"/>
        <w:spacing w:line="360" w:lineRule="auto" w:before="69"/>
        <w:ind w:left="276" w:right="143"/>
        <w:jc w:val="both"/>
        <w:rPr>
          <w:b/>
        </w:rPr>
      </w:pPr>
      <w:r>
        <w:rPr/>
        <w:t>sobre</w:t>
      </w:r>
      <w:r>
        <w:rPr>
          <w:spacing w:val="-7"/>
        </w:rPr>
        <w:t> </w:t>
      </w:r>
      <w:r>
        <w:rPr/>
        <w:t>el</w:t>
      </w:r>
      <w:r>
        <w:rPr>
          <w:spacing w:val="-7"/>
        </w:rPr>
        <w:t> </w:t>
      </w:r>
      <w:r>
        <w:rPr/>
        <w:t>Cambio</w:t>
      </w:r>
      <w:r>
        <w:rPr>
          <w:spacing w:val="-7"/>
        </w:rPr>
        <w:t> </w:t>
      </w:r>
      <w:r>
        <w:rPr/>
        <w:t>Climático</w:t>
      </w:r>
      <w:r>
        <w:rPr>
          <w:spacing w:val="-7"/>
        </w:rPr>
        <w:t> </w:t>
      </w:r>
      <w:r>
        <w:rPr/>
        <w:t>en</w:t>
      </w:r>
      <w:r>
        <w:rPr>
          <w:spacing w:val="-7"/>
        </w:rPr>
        <w:t> </w:t>
      </w:r>
      <w:r>
        <w:rPr/>
        <w:t>la</w:t>
      </w:r>
      <w:r>
        <w:rPr>
          <w:spacing w:val="-7"/>
        </w:rPr>
        <w:t> </w:t>
      </w:r>
      <w:r>
        <w:rPr/>
        <w:t>Ciudad</w:t>
      </w:r>
      <w:r>
        <w:rPr>
          <w:spacing w:val="-7"/>
        </w:rPr>
        <w:t> </w:t>
      </w:r>
      <w:r>
        <w:rPr/>
        <w:t>de</w:t>
      </w:r>
      <w:r>
        <w:rPr>
          <w:spacing w:val="-7"/>
        </w:rPr>
        <w:t> </w:t>
      </w:r>
      <w:r>
        <w:rPr/>
        <w:t>Río</w:t>
      </w:r>
      <w:r>
        <w:rPr>
          <w:spacing w:val="-7"/>
        </w:rPr>
        <w:t> </w:t>
      </w:r>
      <w:r>
        <w:rPr/>
        <w:t>de</w:t>
      </w:r>
      <w:r>
        <w:rPr>
          <w:spacing w:val="-7"/>
        </w:rPr>
        <w:t> </w:t>
      </w:r>
      <w:r>
        <w:rPr/>
        <w:t>Janeiro</w:t>
      </w:r>
      <w:r>
        <w:rPr>
          <w:spacing w:val="-7"/>
        </w:rPr>
        <w:t> </w:t>
      </w:r>
      <w:r>
        <w:rPr/>
        <w:t>en</w:t>
      </w:r>
      <w:r>
        <w:rPr>
          <w:spacing w:val="-7"/>
        </w:rPr>
        <w:t> </w:t>
      </w:r>
      <w:r>
        <w:rPr/>
        <w:t>1992,</w:t>
      </w:r>
      <w:r>
        <w:rPr>
          <w:spacing w:val="-7"/>
        </w:rPr>
        <w:t> </w:t>
      </w:r>
      <w:r>
        <w:rPr/>
        <w:t>en</w:t>
      </w:r>
      <w:r>
        <w:rPr>
          <w:spacing w:val="-7"/>
        </w:rPr>
        <w:t> </w:t>
      </w:r>
      <w:r>
        <w:rPr/>
        <w:t>donde</w:t>
      </w:r>
      <w:r>
        <w:rPr>
          <w:spacing w:val="-7"/>
        </w:rPr>
        <w:t> </w:t>
      </w:r>
      <w:r>
        <w:rPr/>
        <w:t>indica el reconocimiento generalizado de que el cambio climático puede llegar a representar</w:t>
      </w:r>
      <w:r>
        <w:rPr>
          <w:spacing w:val="-9"/>
        </w:rPr>
        <w:t> </w:t>
      </w:r>
      <w:r>
        <w:rPr/>
        <w:t>una</w:t>
      </w:r>
      <w:r>
        <w:rPr>
          <w:spacing w:val="-9"/>
        </w:rPr>
        <w:t> </w:t>
      </w:r>
      <w:r>
        <w:rPr/>
        <w:t>de</w:t>
      </w:r>
      <w:r>
        <w:rPr>
          <w:spacing w:val="-9"/>
        </w:rPr>
        <w:t> </w:t>
      </w:r>
      <w:r>
        <w:rPr/>
        <w:t>las</w:t>
      </w:r>
      <w:r>
        <w:rPr>
          <w:spacing w:val="-9"/>
        </w:rPr>
        <w:t> </w:t>
      </w:r>
      <w:r>
        <w:rPr/>
        <w:t>principales</w:t>
      </w:r>
      <w:r>
        <w:rPr>
          <w:spacing w:val="-9"/>
        </w:rPr>
        <w:t> </w:t>
      </w:r>
      <w:r>
        <w:rPr/>
        <w:t>amenazas</w:t>
      </w:r>
      <w:r>
        <w:rPr>
          <w:spacing w:val="-9"/>
        </w:rPr>
        <w:t> </w:t>
      </w:r>
      <w:r>
        <w:rPr/>
        <w:t>para</w:t>
      </w:r>
      <w:r>
        <w:rPr>
          <w:spacing w:val="-9"/>
        </w:rPr>
        <w:t> </w:t>
      </w:r>
      <w:r>
        <w:rPr/>
        <w:t>el</w:t>
      </w:r>
      <w:r>
        <w:rPr>
          <w:spacing w:val="-9"/>
        </w:rPr>
        <w:t> </w:t>
      </w:r>
      <w:r>
        <w:rPr/>
        <w:t>medio</w:t>
      </w:r>
      <w:r>
        <w:rPr>
          <w:spacing w:val="-9"/>
        </w:rPr>
        <w:t> </w:t>
      </w:r>
      <w:r>
        <w:rPr/>
        <w:t>ambiente</w:t>
      </w:r>
      <w:r>
        <w:rPr>
          <w:spacing w:val="-9"/>
        </w:rPr>
        <w:t> </w:t>
      </w:r>
      <w:r>
        <w:rPr/>
        <w:t>y</w:t>
      </w:r>
      <w:r>
        <w:rPr>
          <w:spacing w:val="-9"/>
        </w:rPr>
        <w:t> </w:t>
      </w:r>
      <w:r>
        <w:rPr/>
        <w:t>el</w:t>
      </w:r>
      <w:r>
        <w:rPr>
          <w:spacing w:val="-9"/>
        </w:rPr>
        <w:t> </w:t>
      </w:r>
      <w:r>
        <w:rPr/>
        <w:t>desarrollo económico del mundo. Entre sus objetivos de este convenio es la estabilización de las concentraciones de los GEI en la atmósfera a un nivel adecuado para prevenir un grado peligroso de interferencia antropogénica con el sistema climático. En el Convenio</w:t>
      </w:r>
      <w:r>
        <w:rPr>
          <w:spacing w:val="-6"/>
        </w:rPr>
        <w:t> </w:t>
      </w:r>
      <w:r>
        <w:rPr/>
        <w:t>se</w:t>
      </w:r>
      <w:r>
        <w:rPr>
          <w:spacing w:val="-6"/>
        </w:rPr>
        <w:t> </w:t>
      </w:r>
      <w:r>
        <w:rPr/>
        <w:t>insta</w:t>
      </w:r>
      <w:r>
        <w:rPr>
          <w:spacing w:val="-6"/>
        </w:rPr>
        <w:t> </w:t>
      </w:r>
      <w:r>
        <w:rPr/>
        <w:t>también</w:t>
      </w:r>
      <w:r>
        <w:rPr>
          <w:spacing w:val="-6"/>
        </w:rPr>
        <w:t> </w:t>
      </w:r>
      <w:r>
        <w:rPr/>
        <w:t>a</w:t>
      </w:r>
      <w:r>
        <w:rPr>
          <w:spacing w:val="-6"/>
        </w:rPr>
        <w:t> </w:t>
      </w:r>
      <w:r>
        <w:rPr/>
        <w:t>todas</w:t>
      </w:r>
      <w:r>
        <w:rPr>
          <w:spacing w:val="-6"/>
        </w:rPr>
        <w:t> </w:t>
      </w:r>
      <w:r>
        <w:rPr/>
        <w:t>las</w:t>
      </w:r>
      <w:r>
        <w:rPr>
          <w:spacing w:val="-6"/>
        </w:rPr>
        <w:t> </w:t>
      </w:r>
      <w:r>
        <w:rPr/>
        <w:t>Partes</w:t>
      </w:r>
      <w:r>
        <w:rPr>
          <w:spacing w:val="-6"/>
        </w:rPr>
        <w:t> </w:t>
      </w:r>
      <w:r>
        <w:rPr/>
        <w:t>a</w:t>
      </w:r>
      <w:r>
        <w:rPr>
          <w:spacing w:val="-6"/>
        </w:rPr>
        <w:t> </w:t>
      </w:r>
      <w:r>
        <w:rPr/>
        <w:t>que</w:t>
      </w:r>
      <w:r>
        <w:rPr>
          <w:spacing w:val="-6"/>
        </w:rPr>
        <w:t> </w:t>
      </w:r>
      <w:r>
        <w:rPr/>
        <w:t>se</w:t>
      </w:r>
      <w:r>
        <w:rPr>
          <w:spacing w:val="-6"/>
        </w:rPr>
        <w:t> </w:t>
      </w:r>
      <w:r>
        <w:rPr/>
        <w:t>comprometan</w:t>
      </w:r>
      <w:r>
        <w:rPr>
          <w:spacing w:val="-6"/>
        </w:rPr>
        <w:t> </w:t>
      </w:r>
      <w:r>
        <w:rPr/>
        <w:t>a:</w:t>
      </w:r>
      <w:r>
        <w:rPr>
          <w:spacing w:val="-6"/>
        </w:rPr>
        <w:t> </w:t>
      </w:r>
      <w:r>
        <w:rPr/>
        <w:t>1)</w:t>
      </w:r>
      <w:r>
        <w:rPr>
          <w:spacing w:val="-6"/>
        </w:rPr>
        <w:t> </w:t>
      </w:r>
      <w:r>
        <w:rPr/>
        <w:t>elaborar, actualizar periódicamente, publicar y poner a disposición de la Conferencia de las Partes sus Inventarios Nacionales de las emisiones antropogénicas y 2) emplear metodologías comparables para los inventarios de las emisiones y remociones de los GEI. Para este propósito se elaboraron las Directrices del IPCC para los inventarios nacionales de GEI, versión revisada en 1996 las cuales fueron aprobadas por el IPCC en septiembre de 1996 en la Ciudad de México. Dentro de sus objetivos destacan: 1) crear y perfeccionar metodologías y software que gocen de aprobación internacional para el cálculo y la presentación de informes sobre las emisiones netas a nivel nacional de GEI y 2) fomentar el uso generalizado de las metodologías del IPCC. Estas Directrices del IPCC para los inventarios de GEI, versión revisada en 1996, consta de tres volúmenes: Volumen 1: las instrucciones para realizar el informe del inventario de GEI, en este se proporcionan las indicaciones paso a paso para la recopilación y documentación de los datos; Volumen 2: Libro de trabajo del inventario de GEI, se presentan las instrucciones para</w:t>
      </w:r>
      <w:r>
        <w:rPr>
          <w:spacing w:val="-6"/>
        </w:rPr>
        <w:t> </w:t>
      </w:r>
      <w:r>
        <w:rPr/>
        <w:t>el</w:t>
      </w:r>
      <w:r>
        <w:rPr>
          <w:spacing w:val="-6"/>
        </w:rPr>
        <w:t> </w:t>
      </w:r>
      <w:r>
        <w:rPr/>
        <w:t>cálculo</w:t>
      </w:r>
      <w:r>
        <w:rPr>
          <w:spacing w:val="-6"/>
        </w:rPr>
        <w:t> </w:t>
      </w:r>
      <w:r>
        <w:rPr/>
        <w:t>pormenorizado</w:t>
      </w:r>
      <w:r>
        <w:rPr>
          <w:spacing w:val="-6"/>
        </w:rPr>
        <w:t> </w:t>
      </w:r>
      <w:r>
        <w:rPr/>
        <w:t>de</w:t>
      </w:r>
      <w:r>
        <w:rPr>
          <w:spacing w:val="-6"/>
        </w:rPr>
        <w:t> </w:t>
      </w:r>
      <w:r>
        <w:rPr/>
        <w:t>las</w:t>
      </w:r>
      <w:r>
        <w:rPr>
          <w:spacing w:val="-6"/>
        </w:rPr>
        <w:t> </w:t>
      </w:r>
      <w:r>
        <w:rPr/>
        <w:t>emisiones</w:t>
      </w:r>
      <w:r>
        <w:rPr>
          <w:spacing w:val="-6"/>
        </w:rPr>
        <w:t> </w:t>
      </w:r>
      <w:r>
        <w:rPr/>
        <w:t>de</w:t>
      </w:r>
      <w:r>
        <w:rPr>
          <w:spacing w:val="-7"/>
        </w:rPr>
        <w:t> </w:t>
      </w:r>
      <w:r>
        <w:rPr/>
        <w:t>CO</w:t>
      </w:r>
      <w:r>
        <w:rPr>
          <w:position w:val="-2"/>
          <w:sz w:val="16"/>
        </w:rPr>
        <w:t>2</w:t>
      </w:r>
      <w:r>
        <w:rPr/>
        <w:t>,</w:t>
      </w:r>
      <w:r>
        <w:rPr>
          <w:spacing w:val="-7"/>
        </w:rPr>
        <w:t> </w:t>
      </w:r>
      <w:r>
        <w:rPr/>
        <w:t>CH</w:t>
      </w:r>
      <w:r>
        <w:rPr>
          <w:position w:val="-2"/>
          <w:sz w:val="16"/>
        </w:rPr>
        <w:t>4</w:t>
      </w:r>
      <w:r>
        <w:rPr>
          <w:spacing w:val="17"/>
          <w:position w:val="-2"/>
          <w:sz w:val="16"/>
        </w:rPr>
        <w:t> </w:t>
      </w:r>
      <w:r>
        <w:rPr/>
        <w:t>y</w:t>
      </w:r>
      <w:r>
        <w:rPr>
          <w:spacing w:val="-6"/>
        </w:rPr>
        <w:t> </w:t>
      </w:r>
      <w:r>
        <w:rPr/>
        <w:t>N</w:t>
      </w:r>
      <w:r>
        <w:rPr>
          <w:position w:val="-2"/>
          <w:sz w:val="16"/>
        </w:rPr>
        <w:t>2</w:t>
      </w:r>
      <w:r>
        <w:rPr/>
        <w:t>O</w:t>
      </w:r>
      <w:r>
        <w:rPr>
          <w:spacing w:val="-6"/>
        </w:rPr>
        <w:t> </w:t>
      </w:r>
      <w:r>
        <w:rPr/>
        <w:t>y</w:t>
      </w:r>
      <w:r>
        <w:rPr>
          <w:spacing w:val="-6"/>
        </w:rPr>
        <w:t> </w:t>
      </w:r>
      <w:r>
        <w:rPr/>
        <w:t>Volumen</w:t>
      </w:r>
      <w:r>
        <w:rPr>
          <w:spacing w:val="-6"/>
        </w:rPr>
        <w:t> </w:t>
      </w:r>
      <w:r>
        <w:rPr/>
        <w:t>3:</w:t>
      </w:r>
      <w:r>
        <w:rPr>
          <w:spacing w:val="-6"/>
        </w:rPr>
        <w:t> </w:t>
      </w:r>
      <w:r>
        <w:rPr/>
        <w:t>el “Manual de referencia del inventario de gases de efecto invernadero”, presenta un compendio de la información sobre los métodos empleados para la estimación de las emisiones correspondientes. </w:t>
      </w:r>
      <w:r>
        <w:rPr>
          <w:b/>
        </w:rPr>
        <w:t>En estas Directrices se presenta los aspectos metodológicos para la estimación de emisiones de CH</w:t>
      </w:r>
      <w:r>
        <w:rPr>
          <w:b/>
          <w:position w:val="-2"/>
          <w:sz w:val="16"/>
        </w:rPr>
        <w:t>4 </w:t>
      </w:r>
      <w:r>
        <w:rPr>
          <w:b/>
        </w:rPr>
        <w:t>y N</w:t>
      </w:r>
      <w:r>
        <w:rPr>
          <w:b/>
          <w:position w:val="-2"/>
          <w:sz w:val="16"/>
        </w:rPr>
        <w:t>2</w:t>
      </w:r>
      <w:r>
        <w:rPr>
          <w:b/>
        </w:rPr>
        <w:t>O procedentes de categorías</w:t>
      </w:r>
      <w:r>
        <w:rPr>
          <w:b/>
          <w:spacing w:val="33"/>
        </w:rPr>
        <w:t> </w:t>
      </w:r>
      <w:r>
        <w:rPr>
          <w:b/>
        </w:rPr>
        <w:t>de</w:t>
      </w:r>
      <w:r>
        <w:rPr>
          <w:b/>
          <w:spacing w:val="33"/>
        </w:rPr>
        <w:t> </w:t>
      </w:r>
      <w:r>
        <w:rPr>
          <w:b/>
        </w:rPr>
        <w:t>fuentes</w:t>
      </w:r>
      <w:r>
        <w:rPr>
          <w:b/>
          <w:spacing w:val="33"/>
        </w:rPr>
        <w:t> </w:t>
      </w:r>
      <w:r>
        <w:rPr>
          <w:b/>
        </w:rPr>
        <w:t>relacionadas</w:t>
      </w:r>
      <w:r>
        <w:rPr>
          <w:b/>
          <w:spacing w:val="33"/>
        </w:rPr>
        <w:t> </w:t>
      </w:r>
      <w:r>
        <w:rPr>
          <w:b/>
        </w:rPr>
        <w:t>con</w:t>
      </w:r>
      <w:r>
        <w:rPr>
          <w:b/>
          <w:spacing w:val="33"/>
        </w:rPr>
        <w:t> </w:t>
      </w:r>
      <w:r>
        <w:rPr>
          <w:b/>
        </w:rPr>
        <w:t>el</w:t>
      </w:r>
      <w:r>
        <w:rPr>
          <w:b/>
          <w:spacing w:val="33"/>
        </w:rPr>
        <w:t> </w:t>
      </w:r>
      <w:r>
        <w:rPr>
          <w:b/>
        </w:rPr>
        <w:t>ganado,</w:t>
      </w:r>
      <w:r>
        <w:rPr>
          <w:b/>
          <w:spacing w:val="33"/>
        </w:rPr>
        <w:t> </w:t>
      </w:r>
      <w:r>
        <w:rPr>
          <w:b/>
        </w:rPr>
        <w:t>enmarcado</w:t>
      </w:r>
      <w:r>
        <w:rPr>
          <w:b/>
          <w:spacing w:val="33"/>
        </w:rPr>
        <w:t> </w:t>
      </w:r>
      <w:r>
        <w:rPr>
          <w:b/>
        </w:rPr>
        <w:t>en</w:t>
      </w:r>
      <w:r>
        <w:rPr>
          <w:b/>
          <w:spacing w:val="33"/>
        </w:rPr>
        <w:t> </w:t>
      </w:r>
      <w:r>
        <w:rPr>
          <w:b/>
        </w:rPr>
        <w:t>el</w:t>
      </w:r>
      <w:r>
        <w:rPr>
          <w:b/>
          <w:spacing w:val="33"/>
        </w:rPr>
        <w:t> </w:t>
      </w:r>
      <w:r>
        <w:rPr>
          <w:b/>
        </w:rPr>
        <w:t>sector</w:t>
      </w:r>
    </w:p>
    <w:p>
      <w:pPr>
        <w:pStyle w:val="Heading7"/>
        <w:spacing w:line="279" w:lineRule="exact" w:before="0"/>
        <w:ind w:left="276" w:right="0" w:firstLine="0"/>
        <w:rPr>
          <w:rFonts w:ascii="Arial"/>
          <w:b w:val="0"/>
          <w:i/>
        </w:rPr>
      </w:pPr>
      <w:r>
        <w:rPr>
          <w:rFonts w:ascii="Arial"/>
          <w:i/>
        </w:rPr>
        <w:t>Agricultura</w:t>
      </w:r>
      <w:r>
        <w:rPr>
          <w:rFonts w:ascii="Arial"/>
          <w:i/>
          <w:position w:val="11"/>
          <w:sz w:val="16"/>
        </w:rPr>
        <w:t>3</w:t>
      </w:r>
      <w:r>
        <w:rPr>
          <w:rFonts w:ascii="Arial"/>
          <w:b w:val="0"/>
          <w:i/>
        </w:rPr>
        <w:t>.</w:t>
      </w:r>
    </w:p>
    <w:p>
      <w:pPr>
        <w:pStyle w:val="BodyText"/>
        <w:rPr>
          <w:i/>
          <w:sz w:val="20"/>
        </w:rPr>
      </w:pPr>
    </w:p>
    <w:p>
      <w:pPr>
        <w:pStyle w:val="BodyText"/>
        <w:rPr>
          <w:i/>
          <w:sz w:val="20"/>
        </w:rPr>
      </w:pPr>
    </w:p>
    <w:p>
      <w:pPr>
        <w:pStyle w:val="BodyText"/>
        <w:rPr>
          <w:i/>
          <w:sz w:val="20"/>
        </w:rPr>
      </w:pPr>
    </w:p>
    <w:p>
      <w:pPr>
        <w:pStyle w:val="BodyText"/>
        <w:spacing w:before="5"/>
        <w:rPr>
          <w:i/>
          <w:sz w:val="16"/>
        </w:rPr>
      </w:pPr>
      <w:r>
        <w:rPr/>
        <w:pict>
          <v:line style="position:absolute;mso-position-horizontal-relative:page;mso-position-vertical-relative:paragraph;z-index:1576;mso-wrap-distance-left:0;mso-wrap-distance-right:0" from="99.832443pt,11.679961pt" to="243.832403pt,11.679961pt" stroked="true" strokeweight=".48pt" strokecolor="#000000">
            <w10:wrap type="topAndBottom"/>
          </v:line>
        </w:pict>
      </w:r>
    </w:p>
    <w:p>
      <w:pPr>
        <w:pStyle w:val="BodyText"/>
        <w:spacing w:before="10"/>
        <w:rPr>
          <w:i/>
          <w:sz w:val="20"/>
        </w:rPr>
      </w:pPr>
    </w:p>
    <w:p>
      <w:pPr>
        <w:spacing w:before="78"/>
        <w:ind w:left="276" w:right="0" w:firstLine="0"/>
        <w:jc w:val="left"/>
        <w:rPr>
          <w:rFonts w:ascii="Calibri" w:hAnsi="Calibri"/>
          <w:sz w:val="19"/>
        </w:rPr>
      </w:pPr>
      <w:r>
        <w:rPr>
          <w:rFonts w:ascii="Calibri" w:hAnsi="Calibri"/>
          <w:w w:val="105"/>
          <w:position w:val="10"/>
          <w:sz w:val="13"/>
        </w:rPr>
        <w:t>3 </w:t>
      </w:r>
      <w:r>
        <w:rPr>
          <w:rFonts w:ascii="Calibri" w:hAnsi="Calibri"/>
          <w:w w:val="105"/>
          <w:sz w:val="19"/>
        </w:rPr>
        <w:t>En este volumen agricultura engloba los sectores agrícola y pecuario.</w:t>
      </w:r>
    </w:p>
    <w:p>
      <w:pPr>
        <w:spacing w:after="0"/>
        <w:jc w:val="left"/>
        <w:rPr>
          <w:rFonts w:ascii="Calibri" w:hAnsi="Calibri"/>
          <w:sz w:val="19"/>
        </w:rPr>
        <w:sectPr>
          <w:pgSz w:w="12240" w:h="15840"/>
          <w:pgMar w:header="741" w:footer="739" w:top="1220" w:bottom="920" w:left="1720" w:right="1260"/>
        </w:sectPr>
      </w:pPr>
    </w:p>
    <w:p>
      <w:pPr>
        <w:pStyle w:val="BodyText"/>
        <w:spacing w:before="8"/>
        <w:rPr>
          <w:rFonts w:ascii="Calibri"/>
          <w:sz w:val="10"/>
        </w:rPr>
      </w:pPr>
    </w:p>
    <w:p>
      <w:pPr>
        <w:pStyle w:val="BodyText"/>
        <w:spacing w:line="352" w:lineRule="auto" w:before="70"/>
        <w:ind w:left="276" w:right="143"/>
        <w:jc w:val="both"/>
      </w:pPr>
      <w:r>
        <w:rPr/>
        <w:t>Moss</w:t>
      </w:r>
      <w:r>
        <w:rPr>
          <w:spacing w:val="-9"/>
        </w:rPr>
        <w:t> </w:t>
      </w:r>
      <w:r>
        <w:rPr>
          <w:i/>
        </w:rPr>
        <w:t>et</w:t>
      </w:r>
      <w:r>
        <w:rPr>
          <w:i/>
          <w:spacing w:val="-9"/>
        </w:rPr>
        <w:t> </w:t>
      </w:r>
      <w:r>
        <w:rPr>
          <w:i/>
        </w:rPr>
        <w:t>al.</w:t>
      </w:r>
      <w:r>
        <w:rPr>
          <w:i/>
          <w:spacing w:val="-9"/>
        </w:rPr>
        <w:t> </w:t>
      </w:r>
      <w:r>
        <w:rPr/>
        <w:t>(2000),</w:t>
      </w:r>
      <w:r>
        <w:rPr>
          <w:spacing w:val="-9"/>
        </w:rPr>
        <w:t> </w:t>
      </w:r>
      <w:r>
        <w:rPr/>
        <w:t>refiere</w:t>
      </w:r>
      <w:r>
        <w:rPr>
          <w:spacing w:val="-9"/>
        </w:rPr>
        <w:t> </w:t>
      </w:r>
      <w:r>
        <w:rPr/>
        <w:t>que</w:t>
      </w:r>
      <w:r>
        <w:rPr>
          <w:spacing w:val="-9"/>
        </w:rPr>
        <w:t> </w:t>
      </w:r>
      <w:r>
        <w:rPr/>
        <w:t>las</w:t>
      </w:r>
      <w:r>
        <w:rPr>
          <w:spacing w:val="-9"/>
        </w:rPr>
        <w:t> </w:t>
      </w:r>
      <w:r>
        <w:rPr/>
        <w:t>emisiones</w:t>
      </w:r>
      <w:r>
        <w:rPr>
          <w:spacing w:val="-9"/>
        </w:rPr>
        <w:t> </w:t>
      </w:r>
      <w:r>
        <w:rPr/>
        <w:t>agrícolas</w:t>
      </w:r>
      <w:r>
        <w:rPr>
          <w:spacing w:val="-9"/>
        </w:rPr>
        <w:t> </w:t>
      </w:r>
      <w:r>
        <w:rPr/>
        <w:t>de</w:t>
      </w:r>
      <w:r>
        <w:rPr>
          <w:spacing w:val="-9"/>
        </w:rPr>
        <w:t> </w:t>
      </w:r>
      <w:r>
        <w:rPr/>
        <w:t>CH</w:t>
      </w:r>
      <w:r>
        <w:rPr>
          <w:position w:val="-2"/>
          <w:sz w:val="16"/>
        </w:rPr>
        <w:t>4</w:t>
      </w:r>
      <w:r>
        <w:rPr>
          <w:spacing w:val="14"/>
          <w:position w:val="-2"/>
          <w:sz w:val="16"/>
        </w:rPr>
        <w:t> </w:t>
      </w:r>
      <w:r>
        <w:rPr/>
        <w:t>representan</w:t>
      </w:r>
      <w:r>
        <w:rPr>
          <w:spacing w:val="-9"/>
        </w:rPr>
        <w:t> </w:t>
      </w:r>
      <w:r>
        <w:rPr/>
        <w:t>la</w:t>
      </w:r>
      <w:r>
        <w:rPr>
          <w:spacing w:val="-9"/>
        </w:rPr>
        <w:t> </w:t>
      </w:r>
      <w:r>
        <w:rPr/>
        <w:t>mayor fuente de GEI en el sector, aproximadamente dos tercios provienen de la fermentación entérica y un tercio procedente de estiércol animal. El CH</w:t>
      </w:r>
      <w:r>
        <w:rPr>
          <w:position w:val="-2"/>
          <w:sz w:val="16"/>
        </w:rPr>
        <w:t>4 </w:t>
      </w:r>
      <w:r>
        <w:rPr/>
        <w:t>es un potente gas con efecto invernadero, ya que su potencial de calentamiento global (PCG) es aproximadamente 21 veces superior al del CO</w:t>
      </w:r>
      <w:r>
        <w:rPr>
          <w:position w:val="-2"/>
          <w:sz w:val="16"/>
        </w:rPr>
        <w:t>2</w:t>
      </w:r>
      <w:r>
        <w:rPr/>
        <w:t>. El manejo del estiércol del ganado produce emisiones de CH</w:t>
      </w:r>
      <w:r>
        <w:rPr>
          <w:position w:val="-2"/>
          <w:sz w:val="16"/>
        </w:rPr>
        <w:t>4 </w:t>
      </w:r>
      <w:r>
        <w:rPr/>
        <w:t>y de N</w:t>
      </w:r>
      <w:r>
        <w:rPr>
          <w:position w:val="-2"/>
          <w:sz w:val="16"/>
        </w:rPr>
        <w:t>2</w:t>
      </w:r>
      <w:r>
        <w:rPr/>
        <w:t>O. El CH</w:t>
      </w:r>
      <w:r>
        <w:rPr>
          <w:position w:val="-2"/>
          <w:sz w:val="16"/>
        </w:rPr>
        <w:t>4 </w:t>
      </w:r>
      <w:r>
        <w:rPr/>
        <w:t>se produce mediante la descomposición anaeróbica del estiércol, mientras que el N</w:t>
      </w:r>
      <w:r>
        <w:rPr>
          <w:position w:val="-2"/>
          <w:sz w:val="16"/>
        </w:rPr>
        <w:t>2</w:t>
      </w:r>
      <w:r>
        <w:rPr/>
        <w:t>O se forma como</w:t>
      </w:r>
      <w:r>
        <w:rPr>
          <w:spacing w:val="-46"/>
        </w:rPr>
        <w:t> </w:t>
      </w:r>
      <w:r>
        <w:rPr/>
        <w:t>parte del ciclo del nitrógeno, a través de la denitrificación del nitrógeno orgánico</w:t>
      </w:r>
      <w:r>
        <w:rPr>
          <w:spacing w:val="-37"/>
        </w:rPr>
        <w:t> </w:t>
      </w:r>
      <w:r>
        <w:rPr/>
        <w:t>presente en el estiércol y en la orina del ganado. Mientras que el CO</w:t>
      </w:r>
      <w:r>
        <w:rPr>
          <w:position w:val="-2"/>
          <w:sz w:val="16"/>
        </w:rPr>
        <w:t>2 </w:t>
      </w:r>
      <w:r>
        <w:rPr/>
        <w:t>recibe la mayor parte de la atención como un factor en el calentamiento global, son otros gases los que se deben considerar, incluyendo el CH</w:t>
      </w:r>
      <w:r>
        <w:rPr>
          <w:position w:val="-2"/>
          <w:sz w:val="16"/>
        </w:rPr>
        <w:t>4</w:t>
      </w:r>
      <w:r>
        <w:rPr/>
        <w:t>, el N</w:t>
      </w:r>
      <w:r>
        <w:rPr>
          <w:position w:val="-2"/>
          <w:sz w:val="16"/>
        </w:rPr>
        <w:t>2</w:t>
      </w:r>
      <w:r>
        <w:rPr/>
        <w:t>O y los clorofluorocarbonos (CFC). También</w:t>
      </w:r>
      <w:r>
        <w:rPr>
          <w:spacing w:val="-9"/>
        </w:rPr>
        <w:t> </w:t>
      </w:r>
      <w:r>
        <w:rPr/>
        <w:t>menciona</w:t>
      </w:r>
      <w:r>
        <w:rPr>
          <w:spacing w:val="-9"/>
        </w:rPr>
        <w:t> </w:t>
      </w:r>
      <w:r>
        <w:rPr/>
        <w:t>que</w:t>
      </w:r>
      <w:r>
        <w:rPr>
          <w:spacing w:val="-9"/>
        </w:rPr>
        <w:t> </w:t>
      </w:r>
      <w:r>
        <w:rPr/>
        <w:t>la</w:t>
      </w:r>
      <w:r>
        <w:rPr>
          <w:spacing w:val="-9"/>
        </w:rPr>
        <w:t> </w:t>
      </w:r>
      <w:r>
        <w:rPr/>
        <w:t>agricultura</w:t>
      </w:r>
      <w:r>
        <w:rPr>
          <w:spacing w:val="-9"/>
        </w:rPr>
        <w:t> </w:t>
      </w:r>
      <w:r>
        <w:rPr/>
        <w:t>aporta</w:t>
      </w:r>
      <w:r>
        <w:rPr>
          <w:spacing w:val="-9"/>
        </w:rPr>
        <w:t> </w:t>
      </w:r>
      <w:r>
        <w:rPr/>
        <w:t>aproximadamente</w:t>
      </w:r>
      <w:r>
        <w:rPr>
          <w:spacing w:val="-9"/>
        </w:rPr>
        <w:t> </w:t>
      </w:r>
      <w:r>
        <w:rPr/>
        <w:t>del</w:t>
      </w:r>
      <w:r>
        <w:rPr>
          <w:spacing w:val="-9"/>
        </w:rPr>
        <w:t> </w:t>
      </w:r>
      <w:r>
        <w:rPr/>
        <w:t>21</w:t>
      </w:r>
      <w:r>
        <w:rPr>
          <w:spacing w:val="-9"/>
        </w:rPr>
        <w:t> </w:t>
      </w:r>
      <w:r>
        <w:rPr/>
        <w:t>a</w:t>
      </w:r>
      <w:r>
        <w:rPr>
          <w:spacing w:val="-9"/>
        </w:rPr>
        <w:t> </w:t>
      </w:r>
      <w:r>
        <w:rPr/>
        <w:t>25,</w:t>
      </w:r>
      <w:r>
        <w:rPr>
          <w:spacing w:val="-9"/>
        </w:rPr>
        <w:t> </w:t>
      </w:r>
      <w:r>
        <w:rPr/>
        <w:t>60</w:t>
      </w:r>
      <w:r>
        <w:rPr>
          <w:spacing w:val="-9"/>
        </w:rPr>
        <w:t> </w:t>
      </w:r>
      <w:r>
        <w:rPr/>
        <w:t>y</w:t>
      </w:r>
      <w:r>
        <w:rPr>
          <w:spacing w:val="-9"/>
        </w:rPr>
        <w:t> </w:t>
      </w:r>
      <w:r>
        <w:rPr/>
        <w:t>65- 80% de las emisiones antropogénicas totales de CO</w:t>
      </w:r>
      <w:r>
        <w:rPr>
          <w:position w:val="-2"/>
          <w:sz w:val="16"/>
        </w:rPr>
        <w:t>2</w:t>
      </w:r>
      <w:r>
        <w:rPr/>
        <w:t>, CH</w:t>
      </w:r>
      <w:r>
        <w:rPr>
          <w:position w:val="-2"/>
          <w:sz w:val="16"/>
        </w:rPr>
        <w:t>4 </w:t>
      </w:r>
      <w:r>
        <w:rPr/>
        <w:t>y N</w:t>
      </w:r>
      <w:r>
        <w:rPr>
          <w:position w:val="-2"/>
          <w:sz w:val="16"/>
        </w:rPr>
        <w:t>2</w:t>
      </w:r>
      <w:r>
        <w:rPr/>
        <w:t>O respectivamente. Así</w:t>
      </w:r>
      <w:r>
        <w:rPr>
          <w:spacing w:val="-12"/>
        </w:rPr>
        <w:t> </w:t>
      </w:r>
      <w:r>
        <w:rPr/>
        <w:t>mismo,</w:t>
      </w:r>
      <w:r>
        <w:rPr>
          <w:spacing w:val="-12"/>
        </w:rPr>
        <w:t> </w:t>
      </w:r>
      <w:r>
        <w:rPr/>
        <w:t>indica</w:t>
      </w:r>
      <w:r>
        <w:rPr>
          <w:spacing w:val="-12"/>
        </w:rPr>
        <w:t> </w:t>
      </w:r>
      <w:r>
        <w:rPr/>
        <w:t>que</w:t>
      </w:r>
      <w:r>
        <w:rPr>
          <w:spacing w:val="-12"/>
        </w:rPr>
        <w:t> </w:t>
      </w:r>
      <w:r>
        <w:rPr/>
        <w:t>la</w:t>
      </w:r>
      <w:r>
        <w:rPr>
          <w:spacing w:val="-12"/>
        </w:rPr>
        <w:t> </w:t>
      </w:r>
      <w:r>
        <w:rPr/>
        <w:t>agricultura</w:t>
      </w:r>
      <w:r>
        <w:rPr>
          <w:spacing w:val="-12"/>
        </w:rPr>
        <w:t> </w:t>
      </w:r>
      <w:r>
        <w:rPr/>
        <w:t>será</w:t>
      </w:r>
      <w:r>
        <w:rPr>
          <w:spacing w:val="-12"/>
        </w:rPr>
        <w:t> </w:t>
      </w:r>
      <w:r>
        <w:rPr/>
        <w:t>responsable</w:t>
      </w:r>
      <w:r>
        <w:rPr>
          <w:spacing w:val="-12"/>
        </w:rPr>
        <w:t> </w:t>
      </w:r>
      <w:r>
        <w:rPr/>
        <w:t>de</w:t>
      </w:r>
      <w:r>
        <w:rPr>
          <w:spacing w:val="-12"/>
        </w:rPr>
        <w:t> </w:t>
      </w:r>
      <w:r>
        <w:rPr/>
        <w:t>más</w:t>
      </w:r>
      <w:r>
        <w:rPr>
          <w:spacing w:val="-12"/>
        </w:rPr>
        <w:t> </w:t>
      </w:r>
      <w:r>
        <w:rPr/>
        <w:t>del</w:t>
      </w:r>
      <w:r>
        <w:rPr>
          <w:spacing w:val="-12"/>
        </w:rPr>
        <w:t> </w:t>
      </w:r>
      <w:r>
        <w:rPr/>
        <w:t>95%</w:t>
      </w:r>
      <w:r>
        <w:rPr>
          <w:spacing w:val="-12"/>
        </w:rPr>
        <w:t> </w:t>
      </w:r>
      <w:r>
        <w:rPr/>
        <w:t>del</w:t>
      </w:r>
      <w:r>
        <w:rPr>
          <w:spacing w:val="-13"/>
        </w:rPr>
        <w:t> </w:t>
      </w:r>
      <w:r>
        <w:rPr/>
        <w:t>amoníaco (NH</w:t>
      </w:r>
      <w:r>
        <w:rPr>
          <w:position w:val="-2"/>
          <w:sz w:val="16"/>
        </w:rPr>
        <w:t>3</w:t>
      </w:r>
      <w:r>
        <w:rPr/>
        <w:t>), el 50% del monóxido de carbono (CO) y el 35% de los óxidos de nitrógeno liberados a la atmósfera como consecuencia de los desechos por las actividades humanas. La liberación de unos 205 a 245 millones de toneladas de CH</w:t>
      </w:r>
      <w:r>
        <w:rPr>
          <w:position w:val="-2"/>
          <w:sz w:val="16"/>
        </w:rPr>
        <w:t>4 </w:t>
      </w:r>
      <w:r>
        <w:rPr/>
        <w:t>al año a partir de la agricultura, de las cuales 80 toneladas corresponden a la fermentación entérica.</w:t>
      </w:r>
    </w:p>
    <w:p>
      <w:pPr>
        <w:pStyle w:val="BodyText"/>
        <w:spacing w:line="355" w:lineRule="auto" w:before="11"/>
        <w:ind w:left="276" w:right="143"/>
        <w:jc w:val="both"/>
      </w:pPr>
      <w:r>
        <w:rPr/>
        <w:t>Berra </w:t>
      </w:r>
      <w:r>
        <w:rPr>
          <w:i/>
        </w:rPr>
        <w:t>et al. </w:t>
      </w:r>
      <w:r>
        <w:rPr/>
        <w:t>(2002), aluden que las actividades agrícolas y ganaderas contribuyen directamente</w:t>
      </w:r>
      <w:r>
        <w:rPr>
          <w:spacing w:val="-12"/>
        </w:rPr>
        <w:t> </w:t>
      </w:r>
      <w:r>
        <w:rPr/>
        <w:t>a</w:t>
      </w:r>
      <w:r>
        <w:rPr>
          <w:spacing w:val="-12"/>
        </w:rPr>
        <w:t> </w:t>
      </w:r>
      <w:r>
        <w:rPr/>
        <w:t>la</w:t>
      </w:r>
      <w:r>
        <w:rPr>
          <w:spacing w:val="-12"/>
        </w:rPr>
        <w:t> </w:t>
      </w:r>
      <w:r>
        <w:rPr/>
        <w:t>emisión</w:t>
      </w:r>
      <w:r>
        <w:rPr>
          <w:spacing w:val="-12"/>
        </w:rPr>
        <w:t> </w:t>
      </w:r>
      <w:r>
        <w:rPr/>
        <w:t>de</w:t>
      </w:r>
      <w:r>
        <w:rPr>
          <w:spacing w:val="-12"/>
        </w:rPr>
        <w:t> </w:t>
      </w:r>
      <w:r>
        <w:rPr/>
        <w:t>GEI,</w:t>
      </w:r>
      <w:r>
        <w:rPr>
          <w:spacing w:val="-12"/>
        </w:rPr>
        <w:t> </w:t>
      </w:r>
      <w:r>
        <w:rPr/>
        <w:t>y</w:t>
      </w:r>
      <w:r>
        <w:rPr>
          <w:spacing w:val="-12"/>
        </w:rPr>
        <w:t> </w:t>
      </w:r>
      <w:r>
        <w:rPr/>
        <w:t>en</w:t>
      </w:r>
      <w:r>
        <w:rPr>
          <w:spacing w:val="-12"/>
        </w:rPr>
        <w:t> </w:t>
      </w:r>
      <w:r>
        <w:rPr/>
        <w:t>especial</w:t>
      </w:r>
      <w:r>
        <w:rPr>
          <w:spacing w:val="-12"/>
        </w:rPr>
        <w:t> </w:t>
      </w:r>
      <w:r>
        <w:rPr/>
        <w:t>la</w:t>
      </w:r>
      <w:r>
        <w:rPr>
          <w:spacing w:val="-12"/>
        </w:rPr>
        <w:t> </w:t>
      </w:r>
      <w:r>
        <w:rPr/>
        <w:t>ganadería</w:t>
      </w:r>
      <w:r>
        <w:rPr>
          <w:spacing w:val="-12"/>
        </w:rPr>
        <w:t> </w:t>
      </w:r>
      <w:r>
        <w:rPr/>
        <w:t>contribuye</w:t>
      </w:r>
      <w:r>
        <w:rPr>
          <w:spacing w:val="-12"/>
        </w:rPr>
        <w:t> </w:t>
      </w:r>
      <w:r>
        <w:rPr/>
        <w:t>a</w:t>
      </w:r>
      <w:r>
        <w:rPr>
          <w:spacing w:val="-12"/>
        </w:rPr>
        <w:t> </w:t>
      </w:r>
      <w:r>
        <w:rPr/>
        <w:t>la</w:t>
      </w:r>
      <w:r>
        <w:rPr>
          <w:spacing w:val="-12"/>
        </w:rPr>
        <w:t> </w:t>
      </w:r>
      <w:r>
        <w:rPr/>
        <w:t>emisión de CH</w:t>
      </w:r>
      <w:r>
        <w:rPr>
          <w:position w:val="-2"/>
          <w:sz w:val="16"/>
        </w:rPr>
        <w:t>4 </w:t>
      </w:r>
      <w:r>
        <w:rPr/>
        <w:t>que puede ser exhalado o eructado por el animal como resultado de la fermentación entérica, así también mencionan que el CH</w:t>
      </w:r>
      <w:r>
        <w:rPr>
          <w:position w:val="-2"/>
          <w:sz w:val="16"/>
        </w:rPr>
        <w:t>4 </w:t>
      </w:r>
      <w:r>
        <w:rPr/>
        <w:t>y N</w:t>
      </w:r>
      <w:r>
        <w:rPr>
          <w:position w:val="-2"/>
          <w:sz w:val="16"/>
        </w:rPr>
        <w:t>2</w:t>
      </w:r>
      <w:r>
        <w:rPr/>
        <w:t>O son emitidos a través de sus excretas.</w:t>
      </w:r>
    </w:p>
    <w:p>
      <w:pPr>
        <w:pStyle w:val="BodyText"/>
        <w:spacing w:line="360" w:lineRule="auto" w:before="8"/>
        <w:ind w:left="276" w:right="143"/>
        <w:jc w:val="both"/>
      </w:pPr>
      <w:r>
        <w:rPr/>
        <w:t>Pordomingo (2002), indica que, las interacciones con el ambiente en la producción ganadera, son particulares en cada sistema de producción y deben de ser analizadas para desarrollar una estrategia de gestión ambiental adecuada en el manejo de las excretas, reduciendo la sobrecarga proteica de las dietas y alcanzar mejores balances energético-proteicos para mejorar la eficiencia de conversión de nutrientes contaminantes.</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Montenegro </w:t>
      </w:r>
      <w:r>
        <w:rPr>
          <w:i/>
        </w:rPr>
        <w:t>et al. </w:t>
      </w:r>
      <w:r>
        <w:rPr/>
        <w:t>(2002b), reportan que las diferencias en las emisiones de CH</w:t>
      </w:r>
      <w:r>
        <w:rPr>
          <w:position w:val="-2"/>
          <w:sz w:val="16"/>
        </w:rPr>
        <w:t>4</w:t>
      </w:r>
      <w:r>
        <w:rPr>
          <w:spacing w:val="-19"/>
          <w:position w:val="-2"/>
          <w:sz w:val="16"/>
        </w:rPr>
        <w:t> </w:t>
      </w:r>
      <w:r>
        <w:rPr/>
        <w:t>se explican por el manejo de las unidades de producción o establos (calidad de las pasturas consumidas y acceso a suplemento así como también por el número de animales) y la calidad genética de los animales, que en combinación con la calidad de la dieta, afecta la proporción de alimento que es transformado en este gas. Además, es posible mediante la modificación del manejo de las pasturas disminuir, los niveles de emisión del CH</w:t>
      </w:r>
      <w:r>
        <w:rPr>
          <w:position w:val="-2"/>
          <w:sz w:val="16"/>
        </w:rPr>
        <w:t>4 </w:t>
      </w:r>
      <w:r>
        <w:rPr/>
        <w:t>en las explotaciones bovinas, independientemente de la zona ecológica donde estas se localicen.</w:t>
      </w:r>
    </w:p>
    <w:p>
      <w:pPr>
        <w:pStyle w:val="BodyText"/>
        <w:spacing w:line="357" w:lineRule="auto" w:before="5"/>
        <w:ind w:left="276" w:right="143"/>
        <w:jc w:val="both"/>
      </w:pPr>
      <w:r>
        <w:rPr/>
        <w:t>Carmona </w:t>
      </w:r>
      <w:r>
        <w:rPr>
          <w:i/>
        </w:rPr>
        <w:t>et al. </w:t>
      </w:r>
      <w:r>
        <w:rPr/>
        <w:t>(2005), indican que la agricultura y la producción pecuaria contribuyen ampliamente a las emisiones antropogénicas de CH</w:t>
      </w:r>
      <w:r>
        <w:rPr>
          <w:position w:val="-2"/>
          <w:sz w:val="16"/>
        </w:rPr>
        <w:t>4</w:t>
      </w:r>
      <w:r>
        <w:rPr/>
        <w:t>, CO</w:t>
      </w:r>
      <w:r>
        <w:rPr>
          <w:position w:val="-2"/>
          <w:sz w:val="16"/>
        </w:rPr>
        <w:t>2 </w:t>
      </w:r>
      <w:r>
        <w:rPr/>
        <w:t>y N</w:t>
      </w:r>
      <w:r>
        <w:rPr>
          <w:position w:val="-2"/>
          <w:sz w:val="16"/>
        </w:rPr>
        <w:t>2</w:t>
      </w:r>
      <w:r>
        <w:rPr/>
        <w:t>O a la atmósfera. El aumento de las concentraciones de estos gases provoca un calentamiento de la superficie terrestre y la destrucción de la capa de ozono en la estratosfera. Así mismo, señalan que la manipulación de la dieta de los rumiantes se considera una alternativa viable para aminorar la producción de CH</w:t>
      </w:r>
      <w:r>
        <w:rPr>
          <w:position w:val="-2"/>
          <w:sz w:val="16"/>
        </w:rPr>
        <w:t>4 </w:t>
      </w:r>
      <w:r>
        <w:rPr/>
        <w:t>y a la par disminuir las pérdidas energéticas en el animal. También mencionan que existen evidencias</w:t>
      </w:r>
      <w:r>
        <w:rPr>
          <w:spacing w:val="-6"/>
        </w:rPr>
        <w:t> </w:t>
      </w:r>
      <w:r>
        <w:rPr/>
        <w:t>que</w:t>
      </w:r>
      <w:r>
        <w:rPr>
          <w:spacing w:val="-6"/>
        </w:rPr>
        <w:t> </w:t>
      </w:r>
      <w:r>
        <w:rPr/>
        <w:t>muestran</w:t>
      </w:r>
      <w:r>
        <w:rPr>
          <w:spacing w:val="-6"/>
        </w:rPr>
        <w:t> </w:t>
      </w:r>
      <w:r>
        <w:rPr/>
        <w:t>que</w:t>
      </w:r>
      <w:r>
        <w:rPr>
          <w:spacing w:val="-6"/>
        </w:rPr>
        <w:t> </w:t>
      </w:r>
      <w:r>
        <w:rPr/>
        <w:t>la</w:t>
      </w:r>
      <w:r>
        <w:rPr>
          <w:spacing w:val="-6"/>
        </w:rPr>
        <w:t> </w:t>
      </w:r>
      <w:r>
        <w:rPr/>
        <w:t>tasa</w:t>
      </w:r>
      <w:r>
        <w:rPr>
          <w:spacing w:val="-6"/>
        </w:rPr>
        <w:t> </w:t>
      </w:r>
      <w:r>
        <w:rPr/>
        <w:t>de</w:t>
      </w:r>
      <w:r>
        <w:rPr>
          <w:spacing w:val="-6"/>
        </w:rPr>
        <w:t> </w:t>
      </w:r>
      <w:r>
        <w:rPr/>
        <w:t>emisión</w:t>
      </w:r>
      <w:r>
        <w:rPr>
          <w:spacing w:val="-6"/>
        </w:rPr>
        <w:t> </w:t>
      </w:r>
      <w:r>
        <w:rPr/>
        <w:t>de</w:t>
      </w:r>
      <w:r>
        <w:rPr>
          <w:spacing w:val="-6"/>
        </w:rPr>
        <w:t> </w:t>
      </w:r>
      <w:r>
        <w:rPr/>
        <w:t>CH</w:t>
      </w:r>
      <w:r>
        <w:rPr>
          <w:position w:val="-2"/>
          <w:sz w:val="16"/>
        </w:rPr>
        <w:t>4</w:t>
      </w:r>
      <w:r>
        <w:rPr/>
        <w:t>,</w:t>
      </w:r>
      <w:r>
        <w:rPr>
          <w:spacing w:val="-6"/>
        </w:rPr>
        <w:t> </w:t>
      </w:r>
      <w:r>
        <w:rPr/>
        <w:t>por</w:t>
      </w:r>
      <w:r>
        <w:rPr>
          <w:spacing w:val="-6"/>
        </w:rPr>
        <w:t> </w:t>
      </w:r>
      <w:r>
        <w:rPr/>
        <w:t>fermentación</w:t>
      </w:r>
      <w:r>
        <w:rPr>
          <w:spacing w:val="-6"/>
        </w:rPr>
        <w:t> </w:t>
      </w:r>
      <w:r>
        <w:rPr/>
        <w:t>entérica, se</w:t>
      </w:r>
      <w:r>
        <w:rPr>
          <w:spacing w:val="-11"/>
        </w:rPr>
        <w:t> </w:t>
      </w:r>
      <w:r>
        <w:rPr/>
        <w:t>relaciona</w:t>
      </w:r>
      <w:r>
        <w:rPr>
          <w:spacing w:val="-11"/>
        </w:rPr>
        <w:t> </w:t>
      </w:r>
      <w:r>
        <w:rPr/>
        <w:t>con</w:t>
      </w:r>
      <w:r>
        <w:rPr>
          <w:spacing w:val="-11"/>
        </w:rPr>
        <w:t> </w:t>
      </w:r>
      <w:r>
        <w:rPr/>
        <w:t>el</w:t>
      </w:r>
      <w:r>
        <w:rPr>
          <w:spacing w:val="-11"/>
        </w:rPr>
        <w:t> </w:t>
      </w:r>
      <w:r>
        <w:rPr/>
        <w:t>alimento</w:t>
      </w:r>
      <w:r>
        <w:rPr>
          <w:spacing w:val="-11"/>
        </w:rPr>
        <w:t> </w:t>
      </w:r>
      <w:r>
        <w:rPr/>
        <w:t>consumido.</w:t>
      </w:r>
      <w:r>
        <w:rPr>
          <w:spacing w:val="-11"/>
        </w:rPr>
        <w:t> </w:t>
      </w:r>
      <w:r>
        <w:rPr/>
        <w:t>Además,</w:t>
      </w:r>
      <w:r>
        <w:rPr>
          <w:spacing w:val="-11"/>
        </w:rPr>
        <w:t> </w:t>
      </w:r>
      <w:r>
        <w:rPr/>
        <w:t>indican</w:t>
      </w:r>
      <w:r>
        <w:rPr>
          <w:spacing w:val="-11"/>
        </w:rPr>
        <w:t> </w:t>
      </w:r>
      <w:r>
        <w:rPr/>
        <w:t>que</w:t>
      </w:r>
      <w:r>
        <w:rPr>
          <w:spacing w:val="-11"/>
        </w:rPr>
        <w:t> </w:t>
      </w:r>
      <w:r>
        <w:rPr/>
        <w:t>entre</w:t>
      </w:r>
      <w:r>
        <w:rPr>
          <w:spacing w:val="-11"/>
        </w:rPr>
        <w:t> </w:t>
      </w:r>
      <w:r>
        <w:rPr/>
        <w:t>los</w:t>
      </w:r>
      <w:r>
        <w:rPr>
          <w:spacing w:val="-11"/>
        </w:rPr>
        <w:t> </w:t>
      </w:r>
      <w:r>
        <w:rPr/>
        <w:t>factores</w:t>
      </w:r>
      <w:r>
        <w:rPr>
          <w:spacing w:val="-11"/>
        </w:rPr>
        <w:t> </w:t>
      </w:r>
      <w:r>
        <w:rPr/>
        <w:t>que influyen en su producción están las características físicas y químicas del alimento, las</w:t>
      </w:r>
      <w:r>
        <w:rPr>
          <w:spacing w:val="-13"/>
        </w:rPr>
        <w:t> </w:t>
      </w:r>
      <w:r>
        <w:rPr/>
        <w:t>cuales</w:t>
      </w:r>
      <w:r>
        <w:rPr>
          <w:spacing w:val="-13"/>
        </w:rPr>
        <w:t> </w:t>
      </w:r>
      <w:r>
        <w:rPr/>
        <w:t>afectan</w:t>
      </w:r>
      <w:r>
        <w:rPr>
          <w:spacing w:val="-13"/>
        </w:rPr>
        <w:t> </w:t>
      </w:r>
      <w:r>
        <w:rPr/>
        <w:t>directamente</w:t>
      </w:r>
      <w:r>
        <w:rPr>
          <w:spacing w:val="-13"/>
        </w:rPr>
        <w:t> </w:t>
      </w:r>
      <w:r>
        <w:rPr/>
        <w:t>el</w:t>
      </w:r>
      <w:r>
        <w:rPr>
          <w:spacing w:val="-13"/>
        </w:rPr>
        <w:t> </w:t>
      </w:r>
      <w:r>
        <w:rPr/>
        <w:t>nivel</w:t>
      </w:r>
      <w:r>
        <w:rPr>
          <w:spacing w:val="-14"/>
        </w:rPr>
        <w:t> </w:t>
      </w:r>
      <w:r>
        <w:rPr/>
        <w:t>de</w:t>
      </w:r>
      <w:r>
        <w:rPr>
          <w:spacing w:val="-13"/>
        </w:rPr>
        <w:t> </w:t>
      </w:r>
      <w:r>
        <w:rPr/>
        <w:t>consumo</w:t>
      </w:r>
      <w:r>
        <w:rPr>
          <w:spacing w:val="-13"/>
        </w:rPr>
        <w:t> </w:t>
      </w:r>
      <w:r>
        <w:rPr/>
        <w:t>y</w:t>
      </w:r>
      <w:r>
        <w:rPr>
          <w:spacing w:val="-13"/>
        </w:rPr>
        <w:t> </w:t>
      </w:r>
      <w:r>
        <w:rPr/>
        <w:t>la</w:t>
      </w:r>
      <w:r>
        <w:rPr>
          <w:spacing w:val="-13"/>
        </w:rPr>
        <w:t> </w:t>
      </w:r>
      <w:r>
        <w:rPr/>
        <w:t>frecuencia</w:t>
      </w:r>
      <w:r>
        <w:rPr>
          <w:spacing w:val="-13"/>
        </w:rPr>
        <w:t> </w:t>
      </w:r>
      <w:r>
        <w:rPr/>
        <w:t>de</w:t>
      </w:r>
      <w:r>
        <w:rPr>
          <w:spacing w:val="-13"/>
        </w:rPr>
        <w:t> </w:t>
      </w:r>
      <w:r>
        <w:rPr/>
        <w:t>alimentación. Por</w:t>
      </w:r>
      <w:r>
        <w:rPr>
          <w:spacing w:val="-6"/>
        </w:rPr>
        <w:t> </w:t>
      </w:r>
      <w:r>
        <w:rPr/>
        <w:t>tanto,</w:t>
      </w:r>
      <w:r>
        <w:rPr>
          <w:spacing w:val="-6"/>
        </w:rPr>
        <w:t> </w:t>
      </w:r>
      <w:r>
        <w:rPr/>
        <w:t>una</w:t>
      </w:r>
      <w:r>
        <w:rPr>
          <w:spacing w:val="-6"/>
        </w:rPr>
        <w:t> </w:t>
      </w:r>
      <w:r>
        <w:rPr/>
        <w:t>subnutrición</w:t>
      </w:r>
      <w:r>
        <w:rPr>
          <w:spacing w:val="-6"/>
        </w:rPr>
        <w:t> </w:t>
      </w:r>
      <w:r>
        <w:rPr/>
        <w:t>contribuye</w:t>
      </w:r>
      <w:r>
        <w:rPr>
          <w:spacing w:val="-6"/>
        </w:rPr>
        <w:t> </w:t>
      </w:r>
      <w:r>
        <w:rPr/>
        <w:t>a</w:t>
      </w:r>
      <w:r>
        <w:rPr>
          <w:spacing w:val="-6"/>
        </w:rPr>
        <w:t> </w:t>
      </w:r>
      <w:r>
        <w:rPr/>
        <w:t>incrementar</w:t>
      </w:r>
      <w:r>
        <w:rPr>
          <w:spacing w:val="-6"/>
        </w:rPr>
        <w:t> </w:t>
      </w:r>
      <w:r>
        <w:rPr/>
        <w:t>los</w:t>
      </w:r>
      <w:r>
        <w:rPr>
          <w:spacing w:val="-6"/>
        </w:rPr>
        <w:t> </w:t>
      </w:r>
      <w:r>
        <w:rPr/>
        <w:t>niveles</w:t>
      </w:r>
      <w:r>
        <w:rPr>
          <w:spacing w:val="-6"/>
        </w:rPr>
        <w:t> </w:t>
      </w:r>
      <w:r>
        <w:rPr/>
        <w:t>de</w:t>
      </w:r>
      <w:r>
        <w:rPr>
          <w:spacing w:val="-6"/>
        </w:rPr>
        <w:t> </w:t>
      </w:r>
      <w:r>
        <w:rPr/>
        <w:t>emisión</w:t>
      </w:r>
      <w:r>
        <w:rPr>
          <w:spacing w:val="-6"/>
        </w:rPr>
        <w:t> </w:t>
      </w:r>
      <w:r>
        <w:rPr/>
        <w:t>de</w:t>
      </w:r>
      <w:r>
        <w:rPr>
          <w:spacing w:val="-6"/>
        </w:rPr>
        <w:t> </w:t>
      </w:r>
      <w:r>
        <w:rPr/>
        <w:t>CH</w:t>
      </w:r>
      <w:r>
        <w:rPr>
          <w:position w:val="-2"/>
          <w:sz w:val="16"/>
        </w:rPr>
        <w:t>4</w:t>
      </w:r>
      <w:r>
        <w:rPr/>
        <w:t>. Igualmente mencionan que diversos autores establecen que la energía no aprovechada debido a la producción y eliminación de gas CH</w:t>
      </w:r>
      <w:r>
        <w:rPr>
          <w:position w:val="-2"/>
          <w:sz w:val="16"/>
        </w:rPr>
        <w:t>4 </w:t>
      </w:r>
      <w:r>
        <w:rPr/>
        <w:t>se debe a muchos factores. Estos incluyen: cantidad y tipo de alimento, manipulación de la fermentación ruminal, adición de lípidos, tipo de carbohidrato en la dieta y procesamiento de los forrajes. Estos factores se convierten por tanto en factores alternativos para la disminución de la</w:t>
      </w:r>
      <w:r>
        <w:rPr>
          <w:spacing w:val="-1"/>
        </w:rPr>
        <w:t> </w:t>
      </w:r>
      <w:r>
        <w:rPr/>
        <w:t>metanogénesis.</w:t>
      </w:r>
    </w:p>
    <w:p>
      <w:pPr>
        <w:pStyle w:val="BodyText"/>
        <w:spacing w:line="357" w:lineRule="auto" w:before="10"/>
        <w:ind w:left="276" w:right="143"/>
        <w:jc w:val="both"/>
      </w:pPr>
      <w:r>
        <w:rPr/>
        <w:t>Raghavendra </w:t>
      </w:r>
      <w:r>
        <w:rPr>
          <w:i/>
        </w:rPr>
        <w:t>et al. </w:t>
      </w:r>
      <w:r>
        <w:rPr/>
        <w:t>(2007), afirman que la fermentación entérica de los rumiantes produce cerca de un cuarto (21 a 25%) del total de las emisiones antropogénicas de CH</w:t>
      </w:r>
      <w:r>
        <w:rPr>
          <w:position w:val="-2"/>
          <w:sz w:val="16"/>
        </w:rPr>
        <w:t>4 </w:t>
      </w:r>
      <w:r>
        <w:rPr/>
        <w:t>a nivel global. El CH</w:t>
      </w:r>
      <w:r>
        <w:rPr>
          <w:position w:val="-2"/>
          <w:sz w:val="16"/>
        </w:rPr>
        <w:t>4 </w:t>
      </w:r>
      <w:r>
        <w:rPr/>
        <w:t>se produce durante la fermentación anaeróbica de</w:t>
      </w:r>
      <w:r>
        <w:rPr>
          <w:spacing w:val="-15"/>
        </w:rPr>
        <w:t> </w:t>
      </w:r>
      <w:r>
        <w:rPr/>
        <w:t>los carbohidratos de la dieta hidrolizada en el rumen y representa una pérdida de energía al animal, además de contribuir a las emisiones de GEI en el ambiente.</w:t>
      </w:r>
      <w:r>
        <w:rPr>
          <w:spacing w:val="-42"/>
        </w:rPr>
        <w:t> </w:t>
      </w:r>
      <w:r>
        <w:rPr/>
        <w:t>Sin</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55" w:lineRule="auto" w:before="69"/>
        <w:ind w:left="276" w:right="143"/>
        <w:jc w:val="both"/>
      </w:pPr>
      <w:r>
        <w:rPr/>
        <w:t>embargo, parece que hay incertidumbre en las estimaciones de CH</w:t>
      </w:r>
      <w:r>
        <w:rPr>
          <w:position w:val="-2"/>
          <w:sz w:val="16"/>
        </w:rPr>
        <w:t>4 </w:t>
      </w:r>
      <w:r>
        <w:rPr/>
        <w:t>del ganado debido a la limitada disponibilidad de datos para documentar la variabilidad a nivel de la unidad de producción y también por el impacto significativo de la dieta en la producción</w:t>
      </w:r>
      <w:r>
        <w:rPr>
          <w:spacing w:val="-14"/>
        </w:rPr>
        <w:t> </w:t>
      </w:r>
      <w:r>
        <w:rPr/>
        <w:t>de</w:t>
      </w:r>
      <w:r>
        <w:rPr>
          <w:spacing w:val="-14"/>
        </w:rPr>
        <w:t> </w:t>
      </w:r>
      <w:r>
        <w:rPr/>
        <w:t>CH</w:t>
      </w:r>
      <w:r>
        <w:rPr>
          <w:position w:val="-2"/>
          <w:sz w:val="16"/>
        </w:rPr>
        <w:t>4</w:t>
      </w:r>
      <w:r>
        <w:rPr>
          <w:spacing w:val="9"/>
          <w:position w:val="-2"/>
          <w:sz w:val="16"/>
        </w:rPr>
        <w:t> </w:t>
      </w:r>
      <w:r>
        <w:rPr/>
        <w:t>entérico.</w:t>
      </w:r>
      <w:r>
        <w:rPr>
          <w:spacing w:val="-14"/>
        </w:rPr>
        <w:t> </w:t>
      </w:r>
      <w:r>
        <w:rPr/>
        <w:t>Por</w:t>
      </w:r>
      <w:r>
        <w:rPr>
          <w:spacing w:val="-14"/>
        </w:rPr>
        <w:t> </w:t>
      </w:r>
      <w:r>
        <w:rPr/>
        <w:t>otra</w:t>
      </w:r>
      <w:r>
        <w:rPr>
          <w:spacing w:val="-14"/>
        </w:rPr>
        <w:t> </w:t>
      </w:r>
      <w:r>
        <w:rPr/>
        <w:t>parte,</w:t>
      </w:r>
      <w:r>
        <w:rPr>
          <w:spacing w:val="-14"/>
        </w:rPr>
        <w:t> </w:t>
      </w:r>
      <w:r>
        <w:rPr/>
        <w:t>indican</w:t>
      </w:r>
      <w:r>
        <w:rPr>
          <w:spacing w:val="-14"/>
        </w:rPr>
        <w:t> </w:t>
      </w:r>
      <w:r>
        <w:rPr/>
        <w:t>que</w:t>
      </w:r>
      <w:r>
        <w:rPr>
          <w:spacing w:val="-14"/>
        </w:rPr>
        <w:t> </w:t>
      </w:r>
      <w:r>
        <w:rPr/>
        <w:t>las</w:t>
      </w:r>
      <w:r>
        <w:rPr>
          <w:spacing w:val="-14"/>
        </w:rPr>
        <w:t> </w:t>
      </w:r>
      <w:r>
        <w:rPr/>
        <w:t>estrategias</w:t>
      </w:r>
      <w:r>
        <w:rPr>
          <w:spacing w:val="-14"/>
        </w:rPr>
        <w:t> </w:t>
      </w:r>
      <w:r>
        <w:rPr/>
        <w:t>de</w:t>
      </w:r>
      <w:r>
        <w:rPr>
          <w:spacing w:val="-14"/>
        </w:rPr>
        <w:t> </w:t>
      </w:r>
      <w:r>
        <w:rPr/>
        <w:t>mitigación de CH</w:t>
      </w:r>
      <w:r>
        <w:rPr>
          <w:position w:val="-2"/>
          <w:sz w:val="16"/>
        </w:rPr>
        <w:t>4 </w:t>
      </w:r>
      <w:r>
        <w:rPr/>
        <w:t>requieren de la predicción sólida de las emisiones del rumen en donde se cuenta con diversos métodos adecuados para la medición de CH</w:t>
      </w:r>
      <w:r>
        <w:rPr>
          <w:position w:val="-2"/>
          <w:sz w:val="16"/>
        </w:rPr>
        <w:t>4 </w:t>
      </w:r>
      <w:r>
        <w:rPr/>
        <w:t>producido en las diversas etapas de la producción animal. Sin embargo, varios factores deben ser considerados (costo, nivel de precisión que se requiere, escala y diseño de los experimentos a realizarán) a fin de seleccionar la técnica adecuada. La selección de cualquier técnica depende de la precisión, ya que cada uno tiene sus ventajas y desventajas.</w:t>
      </w:r>
    </w:p>
    <w:p>
      <w:pPr>
        <w:pStyle w:val="BodyText"/>
        <w:spacing w:line="360" w:lineRule="auto" w:before="8"/>
        <w:ind w:left="276" w:right="144"/>
        <w:jc w:val="both"/>
      </w:pPr>
      <w:r>
        <w:rPr/>
        <w:t>UNFCCC (2007), determina que los GEI retienen la energía térmica en la capa inferior de la atmósfera terrestre, y si estos niveles de energía ascienden demasiado, el consiguiente aumento global de la temperatura del aire – calentamiento mundial – podría perturbar las pautas naturales del clima.</w:t>
      </w:r>
    </w:p>
    <w:p>
      <w:pPr>
        <w:pStyle w:val="BodyText"/>
        <w:spacing w:line="350" w:lineRule="auto" w:before="2"/>
        <w:ind w:left="276" w:right="145"/>
        <w:jc w:val="both"/>
      </w:pPr>
      <w:r>
        <w:rPr/>
        <w:t>González </w:t>
      </w:r>
      <w:r>
        <w:rPr>
          <w:i/>
        </w:rPr>
        <w:t>et al. </w:t>
      </w:r>
      <w:r>
        <w:rPr/>
        <w:t>(2007), Estudiaron las emisiones de CH</w:t>
      </w:r>
      <w:r>
        <w:rPr>
          <w:position w:val="-2"/>
          <w:sz w:val="16"/>
        </w:rPr>
        <w:t>4 </w:t>
      </w:r>
      <w:r>
        <w:rPr/>
        <w:t>y N</w:t>
      </w:r>
      <w:r>
        <w:rPr>
          <w:position w:val="-2"/>
          <w:sz w:val="16"/>
        </w:rPr>
        <w:t>2</w:t>
      </w:r>
      <w:r>
        <w:rPr/>
        <w:t>O en el rubro de la producción agropecuaria. Indicando que estos GEI tienen potenciales de calentamiento mucho mayor al del CO</w:t>
      </w:r>
      <w:r>
        <w:rPr>
          <w:position w:val="-2"/>
          <w:sz w:val="16"/>
        </w:rPr>
        <w:t>2</w:t>
      </w:r>
      <w:r>
        <w:rPr/>
        <w:t>. Por otra parte, obtuvieron factores de intensidad de emisión de CH</w:t>
      </w:r>
      <w:r>
        <w:rPr>
          <w:position w:val="-2"/>
          <w:sz w:val="16"/>
        </w:rPr>
        <w:t>4 </w:t>
      </w:r>
      <w:r>
        <w:rPr/>
        <w:t>y N</w:t>
      </w:r>
      <w:r>
        <w:rPr>
          <w:position w:val="-2"/>
          <w:sz w:val="16"/>
        </w:rPr>
        <w:t>2</w:t>
      </w:r>
      <w:r>
        <w:rPr/>
        <w:t>O utilizando la metodología recomendada por el IPCC.</w:t>
      </w:r>
    </w:p>
    <w:p>
      <w:pPr>
        <w:pStyle w:val="BodyText"/>
        <w:spacing w:line="352" w:lineRule="auto" w:before="13"/>
        <w:ind w:left="276" w:right="143"/>
        <w:jc w:val="both"/>
      </w:pPr>
      <w:r>
        <w:rPr/>
        <w:t>Kebreab </w:t>
      </w:r>
      <w:r>
        <w:rPr>
          <w:i/>
        </w:rPr>
        <w:t>et al. </w:t>
      </w:r>
      <w:r>
        <w:rPr/>
        <w:t>(2008), realizaron un modelo para las estimaciones de emisiones de CH</w:t>
      </w:r>
      <w:r>
        <w:rPr>
          <w:position w:val="-2"/>
          <w:sz w:val="16"/>
        </w:rPr>
        <w:t>4</w:t>
      </w:r>
      <w:r>
        <w:rPr>
          <w:spacing w:val="16"/>
          <w:position w:val="-2"/>
          <w:sz w:val="16"/>
        </w:rPr>
        <w:t> </w:t>
      </w:r>
      <w:r>
        <w:rPr/>
        <w:t>entérico</w:t>
      </w:r>
      <w:r>
        <w:rPr>
          <w:spacing w:val="-7"/>
        </w:rPr>
        <w:t> </w:t>
      </w:r>
      <w:r>
        <w:rPr/>
        <w:t>del</w:t>
      </w:r>
      <w:r>
        <w:rPr>
          <w:spacing w:val="-7"/>
        </w:rPr>
        <w:t> </w:t>
      </w:r>
      <w:r>
        <w:rPr/>
        <w:t>ganado</w:t>
      </w:r>
      <w:r>
        <w:rPr>
          <w:spacing w:val="-7"/>
        </w:rPr>
        <w:t> </w:t>
      </w:r>
      <w:r>
        <w:rPr/>
        <w:t>lechero</w:t>
      </w:r>
      <w:r>
        <w:rPr>
          <w:spacing w:val="-7"/>
        </w:rPr>
        <w:t> </w:t>
      </w:r>
      <w:r>
        <w:rPr/>
        <w:t>y</w:t>
      </w:r>
      <w:r>
        <w:rPr>
          <w:spacing w:val="-7"/>
        </w:rPr>
        <w:t> </w:t>
      </w:r>
      <w:r>
        <w:rPr/>
        <w:t>de</w:t>
      </w:r>
      <w:r>
        <w:rPr>
          <w:spacing w:val="-7"/>
        </w:rPr>
        <w:t> </w:t>
      </w:r>
      <w:r>
        <w:rPr/>
        <w:t>engorda</w:t>
      </w:r>
      <w:r>
        <w:rPr>
          <w:spacing w:val="-7"/>
        </w:rPr>
        <w:t> </w:t>
      </w:r>
      <w:r>
        <w:rPr/>
        <w:t>de</w:t>
      </w:r>
      <w:r>
        <w:rPr>
          <w:spacing w:val="-7"/>
        </w:rPr>
        <w:t> </w:t>
      </w:r>
      <w:r>
        <w:rPr/>
        <w:t>Estados</w:t>
      </w:r>
      <w:r>
        <w:rPr>
          <w:spacing w:val="-7"/>
        </w:rPr>
        <w:t> </w:t>
      </w:r>
      <w:r>
        <w:rPr/>
        <w:t>Unidos.</w:t>
      </w:r>
      <w:r>
        <w:rPr>
          <w:spacing w:val="-7"/>
        </w:rPr>
        <w:t> </w:t>
      </w:r>
      <w:r>
        <w:rPr/>
        <w:t>Indicando</w:t>
      </w:r>
      <w:r>
        <w:rPr>
          <w:spacing w:val="-7"/>
        </w:rPr>
        <w:t> </w:t>
      </w:r>
      <w:r>
        <w:rPr/>
        <w:t>que</w:t>
      </w:r>
      <w:r>
        <w:rPr>
          <w:spacing w:val="-7"/>
        </w:rPr>
        <w:t> </w:t>
      </w:r>
      <w:r>
        <w:rPr/>
        <w:t>la producción de CH</w:t>
      </w:r>
      <w:r>
        <w:rPr>
          <w:position w:val="-2"/>
          <w:sz w:val="16"/>
        </w:rPr>
        <w:t>4 </w:t>
      </w:r>
      <w:r>
        <w:rPr/>
        <w:t>entérico por el ganado lechero y de engorda es una de las mayores fuentes antropogénicas de emisiones de GEI en los Estados Unidos y en el mundo entero. Así mismo, revelan que las estimaciones nacionales de CH</w:t>
      </w:r>
      <w:r>
        <w:rPr>
          <w:position w:val="-2"/>
          <w:sz w:val="16"/>
        </w:rPr>
        <w:t>4 </w:t>
      </w:r>
      <w:r>
        <w:rPr/>
        <w:t>dependen de modelos matemáticos como los recomendados por el</w:t>
      </w:r>
      <w:r>
        <w:rPr>
          <w:spacing w:val="-3"/>
        </w:rPr>
        <w:t> </w:t>
      </w:r>
      <w:r>
        <w:rPr/>
        <w:t>IPCC.</w:t>
      </w:r>
    </w:p>
    <w:p>
      <w:pPr>
        <w:pStyle w:val="BodyText"/>
        <w:spacing w:line="350" w:lineRule="auto" w:before="15"/>
        <w:ind w:left="276" w:right="143"/>
        <w:jc w:val="both"/>
      </w:pPr>
      <w:r>
        <w:rPr/>
        <w:t>Berra </w:t>
      </w:r>
      <w:r>
        <w:rPr>
          <w:i/>
        </w:rPr>
        <w:t>et al. </w:t>
      </w:r>
      <w:r>
        <w:rPr/>
        <w:t>(2009), diseñaron una técnica sencilla para la medición de CH</w:t>
      </w:r>
      <w:r>
        <w:rPr>
          <w:position w:val="-2"/>
          <w:sz w:val="16"/>
        </w:rPr>
        <w:t>4</w:t>
      </w:r>
      <w:r>
        <w:rPr>
          <w:spacing w:val="-19"/>
          <w:position w:val="-2"/>
          <w:sz w:val="16"/>
        </w:rPr>
        <w:t> </w:t>
      </w:r>
      <w:r>
        <w:rPr/>
        <w:t>entérico en vacas, ya que la fermentación entérica del ganado representa una fuente importante de CH</w:t>
      </w:r>
      <w:r>
        <w:rPr>
          <w:position w:val="-2"/>
          <w:sz w:val="16"/>
        </w:rPr>
        <w:t>4</w:t>
      </w:r>
      <w:r>
        <w:rPr/>
        <w:t>, gas con efecto invernáculo. Llevando a cabo dos ensayos para probar una técnica de emisiones de CH</w:t>
      </w:r>
      <w:r>
        <w:rPr>
          <w:position w:val="-2"/>
          <w:sz w:val="16"/>
        </w:rPr>
        <w:t>4  </w:t>
      </w:r>
      <w:r>
        <w:rPr/>
        <w:t>entérico en vacas</w:t>
      </w:r>
      <w:r>
        <w:rPr>
          <w:spacing w:val="-24"/>
        </w:rPr>
        <w:t> </w:t>
      </w:r>
      <w:r>
        <w:rPr/>
        <w:t>lecheras.</w:t>
      </w:r>
    </w:p>
    <w:p>
      <w:pPr>
        <w:spacing w:after="0" w:line="350" w:lineRule="auto"/>
        <w:jc w:val="both"/>
        <w:sectPr>
          <w:footerReference w:type="default" r:id="rId31"/>
          <w:pgSz w:w="12240" w:h="15840"/>
          <w:pgMar w:footer="739" w:header="741" w:top="1220" w:bottom="920" w:left="1720" w:right="1260"/>
        </w:sectPr>
      </w:pPr>
    </w:p>
    <w:p>
      <w:pPr>
        <w:pStyle w:val="BodyText"/>
        <w:spacing w:before="4"/>
        <w:rPr>
          <w:sz w:val="11"/>
        </w:rPr>
      </w:pPr>
    </w:p>
    <w:p>
      <w:pPr>
        <w:pStyle w:val="BodyText"/>
        <w:spacing w:line="360" w:lineRule="auto" w:before="69"/>
        <w:ind w:left="276" w:right="143"/>
        <w:jc w:val="both"/>
      </w:pPr>
      <w:r>
        <w:rPr/>
        <w:t>FAO (2009), indica que la ganadería también contribuye al incremento del cambio climático de manera significativa y es una importante fuente de emisiones de GEI</w:t>
      </w:r>
      <w:r>
        <w:rPr>
          <w:spacing w:val="-13"/>
        </w:rPr>
        <w:t> </w:t>
      </w:r>
      <w:r>
        <w:rPr/>
        <w:t>y representa</w:t>
      </w:r>
      <w:r>
        <w:rPr>
          <w:spacing w:val="-13"/>
        </w:rPr>
        <w:t> </w:t>
      </w:r>
      <w:r>
        <w:rPr/>
        <w:t>el</w:t>
      </w:r>
      <w:r>
        <w:rPr>
          <w:spacing w:val="-13"/>
        </w:rPr>
        <w:t> </w:t>
      </w:r>
      <w:r>
        <w:rPr/>
        <w:t>14%</w:t>
      </w:r>
      <w:r>
        <w:rPr>
          <w:spacing w:val="-13"/>
        </w:rPr>
        <w:t> </w:t>
      </w:r>
      <w:r>
        <w:rPr/>
        <w:t>del</w:t>
      </w:r>
      <w:r>
        <w:rPr>
          <w:spacing w:val="-13"/>
        </w:rPr>
        <w:t> </w:t>
      </w:r>
      <w:r>
        <w:rPr/>
        <w:t>total</w:t>
      </w:r>
      <w:r>
        <w:rPr>
          <w:spacing w:val="-13"/>
        </w:rPr>
        <w:t> </w:t>
      </w:r>
      <w:r>
        <w:rPr/>
        <w:t>global.</w:t>
      </w:r>
      <w:r>
        <w:rPr>
          <w:spacing w:val="-13"/>
        </w:rPr>
        <w:t> </w:t>
      </w:r>
      <w:r>
        <w:rPr/>
        <w:t>Este</w:t>
      </w:r>
      <w:r>
        <w:rPr>
          <w:spacing w:val="-13"/>
        </w:rPr>
        <w:t> </w:t>
      </w:r>
      <w:r>
        <w:rPr/>
        <w:t>porcentaje</w:t>
      </w:r>
      <w:r>
        <w:rPr>
          <w:spacing w:val="-13"/>
        </w:rPr>
        <w:t> </w:t>
      </w:r>
      <w:r>
        <w:rPr/>
        <w:t>llega</w:t>
      </w:r>
      <w:r>
        <w:rPr>
          <w:spacing w:val="-13"/>
        </w:rPr>
        <w:t> </w:t>
      </w:r>
      <w:r>
        <w:rPr/>
        <w:t>a</w:t>
      </w:r>
      <w:r>
        <w:rPr>
          <w:spacing w:val="-13"/>
        </w:rPr>
        <w:t> </w:t>
      </w:r>
      <w:r>
        <w:rPr/>
        <w:t>ser</w:t>
      </w:r>
      <w:r>
        <w:rPr>
          <w:spacing w:val="-13"/>
        </w:rPr>
        <w:t> </w:t>
      </w:r>
      <w:r>
        <w:rPr/>
        <w:t>más</w:t>
      </w:r>
      <w:r>
        <w:rPr>
          <w:spacing w:val="-13"/>
        </w:rPr>
        <w:t> </w:t>
      </w:r>
      <w:r>
        <w:rPr/>
        <w:t>alto</w:t>
      </w:r>
      <w:r>
        <w:rPr>
          <w:spacing w:val="-13"/>
        </w:rPr>
        <w:t> </w:t>
      </w:r>
      <w:r>
        <w:rPr/>
        <w:t>si</w:t>
      </w:r>
      <w:r>
        <w:rPr>
          <w:spacing w:val="-13"/>
        </w:rPr>
        <w:t> </w:t>
      </w:r>
      <w:r>
        <w:rPr/>
        <w:t>se</w:t>
      </w:r>
      <w:r>
        <w:rPr>
          <w:spacing w:val="-13"/>
        </w:rPr>
        <w:t> </w:t>
      </w:r>
      <w:r>
        <w:rPr/>
        <w:t>incluyen aspectos relacionados como el cambio de uso que se le da a la tierra, la deforestación y el efecto de las emisiones más allá de los límites de la finca.</w:t>
      </w:r>
    </w:p>
    <w:p>
      <w:pPr>
        <w:pStyle w:val="BodyText"/>
        <w:spacing w:line="355" w:lineRule="auto" w:before="7"/>
        <w:ind w:left="276" w:right="143"/>
        <w:jc w:val="both"/>
      </w:pPr>
      <w:r>
        <w:rPr/>
        <w:t>Stenfield </w:t>
      </w:r>
      <w:r>
        <w:rPr>
          <w:i/>
        </w:rPr>
        <w:t>et al. </w:t>
      </w:r>
      <w:r>
        <w:rPr/>
        <w:t>(2009), en su obra </w:t>
      </w:r>
      <w:r>
        <w:rPr>
          <w:i/>
        </w:rPr>
        <w:t>La Larga Sombra del Ganado</w:t>
      </w:r>
      <w:r>
        <w:rPr/>
        <w:t>, revelan que los niveles</w:t>
      </w:r>
      <w:r>
        <w:rPr>
          <w:spacing w:val="-8"/>
        </w:rPr>
        <w:t> </w:t>
      </w:r>
      <w:r>
        <w:rPr/>
        <w:t>de</w:t>
      </w:r>
      <w:r>
        <w:rPr>
          <w:spacing w:val="-8"/>
        </w:rPr>
        <w:t> </w:t>
      </w:r>
      <w:r>
        <w:rPr/>
        <w:t>emisión</w:t>
      </w:r>
      <w:r>
        <w:rPr>
          <w:spacing w:val="-8"/>
        </w:rPr>
        <w:t> </w:t>
      </w:r>
      <w:r>
        <w:rPr/>
        <w:t>de</w:t>
      </w:r>
      <w:r>
        <w:rPr>
          <w:spacing w:val="-8"/>
        </w:rPr>
        <w:t> </w:t>
      </w:r>
      <w:r>
        <w:rPr/>
        <w:t>CH</w:t>
      </w:r>
      <w:r>
        <w:rPr>
          <w:position w:val="-2"/>
          <w:sz w:val="16"/>
        </w:rPr>
        <w:t>4</w:t>
      </w:r>
      <w:r>
        <w:rPr>
          <w:spacing w:val="15"/>
          <w:position w:val="-2"/>
          <w:sz w:val="16"/>
        </w:rPr>
        <w:t> </w:t>
      </w:r>
      <w:r>
        <w:rPr/>
        <w:t>están</w:t>
      </w:r>
      <w:r>
        <w:rPr>
          <w:spacing w:val="-8"/>
        </w:rPr>
        <w:t> </w:t>
      </w:r>
      <w:r>
        <w:rPr/>
        <w:t>determinados</w:t>
      </w:r>
      <w:r>
        <w:rPr>
          <w:spacing w:val="-8"/>
        </w:rPr>
        <w:t> </w:t>
      </w:r>
      <w:r>
        <w:rPr/>
        <w:t>por</w:t>
      </w:r>
      <w:r>
        <w:rPr>
          <w:spacing w:val="-8"/>
        </w:rPr>
        <w:t> </w:t>
      </w:r>
      <w:r>
        <w:rPr/>
        <w:t>los</w:t>
      </w:r>
      <w:r>
        <w:rPr>
          <w:spacing w:val="-8"/>
        </w:rPr>
        <w:t> </w:t>
      </w:r>
      <w:r>
        <w:rPr/>
        <w:t>sistemas</w:t>
      </w:r>
      <w:r>
        <w:rPr>
          <w:spacing w:val="-8"/>
        </w:rPr>
        <w:t> </w:t>
      </w:r>
      <w:r>
        <w:rPr/>
        <w:t>de</w:t>
      </w:r>
      <w:r>
        <w:rPr>
          <w:spacing w:val="-8"/>
        </w:rPr>
        <w:t> </w:t>
      </w:r>
      <w:r>
        <w:rPr/>
        <w:t>producción</w:t>
      </w:r>
      <w:r>
        <w:rPr>
          <w:spacing w:val="-8"/>
        </w:rPr>
        <w:t> </w:t>
      </w:r>
      <w:r>
        <w:rPr/>
        <w:t>y</w:t>
      </w:r>
      <w:r>
        <w:rPr>
          <w:spacing w:val="-8"/>
        </w:rPr>
        <w:t> </w:t>
      </w:r>
      <w:r>
        <w:rPr/>
        <w:t>las características regionales. En el nivel de emisiones influye la ingesta de energía y otros</w:t>
      </w:r>
      <w:r>
        <w:rPr>
          <w:spacing w:val="-5"/>
        </w:rPr>
        <w:t> </w:t>
      </w:r>
      <w:r>
        <w:rPr/>
        <w:t>factores</w:t>
      </w:r>
      <w:r>
        <w:rPr>
          <w:spacing w:val="-5"/>
        </w:rPr>
        <w:t> </w:t>
      </w:r>
      <w:r>
        <w:rPr/>
        <w:t>relacionados</w:t>
      </w:r>
      <w:r>
        <w:rPr>
          <w:spacing w:val="-5"/>
        </w:rPr>
        <w:t> </w:t>
      </w:r>
      <w:r>
        <w:rPr/>
        <w:t>con</w:t>
      </w:r>
      <w:r>
        <w:rPr>
          <w:spacing w:val="-5"/>
        </w:rPr>
        <w:t> </w:t>
      </w:r>
      <w:r>
        <w:rPr/>
        <w:t>la</w:t>
      </w:r>
      <w:r>
        <w:rPr>
          <w:spacing w:val="-5"/>
        </w:rPr>
        <w:t> </w:t>
      </w:r>
      <w:r>
        <w:rPr/>
        <w:t>dieta</w:t>
      </w:r>
      <w:r>
        <w:rPr>
          <w:spacing w:val="-5"/>
        </w:rPr>
        <w:t> </w:t>
      </w:r>
      <w:r>
        <w:rPr/>
        <w:t>y</w:t>
      </w:r>
      <w:r>
        <w:rPr>
          <w:spacing w:val="-5"/>
        </w:rPr>
        <w:t> </w:t>
      </w:r>
      <w:r>
        <w:rPr/>
        <w:t>el</w:t>
      </w:r>
      <w:r>
        <w:rPr>
          <w:spacing w:val="-5"/>
        </w:rPr>
        <w:t> </w:t>
      </w:r>
      <w:r>
        <w:rPr/>
        <w:t>animal</w:t>
      </w:r>
      <w:r>
        <w:rPr>
          <w:spacing w:val="-5"/>
        </w:rPr>
        <w:t> </w:t>
      </w:r>
      <w:r>
        <w:rPr/>
        <w:t>(cantidad</w:t>
      </w:r>
      <w:r>
        <w:rPr>
          <w:spacing w:val="-5"/>
        </w:rPr>
        <w:t> </w:t>
      </w:r>
      <w:r>
        <w:rPr/>
        <w:t>y</w:t>
      </w:r>
      <w:r>
        <w:rPr>
          <w:spacing w:val="-5"/>
        </w:rPr>
        <w:t> </w:t>
      </w:r>
      <w:r>
        <w:rPr/>
        <w:t>calidad</w:t>
      </w:r>
      <w:r>
        <w:rPr>
          <w:spacing w:val="-5"/>
        </w:rPr>
        <w:t> </w:t>
      </w:r>
      <w:r>
        <w:rPr/>
        <w:t>del</w:t>
      </w:r>
      <w:r>
        <w:rPr>
          <w:spacing w:val="-6"/>
        </w:rPr>
        <w:t> </w:t>
      </w:r>
      <w:r>
        <w:rPr/>
        <w:t>alimento, peso vivo del animal, edad y cantidad de ejercicio). Hay también variaciones entre las especies animales y entre individuos de la misma especie. Esta es la razón por la cual una evaluación de las emisiones de CH</w:t>
      </w:r>
      <w:r>
        <w:rPr>
          <w:position w:val="-2"/>
          <w:sz w:val="16"/>
        </w:rPr>
        <w:t>4 </w:t>
      </w:r>
      <w:r>
        <w:rPr/>
        <w:t>en un determinado país necesita una</w:t>
      </w:r>
      <w:r>
        <w:rPr>
          <w:spacing w:val="-11"/>
        </w:rPr>
        <w:t> </w:t>
      </w:r>
      <w:r>
        <w:rPr/>
        <w:t>descripción</w:t>
      </w:r>
      <w:r>
        <w:rPr>
          <w:spacing w:val="-11"/>
        </w:rPr>
        <w:t> </w:t>
      </w:r>
      <w:r>
        <w:rPr/>
        <w:t>detallada</w:t>
      </w:r>
      <w:r>
        <w:rPr>
          <w:spacing w:val="-11"/>
        </w:rPr>
        <w:t> </w:t>
      </w:r>
      <w:r>
        <w:rPr/>
        <w:t>de</w:t>
      </w:r>
      <w:r>
        <w:rPr>
          <w:spacing w:val="-11"/>
        </w:rPr>
        <w:t> </w:t>
      </w:r>
      <w:r>
        <w:rPr/>
        <w:t>la</w:t>
      </w:r>
      <w:r>
        <w:rPr>
          <w:spacing w:val="-11"/>
        </w:rPr>
        <w:t> </w:t>
      </w:r>
      <w:r>
        <w:rPr/>
        <w:t>población</w:t>
      </w:r>
      <w:r>
        <w:rPr>
          <w:spacing w:val="-11"/>
        </w:rPr>
        <w:t> </w:t>
      </w:r>
      <w:r>
        <w:rPr/>
        <w:t>ganadera</w:t>
      </w:r>
      <w:r>
        <w:rPr>
          <w:spacing w:val="-11"/>
        </w:rPr>
        <w:t> </w:t>
      </w:r>
      <w:r>
        <w:rPr/>
        <w:t>(especies,</w:t>
      </w:r>
      <w:r>
        <w:rPr>
          <w:spacing w:val="-11"/>
        </w:rPr>
        <w:t> </w:t>
      </w:r>
      <w:r>
        <w:rPr/>
        <w:t>edad</w:t>
      </w:r>
      <w:r>
        <w:rPr>
          <w:spacing w:val="-11"/>
        </w:rPr>
        <w:t> </w:t>
      </w:r>
      <w:r>
        <w:rPr/>
        <w:t>y</w:t>
      </w:r>
      <w:r>
        <w:rPr>
          <w:spacing w:val="-11"/>
        </w:rPr>
        <w:t> </w:t>
      </w:r>
      <w:r>
        <w:rPr/>
        <w:t>categorías</w:t>
      </w:r>
      <w:r>
        <w:rPr>
          <w:spacing w:val="-11"/>
        </w:rPr>
        <w:t> </w:t>
      </w:r>
      <w:r>
        <w:rPr/>
        <w:t>de productividad),</w:t>
      </w:r>
      <w:r>
        <w:rPr>
          <w:spacing w:val="-5"/>
        </w:rPr>
        <w:t> </w:t>
      </w:r>
      <w:r>
        <w:rPr/>
        <w:t>así</w:t>
      </w:r>
      <w:r>
        <w:rPr>
          <w:spacing w:val="-5"/>
        </w:rPr>
        <w:t> </w:t>
      </w:r>
      <w:r>
        <w:rPr/>
        <w:t>como</w:t>
      </w:r>
      <w:r>
        <w:rPr>
          <w:spacing w:val="-5"/>
        </w:rPr>
        <w:t> </w:t>
      </w:r>
      <w:r>
        <w:rPr/>
        <w:t>información</w:t>
      </w:r>
      <w:r>
        <w:rPr>
          <w:spacing w:val="-5"/>
        </w:rPr>
        <w:t> </w:t>
      </w:r>
      <w:r>
        <w:rPr/>
        <w:t>completa</w:t>
      </w:r>
      <w:r>
        <w:rPr>
          <w:spacing w:val="-5"/>
        </w:rPr>
        <w:t> </w:t>
      </w:r>
      <w:r>
        <w:rPr/>
        <w:t>sobre</w:t>
      </w:r>
      <w:r>
        <w:rPr>
          <w:spacing w:val="-5"/>
        </w:rPr>
        <w:t> </w:t>
      </w:r>
      <w:r>
        <w:rPr/>
        <w:t>el</w:t>
      </w:r>
      <w:r>
        <w:rPr>
          <w:spacing w:val="-5"/>
        </w:rPr>
        <w:t> </w:t>
      </w:r>
      <w:r>
        <w:rPr/>
        <w:t>consumo</w:t>
      </w:r>
      <w:r>
        <w:rPr>
          <w:spacing w:val="-5"/>
        </w:rPr>
        <w:t> </w:t>
      </w:r>
      <w:r>
        <w:rPr/>
        <w:t>diario</w:t>
      </w:r>
      <w:r>
        <w:rPr>
          <w:spacing w:val="-5"/>
        </w:rPr>
        <w:t> </w:t>
      </w:r>
      <w:r>
        <w:rPr/>
        <w:t>de</w:t>
      </w:r>
      <w:r>
        <w:rPr>
          <w:spacing w:val="-5"/>
        </w:rPr>
        <w:t> </w:t>
      </w:r>
      <w:r>
        <w:rPr/>
        <w:t>alimento y la tasa de conversión de CH</w:t>
      </w:r>
      <w:r>
        <w:rPr>
          <w:position w:val="-2"/>
          <w:sz w:val="16"/>
        </w:rPr>
        <w:t>4 </w:t>
      </w:r>
      <w:r>
        <w:rPr/>
        <w:t>de los alimentos (directrices revisadas del IPCC). Dado que la información de que disponen muchos países no posee este nivel de detalle, en el informe de emisiones suele utilizarse un enfoque basado en los factores de emisión estándar. Las emisiones de CH</w:t>
      </w:r>
      <w:r>
        <w:rPr>
          <w:position w:val="-2"/>
          <w:sz w:val="16"/>
        </w:rPr>
        <w:t>4 </w:t>
      </w:r>
      <w:r>
        <w:rPr/>
        <w:t>procedentes del estiércol del ganado están influidas por diversos factores que afectan al crecimiento de las bacterias responsables de la formación de CH</w:t>
      </w:r>
      <w:r>
        <w:rPr>
          <w:position w:val="-2"/>
          <w:sz w:val="16"/>
        </w:rPr>
        <w:t>4</w:t>
      </w:r>
      <w:r>
        <w:rPr/>
        <w:t>, entre los que cabe destacar la temperatura</w:t>
      </w:r>
      <w:r>
        <w:rPr>
          <w:spacing w:val="-6"/>
        </w:rPr>
        <w:t> </w:t>
      </w:r>
      <w:r>
        <w:rPr/>
        <w:t>ambiental,</w:t>
      </w:r>
      <w:r>
        <w:rPr>
          <w:spacing w:val="-6"/>
        </w:rPr>
        <w:t> </w:t>
      </w:r>
      <w:r>
        <w:rPr/>
        <w:t>la</w:t>
      </w:r>
      <w:r>
        <w:rPr>
          <w:spacing w:val="-6"/>
        </w:rPr>
        <w:t> </w:t>
      </w:r>
      <w:r>
        <w:rPr/>
        <w:t>humedad</w:t>
      </w:r>
      <w:r>
        <w:rPr>
          <w:spacing w:val="-6"/>
        </w:rPr>
        <w:t> </w:t>
      </w:r>
      <w:r>
        <w:rPr/>
        <w:t>y</w:t>
      </w:r>
      <w:r>
        <w:rPr>
          <w:spacing w:val="-6"/>
        </w:rPr>
        <w:t> </w:t>
      </w:r>
      <w:r>
        <w:rPr/>
        <w:t>el</w:t>
      </w:r>
      <w:r>
        <w:rPr>
          <w:spacing w:val="-6"/>
        </w:rPr>
        <w:t> </w:t>
      </w:r>
      <w:r>
        <w:rPr/>
        <w:t>tiempo</w:t>
      </w:r>
      <w:r>
        <w:rPr>
          <w:spacing w:val="-6"/>
        </w:rPr>
        <w:t> </w:t>
      </w:r>
      <w:r>
        <w:rPr/>
        <w:t>de</w:t>
      </w:r>
      <w:r>
        <w:rPr>
          <w:spacing w:val="-6"/>
        </w:rPr>
        <w:t> </w:t>
      </w:r>
      <w:r>
        <w:rPr/>
        <w:t>almacenamiento.</w:t>
      </w:r>
      <w:r>
        <w:rPr>
          <w:spacing w:val="-6"/>
        </w:rPr>
        <w:t> </w:t>
      </w:r>
      <w:r>
        <w:rPr/>
        <w:t>La</w:t>
      </w:r>
      <w:r>
        <w:rPr>
          <w:spacing w:val="-6"/>
        </w:rPr>
        <w:t> </w:t>
      </w:r>
      <w:r>
        <w:rPr/>
        <w:t>cantidad</w:t>
      </w:r>
      <w:r>
        <w:rPr>
          <w:spacing w:val="-6"/>
        </w:rPr>
        <w:t> </w:t>
      </w:r>
      <w:r>
        <w:rPr/>
        <w:t>de CH</w:t>
      </w:r>
      <w:r>
        <w:rPr>
          <w:position w:val="-2"/>
          <w:sz w:val="16"/>
        </w:rPr>
        <w:t>4 </w:t>
      </w:r>
      <w:r>
        <w:rPr/>
        <w:t>producida también depende del contenido de energía del estiércol, el cual</w:t>
      </w:r>
      <w:r>
        <w:rPr>
          <w:spacing w:val="-26"/>
        </w:rPr>
        <w:t> </w:t>
      </w:r>
      <w:r>
        <w:rPr/>
        <w:t>está determinado en gran medida por la dieta del ganado. Mayores cantidades de estiércol generan mayores cantidades de CH</w:t>
      </w:r>
      <w:r>
        <w:rPr>
          <w:position w:val="-2"/>
          <w:sz w:val="16"/>
        </w:rPr>
        <w:t>4</w:t>
      </w:r>
      <w:r>
        <w:rPr/>
        <w:t>, si bien hay que tener también en cuenta que los alimentos con contenidos energéticos más altos producen un estiércol con más sólidos volátiles, lo que incrementa el sustrato a partir del cual</w:t>
      </w:r>
      <w:r>
        <w:rPr>
          <w:spacing w:val="-28"/>
        </w:rPr>
        <w:t> </w:t>
      </w:r>
      <w:r>
        <w:rPr/>
        <w:t>se produce el CH</w:t>
      </w:r>
      <w:r>
        <w:rPr>
          <w:position w:val="-2"/>
          <w:sz w:val="16"/>
        </w:rPr>
        <w:t>4</w:t>
      </w:r>
      <w:r>
        <w:rPr/>
        <w:t>. Sin embargo, este impacto queda compensado hasta cierto punto por la posibilidad de lograr alimentos más digeribles y, por consiguiente, un menor desperdicio de energía (FAO, 2009b). Además, indican que el sector pecuario produce</w:t>
      </w:r>
      <w:r>
        <w:rPr>
          <w:spacing w:val="-6"/>
        </w:rPr>
        <w:t> </w:t>
      </w:r>
      <w:r>
        <w:rPr/>
        <w:t>el</w:t>
      </w:r>
      <w:r>
        <w:rPr>
          <w:spacing w:val="-6"/>
        </w:rPr>
        <w:t> </w:t>
      </w:r>
      <w:r>
        <w:rPr/>
        <w:t>9%</w:t>
      </w:r>
      <w:r>
        <w:rPr>
          <w:spacing w:val="-6"/>
        </w:rPr>
        <w:t> </w:t>
      </w:r>
      <w:r>
        <w:rPr/>
        <w:t>de</w:t>
      </w:r>
      <w:r>
        <w:rPr>
          <w:spacing w:val="-6"/>
        </w:rPr>
        <w:t> </w:t>
      </w:r>
      <w:r>
        <w:rPr/>
        <w:t>las</w:t>
      </w:r>
      <w:r>
        <w:rPr>
          <w:spacing w:val="-6"/>
        </w:rPr>
        <w:t> </w:t>
      </w:r>
      <w:r>
        <w:rPr/>
        <w:t>emisiones</w:t>
      </w:r>
      <w:r>
        <w:rPr>
          <w:spacing w:val="-6"/>
        </w:rPr>
        <w:t> </w:t>
      </w:r>
      <w:r>
        <w:rPr/>
        <w:t>de</w:t>
      </w:r>
      <w:r>
        <w:rPr>
          <w:spacing w:val="-6"/>
        </w:rPr>
        <w:t> </w:t>
      </w:r>
      <w:r>
        <w:rPr/>
        <w:t>CO</w:t>
      </w:r>
      <w:r>
        <w:rPr>
          <w:position w:val="-2"/>
          <w:sz w:val="16"/>
        </w:rPr>
        <w:t>2</w:t>
      </w:r>
      <w:r>
        <w:rPr>
          <w:spacing w:val="18"/>
          <w:position w:val="-2"/>
          <w:sz w:val="16"/>
        </w:rPr>
        <w:t> </w:t>
      </w:r>
      <w:r>
        <w:rPr/>
        <w:t>de</w:t>
      </w:r>
      <w:r>
        <w:rPr>
          <w:spacing w:val="-6"/>
        </w:rPr>
        <w:t> </w:t>
      </w:r>
      <w:r>
        <w:rPr/>
        <w:t>origen</w:t>
      </w:r>
      <w:r>
        <w:rPr>
          <w:spacing w:val="-6"/>
        </w:rPr>
        <w:t> </w:t>
      </w:r>
      <w:r>
        <w:rPr/>
        <w:t>antropogénico,</w:t>
      </w:r>
      <w:r>
        <w:rPr>
          <w:spacing w:val="-6"/>
        </w:rPr>
        <w:t> </w:t>
      </w:r>
      <w:r>
        <w:rPr/>
        <w:t>la</w:t>
      </w:r>
      <w:r>
        <w:rPr>
          <w:spacing w:val="-6"/>
        </w:rPr>
        <w:t> </w:t>
      </w:r>
      <w:r>
        <w:rPr/>
        <w:t>mayor</w:t>
      </w:r>
      <w:r>
        <w:rPr>
          <w:spacing w:val="-6"/>
        </w:rPr>
        <w:t> </w:t>
      </w:r>
      <w:r>
        <w:rPr/>
        <w:t>parte</w:t>
      </w:r>
      <w:r>
        <w:rPr>
          <w:spacing w:val="-6"/>
        </w:rPr>
        <w:t> </w:t>
      </w:r>
      <w:r>
        <w:rPr/>
        <w:t>de las  cuales  se  deben  a  los  cambios  en  el  uso  de  la  tierra  (principalmente,</w:t>
      </w:r>
      <w:r>
        <w:rPr>
          <w:spacing w:val="37"/>
        </w:rPr>
        <w:t> </w:t>
      </w:r>
      <w:r>
        <w:rPr/>
        <w:t>la</w:t>
      </w:r>
    </w:p>
    <w:p>
      <w:pPr>
        <w:spacing w:after="0" w:line="355" w:lineRule="auto"/>
        <w:jc w:val="both"/>
        <w:sectPr>
          <w:footerReference w:type="default" r:id="rId32"/>
          <w:pgSz w:w="12240" w:h="15840"/>
          <w:pgMar w:footer="739" w:header="741" w:top="1220" w:bottom="920" w:left="1720" w:right="1260"/>
          <w:pgNumType w:start="11"/>
        </w:sectPr>
      </w:pPr>
    </w:p>
    <w:p>
      <w:pPr>
        <w:pStyle w:val="BodyText"/>
        <w:spacing w:before="4"/>
        <w:rPr>
          <w:sz w:val="11"/>
        </w:rPr>
      </w:pPr>
    </w:p>
    <w:p>
      <w:pPr>
        <w:pStyle w:val="BodyText"/>
        <w:spacing w:line="357" w:lineRule="auto" w:before="69"/>
        <w:ind w:left="276" w:right="143"/>
        <w:jc w:val="both"/>
      </w:pPr>
      <w:r>
        <w:rPr/>
        <w:pict>
          <v:shape style="position:absolute;margin-left:472.035492pt;margin-top:190.064713pt;width:6.15pt;height:8.4pt;mso-position-horizontal-relative:page;mso-position-vertical-relative:paragraph;z-index:-310432" type="#_x0000_t202" filled="false" stroked="false">
            <v:textbox inset="0,0,0,0">
              <w:txbxContent>
                <w:p>
                  <w:pPr>
                    <w:spacing w:line="168" w:lineRule="exact" w:before="0"/>
                    <w:ind w:left="0" w:right="0" w:firstLine="0"/>
                    <w:jc w:val="left"/>
                    <w:rPr>
                      <w:rFonts w:ascii="Cambria Math"/>
                      <w:sz w:val="16"/>
                    </w:rPr>
                  </w:pPr>
                  <w:r>
                    <w:rPr>
                      <w:rFonts w:ascii="Cambria Math"/>
                      <w:w w:val="151"/>
                      <w:sz w:val="16"/>
                    </w:rPr>
                    <w:t>$</w:t>
                  </w:r>
                </w:p>
              </w:txbxContent>
            </v:textbox>
            <w10:wrap type="none"/>
          </v:shape>
        </w:pict>
      </w:r>
      <w:r>
        <w:rPr/>
        <w:t>deforestación)</w:t>
      </w:r>
      <w:r>
        <w:rPr>
          <w:spacing w:val="-9"/>
        </w:rPr>
        <w:t> </w:t>
      </w:r>
      <w:r>
        <w:rPr/>
        <w:t>causados</w:t>
      </w:r>
      <w:r>
        <w:rPr>
          <w:spacing w:val="-9"/>
        </w:rPr>
        <w:t> </w:t>
      </w:r>
      <w:r>
        <w:rPr/>
        <w:t>por</w:t>
      </w:r>
      <w:r>
        <w:rPr>
          <w:spacing w:val="-9"/>
        </w:rPr>
        <w:t> </w:t>
      </w:r>
      <w:r>
        <w:rPr/>
        <w:t>la</w:t>
      </w:r>
      <w:r>
        <w:rPr>
          <w:spacing w:val="-8"/>
        </w:rPr>
        <w:t> </w:t>
      </w:r>
      <w:r>
        <w:rPr/>
        <w:t>expansión</w:t>
      </w:r>
      <w:r>
        <w:rPr>
          <w:spacing w:val="-8"/>
        </w:rPr>
        <w:t> </w:t>
      </w:r>
      <w:r>
        <w:rPr/>
        <w:t>de</w:t>
      </w:r>
      <w:r>
        <w:rPr>
          <w:spacing w:val="-8"/>
        </w:rPr>
        <w:t> </w:t>
      </w:r>
      <w:r>
        <w:rPr/>
        <w:t>los</w:t>
      </w:r>
      <w:r>
        <w:rPr>
          <w:spacing w:val="-9"/>
        </w:rPr>
        <w:t> </w:t>
      </w:r>
      <w:r>
        <w:rPr/>
        <w:t>pastizales</w:t>
      </w:r>
      <w:r>
        <w:rPr>
          <w:spacing w:val="-9"/>
        </w:rPr>
        <w:t> </w:t>
      </w:r>
      <w:r>
        <w:rPr/>
        <w:t>y</w:t>
      </w:r>
      <w:r>
        <w:rPr>
          <w:spacing w:val="-9"/>
        </w:rPr>
        <w:t> </w:t>
      </w:r>
      <w:r>
        <w:rPr/>
        <w:t>la</w:t>
      </w:r>
      <w:r>
        <w:rPr>
          <w:spacing w:val="-8"/>
        </w:rPr>
        <w:t> </w:t>
      </w:r>
      <w:r>
        <w:rPr/>
        <w:t>superficie</w:t>
      </w:r>
      <w:r>
        <w:rPr>
          <w:spacing w:val="-8"/>
        </w:rPr>
        <w:t> </w:t>
      </w:r>
      <w:r>
        <w:rPr/>
        <w:t>destinada a la producción de forrajes. La ganadería es también responsable en medida aún más significativa de la emisión de algunos gases que tienen un mayor potencial de calentamiento de la atmósfera. Así, por ejemplo, el sector emite el 37% del CH</w:t>
      </w:r>
      <w:r>
        <w:rPr>
          <w:position w:val="-2"/>
          <w:sz w:val="16"/>
        </w:rPr>
        <w:t>4 </w:t>
      </w:r>
      <w:r>
        <w:rPr/>
        <w:t>antropogénico, el cual proviene en su mayor parte del proceso de fermentación ocurrido en la digestión entérica de los rumiantes y tiene un potencial de calentamiento global (PCG) 23 veces mayor que el del CO</w:t>
      </w:r>
      <w:r>
        <w:rPr>
          <w:position w:val="-2"/>
          <w:sz w:val="16"/>
        </w:rPr>
        <w:t>2</w:t>
      </w:r>
      <w:r>
        <w:rPr/>
        <w:t>, y el 65% del N</w:t>
      </w:r>
      <w:r>
        <w:rPr>
          <w:position w:val="-2"/>
          <w:sz w:val="16"/>
        </w:rPr>
        <w:t>2</w:t>
      </w:r>
      <w:r>
        <w:rPr/>
        <w:t>O antropogénico, cuyo PCG es 296 veces mayor que el del CO</w:t>
      </w:r>
      <w:r>
        <w:rPr>
          <w:position w:val="-2"/>
          <w:sz w:val="16"/>
        </w:rPr>
        <w:t>2</w:t>
      </w:r>
      <w:r>
        <w:rPr/>
        <w:t>, en su mayor parte proveniente del estiércol. La ganadería también es responsable de casi las dos terceras</w:t>
      </w:r>
      <w:r>
        <w:rPr>
          <w:spacing w:val="-12"/>
        </w:rPr>
        <w:t> </w:t>
      </w:r>
      <w:r>
        <w:rPr/>
        <w:t>partes</w:t>
      </w:r>
      <w:r>
        <w:rPr>
          <w:spacing w:val="-12"/>
        </w:rPr>
        <w:t> </w:t>
      </w:r>
      <w:r>
        <w:rPr/>
        <w:t>(64%)</w:t>
      </w:r>
      <w:r>
        <w:rPr>
          <w:spacing w:val="-12"/>
        </w:rPr>
        <w:t> </w:t>
      </w:r>
      <w:r>
        <w:rPr/>
        <w:t>de</w:t>
      </w:r>
      <w:r>
        <w:rPr>
          <w:spacing w:val="-12"/>
        </w:rPr>
        <w:t> </w:t>
      </w:r>
      <w:r>
        <w:rPr/>
        <w:t>las</w:t>
      </w:r>
      <w:r>
        <w:rPr>
          <w:spacing w:val="-12"/>
        </w:rPr>
        <w:t> </w:t>
      </w:r>
      <w:r>
        <w:rPr/>
        <w:t>emisiones</w:t>
      </w:r>
      <w:r>
        <w:rPr>
          <w:spacing w:val="-12"/>
        </w:rPr>
        <w:t> </w:t>
      </w:r>
      <w:r>
        <w:rPr/>
        <w:t>antropogénicas</w:t>
      </w:r>
      <w:r>
        <w:rPr>
          <w:spacing w:val="-12"/>
        </w:rPr>
        <w:t> </w:t>
      </w:r>
      <w:r>
        <w:rPr/>
        <w:t>de</w:t>
      </w:r>
      <w:r>
        <w:rPr>
          <w:spacing w:val="-12"/>
        </w:rPr>
        <w:t> </w:t>
      </w:r>
      <w:r>
        <w:rPr/>
        <w:t>amonio</w:t>
      </w:r>
      <w:r>
        <w:rPr>
          <w:spacing w:val="-12"/>
        </w:rPr>
        <w:t> </w:t>
      </w:r>
      <w:r>
        <w:rPr/>
        <w:t>(</w:t>
      </w:r>
      <w:r>
        <w:rPr>
          <w:rFonts w:ascii="Cambria Math" w:hAnsi="Cambria Math"/>
        </w:rPr>
        <w:t>NH</w:t>
      </w:r>
      <w:r>
        <w:rPr>
          <w:rFonts w:ascii="Cambria Math" w:hAnsi="Cambria Math"/>
          <w:position w:val="-4"/>
          <w:sz w:val="17"/>
        </w:rPr>
        <w:t>#</w:t>
      </w:r>
      <w:r>
        <w:rPr>
          <w:rFonts w:ascii="Cambria Math" w:hAnsi="Cambria Math"/>
          <w:spacing w:val="5"/>
          <w:position w:val="-4"/>
          <w:sz w:val="17"/>
        </w:rPr>
        <w:t> </w:t>
      </w:r>
      <w:r>
        <w:rPr/>
        <w:t>),</w:t>
      </w:r>
      <w:r>
        <w:rPr>
          <w:spacing w:val="-12"/>
        </w:rPr>
        <w:t> </w:t>
      </w:r>
      <w:r>
        <w:rPr/>
        <w:t>las</w:t>
      </w:r>
      <w:r>
        <w:rPr>
          <w:spacing w:val="-12"/>
        </w:rPr>
        <w:t> </w:t>
      </w:r>
      <w:r>
        <w:rPr/>
        <w:t>cuales</w:t>
      </w:r>
    </w:p>
    <w:p>
      <w:pPr>
        <w:pStyle w:val="BodyText"/>
        <w:spacing w:line="231" w:lineRule="exact"/>
        <w:ind w:left="276"/>
        <w:jc w:val="both"/>
      </w:pPr>
      <w:r>
        <w:rPr/>
        <w:t>contribuyen  significativamente  a  la  lluvia  ácida  y  a  la  acidificación  de  los</w:t>
      </w:r>
    </w:p>
    <w:p>
      <w:pPr>
        <w:pStyle w:val="BodyText"/>
        <w:spacing w:line="357" w:lineRule="auto" w:before="137"/>
        <w:ind w:left="276" w:right="143"/>
        <w:jc w:val="both"/>
      </w:pPr>
      <w:r>
        <w:rPr/>
        <w:t>ecosistemas.</w:t>
      </w:r>
      <w:r>
        <w:rPr>
          <w:spacing w:val="-15"/>
        </w:rPr>
        <w:t> </w:t>
      </w:r>
      <w:r>
        <w:rPr/>
        <w:t>También</w:t>
      </w:r>
      <w:r>
        <w:rPr>
          <w:spacing w:val="-15"/>
        </w:rPr>
        <w:t> </w:t>
      </w:r>
      <w:r>
        <w:rPr/>
        <w:t>afirman</w:t>
      </w:r>
      <w:r>
        <w:rPr>
          <w:spacing w:val="-15"/>
        </w:rPr>
        <w:t> </w:t>
      </w:r>
      <w:r>
        <w:rPr/>
        <w:t>que</w:t>
      </w:r>
      <w:r>
        <w:rPr>
          <w:spacing w:val="-15"/>
        </w:rPr>
        <w:t> </w:t>
      </w:r>
      <w:r>
        <w:rPr/>
        <w:t>las</w:t>
      </w:r>
      <w:r>
        <w:rPr>
          <w:spacing w:val="-15"/>
        </w:rPr>
        <w:t> </w:t>
      </w:r>
      <w:r>
        <w:rPr/>
        <w:t>emisiones</w:t>
      </w:r>
      <w:r>
        <w:rPr>
          <w:spacing w:val="-15"/>
        </w:rPr>
        <w:t> </w:t>
      </w:r>
      <w:r>
        <w:rPr/>
        <w:t>de</w:t>
      </w:r>
      <w:r>
        <w:rPr>
          <w:spacing w:val="-15"/>
        </w:rPr>
        <w:t> </w:t>
      </w:r>
      <w:r>
        <w:rPr/>
        <w:t>CH</w:t>
      </w:r>
      <w:r>
        <w:rPr>
          <w:position w:val="-2"/>
          <w:sz w:val="16"/>
        </w:rPr>
        <w:t>4</w:t>
      </w:r>
      <w:r>
        <w:rPr>
          <w:spacing w:val="8"/>
          <w:position w:val="-2"/>
          <w:sz w:val="16"/>
        </w:rPr>
        <w:t> </w:t>
      </w:r>
      <w:r>
        <w:rPr/>
        <w:t>se</w:t>
      </w:r>
      <w:r>
        <w:rPr>
          <w:spacing w:val="-15"/>
        </w:rPr>
        <w:t> </w:t>
      </w:r>
      <w:r>
        <w:rPr/>
        <w:t>pueden</w:t>
      </w:r>
      <w:r>
        <w:rPr>
          <w:spacing w:val="-15"/>
        </w:rPr>
        <w:t> </w:t>
      </w:r>
      <w:r>
        <w:rPr/>
        <w:t>reducir</w:t>
      </w:r>
      <w:r>
        <w:rPr>
          <w:spacing w:val="-15"/>
        </w:rPr>
        <w:t> </w:t>
      </w:r>
      <w:r>
        <w:rPr/>
        <w:t>a</w:t>
      </w:r>
      <w:r>
        <w:rPr>
          <w:spacing w:val="-15"/>
        </w:rPr>
        <w:t> </w:t>
      </w:r>
      <w:r>
        <w:rPr/>
        <w:t>través de dietas mejoradas que disminuyan la fermentación entérica, el mejoramiento del manejo del estiércol y el biogás, que representa además una fuente de energía renovable. Las emisiones de nitrógeno pueden reducirse mejorando las dietas y el manejo del estiércol (Stenfield </w:t>
      </w:r>
      <w:r>
        <w:rPr>
          <w:i/>
        </w:rPr>
        <w:t>et al.</w:t>
      </w:r>
      <w:r>
        <w:rPr/>
        <w:t>,</w:t>
      </w:r>
      <w:r>
        <w:rPr>
          <w:spacing w:val="-8"/>
        </w:rPr>
        <w:t> </w:t>
      </w:r>
      <w:r>
        <w:rPr/>
        <w:t>2009).</w:t>
      </w:r>
    </w:p>
    <w:p>
      <w:pPr>
        <w:pStyle w:val="BodyText"/>
        <w:spacing w:line="352" w:lineRule="auto" w:before="5"/>
        <w:ind w:left="276" w:right="143"/>
        <w:jc w:val="both"/>
      </w:pPr>
      <w:r>
        <w:rPr/>
        <w:t>FAO (2009c), indica que la reducción del CH</w:t>
      </w:r>
      <w:r>
        <w:rPr>
          <w:position w:val="-2"/>
          <w:sz w:val="16"/>
        </w:rPr>
        <w:t>4 </w:t>
      </w:r>
      <w:r>
        <w:rPr/>
        <w:t>generado en el sistema digestivo de los animales, especialmente los rumiantes, puede reducirse mediante el empleo</w:t>
      </w:r>
      <w:r>
        <w:rPr>
          <w:spacing w:val="-30"/>
        </w:rPr>
        <w:t> </w:t>
      </w:r>
      <w:r>
        <w:rPr/>
        <w:t>de aditivos para palimentos, antibióticos o</w:t>
      </w:r>
      <w:r>
        <w:rPr>
          <w:spacing w:val="-2"/>
        </w:rPr>
        <w:t> </w:t>
      </w:r>
      <w:r>
        <w:rPr/>
        <w:t>vacunas.</w:t>
      </w:r>
    </w:p>
    <w:p>
      <w:pPr>
        <w:pStyle w:val="BodyText"/>
        <w:spacing w:line="357" w:lineRule="auto" w:before="15"/>
        <w:ind w:left="276" w:right="143"/>
        <w:jc w:val="both"/>
      </w:pPr>
      <w:r>
        <w:rPr/>
        <w:t>La FAO (2010), menciona que el sector lácteo genera cerca del 4% de todas las emisiones antropogénicas mundiales de GEI. Esta cifra incluye las emisiones asociadas a la producción, elaboración y transporte de productos lácteos, así</w:t>
      </w:r>
      <w:r>
        <w:rPr>
          <w:spacing w:val="-44"/>
        </w:rPr>
        <w:t> </w:t>
      </w:r>
      <w:r>
        <w:rPr/>
        <w:t>como las</w:t>
      </w:r>
      <w:r>
        <w:rPr>
          <w:spacing w:val="-12"/>
        </w:rPr>
        <w:t> </w:t>
      </w:r>
      <w:r>
        <w:rPr/>
        <w:t>emisiones</w:t>
      </w:r>
      <w:r>
        <w:rPr>
          <w:spacing w:val="-12"/>
        </w:rPr>
        <w:t> </w:t>
      </w:r>
      <w:r>
        <w:rPr/>
        <w:t>relacionadas</w:t>
      </w:r>
      <w:r>
        <w:rPr>
          <w:spacing w:val="-12"/>
        </w:rPr>
        <w:t> </w:t>
      </w:r>
      <w:r>
        <w:rPr/>
        <w:t>con</w:t>
      </w:r>
      <w:r>
        <w:rPr>
          <w:spacing w:val="-12"/>
        </w:rPr>
        <w:t> </w:t>
      </w:r>
      <w:r>
        <w:rPr/>
        <w:t>la</w:t>
      </w:r>
      <w:r>
        <w:rPr>
          <w:spacing w:val="-12"/>
        </w:rPr>
        <w:t> </w:t>
      </w:r>
      <w:r>
        <w:rPr/>
        <w:t>carne</w:t>
      </w:r>
      <w:r>
        <w:rPr>
          <w:spacing w:val="-12"/>
        </w:rPr>
        <w:t> </w:t>
      </w:r>
      <w:r>
        <w:rPr/>
        <w:t>de</w:t>
      </w:r>
      <w:r>
        <w:rPr>
          <w:spacing w:val="-12"/>
        </w:rPr>
        <w:t> </w:t>
      </w:r>
      <w:r>
        <w:rPr/>
        <w:t>animales</w:t>
      </w:r>
      <w:r>
        <w:rPr>
          <w:spacing w:val="-12"/>
        </w:rPr>
        <w:t> </w:t>
      </w:r>
      <w:r>
        <w:rPr/>
        <w:t>procedentes</w:t>
      </w:r>
      <w:r>
        <w:rPr>
          <w:spacing w:val="-12"/>
        </w:rPr>
        <w:t> </w:t>
      </w:r>
      <w:r>
        <w:rPr/>
        <w:t>del</w:t>
      </w:r>
      <w:r>
        <w:rPr>
          <w:spacing w:val="-12"/>
        </w:rPr>
        <w:t> </w:t>
      </w:r>
      <w:r>
        <w:rPr/>
        <w:t>mismo</w:t>
      </w:r>
      <w:r>
        <w:rPr>
          <w:spacing w:val="-12"/>
        </w:rPr>
        <w:t> </w:t>
      </w:r>
      <w:r>
        <w:rPr/>
        <w:t>sector. También afirma que considerando solamente la producción, elaboración y transporte de leche a nivel mundial -excluyendo la producción de carne-, el sector contribuye a un 2,7% de las emisiones antropogénicas mundiales de GEI y que en 2007, emitió 1,969 millones de toneladas de dióxido de carbono equivalente (CO</w:t>
      </w:r>
      <w:r>
        <w:rPr>
          <w:position w:val="-2"/>
          <w:sz w:val="16"/>
        </w:rPr>
        <w:t>2</w:t>
      </w:r>
      <w:r>
        <w:rPr/>
        <w:t>- eq),</w:t>
      </w:r>
      <w:r>
        <w:rPr>
          <w:spacing w:val="-4"/>
        </w:rPr>
        <w:t> </w:t>
      </w:r>
      <w:r>
        <w:rPr/>
        <w:t>de</w:t>
      </w:r>
      <w:r>
        <w:rPr>
          <w:spacing w:val="-4"/>
        </w:rPr>
        <w:t> </w:t>
      </w:r>
      <w:r>
        <w:rPr/>
        <w:t>las</w:t>
      </w:r>
      <w:r>
        <w:rPr>
          <w:spacing w:val="-4"/>
        </w:rPr>
        <w:t> </w:t>
      </w:r>
      <w:r>
        <w:rPr/>
        <w:t>cuales</w:t>
      </w:r>
      <w:r>
        <w:rPr>
          <w:spacing w:val="-4"/>
        </w:rPr>
        <w:t> </w:t>
      </w:r>
      <w:r>
        <w:rPr/>
        <w:t>1,328</w:t>
      </w:r>
      <w:r>
        <w:rPr>
          <w:spacing w:val="-4"/>
        </w:rPr>
        <w:t> </w:t>
      </w:r>
      <w:r>
        <w:rPr/>
        <w:t>millones</w:t>
      </w:r>
      <w:r>
        <w:rPr>
          <w:spacing w:val="-4"/>
        </w:rPr>
        <w:t> </w:t>
      </w:r>
      <w:r>
        <w:rPr/>
        <w:t>de</w:t>
      </w:r>
      <w:r>
        <w:rPr>
          <w:spacing w:val="-4"/>
        </w:rPr>
        <w:t> </w:t>
      </w:r>
      <w:r>
        <w:rPr/>
        <w:t>toneladas</w:t>
      </w:r>
      <w:r>
        <w:rPr>
          <w:spacing w:val="-4"/>
        </w:rPr>
        <w:t> </w:t>
      </w:r>
      <w:r>
        <w:rPr/>
        <w:t>se</w:t>
      </w:r>
      <w:r>
        <w:rPr>
          <w:spacing w:val="-4"/>
        </w:rPr>
        <w:t> </w:t>
      </w:r>
      <w:r>
        <w:rPr/>
        <w:t>atribuyen</w:t>
      </w:r>
      <w:r>
        <w:rPr>
          <w:spacing w:val="-4"/>
        </w:rPr>
        <w:t> </w:t>
      </w:r>
      <w:r>
        <w:rPr/>
        <w:t>a</w:t>
      </w:r>
      <w:r>
        <w:rPr>
          <w:spacing w:val="-4"/>
        </w:rPr>
        <w:t> </w:t>
      </w:r>
      <w:r>
        <w:rPr/>
        <w:t>la</w:t>
      </w:r>
      <w:r>
        <w:rPr>
          <w:spacing w:val="-4"/>
        </w:rPr>
        <w:t> </w:t>
      </w:r>
      <w:r>
        <w:rPr/>
        <w:t>leche,</w:t>
      </w:r>
      <w:r>
        <w:rPr>
          <w:spacing w:val="-4"/>
        </w:rPr>
        <w:t> </w:t>
      </w:r>
      <w:r>
        <w:rPr/>
        <w:t>151</w:t>
      </w:r>
      <w:r>
        <w:rPr>
          <w:spacing w:val="-4"/>
        </w:rPr>
        <w:t> </w:t>
      </w:r>
      <w:r>
        <w:rPr/>
        <w:t>millones de toneladas a la carne de animales sacrificados y 490 millones de toneladas a terneros criados para la producción de carne. La emisión CO</w:t>
      </w:r>
      <w:r>
        <w:rPr>
          <w:position w:val="-2"/>
          <w:sz w:val="16"/>
        </w:rPr>
        <w:t>2</w:t>
      </w:r>
      <w:r>
        <w:rPr/>
        <w:t>-eq es una medida estándar  para  comparar  emisiones  de  diferentes  GEI.  En  el  mismo   </w:t>
      </w:r>
      <w:r>
        <w:rPr>
          <w:spacing w:val="6"/>
        </w:rPr>
        <w:t> </w:t>
      </w:r>
      <w:r>
        <w:rPr/>
        <w:t>informe,</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menciona que el cálculo mundial de emisiones de GEI por kilogramo de leche y productos lácteos asociados asciende a 2,4 kg de CO</w:t>
      </w:r>
      <w:r>
        <w:rPr>
          <w:position w:val="-2"/>
          <w:sz w:val="16"/>
        </w:rPr>
        <w:t>2</w:t>
      </w:r>
      <w:r>
        <w:rPr/>
        <w:t>-eq. El CH</w:t>
      </w:r>
      <w:r>
        <w:rPr>
          <w:position w:val="-2"/>
          <w:sz w:val="16"/>
        </w:rPr>
        <w:t>4 </w:t>
      </w:r>
      <w:r>
        <w:rPr/>
        <w:t>contribuye a la mayor parte del impacto de la leche sobre el calentamiento global, ya que supone en torno a un 52% de las emisiones de GEI en los países desarrollados y en desarrollo.</w:t>
      </w:r>
      <w:r>
        <w:rPr>
          <w:spacing w:val="-7"/>
        </w:rPr>
        <w:t> </w:t>
      </w:r>
      <w:r>
        <w:rPr/>
        <w:t>Las</w:t>
      </w:r>
      <w:r>
        <w:rPr>
          <w:spacing w:val="-7"/>
        </w:rPr>
        <w:t> </w:t>
      </w:r>
      <w:r>
        <w:rPr/>
        <w:t>emisiones</w:t>
      </w:r>
      <w:r>
        <w:rPr>
          <w:spacing w:val="-7"/>
        </w:rPr>
        <w:t> </w:t>
      </w:r>
      <w:r>
        <w:rPr/>
        <w:t>de</w:t>
      </w:r>
      <w:r>
        <w:rPr>
          <w:spacing w:val="-7"/>
        </w:rPr>
        <w:t> </w:t>
      </w:r>
      <w:r>
        <w:rPr/>
        <w:t>óxido</w:t>
      </w:r>
      <w:r>
        <w:rPr>
          <w:spacing w:val="-7"/>
        </w:rPr>
        <w:t> </w:t>
      </w:r>
      <w:r>
        <w:rPr/>
        <w:t>nitroso</w:t>
      </w:r>
      <w:r>
        <w:rPr>
          <w:spacing w:val="-7"/>
        </w:rPr>
        <w:t> </w:t>
      </w:r>
      <w:r>
        <w:rPr/>
        <w:t>ascienden</w:t>
      </w:r>
      <w:r>
        <w:rPr>
          <w:spacing w:val="-7"/>
        </w:rPr>
        <w:t> </w:t>
      </w:r>
      <w:r>
        <w:rPr/>
        <w:t>a</w:t>
      </w:r>
      <w:r>
        <w:rPr>
          <w:spacing w:val="-7"/>
        </w:rPr>
        <w:t> </w:t>
      </w:r>
      <w:r>
        <w:rPr/>
        <w:t>un</w:t>
      </w:r>
      <w:r>
        <w:rPr>
          <w:spacing w:val="-7"/>
        </w:rPr>
        <w:t> </w:t>
      </w:r>
      <w:r>
        <w:rPr/>
        <w:t>27%</w:t>
      </w:r>
      <w:r>
        <w:rPr>
          <w:spacing w:val="-7"/>
        </w:rPr>
        <w:t> </w:t>
      </w:r>
      <w:r>
        <w:rPr/>
        <w:t>de</w:t>
      </w:r>
      <w:r>
        <w:rPr>
          <w:spacing w:val="-7"/>
        </w:rPr>
        <w:t> </w:t>
      </w:r>
      <w:r>
        <w:rPr/>
        <w:t>las</w:t>
      </w:r>
      <w:r>
        <w:rPr>
          <w:spacing w:val="-7"/>
        </w:rPr>
        <w:t> </w:t>
      </w:r>
      <w:r>
        <w:rPr/>
        <w:t>emisiones</w:t>
      </w:r>
      <w:r>
        <w:rPr>
          <w:spacing w:val="-7"/>
        </w:rPr>
        <w:t> </w:t>
      </w:r>
      <w:r>
        <w:rPr/>
        <w:t>de GEI en los países desarrollados y a un 38% en los países en desarrollo. El CO</w:t>
      </w:r>
      <w:r>
        <w:rPr>
          <w:position w:val="-2"/>
          <w:sz w:val="16"/>
        </w:rPr>
        <w:t>2 </w:t>
      </w:r>
      <w:r>
        <w:rPr/>
        <w:t>genera más emisiones en los países desarrollados (21%) que en los países en desarrollo (10%).</w:t>
      </w:r>
    </w:p>
    <w:p>
      <w:pPr>
        <w:pStyle w:val="BodyText"/>
        <w:spacing w:line="360" w:lineRule="auto" w:before="5"/>
        <w:ind w:left="276" w:right="143"/>
        <w:jc w:val="both"/>
      </w:pPr>
      <w:r>
        <w:rPr/>
        <w:t>Hristov </w:t>
      </w:r>
      <w:r>
        <w:rPr>
          <w:i/>
        </w:rPr>
        <w:t>et al. </w:t>
      </w:r>
      <w:r>
        <w:rPr/>
        <w:t>(2013), señalan que la producción animal es una fuente importante</w:t>
      </w:r>
      <w:r>
        <w:rPr>
          <w:spacing w:val="-31"/>
        </w:rPr>
        <w:t> </w:t>
      </w:r>
      <w:r>
        <w:rPr/>
        <w:t>de GEI en todo el mundo. Dependiendo del enfoque utilizado para la cuantificación y del</w:t>
      </w:r>
      <w:r>
        <w:rPr>
          <w:spacing w:val="-5"/>
        </w:rPr>
        <w:t> </w:t>
      </w:r>
      <w:r>
        <w:rPr/>
        <w:t>tipo</w:t>
      </w:r>
      <w:r>
        <w:rPr>
          <w:spacing w:val="-5"/>
        </w:rPr>
        <w:t> </w:t>
      </w:r>
      <w:r>
        <w:rPr/>
        <w:t>de</w:t>
      </w:r>
      <w:r>
        <w:rPr>
          <w:spacing w:val="-5"/>
        </w:rPr>
        <w:t> </w:t>
      </w:r>
      <w:r>
        <w:rPr/>
        <w:t>emisiones</w:t>
      </w:r>
      <w:r>
        <w:rPr>
          <w:spacing w:val="-5"/>
        </w:rPr>
        <w:t> </w:t>
      </w:r>
      <w:r>
        <w:rPr/>
        <w:t>estudiadas,</w:t>
      </w:r>
      <w:r>
        <w:rPr>
          <w:spacing w:val="-5"/>
        </w:rPr>
        <w:t> </w:t>
      </w:r>
      <w:r>
        <w:rPr/>
        <w:t>diferentes</w:t>
      </w:r>
      <w:r>
        <w:rPr>
          <w:spacing w:val="-5"/>
        </w:rPr>
        <w:t> </w:t>
      </w:r>
      <w:r>
        <w:rPr/>
        <w:t>instituciones</w:t>
      </w:r>
      <w:r>
        <w:rPr>
          <w:spacing w:val="-5"/>
        </w:rPr>
        <w:t> </w:t>
      </w:r>
      <w:r>
        <w:rPr/>
        <w:t>(IPCC,</w:t>
      </w:r>
      <w:r>
        <w:rPr>
          <w:spacing w:val="-5"/>
        </w:rPr>
        <w:t> </w:t>
      </w:r>
      <w:r>
        <w:rPr/>
        <w:t>FAO,</w:t>
      </w:r>
      <w:r>
        <w:rPr>
          <w:spacing w:val="-5"/>
        </w:rPr>
        <w:t> </w:t>
      </w:r>
      <w:r>
        <w:rPr/>
        <w:t>EPA</w:t>
      </w:r>
      <w:r>
        <w:rPr>
          <w:spacing w:val="-5"/>
        </w:rPr>
        <w:t> </w:t>
      </w:r>
      <w:r>
        <w:rPr/>
        <w:t>y</w:t>
      </w:r>
      <w:r>
        <w:rPr>
          <w:spacing w:val="-5"/>
        </w:rPr>
        <w:t> </w:t>
      </w:r>
      <w:r>
        <w:rPr/>
        <w:t>otras) han</w:t>
      </w:r>
      <w:r>
        <w:rPr>
          <w:spacing w:val="-4"/>
        </w:rPr>
        <w:t> </w:t>
      </w:r>
      <w:r>
        <w:rPr/>
        <w:t>calculado</w:t>
      </w:r>
      <w:r>
        <w:rPr>
          <w:spacing w:val="-4"/>
        </w:rPr>
        <w:t> </w:t>
      </w:r>
      <w:r>
        <w:rPr/>
        <w:t>que</w:t>
      </w:r>
      <w:r>
        <w:rPr>
          <w:spacing w:val="-4"/>
        </w:rPr>
        <w:t> </w:t>
      </w:r>
      <w:r>
        <w:rPr/>
        <w:t>la</w:t>
      </w:r>
      <w:r>
        <w:rPr>
          <w:spacing w:val="-4"/>
        </w:rPr>
        <w:t> </w:t>
      </w:r>
      <w:r>
        <w:rPr/>
        <w:t>contribución</w:t>
      </w:r>
      <w:r>
        <w:rPr>
          <w:spacing w:val="-4"/>
        </w:rPr>
        <w:t> </w:t>
      </w:r>
      <w:r>
        <w:rPr/>
        <w:t>del</w:t>
      </w:r>
      <w:r>
        <w:rPr>
          <w:spacing w:val="-4"/>
        </w:rPr>
        <w:t> </w:t>
      </w:r>
      <w:r>
        <w:rPr/>
        <w:t>ganado</w:t>
      </w:r>
      <w:r>
        <w:rPr>
          <w:spacing w:val="-4"/>
        </w:rPr>
        <w:t> </w:t>
      </w:r>
      <w:r>
        <w:rPr/>
        <w:t>a</w:t>
      </w:r>
      <w:r>
        <w:rPr>
          <w:spacing w:val="-4"/>
        </w:rPr>
        <w:t> </w:t>
      </w:r>
      <w:r>
        <w:rPr/>
        <w:t>las</w:t>
      </w:r>
      <w:r>
        <w:rPr>
          <w:spacing w:val="-4"/>
        </w:rPr>
        <w:t> </w:t>
      </w:r>
      <w:r>
        <w:rPr/>
        <w:t>emisiones</w:t>
      </w:r>
      <w:r>
        <w:rPr>
          <w:spacing w:val="-4"/>
        </w:rPr>
        <w:t> </w:t>
      </w:r>
      <w:r>
        <w:rPr/>
        <w:t>mundiales</w:t>
      </w:r>
      <w:r>
        <w:rPr>
          <w:spacing w:val="-5"/>
        </w:rPr>
        <w:t> </w:t>
      </w:r>
      <w:r>
        <w:rPr/>
        <w:t>de</w:t>
      </w:r>
      <w:r>
        <w:rPr>
          <w:spacing w:val="-4"/>
        </w:rPr>
        <w:t> </w:t>
      </w:r>
      <w:r>
        <w:rPr/>
        <w:t>los</w:t>
      </w:r>
      <w:r>
        <w:rPr>
          <w:spacing w:val="-4"/>
        </w:rPr>
        <w:t> </w:t>
      </w:r>
      <w:r>
        <w:rPr/>
        <w:t>GEI antrapogénico representan entre el 7 y el 18% de las emisiones totales, como lo indica de igual manera Stenfield </w:t>
      </w:r>
      <w:r>
        <w:rPr>
          <w:i/>
        </w:rPr>
        <w:t>et al. </w:t>
      </w:r>
      <w:r>
        <w:rPr/>
        <w:t>(2009), en su obra la Larga Sombra del Ganado.</w:t>
      </w:r>
    </w:p>
    <w:p>
      <w:pPr>
        <w:pStyle w:val="BodyText"/>
        <w:spacing w:line="360" w:lineRule="auto" w:before="2"/>
        <w:ind w:left="276" w:right="143"/>
        <w:jc w:val="both"/>
      </w:pPr>
      <w:r>
        <w:rPr/>
        <w:t>Gerber </w:t>
      </w:r>
      <w:r>
        <w:rPr>
          <w:i/>
        </w:rPr>
        <w:t>et al. </w:t>
      </w:r>
      <w:r>
        <w:rPr/>
        <w:t>(2013), revelan que las emisiones de GEI estimadas en 7.1 gigatoneladas (GT) de CO</w:t>
      </w:r>
      <w:r>
        <w:rPr>
          <w:position w:val="-2"/>
          <w:sz w:val="16"/>
        </w:rPr>
        <w:t>2</w:t>
      </w:r>
      <w:r>
        <w:rPr/>
        <w:t>-eq por año, que representan el 14.5% de las</w:t>
      </w:r>
      <w:r>
        <w:rPr>
          <w:spacing w:val="-41"/>
        </w:rPr>
        <w:t> </w:t>
      </w:r>
      <w:r>
        <w:rPr/>
        <w:t>emisiones de</w:t>
      </w:r>
      <w:r>
        <w:rPr>
          <w:spacing w:val="-11"/>
        </w:rPr>
        <w:t> </w:t>
      </w:r>
      <w:r>
        <w:rPr/>
        <w:t>GEI</w:t>
      </w:r>
      <w:r>
        <w:rPr>
          <w:spacing w:val="-11"/>
        </w:rPr>
        <w:t> </w:t>
      </w:r>
      <w:r>
        <w:rPr/>
        <w:t>inducidas</w:t>
      </w:r>
      <w:r>
        <w:rPr>
          <w:spacing w:val="-11"/>
        </w:rPr>
        <w:t> </w:t>
      </w:r>
      <w:r>
        <w:rPr/>
        <w:t>por</w:t>
      </w:r>
      <w:r>
        <w:rPr>
          <w:spacing w:val="-11"/>
        </w:rPr>
        <w:t> </w:t>
      </w:r>
      <w:r>
        <w:rPr/>
        <w:t>el</w:t>
      </w:r>
      <w:r>
        <w:rPr>
          <w:spacing w:val="-11"/>
        </w:rPr>
        <w:t> </w:t>
      </w:r>
      <w:r>
        <w:rPr/>
        <w:t>ser</w:t>
      </w:r>
      <w:r>
        <w:rPr>
          <w:spacing w:val="-11"/>
        </w:rPr>
        <w:t> </w:t>
      </w:r>
      <w:r>
        <w:rPr/>
        <w:t>humano,</w:t>
      </w:r>
      <w:r>
        <w:rPr>
          <w:spacing w:val="-11"/>
        </w:rPr>
        <w:t> </w:t>
      </w:r>
      <w:r>
        <w:rPr/>
        <w:t>por</w:t>
      </w:r>
      <w:r>
        <w:rPr>
          <w:spacing w:val="-11"/>
        </w:rPr>
        <w:t> </w:t>
      </w:r>
      <w:r>
        <w:rPr/>
        <w:t>lo</w:t>
      </w:r>
      <w:r>
        <w:rPr>
          <w:spacing w:val="-11"/>
        </w:rPr>
        <w:t> </w:t>
      </w:r>
      <w:r>
        <w:rPr/>
        <w:t>que</w:t>
      </w:r>
      <w:r>
        <w:rPr>
          <w:spacing w:val="-11"/>
        </w:rPr>
        <w:t> </w:t>
      </w:r>
      <w:r>
        <w:rPr/>
        <w:t>el</w:t>
      </w:r>
      <w:r>
        <w:rPr>
          <w:spacing w:val="-11"/>
        </w:rPr>
        <w:t> </w:t>
      </w:r>
      <w:r>
        <w:rPr/>
        <w:t>sector</w:t>
      </w:r>
      <w:r>
        <w:rPr>
          <w:spacing w:val="-11"/>
        </w:rPr>
        <w:t> </w:t>
      </w:r>
      <w:r>
        <w:rPr/>
        <w:t>ganadero</w:t>
      </w:r>
      <w:r>
        <w:rPr>
          <w:spacing w:val="-11"/>
        </w:rPr>
        <w:t> </w:t>
      </w:r>
      <w:r>
        <w:rPr/>
        <w:t>incide</w:t>
      </w:r>
      <w:r>
        <w:rPr>
          <w:spacing w:val="-11"/>
        </w:rPr>
        <w:t> </w:t>
      </w:r>
      <w:r>
        <w:rPr/>
        <w:t>de</w:t>
      </w:r>
      <w:r>
        <w:rPr>
          <w:spacing w:val="-11"/>
        </w:rPr>
        <w:t> </w:t>
      </w:r>
      <w:r>
        <w:rPr/>
        <w:t>manera importante en el cambio climático. Así hacen referencia que la producción de</w:t>
      </w:r>
      <w:r>
        <w:rPr>
          <w:spacing w:val="-25"/>
        </w:rPr>
        <w:t> </w:t>
      </w:r>
      <w:r>
        <w:rPr/>
        <w:t>carne y leche de vacuno es responsable de la mayoría de las emisiones de GEI, pues contribuye con el 41% y el 29% respectivamente de las emisiones del sector. El fuerte</w:t>
      </w:r>
      <w:r>
        <w:rPr>
          <w:spacing w:val="-13"/>
        </w:rPr>
        <w:t> </w:t>
      </w:r>
      <w:r>
        <w:rPr/>
        <w:t>crecimiento</w:t>
      </w:r>
      <w:r>
        <w:rPr>
          <w:spacing w:val="-13"/>
        </w:rPr>
        <w:t> </w:t>
      </w:r>
      <w:r>
        <w:rPr/>
        <w:t>previsto</w:t>
      </w:r>
      <w:r>
        <w:rPr>
          <w:spacing w:val="-13"/>
        </w:rPr>
        <w:t> </w:t>
      </w:r>
      <w:r>
        <w:rPr/>
        <w:t>de</w:t>
      </w:r>
      <w:r>
        <w:rPr>
          <w:spacing w:val="-13"/>
        </w:rPr>
        <w:t> </w:t>
      </w:r>
      <w:r>
        <w:rPr/>
        <w:t>esta</w:t>
      </w:r>
      <w:r>
        <w:rPr>
          <w:spacing w:val="-13"/>
        </w:rPr>
        <w:t> </w:t>
      </w:r>
      <w:r>
        <w:rPr/>
        <w:t>producción</w:t>
      </w:r>
      <w:r>
        <w:rPr>
          <w:spacing w:val="-13"/>
        </w:rPr>
        <w:t> </w:t>
      </w:r>
      <w:r>
        <w:rPr/>
        <w:t>ocasionará</w:t>
      </w:r>
      <w:r>
        <w:rPr>
          <w:spacing w:val="-13"/>
        </w:rPr>
        <w:t> </w:t>
      </w:r>
      <w:r>
        <w:rPr/>
        <w:t>con</w:t>
      </w:r>
      <w:r>
        <w:rPr>
          <w:spacing w:val="-13"/>
        </w:rPr>
        <w:t> </w:t>
      </w:r>
      <w:r>
        <w:rPr/>
        <w:t>el</w:t>
      </w:r>
      <w:r>
        <w:rPr>
          <w:spacing w:val="-13"/>
        </w:rPr>
        <w:t> </w:t>
      </w:r>
      <w:r>
        <w:rPr/>
        <w:t>tiempo</w:t>
      </w:r>
      <w:r>
        <w:rPr>
          <w:spacing w:val="-13"/>
        </w:rPr>
        <w:t> </w:t>
      </w:r>
      <w:r>
        <w:rPr/>
        <w:t>un</w:t>
      </w:r>
      <w:r>
        <w:rPr>
          <w:spacing w:val="-13"/>
        </w:rPr>
        <w:t> </w:t>
      </w:r>
      <w:r>
        <w:rPr/>
        <w:t>aumento de</w:t>
      </w:r>
      <w:r>
        <w:rPr>
          <w:spacing w:val="-7"/>
        </w:rPr>
        <w:t> </w:t>
      </w:r>
      <w:r>
        <w:rPr/>
        <w:t>los</w:t>
      </w:r>
      <w:r>
        <w:rPr>
          <w:spacing w:val="-7"/>
        </w:rPr>
        <w:t> </w:t>
      </w:r>
      <w:r>
        <w:rPr/>
        <w:t>porcentajes</w:t>
      </w:r>
      <w:r>
        <w:rPr>
          <w:spacing w:val="-7"/>
        </w:rPr>
        <w:t> </w:t>
      </w:r>
      <w:r>
        <w:rPr/>
        <w:t>y</w:t>
      </w:r>
      <w:r>
        <w:rPr>
          <w:spacing w:val="-7"/>
        </w:rPr>
        <w:t> </w:t>
      </w:r>
      <w:r>
        <w:rPr/>
        <w:t>volúmenes</w:t>
      </w:r>
      <w:r>
        <w:rPr>
          <w:spacing w:val="-7"/>
        </w:rPr>
        <w:t> </w:t>
      </w:r>
      <w:r>
        <w:rPr/>
        <w:t>de</w:t>
      </w:r>
      <w:r>
        <w:rPr>
          <w:spacing w:val="-7"/>
        </w:rPr>
        <w:t> </w:t>
      </w:r>
      <w:r>
        <w:rPr/>
        <w:t>emisiones.</w:t>
      </w:r>
      <w:r>
        <w:rPr>
          <w:spacing w:val="-7"/>
        </w:rPr>
        <w:t> </w:t>
      </w:r>
      <w:r>
        <w:rPr/>
        <w:t>Además,</w:t>
      </w:r>
      <w:r>
        <w:rPr>
          <w:spacing w:val="-7"/>
        </w:rPr>
        <w:t> </w:t>
      </w:r>
      <w:r>
        <w:rPr/>
        <w:t>indican</w:t>
      </w:r>
      <w:r>
        <w:rPr>
          <w:spacing w:val="-7"/>
        </w:rPr>
        <w:t> </w:t>
      </w:r>
      <w:r>
        <w:rPr/>
        <w:t>que</w:t>
      </w:r>
      <w:r>
        <w:rPr>
          <w:spacing w:val="-7"/>
        </w:rPr>
        <w:t> </w:t>
      </w:r>
      <w:r>
        <w:rPr/>
        <w:t>la</w:t>
      </w:r>
      <w:r>
        <w:rPr>
          <w:spacing w:val="-7"/>
        </w:rPr>
        <w:t> </w:t>
      </w:r>
      <w:r>
        <w:rPr/>
        <w:t>producción</w:t>
      </w:r>
      <w:r>
        <w:rPr>
          <w:spacing w:val="-7"/>
        </w:rPr>
        <w:t> </w:t>
      </w:r>
      <w:r>
        <w:rPr/>
        <w:t>y elaboración de alimentos y la fermentación entérica generada por los animales rumiantes son las dos fuentes principales de emisiones, responsables respectivamente del 45% y el 39% del sector. El almacenamiento y elaboración</w:t>
      </w:r>
      <w:r>
        <w:rPr>
          <w:spacing w:val="-13"/>
        </w:rPr>
        <w:t> </w:t>
      </w:r>
      <w:r>
        <w:rPr/>
        <w:t>del estiércol representa el 10%. La parte restante se atribuye a la elaboración y el transporte de productos pecuarios.</w:t>
      </w:r>
    </w:p>
    <w:p>
      <w:pPr>
        <w:pStyle w:val="BodyText"/>
        <w:spacing w:line="360" w:lineRule="auto" w:before="2"/>
        <w:ind w:left="276" w:right="144"/>
        <w:jc w:val="both"/>
      </w:pPr>
      <w:r>
        <w:rPr/>
        <w:t>Tubiello </w:t>
      </w:r>
      <w:r>
        <w:rPr>
          <w:i/>
        </w:rPr>
        <w:t>et al. </w:t>
      </w:r>
      <w:r>
        <w:rPr/>
        <w:t>(2015), en su obra “Estimación de emisiones de gases de efecto invernadero en la agricultura” Un manual para abordar los requisitos de los datos para países en desarrollo describen la manera de como los países informan  sobre</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sus emisiones y absorciones de GEI procedentes de todos los sectores a través</w:t>
      </w:r>
      <w:r>
        <w:rPr>
          <w:spacing w:val="-26"/>
        </w:rPr>
        <w:t> </w:t>
      </w:r>
      <w:r>
        <w:rPr/>
        <w:t>de los Inventarios Nacionales de GEI (INGEI), presentados a la Convención Marco de las</w:t>
      </w:r>
      <w:r>
        <w:rPr>
          <w:spacing w:val="-12"/>
        </w:rPr>
        <w:t> </w:t>
      </w:r>
      <w:r>
        <w:rPr/>
        <w:t>Naciones</w:t>
      </w:r>
      <w:r>
        <w:rPr>
          <w:spacing w:val="-12"/>
        </w:rPr>
        <w:t> </w:t>
      </w:r>
      <w:r>
        <w:rPr/>
        <w:t>Unidas</w:t>
      </w:r>
      <w:r>
        <w:rPr>
          <w:spacing w:val="-12"/>
        </w:rPr>
        <w:t> </w:t>
      </w:r>
      <w:r>
        <w:rPr/>
        <w:t>sobre</w:t>
      </w:r>
      <w:r>
        <w:rPr>
          <w:spacing w:val="-12"/>
        </w:rPr>
        <w:t> </w:t>
      </w:r>
      <w:r>
        <w:rPr/>
        <w:t>el</w:t>
      </w:r>
      <w:r>
        <w:rPr>
          <w:spacing w:val="-12"/>
        </w:rPr>
        <w:t> </w:t>
      </w:r>
      <w:r>
        <w:rPr/>
        <w:t>Cambio</w:t>
      </w:r>
      <w:r>
        <w:rPr>
          <w:spacing w:val="-12"/>
        </w:rPr>
        <w:t> </w:t>
      </w:r>
      <w:r>
        <w:rPr/>
        <w:t>Climático</w:t>
      </w:r>
      <w:r>
        <w:rPr>
          <w:spacing w:val="-12"/>
        </w:rPr>
        <w:t> </w:t>
      </w:r>
      <w:r>
        <w:rPr/>
        <w:t>(CMNUCC),</w:t>
      </w:r>
      <w:r>
        <w:rPr>
          <w:spacing w:val="-12"/>
        </w:rPr>
        <w:t> </w:t>
      </w:r>
      <w:r>
        <w:rPr/>
        <w:t>de</w:t>
      </w:r>
      <w:r>
        <w:rPr>
          <w:spacing w:val="-12"/>
        </w:rPr>
        <w:t> </w:t>
      </w:r>
      <w:r>
        <w:rPr/>
        <w:t>conformidad</w:t>
      </w:r>
      <w:r>
        <w:rPr>
          <w:spacing w:val="-12"/>
        </w:rPr>
        <w:t> </w:t>
      </w:r>
      <w:r>
        <w:rPr/>
        <w:t>con</w:t>
      </w:r>
      <w:r>
        <w:rPr>
          <w:spacing w:val="-12"/>
        </w:rPr>
        <w:t> </w:t>
      </w:r>
      <w:r>
        <w:rPr/>
        <w:t>los acuerdos de política internacional sobre el clima y las directrices desarrolladas por el</w:t>
      </w:r>
      <w:r>
        <w:rPr>
          <w:spacing w:val="-7"/>
        </w:rPr>
        <w:t> </w:t>
      </w:r>
      <w:r>
        <w:rPr/>
        <w:t>grupo</w:t>
      </w:r>
      <w:r>
        <w:rPr>
          <w:spacing w:val="-7"/>
        </w:rPr>
        <w:t> </w:t>
      </w:r>
      <w:r>
        <w:rPr/>
        <w:t>intergubernamental</w:t>
      </w:r>
      <w:r>
        <w:rPr>
          <w:spacing w:val="-7"/>
        </w:rPr>
        <w:t> </w:t>
      </w:r>
      <w:r>
        <w:rPr/>
        <w:t>de</w:t>
      </w:r>
      <w:r>
        <w:rPr>
          <w:spacing w:val="-7"/>
        </w:rPr>
        <w:t> </w:t>
      </w:r>
      <w:r>
        <w:rPr/>
        <w:t>expertos</w:t>
      </w:r>
      <w:r>
        <w:rPr>
          <w:spacing w:val="-7"/>
        </w:rPr>
        <w:t> </w:t>
      </w:r>
      <w:r>
        <w:rPr/>
        <w:t>sobre</w:t>
      </w:r>
      <w:r>
        <w:rPr>
          <w:spacing w:val="-7"/>
        </w:rPr>
        <w:t> </w:t>
      </w:r>
      <w:r>
        <w:rPr/>
        <w:t>el</w:t>
      </w:r>
      <w:r>
        <w:rPr>
          <w:spacing w:val="-7"/>
        </w:rPr>
        <w:t> </w:t>
      </w:r>
      <w:r>
        <w:rPr/>
        <w:t>cambio</w:t>
      </w:r>
      <w:r>
        <w:rPr>
          <w:spacing w:val="-7"/>
        </w:rPr>
        <w:t> </w:t>
      </w:r>
      <w:r>
        <w:rPr/>
        <w:t>climático</w:t>
      </w:r>
      <w:r>
        <w:rPr>
          <w:spacing w:val="-7"/>
        </w:rPr>
        <w:t> </w:t>
      </w:r>
      <w:r>
        <w:rPr/>
        <w:t>IPCC.</w:t>
      </w:r>
      <w:r>
        <w:rPr>
          <w:spacing w:val="-7"/>
        </w:rPr>
        <w:t> </w:t>
      </w:r>
      <w:r>
        <w:rPr/>
        <w:t>Indicando que el sector agrícola representa un desafío único para los compiladores del inventario</w:t>
      </w:r>
      <w:r>
        <w:rPr>
          <w:spacing w:val="-11"/>
        </w:rPr>
        <w:t> </w:t>
      </w:r>
      <w:r>
        <w:rPr/>
        <w:t>nacional,</w:t>
      </w:r>
      <w:r>
        <w:rPr>
          <w:spacing w:val="-11"/>
        </w:rPr>
        <w:t> </w:t>
      </w:r>
      <w:r>
        <w:rPr/>
        <w:t>especialmente</w:t>
      </w:r>
      <w:r>
        <w:rPr>
          <w:spacing w:val="-11"/>
        </w:rPr>
        <w:t> </w:t>
      </w:r>
      <w:r>
        <w:rPr/>
        <w:t>en</w:t>
      </w:r>
      <w:r>
        <w:rPr>
          <w:spacing w:val="-11"/>
        </w:rPr>
        <w:t> </w:t>
      </w:r>
      <w:r>
        <w:rPr/>
        <w:t>los</w:t>
      </w:r>
      <w:r>
        <w:rPr>
          <w:spacing w:val="-11"/>
        </w:rPr>
        <w:t> </w:t>
      </w:r>
      <w:r>
        <w:rPr/>
        <w:t>países</w:t>
      </w:r>
      <w:r>
        <w:rPr>
          <w:spacing w:val="-11"/>
        </w:rPr>
        <w:t> </w:t>
      </w:r>
      <w:r>
        <w:rPr/>
        <w:t>en</w:t>
      </w:r>
      <w:r>
        <w:rPr>
          <w:spacing w:val="-11"/>
        </w:rPr>
        <w:t> </w:t>
      </w:r>
      <w:r>
        <w:rPr/>
        <w:t>desarrollo,</w:t>
      </w:r>
      <w:r>
        <w:rPr>
          <w:spacing w:val="-11"/>
        </w:rPr>
        <w:t> </w:t>
      </w:r>
      <w:r>
        <w:rPr/>
        <w:t>debido</w:t>
      </w:r>
      <w:r>
        <w:rPr>
          <w:spacing w:val="-11"/>
        </w:rPr>
        <w:t> </w:t>
      </w:r>
      <w:r>
        <w:rPr/>
        <w:t>a</w:t>
      </w:r>
      <w:r>
        <w:rPr>
          <w:spacing w:val="-11"/>
        </w:rPr>
        <w:t> </w:t>
      </w:r>
      <w:r>
        <w:rPr/>
        <w:t>dificultades significativas</w:t>
      </w:r>
      <w:r>
        <w:rPr>
          <w:spacing w:val="-7"/>
        </w:rPr>
        <w:t> </w:t>
      </w:r>
      <w:r>
        <w:rPr/>
        <w:t>en</w:t>
      </w:r>
      <w:r>
        <w:rPr>
          <w:spacing w:val="-7"/>
        </w:rPr>
        <w:t> </w:t>
      </w:r>
      <w:r>
        <w:rPr/>
        <w:t>compilar</w:t>
      </w:r>
      <w:r>
        <w:rPr>
          <w:spacing w:val="-7"/>
        </w:rPr>
        <w:t> </w:t>
      </w:r>
      <w:r>
        <w:rPr/>
        <w:t>y</w:t>
      </w:r>
      <w:r>
        <w:rPr>
          <w:spacing w:val="-7"/>
        </w:rPr>
        <w:t> </w:t>
      </w:r>
      <w:r>
        <w:rPr/>
        <w:t>actualizar</w:t>
      </w:r>
      <w:r>
        <w:rPr>
          <w:spacing w:val="-7"/>
        </w:rPr>
        <w:t> </w:t>
      </w:r>
      <w:r>
        <w:rPr/>
        <w:t>regularmente</w:t>
      </w:r>
      <w:r>
        <w:rPr>
          <w:spacing w:val="-7"/>
        </w:rPr>
        <w:t> </w:t>
      </w:r>
      <w:r>
        <w:rPr/>
        <w:t>las</w:t>
      </w:r>
      <w:r>
        <w:rPr>
          <w:spacing w:val="-7"/>
        </w:rPr>
        <w:t> </w:t>
      </w:r>
      <w:r>
        <w:rPr/>
        <w:t>estadísticas</w:t>
      </w:r>
      <w:r>
        <w:rPr>
          <w:spacing w:val="-7"/>
        </w:rPr>
        <w:t> </w:t>
      </w:r>
      <w:r>
        <w:rPr/>
        <w:t>nacionales</w:t>
      </w:r>
      <w:r>
        <w:rPr>
          <w:spacing w:val="-7"/>
        </w:rPr>
        <w:t> </w:t>
      </w:r>
      <w:r>
        <w:rPr/>
        <w:t>para la agricultura, la silvicultura y otros usos de la tierra -el primer paso necesario para la preparación de las estimaciones nacionales de GEI-. Así como la capacidad limitada para identificar y recolectar datos de actividad fiables y cuantificar emisiones por las fuentes y absorciones por sumideros, en particular en los países en que la agricultura y las actividades del uso de la tierra AFOLU (Agriculture, Forestry and Other Land Use, siglas que corresponden al termino en inglés) son</w:t>
      </w:r>
      <w:r>
        <w:rPr>
          <w:spacing w:val="-42"/>
        </w:rPr>
        <w:t> </w:t>
      </w:r>
      <w:r>
        <w:rPr/>
        <w:t>un componente clave de la economía nacional y un conductor de empleo, además, podría dar lugar a un acceso limitado al financiamiento climático internacional de importancia para el desarrollo rural, tales como las actividades del programas REDD+ (Reducción de Emisiones de Carbono causadas por la Deforestación y la Degradación de los Bosques) y las acciones nacionales de mitigación apropiadas NAMA</w:t>
      </w:r>
      <w:r>
        <w:rPr>
          <w:spacing w:val="-9"/>
        </w:rPr>
        <w:t> </w:t>
      </w:r>
      <w:r>
        <w:rPr/>
        <w:t>(National</w:t>
      </w:r>
      <w:r>
        <w:rPr>
          <w:spacing w:val="-9"/>
        </w:rPr>
        <w:t> </w:t>
      </w:r>
      <w:r>
        <w:rPr/>
        <w:t>Appropiated</w:t>
      </w:r>
      <w:r>
        <w:rPr>
          <w:spacing w:val="-9"/>
        </w:rPr>
        <w:t> </w:t>
      </w:r>
      <w:r>
        <w:rPr/>
        <w:t>Mitigation</w:t>
      </w:r>
      <w:r>
        <w:rPr>
          <w:spacing w:val="-9"/>
        </w:rPr>
        <w:t> </w:t>
      </w:r>
      <w:r>
        <w:rPr/>
        <w:t>Actions,</w:t>
      </w:r>
      <w:r>
        <w:rPr>
          <w:spacing w:val="-9"/>
        </w:rPr>
        <w:t> </w:t>
      </w:r>
      <w:r>
        <w:rPr/>
        <w:t>siglas</w:t>
      </w:r>
      <w:r>
        <w:rPr>
          <w:spacing w:val="-9"/>
        </w:rPr>
        <w:t> </w:t>
      </w:r>
      <w:r>
        <w:rPr/>
        <w:t>en</w:t>
      </w:r>
      <w:r>
        <w:rPr>
          <w:spacing w:val="-9"/>
        </w:rPr>
        <w:t> </w:t>
      </w:r>
      <w:r>
        <w:rPr/>
        <w:t>inglés).</w:t>
      </w:r>
      <w:r>
        <w:rPr>
          <w:spacing w:val="-10"/>
        </w:rPr>
        <w:t> </w:t>
      </w:r>
      <w:r>
        <w:rPr/>
        <w:t>Este</w:t>
      </w:r>
      <w:r>
        <w:rPr>
          <w:spacing w:val="-9"/>
        </w:rPr>
        <w:t> </w:t>
      </w:r>
      <w:r>
        <w:rPr/>
        <w:t>manual</w:t>
      </w:r>
      <w:r>
        <w:rPr>
          <w:spacing w:val="-9"/>
        </w:rPr>
        <w:t> </w:t>
      </w:r>
      <w:r>
        <w:rPr/>
        <w:t>sirve para suministra a los países miembros una herramienta y metodología para</w:t>
      </w:r>
      <w:r>
        <w:rPr>
          <w:spacing w:val="-11"/>
        </w:rPr>
        <w:t> </w:t>
      </w:r>
      <w:r>
        <w:rPr/>
        <w:t>ayudar a identificar, construir y acceder al conjunto mínimo de datos de actividad, necesarios</w:t>
      </w:r>
      <w:r>
        <w:rPr>
          <w:spacing w:val="-5"/>
        </w:rPr>
        <w:t> </w:t>
      </w:r>
      <w:r>
        <w:rPr/>
        <w:t>para</w:t>
      </w:r>
      <w:r>
        <w:rPr>
          <w:spacing w:val="-5"/>
        </w:rPr>
        <w:t> </w:t>
      </w:r>
      <w:r>
        <w:rPr/>
        <w:t>la</w:t>
      </w:r>
      <w:r>
        <w:rPr>
          <w:spacing w:val="-5"/>
        </w:rPr>
        <w:t> </w:t>
      </w:r>
      <w:r>
        <w:rPr/>
        <w:t>estimación</w:t>
      </w:r>
      <w:r>
        <w:rPr>
          <w:spacing w:val="-5"/>
        </w:rPr>
        <w:t> </w:t>
      </w:r>
      <w:r>
        <w:rPr/>
        <w:t>de</w:t>
      </w:r>
      <w:r>
        <w:rPr>
          <w:spacing w:val="-5"/>
        </w:rPr>
        <w:t> </w:t>
      </w:r>
      <w:r>
        <w:rPr/>
        <w:t>GEI.</w:t>
      </w:r>
      <w:r>
        <w:rPr>
          <w:spacing w:val="-5"/>
        </w:rPr>
        <w:t> </w:t>
      </w:r>
      <w:r>
        <w:rPr/>
        <w:t>Los</w:t>
      </w:r>
      <w:r>
        <w:rPr>
          <w:spacing w:val="-5"/>
        </w:rPr>
        <w:t> </w:t>
      </w:r>
      <w:r>
        <w:rPr/>
        <w:t>datos</w:t>
      </w:r>
      <w:r>
        <w:rPr>
          <w:spacing w:val="-5"/>
        </w:rPr>
        <w:t> </w:t>
      </w:r>
      <w:r>
        <w:rPr/>
        <w:t>requeridos</w:t>
      </w:r>
      <w:r>
        <w:rPr>
          <w:spacing w:val="-5"/>
        </w:rPr>
        <w:t> </w:t>
      </w:r>
      <w:r>
        <w:rPr/>
        <w:t>provienen</w:t>
      </w:r>
      <w:r>
        <w:rPr>
          <w:spacing w:val="-5"/>
        </w:rPr>
        <w:t> </w:t>
      </w:r>
      <w:r>
        <w:rPr/>
        <w:t>mayormente de las estadísticas agrícolas y forestales nacionales oficiales del país, recopilados por FAOSTAT, e integrados por datos geoespaciales obtenidos a partir de fuentes internacionales</w:t>
      </w:r>
      <w:r>
        <w:rPr>
          <w:spacing w:val="-5"/>
        </w:rPr>
        <w:t> </w:t>
      </w:r>
      <w:r>
        <w:rPr/>
        <w:t>reconocidas.</w:t>
      </w:r>
      <w:r>
        <w:rPr>
          <w:spacing w:val="-5"/>
        </w:rPr>
        <w:t> </w:t>
      </w:r>
      <w:r>
        <w:rPr/>
        <w:t>Los</w:t>
      </w:r>
      <w:r>
        <w:rPr>
          <w:spacing w:val="-5"/>
        </w:rPr>
        <w:t> </w:t>
      </w:r>
      <w:r>
        <w:rPr/>
        <w:t>usuarios</w:t>
      </w:r>
      <w:r>
        <w:rPr>
          <w:spacing w:val="-5"/>
        </w:rPr>
        <w:t> </w:t>
      </w:r>
      <w:r>
        <w:rPr/>
        <w:t>cuentan</w:t>
      </w:r>
      <w:r>
        <w:rPr>
          <w:spacing w:val="-5"/>
        </w:rPr>
        <w:t> </w:t>
      </w:r>
      <w:r>
        <w:rPr/>
        <w:t>con</w:t>
      </w:r>
      <w:r>
        <w:rPr>
          <w:spacing w:val="-5"/>
        </w:rPr>
        <w:t> </w:t>
      </w:r>
      <w:r>
        <w:rPr/>
        <w:t>una</w:t>
      </w:r>
      <w:r>
        <w:rPr>
          <w:spacing w:val="-5"/>
        </w:rPr>
        <w:t> </w:t>
      </w:r>
      <w:r>
        <w:rPr/>
        <w:t>guía</w:t>
      </w:r>
      <w:r>
        <w:rPr>
          <w:spacing w:val="-5"/>
        </w:rPr>
        <w:t> </w:t>
      </w:r>
      <w:r>
        <w:rPr/>
        <w:t>paso</w:t>
      </w:r>
      <w:r>
        <w:rPr>
          <w:spacing w:val="-5"/>
        </w:rPr>
        <w:t> </w:t>
      </w:r>
      <w:r>
        <w:rPr/>
        <w:t>a</w:t>
      </w:r>
      <w:r>
        <w:rPr>
          <w:spacing w:val="-5"/>
        </w:rPr>
        <w:t> </w:t>
      </w:r>
      <w:r>
        <w:rPr/>
        <w:t>paso</w:t>
      </w:r>
      <w:r>
        <w:rPr>
          <w:spacing w:val="-5"/>
        </w:rPr>
        <w:t> </w:t>
      </w:r>
      <w:r>
        <w:rPr/>
        <w:t>sobre cómo utilizar este conjunto mínimo de datos para completar la base de datos nacional de emisiones de GEI para agricultura y uso de la tierra, siguiendo por defecto la metodología de Nivel 1 (Tier 1) de las Directrices del IPCC para los inventarios nacionales.</w:t>
      </w:r>
    </w:p>
    <w:p>
      <w:pPr>
        <w:spacing w:after="0" w:line="360" w:lineRule="auto"/>
        <w:jc w:val="both"/>
        <w:sectPr>
          <w:pgSz w:w="12240" w:h="15840"/>
          <w:pgMar w:header="741" w:footer="739" w:top="1220" w:bottom="920" w:left="1720" w:right="1260"/>
        </w:sectPr>
      </w:pPr>
    </w:p>
    <w:p>
      <w:pPr>
        <w:pStyle w:val="BodyText"/>
        <w:rPr>
          <w:sz w:val="13"/>
        </w:rPr>
      </w:pPr>
    </w:p>
    <w:p>
      <w:pPr>
        <w:pStyle w:val="Heading2"/>
        <w:numPr>
          <w:ilvl w:val="1"/>
          <w:numId w:val="3"/>
        </w:numPr>
        <w:tabs>
          <w:tab w:pos="900" w:val="left" w:leader="none"/>
        </w:tabs>
        <w:spacing w:line="240" w:lineRule="auto" w:before="66" w:after="0"/>
        <w:ind w:left="899" w:right="0" w:hanging="623"/>
        <w:jc w:val="both"/>
      </w:pPr>
      <w:bookmarkStart w:name="_TOC_250025" w:id="5"/>
      <w:bookmarkEnd w:id="5"/>
      <w:r>
        <w:rPr/>
        <w:t>Nacionales</w:t>
      </w:r>
    </w:p>
    <w:p>
      <w:pPr>
        <w:pStyle w:val="BodyText"/>
        <w:rPr>
          <w:b/>
          <w:sz w:val="36"/>
        </w:rPr>
      </w:pPr>
    </w:p>
    <w:p>
      <w:pPr>
        <w:pStyle w:val="BodyText"/>
        <w:spacing w:line="350" w:lineRule="auto" w:before="1"/>
        <w:ind w:left="276" w:right="144"/>
        <w:jc w:val="both"/>
      </w:pPr>
      <w:r>
        <w:rPr/>
        <w:t>González </w:t>
      </w:r>
      <w:r>
        <w:rPr>
          <w:i/>
        </w:rPr>
        <w:t>et al. </w:t>
      </w:r>
      <w:r>
        <w:rPr/>
        <w:t>(1995), han calculado las emisiones de CH</w:t>
      </w:r>
      <w:r>
        <w:rPr>
          <w:position w:val="-2"/>
          <w:sz w:val="16"/>
        </w:rPr>
        <w:t>4 </w:t>
      </w:r>
      <w:r>
        <w:rPr/>
        <w:t>generadas por el ganado bovino en México. Utilizando la metodología del IPCC de 1994, para la cuantificación de las emisiones de CH</w:t>
      </w:r>
      <w:r>
        <w:rPr>
          <w:position w:val="-2"/>
          <w:sz w:val="16"/>
        </w:rPr>
        <w:t>4 </w:t>
      </w:r>
      <w:r>
        <w:rPr/>
        <w:t>generado por la fermentación entérica y el estiércol en bovinos.</w:t>
      </w:r>
    </w:p>
    <w:p>
      <w:pPr>
        <w:pStyle w:val="BodyText"/>
        <w:spacing w:line="360" w:lineRule="auto" w:before="18"/>
        <w:ind w:left="276" w:right="143"/>
        <w:jc w:val="both"/>
      </w:pPr>
      <w:r>
        <w:rPr/>
        <w:t>Ruíz-Suárez</w:t>
      </w:r>
      <w:r>
        <w:rPr>
          <w:spacing w:val="-13"/>
        </w:rPr>
        <w:t> </w:t>
      </w:r>
      <w:r>
        <w:rPr>
          <w:i/>
        </w:rPr>
        <w:t>et</w:t>
      </w:r>
      <w:r>
        <w:rPr>
          <w:i/>
          <w:spacing w:val="-13"/>
        </w:rPr>
        <w:t> </w:t>
      </w:r>
      <w:r>
        <w:rPr>
          <w:i/>
        </w:rPr>
        <w:t>al.</w:t>
      </w:r>
      <w:r>
        <w:rPr>
          <w:i/>
          <w:spacing w:val="-13"/>
        </w:rPr>
        <w:t> </w:t>
      </w:r>
      <w:r>
        <w:rPr/>
        <w:t>(1997),</w:t>
      </w:r>
      <w:r>
        <w:rPr>
          <w:spacing w:val="-13"/>
        </w:rPr>
        <w:t> </w:t>
      </w:r>
      <w:r>
        <w:rPr/>
        <w:t>Ruíz-Suárez</w:t>
      </w:r>
      <w:r>
        <w:rPr>
          <w:spacing w:val="-13"/>
        </w:rPr>
        <w:t> </w:t>
      </w:r>
      <w:r>
        <w:rPr>
          <w:i/>
        </w:rPr>
        <w:t>et</w:t>
      </w:r>
      <w:r>
        <w:rPr>
          <w:i/>
          <w:spacing w:val="-13"/>
        </w:rPr>
        <w:t> </w:t>
      </w:r>
      <w:r>
        <w:rPr>
          <w:i/>
        </w:rPr>
        <w:t>al.</w:t>
      </w:r>
      <w:r>
        <w:rPr>
          <w:i/>
          <w:spacing w:val="-13"/>
        </w:rPr>
        <w:t> </w:t>
      </w:r>
      <w:r>
        <w:rPr/>
        <w:t>(1999)</w:t>
      </w:r>
      <w:r>
        <w:rPr>
          <w:spacing w:val="-13"/>
        </w:rPr>
        <w:t> </w:t>
      </w:r>
      <w:r>
        <w:rPr/>
        <w:t>y</w:t>
      </w:r>
      <w:r>
        <w:rPr>
          <w:spacing w:val="-13"/>
        </w:rPr>
        <w:t> </w:t>
      </w:r>
      <w:r>
        <w:rPr/>
        <w:t>González-Avalos</w:t>
      </w:r>
      <w:r>
        <w:rPr>
          <w:spacing w:val="-13"/>
        </w:rPr>
        <w:t> </w:t>
      </w:r>
      <w:r>
        <w:rPr>
          <w:i/>
        </w:rPr>
        <w:t>et</w:t>
      </w:r>
      <w:r>
        <w:rPr>
          <w:i/>
          <w:spacing w:val="-13"/>
        </w:rPr>
        <w:t> </w:t>
      </w:r>
      <w:r>
        <w:rPr>
          <w:i/>
        </w:rPr>
        <w:t>al.</w:t>
      </w:r>
      <w:r>
        <w:rPr>
          <w:i/>
          <w:spacing w:val="-13"/>
        </w:rPr>
        <w:t> </w:t>
      </w:r>
      <w:r>
        <w:rPr/>
        <w:t>(2001), publicaron</w:t>
      </w:r>
      <w:r>
        <w:rPr>
          <w:spacing w:val="-10"/>
        </w:rPr>
        <w:t> </w:t>
      </w:r>
      <w:r>
        <w:rPr/>
        <w:t>los</w:t>
      </w:r>
      <w:r>
        <w:rPr>
          <w:spacing w:val="-10"/>
        </w:rPr>
        <w:t> </w:t>
      </w:r>
      <w:r>
        <w:rPr/>
        <w:t>factores</w:t>
      </w:r>
      <w:r>
        <w:rPr>
          <w:spacing w:val="-10"/>
        </w:rPr>
        <w:t> </w:t>
      </w:r>
      <w:r>
        <w:rPr/>
        <w:t>de</w:t>
      </w:r>
      <w:r>
        <w:rPr>
          <w:spacing w:val="-10"/>
        </w:rPr>
        <w:t> </w:t>
      </w:r>
      <w:r>
        <w:rPr/>
        <w:t>emisión</w:t>
      </w:r>
      <w:r>
        <w:rPr>
          <w:spacing w:val="-10"/>
        </w:rPr>
        <w:t> </w:t>
      </w:r>
      <w:r>
        <w:rPr/>
        <w:t>para</w:t>
      </w:r>
      <w:r>
        <w:rPr>
          <w:spacing w:val="-10"/>
        </w:rPr>
        <w:t> </w:t>
      </w:r>
      <w:r>
        <w:rPr/>
        <w:t>la</w:t>
      </w:r>
      <w:r>
        <w:rPr>
          <w:spacing w:val="-10"/>
        </w:rPr>
        <w:t> </w:t>
      </w:r>
      <w:r>
        <w:rPr/>
        <w:t>fermentación</w:t>
      </w:r>
      <w:r>
        <w:rPr>
          <w:spacing w:val="-10"/>
        </w:rPr>
        <w:t> </w:t>
      </w:r>
      <w:r>
        <w:rPr/>
        <w:t>anaeróbica</w:t>
      </w:r>
      <w:r>
        <w:rPr>
          <w:spacing w:val="-10"/>
        </w:rPr>
        <w:t> </w:t>
      </w:r>
      <w:r>
        <w:rPr/>
        <w:t>de</w:t>
      </w:r>
      <w:r>
        <w:rPr>
          <w:spacing w:val="-10"/>
        </w:rPr>
        <w:t> </w:t>
      </w:r>
      <w:r>
        <w:rPr/>
        <w:t>los</w:t>
      </w:r>
      <w:r>
        <w:rPr>
          <w:spacing w:val="-10"/>
        </w:rPr>
        <w:t> </w:t>
      </w:r>
      <w:r>
        <w:rPr/>
        <w:t>desechos del ganado ovino, analizando la distribución del hato ganadero a nivel nacional enfatizando el efecto de las emisiones de GEI asociadas a la distribución climática, función, forma de explotación y estrato de edad, permitiendo tener valores</w:t>
      </w:r>
      <w:r>
        <w:rPr>
          <w:spacing w:val="-22"/>
        </w:rPr>
        <w:t> </w:t>
      </w:r>
      <w:r>
        <w:rPr/>
        <w:t>precisos a nivel país.</w:t>
      </w:r>
    </w:p>
    <w:p>
      <w:pPr>
        <w:pStyle w:val="BodyText"/>
        <w:spacing w:line="352" w:lineRule="auto" w:before="2"/>
        <w:ind w:left="276" w:right="144"/>
        <w:jc w:val="both"/>
      </w:pPr>
      <w:r>
        <w:rPr/>
        <w:t>González-Avalos (1999), realizó investigaciones sobre la determinación experimental de los factores de emisión de CH</w:t>
      </w:r>
      <w:r>
        <w:rPr>
          <w:position w:val="-2"/>
          <w:sz w:val="16"/>
        </w:rPr>
        <w:t>4 </w:t>
      </w:r>
      <w:r>
        <w:rPr/>
        <w:t>por excretas de bovino en México, en diferentes climas de la República Mexicana.</w:t>
      </w:r>
    </w:p>
    <w:p>
      <w:pPr>
        <w:pStyle w:val="BodyText"/>
        <w:spacing w:line="360" w:lineRule="auto" w:before="15"/>
        <w:ind w:left="276" w:right="143"/>
        <w:jc w:val="both"/>
      </w:pPr>
      <w:r>
        <w:rPr/>
        <w:t>Méndez y Cazarín </w:t>
      </w:r>
      <w:r>
        <w:rPr>
          <w:i/>
        </w:rPr>
        <w:t>et al. </w:t>
      </w:r>
      <w:r>
        <w:rPr/>
        <w:t>(2000), mencionan que las explotaciones lecheras de pequeña escala han sido poco estudiadas aunque aportan el 35% de la</w:t>
      </w:r>
      <w:r>
        <w:rPr>
          <w:spacing w:val="-25"/>
        </w:rPr>
        <w:t> </w:t>
      </w:r>
      <w:r>
        <w:rPr/>
        <w:t>producción nacional de leche. Pero en el manejo de los desechos (excretas animales) crean problemas ambientales de tipo global, generando GEI.</w:t>
      </w:r>
    </w:p>
    <w:p>
      <w:pPr>
        <w:pStyle w:val="BodyText"/>
        <w:spacing w:line="357" w:lineRule="auto" w:before="7"/>
        <w:ind w:left="276" w:right="143"/>
        <w:jc w:val="both"/>
      </w:pPr>
      <w:r>
        <w:rPr/>
        <w:t>Ordóñez </w:t>
      </w:r>
      <w:r>
        <w:rPr>
          <w:i/>
        </w:rPr>
        <w:t>et al. </w:t>
      </w:r>
      <w:r>
        <w:rPr/>
        <w:t>(2006), presentaron las estimaciones de las emisiones de los GEI generados en el sector Agrícola, mediante la actualización de los valores de los factores de emisión y los datos de las actividades agrícolas y pecuarias de México. INE-SEMARNAT (2006), presentan en el “Inventario Nacional de Emisiones de Gases de Efecto Invernadero” las emisiones promedio de CH</w:t>
      </w:r>
      <w:r>
        <w:rPr>
          <w:position w:val="-2"/>
          <w:sz w:val="16"/>
        </w:rPr>
        <w:t>4 </w:t>
      </w:r>
      <w:r>
        <w:rPr/>
        <w:t>en México para el periodo de 1990 – 2002, equivalentes a 1,823 Gg, como suma de la fermentación entérica y el manejo de estiércol. así también, las emisiones generadas fueron principalmente</w:t>
      </w:r>
      <w:r>
        <w:rPr>
          <w:spacing w:val="-18"/>
        </w:rPr>
        <w:t> </w:t>
      </w:r>
      <w:r>
        <w:rPr/>
        <w:t>por</w:t>
      </w:r>
      <w:r>
        <w:rPr>
          <w:spacing w:val="-18"/>
        </w:rPr>
        <w:t> </w:t>
      </w:r>
      <w:r>
        <w:rPr/>
        <w:t>el</w:t>
      </w:r>
      <w:r>
        <w:rPr>
          <w:spacing w:val="-18"/>
        </w:rPr>
        <w:t> </w:t>
      </w:r>
      <w:r>
        <w:rPr/>
        <w:t>ganado</w:t>
      </w:r>
      <w:r>
        <w:rPr>
          <w:spacing w:val="-18"/>
        </w:rPr>
        <w:t> </w:t>
      </w:r>
      <w:r>
        <w:rPr/>
        <w:t>bovino,</w:t>
      </w:r>
      <w:r>
        <w:rPr>
          <w:spacing w:val="-18"/>
        </w:rPr>
        <w:t> </w:t>
      </w:r>
      <w:r>
        <w:rPr/>
        <w:t>donde</w:t>
      </w:r>
      <w:r>
        <w:rPr>
          <w:spacing w:val="-18"/>
        </w:rPr>
        <w:t> </w:t>
      </w:r>
      <w:r>
        <w:rPr/>
        <w:t>el</w:t>
      </w:r>
      <w:r>
        <w:rPr>
          <w:spacing w:val="-18"/>
        </w:rPr>
        <w:t> </w:t>
      </w:r>
      <w:r>
        <w:rPr/>
        <w:t>de</w:t>
      </w:r>
      <w:r>
        <w:rPr>
          <w:spacing w:val="-18"/>
        </w:rPr>
        <w:t> </w:t>
      </w:r>
      <w:r>
        <w:rPr/>
        <w:t>carne</w:t>
      </w:r>
      <w:r>
        <w:rPr>
          <w:spacing w:val="-18"/>
        </w:rPr>
        <w:t> </w:t>
      </w:r>
      <w:r>
        <w:rPr/>
        <w:t>y</w:t>
      </w:r>
      <w:r>
        <w:rPr>
          <w:spacing w:val="-18"/>
        </w:rPr>
        <w:t> </w:t>
      </w:r>
      <w:r>
        <w:rPr/>
        <w:t>doble</w:t>
      </w:r>
      <w:r>
        <w:rPr>
          <w:spacing w:val="-18"/>
        </w:rPr>
        <w:t> </w:t>
      </w:r>
      <w:r>
        <w:rPr/>
        <w:t>propósito</w:t>
      </w:r>
      <w:r>
        <w:rPr>
          <w:spacing w:val="-18"/>
        </w:rPr>
        <w:t> </w:t>
      </w:r>
      <w:r>
        <w:rPr/>
        <w:t>produjeron el</w:t>
      </w:r>
      <w:r>
        <w:rPr>
          <w:spacing w:val="-5"/>
        </w:rPr>
        <w:t> </w:t>
      </w:r>
      <w:r>
        <w:rPr/>
        <w:t>89%,</w:t>
      </w:r>
      <w:r>
        <w:rPr>
          <w:spacing w:val="-5"/>
        </w:rPr>
        <w:t> </w:t>
      </w:r>
      <w:r>
        <w:rPr/>
        <w:t>el</w:t>
      </w:r>
      <w:r>
        <w:rPr>
          <w:spacing w:val="-5"/>
        </w:rPr>
        <w:t> </w:t>
      </w:r>
      <w:r>
        <w:rPr/>
        <w:t>lechero</w:t>
      </w:r>
      <w:r>
        <w:rPr>
          <w:spacing w:val="-5"/>
        </w:rPr>
        <w:t> </w:t>
      </w:r>
      <w:r>
        <w:rPr/>
        <w:t>fue</w:t>
      </w:r>
      <w:r>
        <w:rPr>
          <w:spacing w:val="-5"/>
        </w:rPr>
        <w:t> </w:t>
      </w:r>
      <w:r>
        <w:rPr/>
        <w:t>el</w:t>
      </w:r>
      <w:r>
        <w:rPr>
          <w:spacing w:val="-5"/>
        </w:rPr>
        <w:t> </w:t>
      </w:r>
      <w:r>
        <w:rPr/>
        <w:t>responsable</w:t>
      </w:r>
      <w:r>
        <w:rPr>
          <w:spacing w:val="-5"/>
        </w:rPr>
        <w:t> </w:t>
      </w:r>
      <w:r>
        <w:rPr/>
        <w:t>del</w:t>
      </w:r>
      <w:r>
        <w:rPr>
          <w:spacing w:val="-5"/>
        </w:rPr>
        <w:t> </w:t>
      </w:r>
      <w:r>
        <w:rPr/>
        <w:t>10%</w:t>
      </w:r>
      <w:r>
        <w:rPr>
          <w:spacing w:val="-5"/>
        </w:rPr>
        <w:t> </w:t>
      </w:r>
      <w:r>
        <w:rPr/>
        <w:t>y</w:t>
      </w:r>
      <w:r>
        <w:rPr>
          <w:spacing w:val="-5"/>
        </w:rPr>
        <w:t> </w:t>
      </w:r>
      <w:r>
        <w:rPr/>
        <w:t>los</w:t>
      </w:r>
      <w:r>
        <w:rPr>
          <w:spacing w:val="-5"/>
        </w:rPr>
        <w:t> </w:t>
      </w:r>
      <w:r>
        <w:rPr/>
        <w:t>demás</w:t>
      </w:r>
      <w:r>
        <w:rPr>
          <w:spacing w:val="-5"/>
        </w:rPr>
        <w:t> </w:t>
      </w:r>
      <w:r>
        <w:rPr/>
        <w:t>animales</w:t>
      </w:r>
      <w:r>
        <w:rPr>
          <w:spacing w:val="-5"/>
        </w:rPr>
        <w:t> </w:t>
      </w:r>
      <w:r>
        <w:rPr/>
        <w:t>el</w:t>
      </w:r>
      <w:r>
        <w:rPr>
          <w:spacing w:val="-5"/>
        </w:rPr>
        <w:t> </w:t>
      </w:r>
      <w:r>
        <w:rPr/>
        <w:t>1%</w:t>
      </w:r>
      <w:r>
        <w:rPr>
          <w:spacing w:val="-5"/>
        </w:rPr>
        <w:t> </w:t>
      </w:r>
      <w:r>
        <w:rPr/>
        <w:t>restante. Las emisiones promedio de CH</w:t>
      </w:r>
      <w:r>
        <w:rPr>
          <w:position w:val="-2"/>
          <w:sz w:val="16"/>
        </w:rPr>
        <w:t>4 </w:t>
      </w:r>
      <w:r>
        <w:rPr/>
        <w:t>estimadas de la sección ganadera en CO</w:t>
      </w:r>
      <w:r>
        <w:rPr>
          <w:position w:val="-2"/>
          <w:sz w:val="16"/>
        </w:rPr>
        <w:t>2</w:t>
      </w:r>
      <w:r>
        <w:rPr/>
        <w:t>-eq fueron del orden de 34,241 Gg para el periodo comprendido entre los años 1990 – 2002, que equivalen al 88% del total de las emisiones de CH</w:t>
      </w:r>
      <w:r>
        <w:rPr>
          <w:position w:val="-2"/>
          <w:sz w:val="16"/>
        </w:rPr>
        <w:t>4 </w:t>
      </w:r>
      <w:r>
        <w:rPr/>
        <w:t>de todo el sector y el</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52" w:lineRule="auto" w:before="69"/>
        <w:ind w:left="276" w:right="144"/>
        <w:jc w:val="both"/>
      </w:pPr>
      <w:r>
        <w:rPr/>
        <w:t>12% restante corresponde al N</w:t>
      </w:r>
      <w:r>
        <w:rPr>
          <w:position w:val="-2"/>
          <w:sz w:val="16"/>
        </w:rPr>
        <w:t>2</w:t>
      </w:r>
      <w:r>
        <w:rPr/>
        <w:t>O. Para el mismo periodo, las emisiones promedio de CH</w:t>
      </w:r>
      <w:r>
        <w:rPr>
          <w:position w:val="-2"/>
          <w:sz w:val="16"/>
        </w:rPr>
        <w:t>4 </w:t>
      </w:r>
      <w:r>
        <w:rPr/>
        <w:t>representan el 84% de la categoría y las de N</w:t>
      </w:r>
      <w:r>
        <w:rPr>
          <w:position w:val="-2"/>
          <w:sz w:val="16"/>
        </w:rPr>
        <w:t>2</w:t>
      </w:r>
      <w:r>
        <w:rPr/>
        <w:t>O el 16% restante.</w:t>
      </w:r>
    </w:p>
    <w:p>
      <w:pPr>
        <w:pStyle w:val="BodyText"/>
        <w:spacing w:line="357" w:lineRule="auto"/>
        <w:ind w:left="276" w:right="144"/>
        <w:jc w:val="both"/>
      </w:pPr>
      <w:r>
        <w:rPr/>
        <w:t>SEMARNAT (2009), actualizó los datos de las emisiones de CH</w:t>
      </w:r>
      <w:r>
        <w:rPr>
          <w:position w:val="-2"/>
          <w:sz w:val="16"/>
        </w:rPr>
        <w:t>4 </w:t>
      </w:r>
      <w:r>
        <w:rPr/>
        <w:t>y N</w:t>
      </w:r>
      <w:r>
        <w:rPr>
          <w:position w:val="-2"/>
          <w:sz w:val="16"/>
        </w:rPr>
        <w:t>2</w:t>
      </w:r>
      <w:r>
        <w:rPr/>
        <w:t>O generadas durante los años 2004, 2005 y 2006 en el sector Agricultura, empleando la metodología propuesta y validada por el IPCC versión 1996, presentando sus resultados en el “Inventario Nacional de Gases de Efecto Invernadero 2009”. Este estudio contribuye en el seguimiento de las estimaciones de GEI del sector agricultura en México.</w:t>
      </w:r>
    </w:p>
    <w:p>
      <w:pPr>
        <w:pStyle w:val="BodyText"/>
        <w:spacing w:line="355" w:lineRule="auto" w:before="5"/>
        <w:ind w:left="276" w:right="143"/>
        <w:jc w:val="both"/>
      </w:pPr>
      <w:r>
        <w:rPr/>
        <w:t>INE-SEMARNAT (2010), presentan las metas en el contexto de la cooperación internacional</w:t>
      </w:r>
      <w:r>
        <w:rPr>
          <w:spacing w:val="-6"/>
        </w:rPr>
        <w:t> </w:t>
      </w:r>
      <w:r>
        <w:rPr/>
        <w:t>para</w:t>
      </w:r>
      <w:r>
        <w:rPr>
          <w:spacing w:val="-6"/>
        </w:rPr>
        <w:t> </w:t>
      </w:r>
      <w:r>
        <w:rPr/>
        <w:t>la</w:t>
      </w:r>
      <w:r>
        <w:rPr>
          <w:spacing w:val="-6"/>
        </w:rPr>
        <w:t> </w:t>
      </w:r>
      <w:r>
        <w:rPr/>
        <w:t>mitigación</w:t>
      </w:r>
      <w:r>
        <w:rPr>
          <w:spacing w:val="-6"/>
        </w:rPr>
        <w:t> </w:t>
      </w:r>
      <w:r>
        <w:rPr/>
        <w:t>de</w:t>
      </w:r>
      <w:r>
        <w:rPr>
          <w:spacing w:val="-6"/>
        </w:rPr>
        <w:t> </w:t>
      </w:r>
      <w:r>
        <w:rPr/>
        <w:t>GEI</w:t>
      </w:r>
      <w:r>
        <w:rPr>
          <w:spacing w:val="-6"/>
        </w:rPr>
        <w:t> </w:t>
      </w:r>
      <w:r>
        <w:rPr/>
        <w:t>en</w:t>
      </w:r>
      <w:r>
        <w:rPr>
          <w:spacing w:val="-6"/>
        </w:rPr>
        <w:t> </w:t>
      </w:r>
      <w:r>
        <w:rPr/>
        <w:t>México</w:t>
      </w:r>
      <w:r>
        <w:rPr>
          <w:spacing w:val="-6"/>
        </w:rPr>
        <w:t> </w:t>
      </w:r>
      <w:r>
        <w:rPr/>
        <w:t>para</w:t>
      </w:r>
      <w:r>
        <w:rPr>
          <w:spacing w:val="-6"/>
        </w:rPr>
        <w:t> </w:t>
      </w:r>
      <w:r>
        <w:rPr/>
        <w:t>el</w:t>
      </w:r>
      <w:r>
        <w:rPr>
          <w:spacing w:val="-6"/>
        </w:rPr>
        <w:t> </w:t>
      </w:r>
      <w:r>
        <w:rPr/>
        <w:t>2020,</w:t>
      </w:r>
      <w:r>
        <w:rPr>
          <w:spacing w:val="-6"/>
        </w:rPr>
        <w:t> </w:t>
      </w:r>
      <w:r>
        <w:rPr/>
        <w:t>indicando</w:t>
      </w:r>
      <w:r>
        <w:rPr>
          <w:spacing w:val="-6"/>
        </w:rPr>
        <w:t> </w:t>
      </w:r>
      <w:r>
        <w:rPr/>
        <w:t>que</w:t>
      </w:r>
      <w:r>
        <w:rPr>
          <w:spacing w:val="-6"/>
        </w:rPr>
        <w:t> </w:t>
      </w:r>
      <w:r>
        <w:rPr/>
        <w:t>en</w:t>
      </w:r>
      <w:r>
        <w:rPr>
          <w:spacing w:val="-6"/>
        </w:rPr>
        <w:t> </w:t>
      </w:r>
      <w:r>
        <w:rPr/>
        <w:t>la actualidad la vacuna antimetanogénica no está lista para comercializarse, sin embargo</w:t>
      </w:r>
      <w:r>
        <w:rPr>
          <w:spacing w:val="-11"/>
        </w:rPr>
        <w:t> </w:t>
      </w:r>
      <w:r>
        <w:rPr/>
        <w:t>se</w:t>
      </w:r>
      <w:r>
        <w:rPr>
          <w:spacing w:val="-11"/>
        </w:rPr>
        <w:t> </w:t>
      </w:r>
      <w:r>
        <w:rPr/>
        <w:t>estima</w:t>
      </w:r>
      <w:r>
        <w:rPr>
          <w:spacing w:val="-11"/>
        </w:rPr>
        <w:t> </w:t>
      </w:r>
      <w:r>
        <w:rPr/>
        <w:t>que</w:t>
      </w:r>
      <w:r>
        <w:rPr>
          <w:spacing w:val="-11"/>
        </w:rPr>
        <w:t> </w:t>
      </w:r>
      <w:r>
        <w:rPr/>
        <w:t>para</w:t>
      </w:r>
      <w:r>
        <w:rPr>
          <w:spacing w:val="-11"/>
        </w:rPr>
        <w:t> </w:t>
      </w:r>
      <w:r>
        <w:rPr/>
        <w:t>2020</w:t>
      </w:r>
      <w:r>
        <w:rPr>
          <w:spacing w:val="-11"/>
        </w:rPr>
        <w:t> </w:t>
      </w:r>
      <w:r>
        <w:rPr/>
        <w:t>podrá</w:t>
      </w:r>
      <w:r>
        <w:rPr>
          <w:spacing w:val="-11"/>
        </w:rPr>
        <w:t> </w:t>
      </w:r>
      <w:r>
        <w:rPr/>
        <w:t>ser</w:t>
      </w:r>
      <w:r>
        <w:rPr>
          <w:spacing w:val="-11"/>
        </w:rPr>
        <w:t> </w:t>
      </w:r>
      <w:r>
        <w:rPr/>
        <w:t>aplicada</w:t>
      </w:r>
      <w:r>
        <w:rPr>
          <w:spacing w:val="-11"/>
        </w:rPr>
        <w:t> </w:t>
      </w:r>
      <w:r>
        <w:rPr/>
        <w:t>al</w:t>
      </w:r>
      <w:r>
        <w:rPr>
          <w:spacing w:val="-11"/>
        </w:rPr>
        <w:t> </w:t>
      </w:r>
      <w:r>
        <w:rPr/>
        <w:t>50%</w:t>
      </w:r>
      <w:r>
        <w:rPr>
          <w:spacing w:val="-11"/>
        </w:rPr>
        <w:t> </w:t>
      </w:r>
      <w:r>
        <w:rPr/>
        <w:t>del</w:t>
      </w:r>
      <w:r>
        <w:rPr>
          <w:spacing w:val="-11"/>
        </w:rPr>
        <w:t> </w:t>
      </w:r>
      <w:r>
        <w:rPr/>
        <w:t>ganado</w:t>
      </w:r>
      <w:r>
        <w:rPr>
          <w:spacing w:val="-11"/>
        </w:rPr>
        <w:t> </w:t>
      </w:r>
      <w:r>
        <w:rPr/>
        <w:t>en</w:t>
      </w:r>
      <w:r>
        <w:rPr>
          <w:spacing w:val="-11"/>
        </w:rPr>
        <w:t> </w:t>
      </w:r>
      <w:r>
        <w:rPr/>
        <w:t>México. SEMARNAT (2012), a través en la Quinta Comunicación Nacional ante la Convención Marco de las Naciones Unidas Sobre Cambio Climático de México, señala que las emisiones de GEI en unidades de bióxido de carbono equivalente (CO</w:t>
      </w:r>
      <w:r>
        <w:rPr>
          <w:position w:val="-2"/>
          <w:sz w:val="16"/>
        </w:rPr>
        <w:t>2</w:t>
      </w:r>
      <w:r>
        <w:rPr/>
        <w:t>-eq)</w:t>
      </w:r>
      <w:r>
        <w:rPr>
          <w:spacing w:val="-6"/>
        </w:rPr>
        <w:t> </w:t>
      </w:r>
      <w:r>
        <w:rPr/>
        <w:t>para</w:t>
      </w:r>
      <w:r>
        <w:rPr>
          <w:spacing w:val="-6"/>
        </w:rPr>
        <w:t> </w:t>
      </w:r>
      <w:r>
        <w:rPr/>
        <w:t>2010</w:t>
      </w:r>
      <w:r>
        <w:rPr>
          <w:spacing w:val="-6"/>
        </w:rPr>
        <w:t> </w:t>
      </w:r>
      <w:r>
        <w:rPr/>
        <w:t>del</w:t>
      </w:r>
      <w:r>
        <w:rPr>
          <w:spacing w:val="-6"/>
        </w:rPr>
        <w:t> </w:t>
      </w:r>
      <w:r>
        <w:rPr/>
        <w:t>sector</w:t>
      </w:r>
      <w:r>
        <w:rPr>
          <w:spacing w:val="-6"/>
        </w:rPr>
        <w:t> </w:t>
      </w:r>
      <w:r>
        <w:rPr/>
        <w:t>agrícola</w:t>
      </w:r>
      <w:r>
        <w:rPr>
          <w:spacing w:val="-6"/>
        </w:rPr>
        <w:t> </w:t>
      </w:r>
      <w:r>
        <w:rPr/>
        <w:t>fueron</w:t>
      </w:r>
      <w:r>
        <w:rPr>
          <w:spacing w:val="-6"/>
        </w:rPr>
        <w:t> </w:t>
      </w:r>
      <w:r>
        <w:rPr/>
        <w:t>de</w:t>
      </w:r>
      <w:r>
        <w:rPr>
          <w:spacing w:val="-6"/>
        </w:rPr>
        <w:t> </w:t>
      </w:r>
      <w:r>
        <w:rPr/>
        <w:t>12.3%</w:t>
      </w:r>
      <w:r>
        <w:rPr>
          <w:spacing w:val="-6"/>
        </w:rPr>
        <w:t> </w:t>
      </w:r>
      <w:r>
        <w:rPr/>
        <w:t>(92,184.6</w:t>
      </w:r>
      <w:r>
        <w:rPr>
          <w:spacing w:val="-6"/>
        </w:rPr>
        <w:t> </w:t>
      </w:r>
      <w:r>
        <w:rPr/>
        <w:t>Gg</w:t>
      </w:r>
      <w:r>
        <w:rPr>
          <w:spacing w:val="-6"/>
        </w:rPr>
        <w:t> </w:t>
      </w:r>
      <w:r>
        <w:rPr/>
        <w:t>de</w:t>
      </w:r>
      <w:r>
        <w:rPr>
          <w:spacing w:val="-6"/>
        </w:rPr>
        <w:t> </w:t>
      </w:r>
      <w:r>
        <w:rPr/>
        <w:t>CO</w:t>
      </w:r>
      <w:r>
        <w:rPr>
          <w:position w:val="-2"/>
          <w:sz w:val="16"/>
        </w:rPr>
        <w:t>2</w:t>
      </w:r>
      <w:r>
        <w:rPr/>
        <w:t>-eq)</w:t>
      </w:r>
      <w:r>
        <w:rPr>
          <w:spacing w:val="-6"/>
        </w:rPr>
        <w:t> </w:t>
      </w:r>
      <w:r>
        <w:rPr/>
        <w:t>y las emisiones de CH</w:t>
      </w:r>
      <w:r>
        <w:rPr>
          <w:position w:val="-2"/>
          <w:sz w:val="16"/>
        </w:rPr>
        <w:t>4 </w:t>
      </w:r>
      <w:r>
        <w:rPr/>
        <w:t>fueron de 7,938.9 Gg, lo que representa un incremento de 59.8%</w:t>
      </w:r>
      <w:r>
        <w:rPr>
          <w:spacing w:val="-10"/>
        </w:rPr>
        <w:t> </w:t>
      </w:r>
      <w:r>
        <w:rPr/>
        <w:t>con</w:t>
      </w:r>
      <w:r>
        <w:rPr>
          <w:spacing w:val="-10"/>
        </w:rPr>
        <w:t> </w:t>
      </w:r>
      <w:r>
        <w:rPr/>
        <w:t>respecto</w:t>
      </w:r>
      <w:r>
        <w:rPr>
          <w:spacing w:val="-10"/>
        </w:rPr>
        <w:t> </w:t>
      </w:r>
      <w:r>
        <w:rPr/>
        <w:t>a</w:t>
      </w:r>
      <w:r>
        <w:rPr>
          <w:spacing w:val="-10"/>
        </w:rPr>
        <w:t> </w:t>
      </w:r>
      <w:r>
        <w:rPr/>
        <w:t>1990.</w:t>
      </w:r>
      <w:r>
        <w:rPr>
          <w:spacing w:val="-10"/>
        </w:rPr>
        <w:t> </w:t>
      </w:r>
      <w:r>
        <w:rPr/>
        <w:t>Indicando</w:t>
      </w:r>
      <w:r>
        <w:rPr>
          <w:spacing w:val="-10"/>
        </w:rPr>
        <w:t> </w:t>
      </w:r>
      <w:r>
        <w:rPr/>
        <w:t>que</w:t>
      </w:r>
      <w:r>
        <w:rPr>
          <w:spacing w:val="-10"/>
        </w:rPr>
        <w:t> </w:t>
      </w:r>
      <w:r>
        <w:rPr/>
        <w:t>la</w:t>
      </w:r>
      <w:r>
        <w:rPr>
          <w:spacing w:val="-10"/>
        </w:rPr>
        <w:t> </w:t>
      </w:r>
      <w:r>
        <w:rPr/>
        <w:t>fermentación</w:t>
      </w:r>
      <w:r>
        <w:rPr>
          <w:spacing w:val="-10"/>
        </w:rPr>
        <w:t> </w:t>
      </w:r>
      <w:r>
        <w:rPr/>
        <w:t>entérica</w:t>
      </w:r>
      <w:r>
        <w:rPr>
          <w:spacing w:val="-10"/>
        </w:rPr>
        <w:t> </w:t>
      </w:r>
      <w:r>
        <w:rPr/>
        <w:t>contribuye</w:t>
      </w:r>
      <w:r>
        <w:rPr>
          <w:spacing w:val="-10"/>
        </w:rPr>
        <w:t> </w:t>
      </w:r>
      <w:r>
        <w:rPr/>
        <w:t>a</w:t>
      </w:r>
      <w:r>
        <w:rPr>
          <w:spacing w:val="-10"/>
        </w:rPr>
        <w:t> </w:t>
      </w:r>
      <w:r>
        <w:rPr/>
        <w:t>las emisiones de CH</w:t>
      </w:r>
      <w:r>
        <w:rPr>
          <w:position w:val="-2"/>
          <w:sz w:val="16"/>
        </w:rPr>
        <w:t>4 </w:t>
      </w:r>
      <w:r>
        <w:rPr/>
        <w:t>con el 22.8% (37,961.5 Gg de CO</w:t>
      </w:r>
      <w:r>
        <w:rPr>
          <w:position w:val="-2"/>
          <w:sz w:val="16"/>
        </w:rPr>
        <w:t>2</w:t>
      </w:r>
      <w:r>
        <w:rPr/>
        <w:t>-eq) y el manejo del estiércol con</w:t>
      </w:r>
      <w:r>
        <w:rPr>
          <w:spacing w:val="-5"/>
        </w:rPr>
        <w:t> </w:t>
      </w:r>
      <w:r>
        <w:rPr/>
        <w:t>el</w:t>
      </w:r>
      <w:r>
        <w:rPr>
          <w:spacing w:val="-5"/>
        </w:rPr>
        <w:t> </w:t>
      </w:r>
      <w:r>
        <w:rPr/>
        <w:t>9.3%</w:t>
      </w:r>
      <w:r>
        <w:rPr>
          <w:spacing w:val="-5"/>
        </w:rPr>
        <w:t> </w:t>
      </w:r>
      <w:r>
        <w:rPr/>
        <w:t>(7,553.5</w:t>
      </w:r>
      <w:r>
        <w:rPr>
          <w:spacing w:val="-5"/>
        </w:rPr>
        <w:t> </w:t>
      </w:r>
      <w:r>
        <w:rPr/>
        <w:t>Gg</w:t>
      </w:r>
      <w:r>
        <w:rPr>
          <w:spacing w:val="-5"/>
        </w:rPr>
        <w:t> </w:t>
      </w:r>
      <w:r>
        <w:rPr/>
        <w:t>de</w:t>
      </w:r>
      <w:r>
        <w:rPr>
          <w:spacing w:val="-5"/>
        </w:rPr>
        <w:t> </w:t>
      </w:r>
      <w:r>
        <w:rPr/>
        <w:t>CO</w:t>
      </w:r>
      <w:r>
        <w:rPr>
          <w:position w:val="-2"/>
          <w:sz w:val="16"/>
        </w:rPr>
        <w:t>2</w:t>
      </w:r>
      <w:r>
        <w:rPr/>
        <w:t>-eq)</w:t>
      </w:r>
      <w:r>
        <w:rPr>
          <w:spacing w:val="-5"/>
        </w:rPr>
        <w:t> </w:t>
      </w:r>
      <w:r>
        <w:rPr/>
        <w:t>del</w:t>
      </w:r>
      <w:r>
        <w:rPr>
          <w:spacing w:val="-5"/>
        </w:rPr>
        <w:t> </w:t>
      </w:r>
      <w:r>
        <w:rPr/>
        <w:t>sector.</w:t>
      </w:r>
      <w:r>
        <w:rPr>
          <w:spacing w:val="-5"/>
        </w:rPr>
        <w:t> </w:t>
      </w:r>
      <w:r>
        <w:rPr/>
        <w:t>Por</w:t>
      </w:r>
      <w:r>
        <w:rPr>
          <w:spacing w:val="-5"/>
        </w:rPr>
        <w:t> </w:t>
      </w:r>
      <w:r>
        <w:rPr/>
        <w:t>lo</w:t>
      </w:r>
      <w:r>
        <w:rPr>
          <w:spacing w:val="-5"/>
        </w:rPr>
        <w:t> </w:t>
      </w:r>
      <w:r>
        <w:rPr/>
        <w:t>que,</w:t>
      </w:r>
      <w:r>
        <w:rPr>
          <w:spacing w:val="-5"/>
        </w:rPr>
        <w:t> </w:t>
      </w:r>
      <w:r>
        <w:rPr/>
        <w:t>en</w:t>
      </w:r>
      <w:r>
        <w:rPr>
          <w:spacing w:val="-5"/>
        </w:rPr>
        <w:t> </w:t>
      </w:r>
      <w:r>
        <w:rPr/>
        <w:t>México,</w:t>
      </w:r>
      <w:r>
        <w:rPr>
          <w:spacing w:val="-5"/>
        </w:rPr>
        <w:t> </w:t>
      </w:r>
      <w:r>
        <w:rPr/>
        <w:t>la</w:t>
      </w:r>
      <w:r>
        <w:rPr>
          <w:spacing w:val="-5"/>
        </w:rPr>
        <w:t> </w:t>
      </w:r>
      <w:r>
        <w:rPr/>
        <w:t>ganadería es</w:t>
      </w:r>
      <w:r>
        <w:rPr>
          <w:spacing w:val="-7"/>
        </w:rPr>
        <w:t> </w:t>
      </w:r>
      <w:r>
        <w:rPr/>
        <w:t>la</w:t>
      </w:r>
      <w:r>
        <w:rPr>
          <w:spacing w:val="-7"/>
        </w:rPr>
        <w:t> </w:t>
      </w:r>
      <w:r>
        <w:rPr/>
        <w:t>tercera</w:t>
      </w:r>
      <w:r>
        <w:rPr>
          <w:spacing w:val="-7"/>
        </w:rPr>
        <w:t> </w:t>
      </w:r>
      <w:r>
        <w:rPr/>
        <w:t>fuente</w:t>
      </w:r>
      <w:r>
        <w:rPr>
          <w:spacing w:val="-7"/>
        </w:rPr>
        <w:t> </w:t>
      </w:r>
      <w:r>
        <w:rPr/>
        <w:t>más</w:t>
      </w:r>
      <w:r>
        <w:rPr>
          <w:spacing w:val="-7"/>
        </w:rPr>
        <w:t> </w:t>
      </w:r>
      <w:r>
        <w:rPr/>
        <w:t>importante</w:t>
      </w:r>
      <w:r>
        <w:rPr>
          <w:spacing w:val="-7"/>
        </w:rPr>
        <w:t> </w:t>
      </w:r>
      <w:r>
        <w:rPr/>
        <w:t>de</w:t>
      </w:r>
      <w:r>
        <w:rPr>
          <w:spacing w:val="-7"/>
        </w:rPr>
        <w:t> </w:t>
      </w:r>
      <w:r>
        <w:rPr/>
        <w:t>emisiones</w:t>
      </w:r>
      <w:r>
        <w:rPr>
          <w:spacing w:val="-7"/>
        </w:rPr>
        <w:t> </w:t>
      </w:r>
      <w:r>
        <w:rPr/>
        <w:t>de</w:t>
      </w:r>
      <w:r>
        <w:rPr>
          <w:spacing w:val="-7"/>
        </w:rPr>
        <w:t> </w:t>
      </w:r>
      <w:r>
        <w:rPr/>
        <w:t>CH</w:t>
      </w:r>
      <w:r>
        <w:rPr>
          <w:position w:val="-2"/>
          <w:sz w:val="16"/>
        </w:rPr>
        <w:t>4</w:t>
      </w:r>
      <w:r>
        <w:rPr/>
        <w:t>,</w:t>
      </w:r>
      <w:r>
        <w:rPr>
          <w:spacing w:val="-7"/>
        </w:rPr>
        <w:t> </w:t>
      </w:r>
      <w:r>
        <w:rPr/>
        <w:t>y</w:t>
      </w:r>
      <w:r>
        <w:rPr>
          <w:spacing w:val="-7"/>
        </w:rPr>
        <w:t> </w:t>
      </w:r>
      <w:r>
        <w:rPr/>
        <w:t>las</w:t>
      </w:r>
      <w:r>
        <w:rPr>
          <w:spacing w:val="-7"/>
        </w:rPr>
        <w:t> </w:t>
      </w:r>
      <w:r>
        <w:rPr/>
        <w:t>principales</w:t>
      </w:r>
      <w:r>
        <w:rPr>
          <w:spacing w:val="-7"/>
        </w:rPr>
        <w:t> </w:t>
      </w:r>
      <w:r>
        <w:rPr/>
        <w:t>medidas de mitigación aplicables a esta actividad se refieren a un manejo sustentable de</w:t>
      </w:r>
      <w:r>
        <w:rPr>
          <w:spacing w:val="-39"/>
        </w:rPr>
        <w:t> </w:t>
      </w:r>
      <w:r>
        <w:rPr/>
        <w:t>las tierras de pastoreo y al manejo de productos derivados de la fermentación entérica y de las excretas de animales.</w:t>
      </w:r>
    </w:p>
    <w:p>
      <w:pPr>
        <w:pStyle w:val="BodyText"/>
        <w:spacing w:line="360" w:lineRule="auto" w:before="8"/>
        <w:ind w:left="276" w:right="143"/>
        <w:jc w:val="both"/>
      </w:pPr>
      <w:r>
        <w:rPr/>
        <w:t>SEMARNAT-INECC</w:t>
      </w:r>
      <w:r>
        <w:rPr>
          <w:spacing w:val="-16"/>
        </w:rPr>
        <w:t> </w:t>
      </w:r>
      <w:r>
        <w:rPr/>
        <w:t>(2012),</w:t>
      </w:r>
      <w:r>
        <w:rPr>
          <w:spacing w:val="-16"/>
        </w:rPr>
        <w:t> </w:t>
      </w:r>
      <w:r>
        <w:rPr/>
        <w:t>presenta</w:t>
      </w:r>
      <w:r>
        <w:rPr>
          <w:spacing w:val="-16"/>
        </w:rPr>
        <w:t> </w:t>
      </w:r>
      <w:r>
        <w:rPr/>
        <w:t>la</w:t>
      </w:r>
      <w:r>
        <w:rPr>
          <w:spacing w:val="-15"/>
        </w:rPr>
        <w:t> </w:t>
      </w:r>
      <w:r>
        <w:rPr/>
        <w:t>Ley</w:t>
      </w:r>
      <w:r>
        <w:rPr>
          <w:spacing w:val="-16"/>
        </w:rPr>
        <w:t> </w:t>
      </w:r>
      <w:r>
        <w:rPr/>
        <w:t>General</w:t>
      </w:r>
      <w:r>
        <w:rPr>
          <w:spacing w:val="-15"/>
        </w:rPr>
        <w:t> </w:t>
      </w:r>
      <w:r>
        <w:rPr/>
        <w:t>de</w:t>
      </w:r>
      <w:r>
        <w:rPr>
          <w:spacing w:val="-15"/>
        </w:rPr>
        <w:t> </w:t>
      </w:r>
      <w:r>
        <w:rPr/>
        <w:t>Cambio</w:t>
      </w:r>
      <w:r>
        <w:rPr>
          <w:spacing w:val="-15"/>
        </w:rPr>
        <w:t> </w:t>
      </w:r>
      <w:r>
        <w:rPr/>
        <w:t>Climático,</w:t>
      </w:r>
      <w:r>
        <w:rPr>
          <w:spacing w:val="-16"/>
        </w:rPr>
        <w:t> </w:t>
      </w:r>
      <w:r>
        <w:rPr/>
        <w:t>de</w:t>
      </w:r>
      <w:r>
        <w:rPr>
          <w:spacing w:val="-16"/>
        </w:rPr>
        <w:t> </w:t>
      </w:r>
      <w:r>
        <w:rPr/>
        <w:t>orden público, interés general y observancia en todo el territorio nacional y las zonas donde la nación ejerce su soberanía y jurisdicción y establece disposiciones para enfrentar los efectos adversos del cambio climático. Es reglamentaria de las disposiciones de la Constitución Política de los Estados Unidos Mexicanos en materia de protección al ambiente, desarrollo sustentable, preservación y restauración del equilibrio ecológico. La cual tiene por objeto garantizar el</w:t>
      </w:r>
      <w:r>
        <w:rPr>
          <w:spacing w:val="64"/>
        </w:rPr>
        <w:t> </w:t>
      </w:r>
      <w:r>
        <w:rPr/>
        <w:t>derecho</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a un medio ambiente sano y establecer la concurrencia de facultades de la federación,</w:t>
      </w:r>
      <w:r>
        <w:rPr>
          <w:spacing w:val="-5"/>
        </w:rPr>
        <w:t> </w:t>
      </w:r>
      <w:r>
        <w:rPr/>
        <w:t>las</w:t>
      </w:r>
      <w:r>
        <w:rPr>
          <w:spacing w:val="-5"/>
        </w:rPr>
        <w:t> </w:t>
      </w:r>
      <w:r>
        <w:rPr/>
        <w:t>entidades</w:t>
      </w:r>
      <w:r>
        <w:rPr>
          <w:spacing w:val="-5"/>
        </w:rPr>
        <w:t> </w:t>
      </w:r>
      <w:r>
        <w:rPr/>
        <w:t>federativas</w:t>
      </w:r>
      <w:r>
        <w:rPr>
          <w:spacing w:val="-5"/>
        </w:rPr>
        <w:t> </w:t>
      </w:r>
      <w:r>
        <w:rPr/>
        <w:t>y</w:t>
      </w:r>
      <w:r>
        <w:rPr>
          <w:spacing w:val="-5"/>
        </w:rPr>
        <w:t> </w:t>
      </w:r>
      <w:r>
        <w:rPr/>
        <w:t>los</w:t>
      </w:r>
      <w:r>
        <w:rPr>
          <w:spacing w:val="-5"/>
        </w:rPr>
        <w:t> </w:t>
      </w:r>
      <w:r>
        <w:rPr/>
        <w:t>municipios</w:t>
      </w:r>
      <w:r>
        <w:rPr>
          <w:spacing w:val="-5"/>
        </w:rPr>
        <w:t> </w:t>
      </w:r>
      <w:r>
        <w:rPr/>
        <w:t>en</w:t>
      </w:r>
      <w:r>
        <w:rPr>
          <w:spacing w:val="-5"/>
        </w:rPr>
        <w:t> </w:t>
      </w:r>
      <w:r>
        <w:rPr/>
        <w:t>la</w:t>
      </w:r>
      <w:r>
        <w:rPr>
          <w:spacing w:val="-5"/>
        </w:rPr>
        <w:t> </w:t>
      </w:r>
      <w:r>
        <w:rPr/>
        <w:t>elaboración</w:t>
      </w:r>
      <w:r>
        <w:rPr>
          <w:spacing w:val="-5"/>
        </w:rPr>
        <w:t> </w:t>
      </w:r>
      <w:r>
        <w:rPr/>
        <w:t>y</w:t>
      </w:r>
      <w:r>
        <w:rPr>
          <w:spacing w:val="-5"/>
        </w:rPr>
        <w:t> </w:t>
      </w:r>
      <w:r>
        <w:rPr/>
        <w:t>aplicación de políticas públicas para la adaptación al cambio climático y la mitigación de emisiones de gases y compuestos de efecto invernadero; regular las emisiones de gases y compuestos de efecto invernadero para lograr la estabilización de sus concentraciones en la atmósfera a un nivel que impida interferencias</w:t>
      </w:r>
      <w:r>
        <w:rPr>
          <w:spacing w:val="-10"/>
        </w:rPr>
        <w:t> </w:t>
      </w:r>
      <w:r>
        <w:rPr/>
        <w:t>antropógenas peligrosas en el sistema climático considerando en su caso, lo previsto por el artículo 2o. de la Convención Marco de las Naciones Unidas sobre el Cambio Climático y demás disposiciones derivadas de la misma; regular las acciones para la mitigación y adaptación al cambio climático; reducir la vulnerabilidad de la población y los ecosistemas del país frente a los efectos adversos del cambio climático, así como crear y fortalecer las capacidades nacionales de respuesta al fenómeno; fomentar la educación, investigación, desarrollo y transferencia de tecnología e innovación y difusión en materia de adaptación y mitigación al cambio climático, entre otras. Además, en el Título Segundo, Artículo 7o. Fracción VI. Establecer, regular e instrumentar las acciones para la mitigación y adaptación al cambio climático, de conformidad con esta Ley, los tratados internacionales aprobados y demás disposiciones jurídicas aplicables, en las materias  </w:t>
      </w:r>
      <w:r>
        <w:rPr>
          <w:spacing w:val="10"/>
        </w:rPr>
        <w:t> </w:t>
      </w:r>
      <w:r>
        <w:rPr/>
        <w:t>siguientes:</w:t>
      </w:r>
    </w:p>
    <w:p>
      <w:pPr>
        <w:pStyle w:val="BodyText"/>
        <w:spacing w:line="360" w:lineRule="auto" w:before="2"/>
        <w:ind w:left="276" w:right="144"/>
        <w:jc w:val="both"/>
      </w:pPr>
      <w:r>
        <w:rPr/>
        <w:t>a) Preservación, restauración, conservación, manejo y aprovechamiento sustentable de los recursos naturales, los ecosistemas terrestres y acuáticos, y los recursos hídricos, así como b) Agricultura, ganadería, desarrollo rural, pesca y acuacultura.</w:t>
      </w:r>
    </w:p>
    <w:p>
      <w:pPr>
        <w:spacing w:line="360" w:lineRule="auto" w:before="2"/>
        <w:ind w:left="276" w:right="144" w:firstLine="0"/>
        <w:jc w:val="both"/>
        <w:rPr>
          <w:sz w:val="24"/>
        </w:rPr>
      </w:pPr>
      <w:r>
        <w:rPr>
          <w:sz w:val="24"/>
        </w:rPr>
        <w:t>SEMARNAT (2013a), reporta a través del Inventario Nacional de Emisiones de Gases de Efecto Invernadero 1990-2010, que en nuestro país la categoría Agricultura</w:t>
      </w:r>
      <w:r>
        <w:rPr>
          <w:spacing w:val="-11"/>
          <w:sz w:val="24"/>
        </w:rPr>
        <w:t> </w:t>
      </w:r>
      <w:r>
        <w:rPr>
          <w:sz w:val="24"/>
        </w:rPr>
        <w:t>y</w:t>
      </w:r>
      <w:r>
        <w:rPr>
          <w:spacing w:val="-11"/>
          <w:sz w:val="24"/>
        </w:rPr>
        <w:t> </w:t>
      </w:r>
      <w:r>
        <w:rPr>
          <w:sz w:val="24"/>
        </w:rPr>
        <w:t>la</w:t>
      </w:r>
      <w:r>
        <w:rPr>
          <w:spacing w:val="-11"/>
          <w:sz w:val="24"/>
        </w:rPr>
        <w:t> </w:t>
      </w:r>
      <w:r>
        <w:rPr>
          <w:sz w:val="24"/>
        </w:rPr>
        <w:t>subcategoría</w:t>
      </w:r>
      <w:r>
        <w:rPr>
          <w:spacing w:val="-11"/>
          <w:sz w:val="24"/>
        </w:rPr>
        <w:t> </w:t>
      </w:r>
      <w:r>
        <w:rPr>
          <w:sz w:val="24"/>
        </w:rPr>
        <w:t>de</w:t>
      </w:r>
      <w:r>
        <w:rPr>
          <w:spacing w:val="-11"/>
          <w:sz w:val="24"/>
        </w:rPr>
        <w:t> </w:t>
      </w:r>
      <w:r>
        <w:rPr>
          <w:sz w:val="24"/>
        </w:rPr>
        <w:t>fermentación</w:t>
      </w:r>
      <w:r>
        <w:rPr>
          <w:spacing w:val="-11"/>
          <w:sz w:val="24"/>
        </w:rPr>
        <w:t> </w:t>
      </w:r>
      <w:r>
        <w:rPr>
          <w:sz w:val="24"/>
        </w:rPr>
        <w:t>entérica</w:t>
      </w:r>
      <w:r>
        <w:rPr>
          <w:spacing w:val="-11"/>
          <w:sz w:val="24"/>
        </w:rPr>
        <w:t> </w:t>
      </w:r>
      <w:r>
        <w:rPr>
          <w:sz w:val="24"/>
        </w:rPr>
        <w:t>se</w:t>
      </w:r>
      <w:r>
        <w:rPr>
          <w:spacing w:val="-11"/>
          <w:sz w:val="24"/>
        </w:rPr>
        <w:t> </w:t>
      </w:r>
      <w:r>
        <w:rPr>
          <w:sz w:val="24"/>
        </w:rPr>
        <w:t>identificó</w:t>
      </w:r>
      <w:r>
        <w:rPr>
          <w:spacing w:val="-11"/>
          <w:sz w:val="24"/>
        </w:rPr>
        <w:t> </w:t>
      </w:r>
      <w:r>
        <w:rPr>
          <w:sz w:val="24"/>
        </w:rPr>
        <w:t>como</w:t>
      </w:r>
      <w:r>
        <w:rPr>
          <w:spacing w:val="-11"/>
          <w:sz w:val="24"/>
        </w:rPr>
        <w:t> </w:t>
      </w:r>
      <w:r>
        <w:rPr>
          <w:sz w:val="24"/>
        </w:rPr>
        <w:t>una</w:t>
      </w:r>
      <w:r>
        <w:rPr>
          <w:spacing w:val="-11"/>
          <w:sz w:val="24"/>
        </w:rPr>
        <w:t> </w:t>
      </w:r>
      <w:r>
        <w:rPr>
          <w:sz w:val="24"/>
        </w:rPr>
        <w:t>fuente clave de emisiones de GEI antropogénicos. </w:t>
      </w:r>
      <w:r>
        <w:rPr>
          <w:b/>
          <w:i/>
          <w:sz w:val="24"/>
        </w:rPr>
        <w:t>En la estimación de emisiones de </w:t>
      </w:r>
      <w:r>
        <w:rPr>
          <w:b/>
          <w:i/>
          <w:sz w:val="24"/>
        </w:rPr>
        <w:t>esta fuente se emplea a la fecha la metodología básica de nivel 1, derivado</w:t>
      </w:r>
      <w:r>
        <w:rPr>
          <w:b/>
          <w:i/>
          <w:spacing w:val="-43"/>
          <w:sz w:val="24"/>
        </w:rPr>
        <w:t> </w:t>
      </w:r>
      <w:r>
        <w:rPr>
          <w:b/>
          <w:i/>
          <w:sz w:val="24"/>
        </w:rPr>
        <w:t>de una falta de información en cuanto al peso promedio de cada tipo de ganado, el</w:t>
      </w:r>
      <w:r>
        <w:rPr>
          <w:b/>
          <w:i/>
          <w:spacing w:val="-11"/>
          <w:sz w:val="24"/>
        </w:rPr>
        <w:t> </w:t>
      </w:r>
      <w:r>
        <w:rPr>
          <w:b/>
          <w:i/>
          <w:sz w:val="24"/>
        </w:rPr>
        <w:t>aumento</w:t>
      </w:r>
      <w:r>
        <w:rPr>
          <w:b/>
          <w:i/>
          <w:spacing w:val="-11"/>
          <w:sz w:val="24"/>
        </w:rPr>
        <w:t> </w:t>
      </w:r>
      <w:r>
        <w:rPr>
          <w:b/>
          <w:i/>
          <w:sz w:val="24"/>
        </w:rPr>
        <w:t>en</w:t>
      </w:r>
      <w:r>
        <w:rPr>
          <w:b/>
          <w:i/>
          <w:spacing w:val="-11"/>
          <w:sz w:val="24"/>
        </w:rPr>
        <w:t> </w:t>
      </w:r>
      <w:r>
        <w:rPr>
          <w:b/>
          <w:i/>
          <w:sz w:val="24"/>
        </w:rPr>
        <w:t>peso</w:t>
      </w:r>
      <w:r>
        <w:rPr>
          <w:b/>
          <w:i/>
          <w:spacing w:val="-11"/>
          <w:sz w:val="24"/>
        </w:rPr>
        <w:t> </w:t>
      </w:r>
      <w:r>
        <w:rPr>
          <w:b/>
          <w:i/>
          <w:sz w:val="24"/>
        </w:rPr>
        <w:t>a</w:t>
      </w:r>
      <w:r>
        <w:rPr>
          <w:b/>
          <w:i/>
          <w:spacing w:val="-11"/>
          <w:sz w:val="24"/>
        </w:rPr>
        <w:t> </w:t>
      </w:r>
      <w:r>
        <w:rPr>
          <w:b/>
          <w:i/>
          <w:sz w:val="24"/>
        </w:rPr>
        <w:t>lo</w:t>
      </w:r>
      <w:r>
        <w:rPr>
          <w:b/>
          <w:i/>
          <w:spacing w:val="-11"/>
          <w:sz w:val="24"/>
        </w:rPr>
        <w:t> </w:t>
      </w:r>
      <w:r>
        <w:rPr>
          <w:b/>
          <w:i/>
          <w:sz w:val="24"/>
        </w:rPr>
        <w:t>largo</w:t>
      </w:r>
      <w:r>
        <w:rPr>
          <w:b/>
          <w:i/>
          <w:spacing w:val="-11"/>
          <w:sz w:val="24"/>
        </w:rPr>
        <w:t> </w:t>
      </w:r>
      <w:r>
        <w:rPr>
          <w:b/>
          <w:i/>
          <w:sz w:val="24"/>
        </w:rPr>
        <w:t>del</w:t>
      </w:r>
      <w:r>
        <w:rPr>
          <w:b/>
          <w:i/>
          <w:spacing w:val="-11"/>
          <w:sz w:val="24"/>
        </w:rPr>
        <w:t> </w:t>
      </w:r>
      <w:r>
        <w:rPr>
          <w:b/>
          <w:i/>
          <w:sz w:val="24"/>
        </w:rPr>
        <w:t>año,</w:t>
      </w:r>
      <w:r>
        <w:rPr>
          <w:b/>
          <w:i/>
          <w:spacing w:val="-11"/>
          <w:sz w:val="24"/>
        </w:rPr>
        <w:t> </w:t>
      </w:r>
      <w:r>
        <w:rPr>
          <w:b/>
          <w:i/>
          <w:sz w:val="24"/>
        </w:rPr>
        <w:t>la</w:t>
      </w:r>
      <w:r>
        <w:rPr>
          <w:b/>
          <w:i/>
          <w:spacing w:val="-11"/>
          <w:sz w:val="24"/>
        </w:rPr>
        <w:t> </w:t>
      </w:r>
      <w:r>
        <w:rPr>
          <w:b/>
          <w:i/>
          <w:sz w:val="24"/>
        </w:rPr>
        <w:t>ingesta</w:t>
      </w:r>
      <w:r>
        <w:rPr>
          <w:b/>
          <w:i/>
          <w:spacing w:val="-11"/>
          <w:sz w:val="24"/>
        </w:rPr>
        <w:t> </w:t>
      </w:r>
      <w:r>
        <w:rPr>
          <w:b/>
          <w:i/>
          <w:sz w:val="24"/>
        </w:rPr>
        <w:t>y</w:t>
      </w:r>
      <w:r>
        <w:rPr>
          <w:b/>
          <w:i/>
          <w:spacing w:val="-11"/>
          <w:sz w:val="24"/>
        </w:rPr>
        <w:t> </w:t>
      </w:r>
      <w:r>
        <w:rPr>
          <w:b/>
          <w:i/>
          <w:sz w:val="24"/>
        </w:rPr>
        <w:t>la</w:t>
      </w:r>
      <w:r>
        <w:rPr>
          <w:b/>
          <w:i/>
          <w:spacing w:val="-11"/>
          <w:sz w:val="24"/>
        </w:rPr>
        <w:t> </w:t>
      </w:r>
      <w:r>
        <w:rPr>
          <w:b/>
          <w:i/>
          <w:sz w:val="24"/>
        </w:rPr>
        <w:t>situación</w:t>
      </w:r>
      <w:r>
        <w:rPr>
          <w:b/>
          <w:i/>
          <w:spacing w:val="-11"/>
          <w:sz w:val="24"/>
        </w:rPr>
        <w:t> </w:t>
      </w:r>
      <w:r>
        <w:rPr>
          <w:b/>
          <w:i/>
          <w:sz w:val="24"/>
        </w:rPr>
        <w:t>de</w:t>
      </w:r>
      <w:r>
        <w:rPr>
          <w:b/>
          <w:i/>
          <w:spacing w:val="-11"/>
          <w:sz w:val="24"/>
        </w:rPr>
        <w:t> </w:t>
      </w:r>
      <w:r>
        <w:rPr>
          <w:b/>
          <w:i/>
          <w:sz w:val="24"/>
        </w:rPr>
        <w:t>alimentación de cada tipo de ganado y la tasa de conversión a metano de la ingesta diaria. </w:t>
      </w:r>
      <w:r>
        <w:rPr>
          <w:sz w:val="24"/>
        </w:rPr>
        <w:t>Las emisiones del sector agropecuario fueron de 80,169.09 Gg de CO</w:t>
      </w:r>
      <w:r>
        <w:rPr>
          <w:position w:val="-2"/>
          <w:sz w:val="16"/>
        </w:rPr>
        <w:t>2-</w:t>
      </w:r>
      <w:r>
        <w:rPr>
          <w:sz w:val="24"/>
        </w:rPr>
        <w:t>eq, el </w:t>
      </w:r>
      <w:r>
        <w:rPr>
          <w:spacing w:val="43"/>
          <w:sz w:val="24"/>
        </w:rPr>
        <w:t> </w:t>
      </w:r>
      <w:r>
        <w:rPr>
          <w:sz w:val="24"/>
        </w:rPr>
        <w:t>cual</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pStyle w:val="BodyText"/>
        <w:spacing w:line="355" w:lineRule="auto" w:before="69"/>
        <w:ind w:left="276" w:right="145"/>
        <w:jc w:val="both"/>
      </w:pPr>
      <w:r>
        <w:rPr/>
        <w:t>contribuyó con 12.0% de las emisiones totales de GEI a nivel nacional, correspondientes a CH</w:t>
      </w:r>
      <w:r>
        <w:rPr>
          <w:position w:val="-2"/>
          <w:sz w:val="16"/>
        </w:rPr>
        <w:t>4 </w:t>
      </w:r>
      <w:r>
        <w:rPr/>
        <w:t>y N</w:t>
      </w:r>
      <w:r>
        <w:rPr>
          <w:position w:val="-2"/>
          <w:sz w:val="16"/>
        </w:rPr>
        <w:t>2</w:t>
      </w:r>
      <w:r>
        <w:rPr/>
        <w:t>O de las actividades pecuarias (fermentación entérica del ganado y manejo del estiércol), así como de las actividades agrícolas (manejo de suelos, cultivo de arroz y quema en campo de residuos de cosechas). También incluye las emisiones de CO</w:t>
      </w:r>
      <w:r>
        <w:rPr>
          <w:position w:val="-2"/>
          <w:sz w:val="16"/>
        </w:rPr>
        <w:t>2</w:t>
      </w:r>
      <w:r>
        <w:rPr/>
        <w:t>, CH</w:t>
      </w:r>
      <w:r>
        <w:rPr>
          <w:position w:val="-2"/>
          <w:sz w:val="16"/>
        </w:rPr>
        <w:t>4 </w:t>
      </w:r>
      <w:r>
        <w:rPr/>
        <w:t>y N</w:t>
      </w:r>
      <w:r>
        <w:rPr>
          <w:position w:val="-2"/>
          <w:sz w:val="16"/>
        </w:rPr>
        <w:t>2</w:t>
      </w:r>
      <w:r>
        <w:rPr/>
        <w:t>O por el uso de combustibles con fines energéticos, utilizados principalmente en sistemas de riego (Figura 1).</w:t>
      </w:r>
    </w:p>
    <w:p>
      <w:pPr>
        <w:pStyle w:val="BodyText"/>
        <w:spacing w:line="360" w:lineRule="auto" w:before="8"/>
        <w:ind w:left="276" w:right="143"/>
        <w:jc w:val="both"/>
      </w:pPr>
      <w:r>
        <w:rPr/>
        <w:t>ENCC (2013), presenta la Estrategia Nacional de Cambio Climático, la cual es un instrumento</w:t>
      </w:r>
      <w:r>
        <w:rPr>
          <w:spacing w:val="-5"/>
        </w:rPr>
        <w:t> </w:t>
      </w:r>
      <w:r>
        <w:rPr/>
        <w:t>rector</w:t>
      </w:r>
      <w:r>
        <w:rPr>
          <w:spacing w:val="-5"/>
        </w:rPr>
        <w:t> </w:t>
      </w:r>
      <w:r>
        <w:rPr/>
        <w:t>de</w:t>
      </w:r>
      <w:r>
        <w:rPr>
          <w:spacing w:val="-5"/>
        </w:rPr>
        <w:t> </w:t>
      </w:r>
      <w:r>
        <w:rPr/>
        <w:t>la</w:t>
      </w:r>
      <w:r>
        <w:rPr>
          <w:spacing w:val="-5"/>
        </w:rPr>
        <w:t> </w:t>
      </w:r>
      <w:r>
        <w:rPr/>
        <w:t>política</w:t>
      </w:r>
      <w:r>
        <w:rPr>
          <w:spacing w:val="-5"/>
        </w:rPr>
        <w:t> </w:t>
      </w:r>
      <w:r>
        <w:rPr/>
        <w:t>nacional</w:t>
      </w:r>
      <w:r>
        <w:rPr>
          <w:spacing w:val="-5"/>
        </w:rPr>
        <w:t> </w:t>
      </w:r>
      <w:r>
        <w:rPr/>
        <w:t>en</w:t>
      </w:r>
      <w:r>
        <w:rPr>
          <w:spacing w:val="-5"/>
        </w:rPr>
        <w:t> </w:t>
      </w:r>
      <w:r>
        <w:rPr/>
        <w:t>el</w:t>
      </w:r>
      <w:r>
        <w:rPr>
          <w:spacing w:val="-5"/>
        </w:rPr>
        <w:t> </w:t>
      </w:r>
      <w:r>
        <w:rPr/>
        <w:t>mediano</w:t>
      </w:r>
      <w:r>
        <w:rPr>
          <w:spacing w:val="-5"/>
        </w:rPr>
        <w:t> </w:t>
      </w:r>
      <w:r>
        <w:rPr/>
        <w:t>y</w:t>
      </w:r>
      <w:r>
        <w:rPr>
          <w:spacing w:val="-5"/>
        </w:rPr>
        <w:t> </w:t>
      </w:r>
      <w:r>
        <w:rPr/>
        <w:t>largo</w:t>
      </w:r>
      <w:r>
        <w:rPr>
          <w:spacing w:val="-5"/>
        </w:rPr>
        <w:t> </w:t>
      </w:r>
      <w:r>
        <w:rPr/>
        <w:t>plazo</w:t>
      </w:r>
      <w:r>
        <w:rPr>
          <w:spacing w:val="-5"/>
        </w:rPr>
        <w:t> </w:t>
      </w:r>
      <w:r>
        <w:rPr/>
        <w:t>para</w:t>
      </w:r>
      <w:r>
        <w:rPr>
          <w:spacing w:val="-5"/>
        </w:rPr>
        <w:t> </w:t>
      </w:r>
      <w:r>
        <w:rPr/>
        <w:t>enfrentar los efectos del cambio climático y transitar hacia una economía competitiva, sustentable y de bajas emisiones de carbono. Al ser el instrumento rector, éste describe</w:t>
      </w:r>
      <w:r>
        <w:rPr>
          <w:spacing w:val="-12"/>
        </w:rPr>
        <w:t> </w:t>
      </w:r>
      <w:r>
        <w:rPr/>
        <w:t>los</w:t>
      </w:r>
      <w:r>
        <w:rPr>
          <w:spacing w:val="-12"/>
        </w:rPr>
        <w:t> </w:t>
      </w:r>
      <w:r>
        <w:rPr/>
        <w:t>ejes</w:t>
      </w:r>
      <w:r>
        <w:rPr>
          <w:spacing w:val="-12"/>
        </w:rPr>
        <w:t> </w:t>
      </w:r>
      <w:r>
        <w:rPr/>
        <w:t>estratégicos</w:t>
      </w:r>
      <w:r>
        <w:rPr>
          <w:spacing w:val="-12"/>
        </w:rPr>
        <w:t> </w:t>
      </w:r>
      <w:r>
        <w:rPr/>
        <w:t>y</w:t>
      </w:r>
      <w:r>
        <w:rPr>
          <w:spacing w:val="-12"/>
        </w:rPr>
        <w:t> </w:t>
      </w:r>
      <w:r>
        <w:rPr/>
        <w:t>líneas</w:t>
      </w:r>
      <w:r>
        <w:rPr>
          <w:spacing w:val="-12"/>
        </w:rPr>
        <w:t> </w:t>
      </w:r>
      <w:r>
        <w:rPr/>
        <w:t>de</w:t>
      </w:r>
      <w:r>
        <w:rPr>
          <w:spacing w:val="-12"/>
        </w:rPr>
        <w:t> </w:t>
      </w:r>
      <w:r>
        <w:rPr/>
        <w:t>acción</w:t>
      </w:r>
      <w:r>
        <w:rPr>
          <w:spacing w:val="-12"/>
        </w:rPr>
        <w:t> </w:t>
      </w:r>
      <w:r>
        <w:rPr/>
        <w:t>a</w:t>
      </w:r>
      <w:r>
        <w:rPr>
          <w:spacing w:val="-12"/>
        </w:rPr>
        <w:t> </w:t>
      </w:r>
      <w:r>
        <w:rPr/>
        <w:t>seguir</w:t>
      </w:r>
      <w:r>
        <w:rPr>
          <w:spacing w:val="-12"/>
        </w:rPr>
        <w:t> </w:t>
      </w:r>
      <w:r>
        <w:rPr/>
        <w:t>con</w:t>
      </w:r>
      <w:r>
        <w:rPr>
          <w:spacing w:val="-12"/>
        </w:rPr>
        <w:t> </w:t>
      </w:r>
      <w:r>
        <w:rPr/>
        <w:t>base</w:t>
      </w:r>
      <w:r>
        <w:rPr>
          <w:spacing w:val="-12"/>
        </w:rPr>
        <w:t> </w:t>
      </w:r>
      <w:r>
        <w:rPr/>
        <w:t>en</w:t>
      </w:r>
      <w:r>
        <w:rPr>
          <w:spacing w:val="-12"/>
        </w:rPr>
        <w:t> </w:t>
      </w:r>
      <w:r>
        <w:rPr/>
        <w:t>la</w:t>
      </w:r>
      <w:r>
        <w:rPr>
          <w:spacing w:val="-12"/>
        </w:rPr>
        <w:t> </w:t>
      </w:r>
      <w:r>
        <w:rPr/>
        <w:t>información disponible del entorno presente y futuro, para así orientar las políticas de los tres órdenes de gobierno, al mismo tiempo que fomentar la corresponsabilidad con los diversos sectores de la sociedad. Esto con el objetivo de atender las prioridades nacionales y alcanzar el horizonte deseable para el país en el largo</w:t>
      </w:r>
      <w:r>
        <w:rPr>
          <w:spacing w:val="-1"/>
        </w:rPr>
        <w:t> </w:t>
      </w:r>
      <w:r>
        <w:rPr/>
        <w:t>plazo.</w:t>
      </w:r>
    </w:p>
    <w:p>
      <w:pPr>
        <w:pStyle w:val="BodyText"/>
        <w:spacing w:line="355" w:lineRule="auto" w:before="2"/>
        <w:ind w:left="276" w:right="144"/>
        <w:jc w:val="both"/>
      </w:pPr>
      <w:r>
        <w:rPr/>
        <w:t>Castelan-Ortega </w:t>
      </w:r>
      <w:r>
        <w:rPr>
          <w:i/>
        </w:rPr>
        <w:t>et al. </w:t>
      </w:r>
      <w:r>
        <w:rPr/>
        <w:t>(2014), en su investigación del modelado de las emisiones de</w:t>
      </w:r>
      <w:r>
        <w:rPr>
          <w:spacing w:val="-13"/>
        </w:rPr>
        <w:t> </w:t>
      </w:r>
      <w:r>
        <w:rPr/>
        <w:t>CH</w:t>
      </w:r>
      <w:r>
        <w:rPr>
          <w:position w:val="-2"/>
          <w:sz w:val="16"/>
        </w:rPr>
        <w:t>4</w:t>
      </w:r>
      <w:r>
        <w:rPr>
          <w:spacing w:val="10"/>
          <w:position w:val="-2"/>
          <w:sz w:val="16"/>
        </w:rPr>
        <w:t> </w:t>
      </w:r>
      <w:r>
        <w:rPr/>
        <w:t>y</w:t>
      </w:r>
      <w:r>
        <w:rPr>
          <w:spacing w:val="-13"/>
        </w:rPr>
        <w:t> </w:t>
      </w:r>
      <w:r>
        <w:rPr/>
        <w:t>los</w:t>
      </w:r>
      <w:r>
        <w:rPr>
          <w:spacing w:val="-13"/>
        </w:rPr>
        <w:t> </w:t>
      </w:r>
      <w:r>
        <w:rPr/>
        <w:t>inventarios</w:t>
      </w:r>
      <w:r>
        <w:rPr>
          <w:spacing w:val="-13"/>
        </w:rPr>
        <w:t> </w:t>
      </w:r>
      <w:r>
        <w:rPr/>
        <w:t>de</w:t>
      </w:r>
      <w:r>
        <w:rPr>
          <w:spacing w:val="-13"/>
        </w:rPr>
        <w:t> </w:t>
      </w:r>
      <w:r>
        <w:rPr/>
        <w:t>CH</w:t>
      </w:r>
      <w:r>
        <w:rPr>
          <w:position w:val="-2"/>
          <w:sz w:val="16"/>
        </w:rPr>
        <w:t>4</w:t>
      </w:r>
      <w:r>
        <w:rPr>
          <w:spacing w:val="10"/>
          <w:position w:val="-2"/>
          <w:sz w:val="16"/>
        </w:rPr>
        <w:t> </w:t>
      </w:r>
      <w:r>
        <w:rPr/>
        <w:t>de</w:t>
      </w:r>
      <w:r>
        <w:rPr>
          <w:spacing w:val="-13"/>
        </w:rPr>
        <w:t> </w:t>
      </w:r>
      <w:r>
        <w:rPr/>
        <w:t>los</w:t>
      </w:r>
      <w:r>
        <w:rPr>
          <w:spacing w:val="-13"/>
        </w:rPr>
        <w:t> </w:t>
      </w:r>
      <w:r>
        <w:rPr/>
        <w:t>sistemas</w:t>
      </w:r>
      <w:r>
        <w:rPr>
          <w:spacing w:val="-13"/>
        </w:rPr>
        <w:t> </w:t>
      </w:r>
      <w:r>
        <w:rPr/>
        <w:t>de</w:t>
      </w:r>
      <w:r>
        <w:rPr>
          <w:spacing w:val="-13"/>
        </w:rPr>
        <w:t> </w:t>
      </w:r>
      <w:r>
        <w:rPr/>
        <w:t>producción</w:t>
      </w:r>
      <w:r>
        <w:rPr>
          <w:spacing w:val="-13"/>
        </w:rPr>
        <w:t> </w:t>
      </w:r>
      <w:r>
        <w:rPr/>
        <w:t>ganadera</w:t>
      </w:r>
      <w:r>
        <w:rPr>
          <w:spacing w:val="-13"/>
        </w:rPr>
        <w:t> </w:t>
      </w:r>
      <w:r>
        <w:rPr/>
        <w:t>en</w:t>
      </w:r>
      <w:r>
        <w:rPr>
          <w:spacing w:val="-13"/>
        </w:rPr>
        <w:t> </w:t>
      </w:r>
      <w:r>
        <w:rPr/>
        <w:t>México, señalan que la fermentación anaeróbica de los carbohidratos estructurales en el rumen de los bovinos genera productos de desecho como ácidos grasos volátiles (AGV),</w:t>
      </w:r>
      <w:r>
        <w:rPr>
          <w:spacing w:val="-8"/>
        </w:rPr>
        <w:t> </w:t>
      </w:r>
      <w:r>
        <w:rPr/>
        <w:t>calor</w:t>
      </w:r>
      <w:r>
        <w:rPr>
          <w:spacing w:val="-8"/>
        </w:rPr>
        <w:t> </w:t>
      </w:r>
      <w:r>
        <w:rPr/>
        <w:t>de</w:t>
      </w:r>
      <w:r>
        <w:rPr>
          <w:spacing w:val="-8"/>
        </w:rPr>
        <w:t> </w:t>
      </w:r>
      <w:r>
        <w:rPr/>
        <w:t>fermentación,</w:t>
      </w:r>
      <w:r>
        <w:rPr>
          <w:spacing w:val="-8"/>
        </w:rPr>
        <w:t> </w:t>
      </w:r>
      <w:r>
        <w:rPr/>
        <w:t>CO</w:t>
      </w:r>
      <w:r>
        <w:rPr>
          <w:position w:val="-2"/>
          <w:sz w:val="16"/>
        </w:rPr>
        <w:t>2</w:t>
      </w:r>
      <w:r>
        <w:rPr>
          <w:spacing w:val="15"/>
          <w:position w:val="-2"/>
          <w:sz w:val="16"/>
        </w:rPr>
        <w:t> </w:t>
      </w:r>
      <w:r>
        <w:rPr/>
        <w:t>y</w:t>
      </w:r>
      <w:r>
        <w:rPr>
          <w:spacing w:val="-8"/>
        </w:rPr>
        <w:t> </w:t>
      </w:r>
      <w:r>
        <w:rPr/>
        <w:t>gas</w:t>
      </w:r>
      <w:r>
        <w:rPr>
          <w:spacing w:val="-8"/>
        </w:rPr>
        <w:t> </w:t>
      </w:r>
      <w:r>
        <w:rPr/>
        <w:t>CH</w:t>
      </w:r>
      <w:r>
        <w:rPr>
          <w:position w:val="-2"/>
          <w:sz w:val="16"/>
        </w:rPr>
        <w:t>4</w:t>
      </w:r>
      <w:r>
        <w:rPr/>
        <w:t>.</w:t>
      </w:r>
      <w:r>
        <w:rPr>
          <w:spacing w:val="-8"/>
        </w:rPr>
        <w:t> </w:t>
      </w:r>
      <w:r>
        <w:rPr/>
        <w:t>Este</w:t>
      </w:r>
      <w:r>
        <w:rPr>
          <w:spacing w:val="-8"/>
        </w:rPr>
        <w:t> </w:t>
      </w:r>
      <w:r>
        <w:rPr/>
        <w:t>último</w:t>
      </w:r>
      <w:r>
        <w:rPr>
          <w:spacing w:val="-8"/>
        </w:rPr>
        <w:t> </w:t>
      </w:r>
      <w:r>
        <w:rPr/>
        <w:t>es</w:t>
      </w:r>
      <w:r>
        <w:rPr>
          <w:spacing w:val="-8"/>
        </w:rPr>
        <w:t> </w:t>
      </w:r>
      <w:r>
        <w:rPr/>
        <w:t>un</w:t>
      </w:r>
      <w:r>
        <w:rPr>
          <w:spacing w:val="-8"/>
        </w:rPr>
        <w:t> </w:t>
      </w:r>
      <w:r>
        <w:rPr/>
        <w:t>gas</w:t>
      </w:r>
      <w:r>
        <w:rPr>
          <w:spacing w:val="-8"/>
        </w:rPr>
        <w:t> </w:t>
      </w:r>
      <w:r>
        <w:rPr/>
        <w:t>de</w:t>
      </w:r>
      <w:r>
        <w:rPr>
          <w:spacing w:val="-8"/>
        </w:rPr>
        <w:t> </w:t>
      </w:r>
      <w:r>
        <w:rPr/>
        <w:t>invernadero que tiene un potencial varias veces mayor que el CO</w:t>
      </w:r>
      <w:r>
        <w:rPr>
          <w:position w:val="-2"/>
          <w:sz w:val="16"/>
        </w:rPr>
        <w:t>2 </w:t>
      </w:r>
      <w:r>
        <w:rPr/>
        <w:t>para inducir calentamiento global. Así mismo, proponen que su modelo matemático puede utilizarse para evaluar diferentes escenarios de mitigación y servir como herramienta para</w:t>
      </w:r>
      <w:r>
        <w:rPr>
          <w:spacing w:val="-30"/>
        </w:rPr>
        <w:t> </w:t>
      </w:r>
      <w:r>
        <w:rPr/>
        <w:t>diseñar políticas de atenuación de</w:t>
      </w:r>
      <w:r>
        <w:rPr>
          <w:spacing w:val="-5"/>
        </w:rPr>
        <w:t> </w:t>
      </w:r>
      <w:r>
        <w:rPr/>
        <w:t>CH</w:t>
      </w:r>
      <w:r>
        <w:rPr>
          <w:position w:val="-2"/>
          <w:sz w:val="16"/>
        </w:rPr>
        <w:t>4</w:t>
      </w:r>
      <w:r>
        <w:rPr/>
        <w:t>.</w:t>
      </w:r>
    </w:p>
    <w:p>
      <w:pPr>
        <w:pStyle w:val="BodyText"/>
      </w:pPr>
    </w:p>
    <w:p>
      <w:pPr>
        <w:pStyle w:val="BodyText"/>
        <w:spacing w:before="6"/>
        <w:rPr>
          <w:sz w:val="28"/>
        </w:rPr>
      </w:pPr>
    </w:p>
    <w:p>
      <w:pPr>
        <w:pStyle w:val="Heading2"/>
        <w:numPr>
          <w:ilvl w:val="1"/>
          <w:numId w:val="3"/>
        </w:numPr>
        <w:tabs>
          <w:tab w:pos="900" w:val="left" w:leader="none"/>
        </w:tabs>
        <w:spacing w:line="240" w:lineRule="auto" w:before="1" w:after="0"/>
        <w:ind w:left="899" w:right="0" w:hanging="623"/>
        <w:jc w:val="both"/>
      </w:pPr>
      <w:bookmarkStart w:name="_TOC_250024" w:id="6"/>
      <w:bookmarkEnd w:id="6"/>
      <w:r>
        <w:rPr/>
        <w:t>Estatales</w:t>
      </w:r>
    </w:p>
    <w:p>
      <w:pPr>
        <w:pStyle w:val="BodyText"/>
        <w:spacing w:before="7"/>
        <w:rPr>
          <w:b/>
          <w:sz w:val="35"/>
        </w:rPr>
      </w:pPr>
    </w:p>
    <w:p>
      <w:pPr>
        <w:pStyle w:val="BodyText"/>
        <w:spacing w:line="360" w:lineRule="auto"/>
        <w:ind w:left="276" w:right="144"/>
        <w:jc w:val="both"/>
      </w:pPr>
      <w:r>
        <w:rPr/>
        <w:t>GEM (2013), elaboró el Programa Estatal de Acción Ante el Cambio Climático (PEACC) coordinado entre la Secretaría del Medio Ambiente del Gobierno del Estado de México (SMAGEM), las Facultades de Planeación Urbana y Regional (FaPUR),  Facultad  de  Geografía  (FG)  y  Facultad  de  Química  (FQ)  de       La</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Universidad Autónoma del Estado de México (UAEMéx), El Instituto Nacional de Ecología y Cambio Climático (INECC) y la oficina en México del Programa de las Naciones Unidas para el Medio Ambiente (PNUMA). El documento pretende dotar al estado de un instrumento de planeación que integre, articule y coordine las acciones y políticas públicas en materia de cambio climático en la entidad.</w:t>
      </w:r>
    </w:p>
    <w:p>
      <w:pPr>
        <w:pStyle w:val="BodyText"/>
        <w:spacing w:line="357" w:lineRule="auto" w:before="7"/>
        <w:ind w:left="276" w:right="143"/>
        <w:jc w:val="both"/>
      </w:pPr>
      <w:r>
        <w:rPr/>
        <w:t>GEM-PRONATURA (2013), desarrollo su Inventario Estatal de Gases de Efecto Invernadero 2013, en donde reporta que las emisiones de GEI provenientes de la agricultura son de 3,368.10 Gg de CO</w:t>
      </w:r>
      <w:r>
        <w:rPr>
          <w:position w:val="-2"/>
          <w:sz w:val="16"/>
        </w:rPr>
        <w:t>2</w:t>
      </w:r>
      <w:r>
        <w:rPr/>
        <w:t>-eq para el año base 2005, mientras que, para el año 2010 corresponden a 3,388.28 Gg de CO</w:t>
      </w:r>
      <w:r>
        <w:rPr>
          <w:position w:val="-2"/>
          <w:sz w:val="16"/>
        </w:rPr>
        <w:t>2</w:t>
      </w:r>
      <w:r>
        <w:rPr/>
        <w:t>-eq. Presentando un incremento en las emisiones del 0.60%. En el 2010 las emisiones directas e indirectas provenientes de suelos agrícolas representaron el 63.70% del total, la fermentación entérica el 29.48% y el manejo de estiércol el 5.64%. Así mismo, presentaron las comparaciones con los datos reportados por el Inventario Nacional (INEGEI) para el 2010, observando que el Estado de México contribuye con un 3.68% de las emisiones totales de GEI.</w:t>
      </w:r>
    </w:p>
    <w:p>
      <w:pPr>
        <w:spacing w:after="0" w:line="357" w:lineRule="auto"/>
        <w:jc w:val="both"/>
        <w:sectPr>
          <w:pgSz w:w="12240" w:h="15840"/>
          <w:pgMar w:header="741" w:footer="739" w:top="1220" w:bottom="920" w:left="1720" w:right="1260"/>
        </w:sectPr>
      </w:pPr>
    </w:p>
    <w:p>
      <w:pPr>
        <w:pStyle w:val="BodyText"/>
        <w:rPr>
          <w:rFonts w:ascii="Times New Roman"/>
          <w:sz w:val="20"/>
        </w:rPr>
      </w:pPr>
      <w:r>
        <w:rPr/>
        <w:pict>
          <v:line style="position:absolute;mso-position-horizontal-relative:page;mso-position-vertical-relative:page;z-index:1744" from="49.687607pt,98.392403pt" to="49.687607pt,543.112403pt" stroked="true" strokeweight=".47999pt" strokecolor="#000000">
            <w10:wrap type="none"/>
          </v:line>
        </w:pict>
      </w:r>
      <w:r>
        <w:rPr/>
        <w:pict>
          <v:shape style="position:absolute;margin-left:729.956421pt;margin-top:264.151703pt;width:26pt;height:278.55pt;mso-position-horizontal-relative:page;mso-position-vertical-relative:page;z-index:1768" type="#_x0000_t202" filled="false" stroked="false">
            <v:textbox inset="0,0,0,0" style="layout-flow:vertical">
              <w:txbxContent>
                <w:p>
                  <w:pPr>
                    <w:spacing w:line="165" w:lineRule="exact" w:before="0"/>
                    <w:ind w:left="20" w:right="0" w:firstLine="0"/>
                    <w:jc w:val="left"/>
                    <w:rPr>
                      <w:rFonts w:ascii="Calibri" w:hAnsi="Calibri"/>
                      <w:b/>
                      <w:i/>
                      <w:sz w:val="14"/>
                    </w:rPr>
                  </w:pPr>
                  <w:r>
                    <w:rPr>
                      <w:rFonts w:ascii="Calibri" w:hAnsi="Calibri"/>
                      <w:b/>
                      <w:i/>
                      <w:w w:val="99"/>
                      <w:sz w:val="14"/>
                    </w:rPr>
                    <w:t>Estimación</w:t>
                  </w:r>
                  <w:r>
                    <w:rPr>
                      <w:rFonts w:ascii="Calibri" w:hAnsi="Calibri"/>
                      <w:b/>
                      <w:i/>
                      <w:sz w:val="14"/>
                    </w:rPr>
                    <w:t> </w:t>
                  </w:r>
                  <w:r>
                    <w:rPr>
                      <w:rFonts w:ascii="Calibri" w:hAnsi="Calibri"/>
                      <w:b/>
                      <w:i/>
                      <w:w w:val="99"/>
                      <w:sz w:val="14"/>
                    </w:rPr>
                    <w:t>de</w:t>
                  </w:r>
                  <w:r>
                    <w:rPr>
                      <w:rFonts w:ascii="Calibri" w:hAnsi="Calibri"/>
                      <w:b/>
                      <w:i/>
                      <w:sz w:val="14"/>
                    </w:rPr>
                    <w:t> </w:t>
                  </w:r>
                  <w:r>
                    <w:rPr>
                      <w:rFonts w:ascii="Calibri" w:hAnsi="Calibri"/>
                      <w:b/>
                      <w:i/>
                      <w:w w:val="99"/>
                      <w:sz w:val="14"/>
                    </w:rPr>
                    <w:t>las</w:t>
                  </w:r>
                  <w:r>
                    <w:rPr>
                      <w:rFonts w:ascii="Calibri" w:hAnsi="Calibri"/>
                      <w:b/>
                      <w:i/>
                      <w:sz w:val="14"/>
                    </w:rPr>
                    <w:t> </w:t>
                  </w:r>
                  <w:r>
                    <w:rPr>
                      <w:rFonts w:ascii="Calibri" w:hAnsi="Calibri"/>
                      <w:b/>
                      <w:i/>
                      <w:w w:val="99"/>
                      <w:sz w:val="14"/>
                    </w:rPr>
                    <w:t>emisiones</w:t>
                  </w:r>
                  <w:r>
                    <w:rPr>
                      <w:rFonts w:ascii="Calibri" w:hAnsi="Calibri"/>
                      <w:b/>
                      <w:i/>
                      <w:sz w:val="14"/>
                    </w:rPr>
                    <w:t> </w:t>
                  </w:r>
                  <w:r>
                    <w:rPr>
                      <w:rFonts w:ascii="Calibri" w:hAnsi="Calibri"/>
                      <w:b/>
                      <w:i/>
                      <w:w w:val="99"/>
                      <w:sz w:val="14"/>
                    </w:rPr>
                    <w:t>en</w:t>
                  </w:r>
                  <w:r>
                    <w:rPr>
                      <w:rFonts w:ascii="Calibri" w:hAnsi="Calibri"/>
                      <w:b/>
                      <w:i/>
                      <w:sz w:val="14"/>
                    </w:rPr>
                    <w:t> </w:t>
                  </w:r>
                  <w:r>
                    <w:rPr>
                      <w:rFonts w:ascii="Calibri" w:hAnsi="Calibri"/>
                      <w:b/>
                      <w:i/>
                      <w:w w:val="99"/>
                      <w:sz w:val="14"/>
                    </w:rPr>
                    <w:t>bovinos</w:t>
                  </w:r>
                  <w:r>
                    <w:rPr>
                      <w:rFonts w:ascii="Calibri" w:hAnsi="Calibri"/>
                      <w:b/>
                      <w:i/>
                      <w:sz w:val="14"/>
                    </w:rPr>
                    <w:t> </w:t>
                  </w:r>
                  <w:r>
                    <w:rPr>
                      <w:rFonts w:ascii="Calibri" w:hAnsi="Calibri"/>
                      <w:b/>
                      <w:i/>
                      <w:w w:val="99"/>
                      <w:sz w:val="14"/>
                    </w:rPr>
                    <w:t>en</w:t>
                  </w:r>
                  <w:r>
                    <w:rPr>
                      <w:rFonts w:ascii="Calibri" w:hAnsi="Calibri"/>
                      <w:b/>
                      <w:i/>
                      <w:sz w:val="14"/>
                    </w:rPr>
                    <w:t> </w:t>
                  </w:r>
                  <w:r>
                    <w:rPr>
                      <w:rFonts w:ascii="Calibri" w:hAnsi="Calibri"/>
                      <w:b/>
                      <w:i/>
                      <w:w w:val="99"/>
                      <w:sz w:val="14"/>
                    </w:rPr>
                    <w:t>los</w:t>
                  </w:r>
                  <w:r>
                    <w:rPr>
                      <w:rFonts w:ascii="Calibri" w:hAnsi="Calibri"/>
                      <w:b/>
                      <w:i/>
                      <w:sz w:val="14"/>
                    </w:rPr>
                    <w:t> </w:t>
                  </w:r>
                  <w:r>
                    <w:rPr>
                      <w:rFonts w:ascii="Calibri" w:hAnsi="Calibri"/>
                      <w:b/>
                      <w:i/>
                      <w:w w:val="99"/>
                      <w:sz w:val="14"/>
                    </w:rPr>
                    <w:t>sistema</w:t>
                  </w:r>
                  <w:r>
                    <w:rPr>
                      <w:rFonts w:ascii="Calibri" w:hAnsi="Calibri"/>
                      <w:b/>
                      <w:i/>
                      <w:sz w:val="14"/>
                    </w:rPr>
                    <w:t> </w:t>
                  </w:r>
                  <w:r>
                    <w:rPr>
                      <w:rFonts w:ascii="Calibri" w:hAnsi="Calibri"/>
                      <w:b/>
                      <w:i/>
                      <w:w w:val="99"/>
                      <w:sz w:val="14"/>
                    </w:rPr>
                    <w:t>de</w:t>
                  </w:r>
                  <w:r>
                    <w:rPr>
                      <w:rFonts w:ascii="Calibri" w:hAnsi="Calibri"/>
                      <w:b/>
                      <w:i/>
                      <w:sz w:val="14"/>
                    </w:rPr>
                    <w:t> </w:t>
                  </w:r>
                  <w:r>
                    <w:rPr>
                      <w:rFonts w:ascii="Calibri" w:hAnsi="Calibri"/>
                      <w:b/>
                      <w:i/>
                      <w:spacing w:val="-1"/>
                      <w:w w:val="99"/>
                      <w:sz w:val="14"/>
                    </w:rPr>
                    <w:t>p</w:t>
                  </w:r>
                  <w:r>
                    <w:rPr>
                      <w:rFonts w:ascii="Calibri" w:hAnsi="Calibri"/>
                      <w:b/>
                      <w:i/>
                      <w:w w:val="99"/>
                      <w:sz w:val="14"/>
                    </w:rPr>
                    <w:t>roducción</w:t>
                  </w:r>
                  <w:r>
                    <w:rPr>
                      <w:rFonts w:ascii="Calibri" w:hAnsi="Calibri"/>
                      <w:b/>
                      <w:i/>
                      <w:sz w:val="14"/>
                    </w:rPr>
                    <w:t> </w:t>
                  </w:r>
                  <w:r>
                    <w:rPr>
                      <w:rFonts w:ascii="Calibri" w:hAnsi="Calibri"/>
                      <w:b/>
                      <w:i/>
                      <w:w w:val="99"/>
                      <w:sz w:val="14"/>
                    </w:rPr>
                    <w:t>lechera</w:t>
                  </w:r>
                  <w:r>
                    <w:rPr>
                      <w:rFonts w:ascii="Calibri" w:hAnsi="Calibri"/>
                      <w:b/>
                      <w:i/>
                      <w:sz w:val="14"/>
                    </w:rPr>
                    <w:t> </w:t>
                  </w:r>
                  <w:r>
                    <w:rPr>
                      <w:rFonts w:ascii="Calibri" w:hAnsi="Calibri"/>
                      <w:b/>
                      <w:i/>
                      <w:w w:val="99"/>
                      <w:sz w:val="14"/>
                    </w:rPr>
                    <w:t>en</w:t>
                  </w:r>
                  <w:r>
                    <w:rPr>
                      <w:rFonts w:ascii="Calibri" w:hAnsi="Calibri"/>
                      <w:b/>
                      <w:i/>
                      <w:sz w:val="14"/>
                    </w:rPr>
                    <w:t> </w:t>
                  </w:r>
                  <w:r>
                    <w:rPr>
                      <w:rFonts w:ascii="Calibri" w:hAnsi="Calibri"/>
                      <w:b/>
                      <w:i/>
                      <w:w w:val="99"/>
                      <w:sz w:val="14"/>
                    </w:rPr>
                    <w:t>pequeña</w:t>
                  </w:r>
                  <w:r>
                    <w:rPr>
                      <w:rFonts w:ascii="Calibri" w:hAnsi="Calibri"/>
                      <w:b/>
                      <w:i/>
                      <w:sz w:val="14"/>
                    </w:rPr>
                    <w:t> </w:t>
                  </w:r>
                  <w:r>
                    <w:rPr>
                      <w:rFonts w:ascii="Calibri" w:hAnsi="Calibri"/>
                      <w:b/>
                      <w:i/>
                      <w:w w:val="99"/>
                      <w:sz w:val="14"/>
                    </w:rPr>
                    <w:t>escala</w:t>
                  </w:r>
                </w:p>
                <w:p>
                  <w:pPr>
                    <w:spacing w:line="169" w:lineRule="exact" w:before="0"/>
                    <w:ind w:left="3006" w:right="0" w:firstLine="0"/>
                    <w:jc w:val="left"/>
                    <w:rPr>
                      <w:rFonts w:ascii="Calibri" w:hAnsi="Calibri"/>
                      <w:b/>
                      <w:i/>
                      <w:sz w:val="14"/>
                    </w:rPr>
                  </w:pPr>
                  <w:r>
                    <w:rPr>
                      <w:rFonts w:ascii="Calibri" w:hAnsi="Calibri"/>
                      <w:b/>
                      <w:i/>
                      <w:w w:val="99"/>
                      <w:sz w:val="14"/>
                    </w:rPr>
                    <w:t>a</w:t>
                  </w:r>
                  <w:r>
                    <w:rPr>
                      <w:rFonts w:ascii="Calibri" w:hAnsi="Calibri"/>
                      <w:b/>
                      <w:i/>
                      <w:sz w:val="14"/>
                    </w:rPr>
                    <w:t> </w:t>
                  </w:r>
                  <w:r>
                    <w:rPr>
                      <w:rFonts w:ascii="Calibri" w:hAnsi="Calibri"/>
                      <w:b/>
                      <w:i/>
                      <w:w w:val="99"/>
                      <w:sz w:val="14"/>
                    </w:rPr>
                    <w:t>través</w:t>
                  </w:r>
                  <w:r>
                    <w:rPr>
                      <w:rFonts w:ascii="Calibri" w:hAnsi="Calibri"/>
                      <w:b/>
                      <w:i/>
                      <w:sz w:val="14"/>
                    </w:rPr>
                    <w:t> </w:t>
                  </w:r>
                  <w:r>
                    <w:rPr>
                      <w:rFonts w:ascii="Calibri" w:hAnsi="Calibri"/>
                      <w:b/>
                      <w:i/>
                      <w:w w:val="99"/>
                      <w:sz w:val="14"/>
                    </w:rPr>
                    <w:t>del</w:t>
                  </w:r>
                  <w:r>
                    <w:rPr>
                      <w:rFonts w:ascii="Calibri" w:hAnsi="Calibri"/>
                      <w:b/>
                      <w:i/>
                      <w:sz w:val="14"/>
                    </w:rPr>
                    <w:t> </w:t>
                  </w:r>
                  <w:r>
                    <w:rPr>
                      <w:rFonts w:ascii="Calibri" w:hAnsi="Calibri"/>
                      <w:b/>
                      <w:i/>
                      <w:w w:val="99"/>
                      <w:sz w:val="14"/>
                    </w:rPr>
                    <w:t>factor</w:t>
                  </w:r>
                  <w:r>
                    <w:rPr>
                      <w:rFonts w:ascii="Calibri" w:hAnsi="Calibri"/>
                      <w:b/>
                      <w:i/>
                      <w:sz w:val="14"/>
                    </w:rPr>
                    <w:t> </w:t>
                  </w:r>
                  <w:r>
                    <w:rPr>
                      <w:rFonts w:ascii="Calibri" w:hAnsi="Calibri"/>
                      <w:b/>
                      <w:i/>
                      <w:w w:val="99"/>
                      <w:sz w:val="14"/>
                    </w:rPr>
                    <w:t>de</w:t>
                  </w:r>
                  <w:r>
                    <w:rPr>
                      <w:rFonts w:ascii="Calibri" w:hAnsi="Calibri"/>
                      <w:b/>
                      <w:i/>
                      <w:sz w:val="14"/>
                    </w:rPr>
                    <w:t> </w:t>
                  </w:r>
                  <w:r>
                    <w:rPr>
                      <w:rFonts w:ascii="Calibri" w:hAnsi="Calibri"/>
                      <w:b/>
                      <w:i/>
                      <w:w w:val="99"/>
                      <w:sz w:val="14"/>
                    </w:rPr>
                    <w:t>conversión</w:t>
                  </w:r>
                  <w:r>
                    <w:rPr>
                      <w:rFonts w:ascii="Calibri" w:hAnsi="Calibri"/>
                      <w:b/>
                      <w:i/>
                      <w:sz w:val="14"/>
                    </w:rPr>
                    <w:t> </w:t>
                  </w:r>
                  <w:r>
                    <w:rPr>
                      <w:rFonts w:ascii="Calibri" w:hAnsi="Calibri"/>
                      <w:b/>
                      <w:i/>
                      <w:w w:val="99"/>
                      <w:sz w:val="14"/>
                    </w:rPr>
                    <w:t>de</w:t>
                  </w:r>
                  <w:r>
                    <w:rPr>
                      <w:rFonts w:ascii="Calibri" w:hAnsi="Calibri"/>
                      <w:b/>
                      <w:i/>
                      <w:sz w:val="14"/>
                    </w:rPr>
                    <w:t> </w:t>
                  </w:r>
                  <w:r>
                    <w:rPr>
                      <w:rFonts w:ascii="Calibri" w:hAnsi="Calibri"/>
                      <w:b/>
                      <w:i/>
                      <w:w w:val="99"/>
                      <w:sz w:val="14"/>
                    </w:rPr>
                    <w:t>metano</w:t>
                  </w:r>
                </w:p>
                <w:p>
                  <w:pPr>
                    <w:spacing w:before="2"/>
                    <w:ind w:left="3682" w:right="0" w:firstLine="0"/>
                    <w:jc w:val="left"/>
                    <w:rPr>
                      <w:rFonts w:ascii="Calibri" w:hAnsi="Calibri"/>
                      <w:b/>
                      <w:i/>
                      <w:sz w:val="14"/>
                    </w:rPr>
                  </w:pPr>
                  <w:r>
                    <w:rPr>
                      <w:rFonts w:ascii="Calibri" w:hAnsi="Calibri"/>
                      <w:b/>
                      <w:i/>
                      <w:w w:val="99"/>
                      <w:sz w:val="14"/>
                    </w:rPr>
                    <w:t>M.</w:t>
                  </w:r>
                  <w:r>
                    <w:rPr>
                      <w:rFonts w:ascii="Calibri" w:hAnsi="Calibri"/>
                      <w:b/>
                      <w:i/>
                      <w:sz w:val="14"/>
                    </w:rPr>
                    <w:t> </w:t>
                  </w:r>
                  <w:r>
                    <w:rPr>
                      <w:rFonts w:ascii="Calibri" w:hAnsi="Calibri"/>
                      <w:b/>
                      <w:i/>
                      <w:w w:val="99"/>
                      <w:sz w:val="14"/>
                    </w:rPr>
                    <w:t>en</w:t>
                  </w:r>
                  <w:r>
                    <w:rPr>
                      <w:rFonts w:ascii="Calibri" w:hAnsi="Calibri"/>
                      <w:b/>
                      <w:i/>
                      <w:sz w:val="14"/>
                    </w:rPr>
                    <w:t> </w:t>
                  </w:r>
                  <w:r>
                    <w:rPr>
                      <w:rFonts w:ascii="Calibri" w:hAnsi="Calibri"/>
                      <w:b/>
                      <w:i/>
                      <w:w w:val="99"/>
                      <w:sz w:val="14"/>
                    </w:rPr>
                    <w:t>E.</w:t>
                  </w:r>
                  <w:r>
                    <w:rPr>
                      <w:rFonts w:ascii="Calibri" w:hAnsi="Calibri"/>
                      <w:b/>
                      <w:i/>
                      <w:sz w:val="14"/>
                    </w:rPr>
                    <w:t> </w:t>
                  </w:r>
                  <w:r>
                    <w:rPr>
                      <w:rFonts w:ascii="Calibri" w:hAnsi="Calibri"/>
                      <w:b/>
                      <w:i/>
                      <w:w w:val="99"/>
                      <w:sz w:val="14"/>
                    </w:rPr>
                    <w:t>S.</w:t>
                  </w:r>
                  <w:r>
                    <w:rPr>
                      <w:rFonts w:ascii="Calibri" w:hAnsi="Calibri"/>
                      <w:b/>
                      <w:i/>
                      <w:sz w:val="14"/>
                    </w:rPr>
                    <w:t> </w:t>
                  </w:r>
                  <w:r>
                    <w:rPr>
                      <w:rFonts w:ascii="Calibri" w:hAnsi="Calibri"/>
                      <w:b/>
                      <w:i/>
                      <w:w w:val="99"/>
                      <w:sz w:val="14"/>
                    </w:rPr>
                    <w:t>Noé</w:t>
                  </w:r>
                  <w:r>
                    <w:rPr>
                      <w:rFonts w:ascii="Calibri" w:hAnsi="Calibri"/>
                      <w:b/>
                      <w:i/>
                      <w:sz w:val="14"/>
                    </w:rPr>
                    <w:t> </w:t>
                  </w:r>
                  <w:r>
                    <w:rPr>
                      <w:rFonts w:ascii="Calibri" w:hAnsi="Calibri"/>
                      <w:b/>
                      <w:i/>
                      <w:w w:val="99"/>
                      <w:sz w:val="14"/>
                    </w:rPr>
                    <w:t>Zúñiga-González</w:t>
                  </w:r>
                </w:p>
              </w:txbxContent>
            </v:textbox>
            <w10:wrap type="none"/>
          </v:shape>
        </w:pict>
      </w:r>
      <w:r>
        <w:rPr/>
        <w:pict>
          <v:shape style="position:absolute;margin-left:34.551601pt;margin-top:314.182312pt;width:12.8pt;height:13.15pt;mso-position-horizontal-relative:page;mso-position-vertical-relative:page;z-index:1792" type="#_x0000_t202" filled="false" stroked="false">
            <v:textbox inset="0,0,0,0" style="layout-flow:vertical">
              <w:txbxContent>
                <w:p>
                  <w:pPr>
                    <w:spacing w:line="245" w:lineRule="exact" w:before="0"/>
                    <w:ind w:left="20" w:right="-7" w:firstLine="0"/>
                    <w:jc w:val="left"/>
                    <w:rPr>
                      <w:rFonts w:ascii="Calibri"/>
                      <w:sz w:val="21"/>
                    </w:rPr>
                  </w:pPr>
                  <w:r>
                    <w:rPr>
                      <w:rFonts w:ascii="Calibri"/>
                      <w:spacing w:val="2"/>
                      <w:w w:val="102"/>
                      <w:sz w:val="21"/>
                    </w:rPr>
                    <w:t>20</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3"/>
        </w:rPr>
      </w:pPr>
    </w:p>
    <w:p>
      <w:pPr>
        <w:pStyle w:val="BodyText"/>
        <w:ind w:left="1476"/>
        <w:rPr>
          <w:rFonts w:ascii="Times New Roman"/>
          <w:sz w:val="20"/>
        </w:rPr>
      </w:pPr>
      <w:r>
        <w:rPr>
          <w:rFonts w:ascii="Times New Roman"/>
          <w:sz w:val="20"/>
        </w:rPr>
        <w:pict>
          <v:group style="width:556.6pt;height:20.65pt;mso-position-horizontal-relative:char;mso-position-vertical-relative:line" coordorigin="0,0" coordsize="11132,413">
            <v:shape style="position:absolute;left:0;top:0;width:11131;height:413" type="#_x0000_t75" stroked="false">
              <v:imagedata r:id="rId35" o:title=""/>
            </v:shape>
            <v:shape style="position:absolute;left:0;top:0;width:11132;height:413" type="#_x0000_t202" filled="false" stroked="false">
              <v:textbox inset="0,0,0,0">
                <w:txbxContent>
                  <w:p>
                    <w:pPr>
                      <w:spacing w:line="272" w:lineRule="exact" w:before="0"/>
                      <w:ind w:left="143" w:right="0" w:firstLine="0"/>
                      <w:jc w:val="left"/>
                      <w:rPr>
                        <w:sz w:val="24"/>
                      </w:rPr>
                    </w:pPr>
                    <w:r>
                      <w:rPr>
                        <w:b/>
                        <w:color w:val="943634"/>
                        <w:sz w:val="24"/>
                        <w:u w:val="thick" w:color="943634"/>
                      </w:rPr>
                      <w:t>Figura 1</w:t>
                    </w:r>
                    <w:r>
                      <w:rPr>
                        <w:b/>
                        <w:sz w:val="24"/>
                      </w:rPr>
                      <w:t>. </w:t>
                    </w:r>
                    <w:r>
                      <w:rPr>
                        <w:sz w:val="24"/>
                      </w:rPr>
                      <w:t>Diagrama de emisiones de GEI para México 2013.</w:t>
                    </w:r>
                  </w:p>
                </w:txbxContent>
              </v:textbox>
              <w10:wrap type="none"/>
            </v:shape>
          </v:group>
        </w:pict>
      </w:r>
      <w:r>
        <w:rPr>
          <w:rFonts w:ascii="Times New Roman"/>
          <w:sz w:val="20"/>
        </w:rPr>
      </w:r>
    </w:p>
    <w:p>
      <w:pPr>
        <w:pStyle w:val="BodyText"/>
        <w:rPr>
          <w:rFonts w:ascii="Times New Roman"/>
          <w:sz w:val="20"/>
        </w:rPr>
      </w:pPr>
    </w:p>
    <w:p>
      <w:pPr>
        <w:pStyle w:val="BodyText"/>
        <w:spacing w:before="7"/>
        <w:rPr>
          <w:rFonts w:ascii="Times New Roman"/>
          <w:sz w:val="16"/>
        </w:rPr>
      </w:pPr>
      <w:r>
        <w:rPr/>
        <w:drawing>
          <wp:anchor distT="0" distB="0" distL="0" distR="0" allowOverlap="1" layoutInCell="1" locked="0" behindDoc="0" simplePos="0" relativeHeight="1672">
            <wp:simplePos x="0" y="0"/>
            <wp:positionH relativeFrom="page">
              <wp:posOffset>1533240</wp:posOffset>
            </wp:positionH>
            <wp:positionV relativeFrom="paragraph">
              <wp:posOffset>146633</wp:posOffset>
            </wp:positionV>
            <wp:extent cx="7338546" cy="4294251"/>
            <wp:effectExtent l="0" t="0" r="0" b="0"/>
            <wp:wrapTopAndBottom/>
            <wp:docPr id="7" name="image15.jpeg" descr=""/>
            <wp:cNvGraphicFramePr>
              <a:graphicFrameLocks noChangeAspect="1"/>
            </wp:cNvGraphicFramePr>
            <a:graphic>
              <a:graphicData uri="http://schemas.openxmlformats.org/drawingml/2006/picture">
                <pic:pic>
                  <pic:nvPicPr>
                    <pic:cNvPr id="8" name="image15.jpeg"/>
                    <pic:cNvPicPr/>
                  </pic:nvPicPr>
                  <pic:blipFill>
                    <a:blip r:embed="rId36" cstate="print"/>
                    <a:stretch>
                      <a:fillRect/>
                    </a:stretch>
                  </pic:blipFill>
                  <pic:spPr>
                    <a:xfrm>
                      <a:off x="0" y="0"/>
                      <a:ext cx="7338546" cy="4294251"/>
                    </a:xfrm>
                    <a:prstGeom prst="rect">
                      <a:avLst/>
                    </a:prstGeom>
                  </pic:spPr>
                </pic:pic>
              </a:graphicData>
            </a:graphic>
          </wp:anchor>
        </w:drawing>
      </w:r>
    </w:p>
    <w:p>
      <w:pPr>
        <w:pStyle w:val="BodyText"/>
        <w:rPr>
          <w:rFonts w:ascii="Times New Roman"/>
          <w:sz w:val="20"/>
        </w:rPr>
      </w:pPr>
    </w:p>
    <w:p>
      <w:pPr>
        <w:pStyle w:val="BodyText"/>
        <w:spacing w:before="4"/>
        <w:rPr>
          <w:rFonts w:ascii="Times New Roman"/>
          <w:sz w:val="16"/>
        </w:rPr>
      </w:pPr>
      <w:r>
        <w:rPr/>
        <w:pict>
          <v:group style="position:absolute;margin-left:106.817596pt;margin-top:11.370976pt;width:612pt;height:34.6pt;mso-position-horizontal-relative:page;mso-position-vertical-relative:paragraph;z-index:1720;mso-wrap-distance-left:0;mso-wrap-distance-right:0" coordorigin="2136,227" coordsize="12240,692">
            <v:shape style="position:absolute;left:2136;top:227;width:12240;height:691" type="#_x0000_t75" stroked="false">
              <v:imagedata r:id="rId37" o:title=""/>
            </v:shape>
            <v:shape style="position:absolute;left:2136;top:227;width:12240;height:692" type="#_x0000_t202" filled="false" stroked="false">
              <v:textbox inset="0,0,0,0">
                <w:txbxContent>
                  <w:p>
                    <w:pPr>
                      <w:spacing w:line="374" w:lineRule="auto" w:before="4"/>
                      <w:ind w:left="144" w:right="383" w:firstLine="0"/>
                      <w:jc w:val="left"/>
                      <w:rPr>
                        <w:sz w:val="19"/>
                      </w:rPr>
                    </w:pPr>
                    <w:r>
                      <w:rPr>
                        <w:b/>
                        <w:w w:val="105"/>
                        <w:sz w:val="19"/>
                      </w:rPr>
                      <w:t>Fuente: </w:t>
                    </w:r>
                    <w:r>
                      <w:rPr>
                        <w:w w:val="105"/>
                        <w:sz w:val="19"/>
                      </w:rPr>
                      <w:t>SEMARNAT (2013a). Disponible en: https://</w:t>
                    </w:r>
                    <w:hyperlink r:id="rId38">
                      <w:r>
                        <w:rPr>
                          <w:w w:val="105"/>
                          <w:sz w:val="19"/>
                        </w:rPr>
                        <w:t>www.gob.mx/inecc/acciones-y-programas/inventario-nacional-de-emisiones-de-</w:t>
                      </w:r>
                    </w:hyperlink>
                    <w:r>
                      <w:rPr>
                        <w:w w:val="105"/>
                        <w:sz w:val="19"/>
                      </w:rPr>
                      <w:t> gases-y-compuestos-de-efecto-invernadero</w:t>
                    </w:r>
                  </w:p>
                </w:txbxContent>
              </v:textbox>
              <w10:wrap type="none"/>
            </v:shape>
            <w10:wrap type="topAndBottom"/>
          </v:group>
        </w:pict>
      </w:r>
    </w:p>
    <w:p>
      <w:pPr>
        <w:spacing w:after="0"/>
        <w:rPr>
          <w:rFonts w:ascii="Times New Roman"/>
          <w:sz w:val="16"/>
        </w:rPr>
        <w:sectPr>
          <w:headerReference w:type="default" r:id="rId33"/>
          <w:footerReference w:type="default" r:id="rId34"/>
          <w:pgSz w:w="15840" w:h="12240" w:orient="landscape"/>
          <w:pgMar w:header="0" w:footer="0" w:top="0" w:bottom="280" w:left="880" w:right="136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29"/>
        </w:rPr>
      </w:pPr>
    </w:p>
    <w:p>
      <w:pPr>
        <w:pStyle w:val="BodyText"/>
        <w:ind w:left="381"/>
        <w:rPr>
          <w:rFonts w:ascii="Times New Roman"/>
          <w:sz w:val="20"/>
        </w:rPr>
      </w:pPr>
      <w:r>
        <w:rPr>
          <w:rFonts w:ascii="Times New Roman"/>
          <w:sz w:val="20"/>
        </w:rPr>
        <w:pict>
          <v:group style="width:412.35pt;height:201.85pt;mso-position-horizontal-relative:char;mso-position-vertical-relative:line" coordorigin="0,0" coordsize="8247,4037">
            <v:shape style="position:absolute;left:0;top:0;width:8246;height:4037" type="#_x0000_t75" stroked="false">
              <v:imagedata r:id="rId41" o:title=""/>
            </v:shape>
            <v:shape style="position:absolute;left:432;top:5;width:211;height:557" type="#_x0000_t75" stroked="false">
              <v:imagedata r:id="rId42" o:title=""/>
            </v:shape>
            <v:shape style="position:absolute;left:710;top:5;width:211;height:557" type="#_x0000_t75" stroked="false">
              <v:imagedata r:id="rId16" o:title=""/>
            </v:shape>
            <v:shape style="position:absolute;left:0;top:0;width:8247;height:4037" type="#_x0000_t202" filled="false" stroked="false">
              <v:textbox inset="0,0,0,0">
                <w:txbxContent>
                  <w:p>
                    <w:pPr>
                      <w:spacing w:line="240" w:lineRule="auto" w:before="0"/>
                      <w:rPr>
                        <w:rFonts w:ascii="Times New Roman"/>
                        <w:sz w:val="47"/>
                      </w:rPr>
                    </w:pPr>
                  </w:p>
                  <w:p>
                    <w:pPr>
                      <w:spacing w:line="240" w:lineRule="auto" w:before="0"/>
                      <w:ind w:left="484" w:right="142" w:hanging="24"/>
                      <w:jc w:val="right"/>
                      <w:rPr>
                        <w:sz w:val="38"/>
                      </w:rPr>
                    </w:pPr>
                    <w:r>
                      <w:rPr>
                        <w:color w:val="632423"/>
                        <w:w w:val="80"/>
                        <w:sz w:val="38"/>
                      </w:rPr>
                      <w:t>En</w:t>
                    </w:r>
                    <w:r>
                      <w:rPr>
                        <w:color w:val="632423"/>
                        <w:spacing w:val="-58"/>
                        <w:w w:val="80"/>
                        <w:sz w:val="38"/>
                      </w:rPr>
                      <w:t> </w:t>
                    </w:r>
                    <w:r>
                      <w:rPr>
                        <w:color w:val="632423"/>
                        <w:w w:val="80"/>
                        <w:sz w:val="38"/>
                      </w:rPr>
                      <w:t>México,</w:t>
                    </w:r>
                    <w:r>
                      <w:rPr>
                        <w:color w:val="632423"/>
                        <w:spacing w:val="-58"/>
                        <w:w w:val="80"/>
                        <w:sz w:val="38"/>
                      </w:rPr>
                      <w:t> </w:t>
                    </w:r>
                    <w:r>
                      <w:rPr>
                        <w:color w:val="632423"/>
                        <w:w w:val="80"/>
                        <w:sz w:val="38"/>
                      </w:rPr>
                      <w:t>la</w:t>
                    </w:r>
                    <w:r>
                      <w:rPr>
                        <w:color w:val="632423"/>
                        <w:spacing w:val="-58"/>
                        <w:w w:val="80"/>
                        <w:sz w:val="38"/>
                      </w:rPr>
                      <w:t> </w:t>
                    </w:r>
                    <w:r>
                      <w:rPr>
                        <w:color w:val="632423"/>
                        <w:w w:val="80"/>
                        <w:sz w:val="38"/>
                      </w:rPr>
                      <w:t>ganadería</w:t>
                    </w:r>
                    <w:r>
                      <w:rPr>
                        <w:color w:val="632423"/>
                        <w:spacing w:val="-58"/>
                        <w:w w:val="80"/>
                        <w:sz w:val="38"/>
                      </w:rPr>
                      <w:t> </w:t>
                    </w:r>
                    <w:r>
                      <w:rPr>
                        <w:color w:val="632423"/>
                        <w:w w:val="80"/>
                        <w:sz w:val="38"/>
                      </w:rPr>
                      <w:t>es</w:t>
                    </w:r>
                    <w:r>
                      <w:rPr>
                        <w:color w:val="632423"/>
                        <w:spacing w:val="-58"/>
                        <w:w w:val="80"/>
                        <w:sz w:val="38"/>
                      </w:rPr>
                      <w:t> </w:t>
                    </w:r>
                    <w:r>
                      <w:rPr>
                        <w:color w:val="632423"/>
                        <w:w w:val="80"/>
                        <w:sz w:val="38"/>
                      </w:rPr>
                      <w:t>la</w:t>
                    </w:r>
                    <w:r>
                      <w:rPr>
                        <w:color w:val="632423"/>
                        <w:spacing w:val="-58"/>
                        <w:w w:val="80"/>
                        <w:sz w:val="38"/>
                      </w:rPr>
                      <w:t> </w:t>
                    </w:r>
                    <w:r>
                      <w:rPr>
                        <w:color w:val="632423"/>
                        <w:w w:val="80"/>
                        <w:sz w:val="38"/>
                      </w:rPr>
                      <w:t>tercera</w:t>
                    </w:r>
                    <w:r>
                      <w:rPr>
                        <w:color w:val="632423"/>
                        <w:spacing w:val="-58"/>
                        <w:w w:val="80"/>
                        <w:sz w:val="38"/>
                      </w:rPr>
                      <w:t> </w:t>
                    </w:r>
                    <w:r>
                      <w:rPr>
                        <w:color w:val="632423"/>
                        <w:w w:val="80"/>
                        <w:sz w:val="38"/>
                      </w:rPr>
                      <w:t>fuente</w:t>
                    </w:r>
                    <w:r>
                      <w:rPr>
                        <w:color w:val="632423"/>
                        <w:spacing w:val="-61"/>
                        <w:w w:val="80"/>
                        <w:sz w:val="38"/>
                      </w:rPr>
                      <w:t> </w:t>
                    </w:r>
                    <w:r>
                      <w:rPr>
                        <w:color w:val="632423"/>
                        <w:w w:val="80"/>
                        <w:sz w:val="38"/>
                      </w:rPr>
                      <w:t>más</w:t>
                    </w:r>
                    <w:r>
                      <w:rPr>
                        <w:color w:val="632423"/>
                        <w:spacing w:val="-58"/>
                        <w:w w:val="80"/>
                        <w:sz w:val="38"/>
                      </w:rPr>
                      <w:t> </w:t>
                    </w:r>
                    <w:r>
                      <w:rPr>
                        <w:color w:val="632423"/>
                        <w:w w:val="80"/>
                        <w:sz w:val="38"/>
                      </w:rPr>
                      <w:t>importante</w:t>
                    </w:r>
                    <w:r>
                      <w:rPr>
                        <w:color w:val="632423"/>
                        <w:w w:val="76"/>
                        <w:sz w:val="38"/>
                      </w:rPr>
                      <w:t> </w:t>
                    </w:r>
                    <w:r>
                      <w:rPr>
                        <w:color w:val="632423"/>
                        <w:w w:val="75"/>
                        <w:sz w:val="38"/>
                      </w:rPr>
                      <w:t>de emisiones de CH</w:t>
                    </w:r>
                    <w:r>
                      <w:rPr>
                        <w:color w:val="632423"/>
                        <w:w w:val="75"/>
                        <w:position w:val="-3"/>
                        <w:sz w:val="25"/>
                      </w:rPr>
                      <w:t>4</w:t>
                    </w:r>
                    <w:r>
                      <w:rPr>
                        <w:color w:val="632423"/>
                        <w:w w:val="75"/>
                        <w:sz w:val="38"/>
                      </w:rPr>
                      <w:t>, y las principales</w:t>
                    </w:r>
                    <w:r>
                      <w:rPr>
                        <w:color w:val="632423"/>
                        <w:spacing w:val="-53"/>
                        <w:w w:val="75"/>
                        <w:sz w:val="38"/>
                      </w:rPr>
                      <w:t> </w:t>
                    </w:r>
                    <w:r>
                      <w:rPr>
                        <w:color w:val="632423"/>
                        <w:w w:val="75"/>
                        <w:sz w:val="38"/>
                      </w:rPr>
                      <w:t>medidas</w:t>
                    </w:r>
                    <w:r>
                      <w:rPr>
                        <w:color w:val="632423"/>
                        <w:spacing w:val="-8"/>
                        <w:w w:val="75"/>
                        <w:sz w:val="38"/>
                      </w:rPr>
                      <w:t> </w:t>
                    </w:r>
                    <w:r>
                      <w:rPr>
                        <w:color w:val="632423"/>
                        <w:w w:val="75"/>
                        <w:sz w:val="38"/>
                      </w:rPr>
                      <w:t>de</w:t>
                    </w:r>
                    <w:r>
                      <w:rPr>
                        <w:color w:val="632423"/>
                        <w:w w:val="72"/>
                        <w:sz w:val="38"/>
                      </w:rPr>
                      <w:t> </w:t>
                    </w:r>
                    <w:r>
                      <w:rPr>
                        <w:color w:val="632423"/>
                        <w:w w:val="80"/>
                        <w:sz w:val="38"/>
                      </w:rPr>
                      <w:t>mitigación</w:t>
                    </w:r>
                    <w:r>
                      <w:rPr>
                        <w:color w:val="632423"/>
                        <w:spacing w:val="-56"/>
                        <w:w w:val="80"/>
                        <w:sz w:val="38"/>
                      </w:rPr>
                      <w:t> </w:t>
                    </w:r>
                    <w:r>
                      <w:rPr>
                        <w:color w:val="632423"/>
                        <w:w w:val="80"/>
                        <w:sz w:val="38"/>
                      </w:rPr>
                      <w:t>aplicables</w:t>
                    </w:r>
                    <w:r>
                      <w:rPr>
                        <w:color w:val="632423"/>
                        <w:spacing w:val="-56"/>
                        <w:w w:val="80"/>
                        <w:sz w:val="38"/>
                      </w:rPr>
                      <w:t> </w:t>
                    </w:r>
                    <w:r>
                      <w:rPr>
                        <w:color w:val="632423"/>
                        <w:w w:val="80"/>
                        <w:sz w:val="38"/>
                      </w:rPr>
                      <w:t>a</w:t>
                    </w:r>
                    <w:r>
                      <w:rPr>
                        <w:color w:val="632423"/>
                        <w:spacing w:val="-56"/>
                        <w:w w:val="80"/>
                        <w:sz w:val="38"/>
                      </w:rPr>
                      <w:t> </w:t>
                    </w:r>
                    <w:r>
                      <w:rPr>
                        <w:color w:val="632423"/>
                        <w:w w:val="80"/>
                        <w:sz w:val="38"/>
                      </w:rPr>
                      <w:t>esta</w:t>
                    </w:r>
                    <w:r>
                      <w:rPr>
                        <w:color w:val="632423"/>
                        <w:spacing w:val="-54"/>
                        <w:w w:val="80"/>
                        <w:sz w:val="38"/>
                      </w:rPr>
                      <w:t> </w:t>
                    </w:r>
                    <w:r>
                      <w:rPr>
                        <w:color w:val="632423"/>
                        <w:w w:val="80"/>
                        <w:sz w:val="38"/>
                      </w:rPr>
                      <w:t>actividad</w:t>
                    </w:r>
                    <w:r>
                      <w:rPr>
                        <w:color w:val="632423"/>
                        <w:spacing w:val="-54"/>
                        <w:w w:val="80"/>
                        <w:sz w:val="38"/>
                      </w:rPr>
                      <w:t> </w:t>
                    </w:r>
                    <w:r>
                      <w:rPr>
                        <w:color w:val="632423"/>
                        <w:w w:val="80"/>
                        <w:sz w:val="38"/>
                      </w:rPr>
                      <w:t>se</w:t>
                    </w:r>
                    <w:r>
                      <w:rPr>
                        <w:color w:val="632423"/>
                        <w:spacing w:val="-56"/>
                        <w:w w:val="80"/>
                        <w:sz w:val="38"/>
                      </w:rPr>
                      <w:t> </w:t>
                    </w:r>
                    <w:r>
                      <w:rPr>
                        <w:color w:val="632423"/>
                        <w:w w:val="80"/>
                        <w:sz w:val="38"/>
                      </w:rPr>
                      <w:t>refieren</w:t>
                    </w:r>
                    <w:r>
                      <w:rPr>
                        <w:color w:val="632423"/>
                        <w:spacing w:val="-56"/>
                        <w:w w:val="80"/>
                        <w:sz w:val="38"/>
                      </w:rPr>
                      <w:t> </w:t>
                    </w:r>
                    <w:r>
                      <w:rPr>
                        <w:color w:val="632423"/>
                        <w:w w:val="80"/>
                        <w:sz w:val="38"/>
                      </w:rPr>
                      <w:t>a</w:t>
                    </w:r>
                    <w:r>
                      <w:rPr>
                        <w:color w:val="632423"/>
                        <w:spacing w:val="-56"/>
                        <w:w w:val="80"/>
                        <w:sz w:val="38"/>
                      </w:rPr>
                      <w:t> </w:t>
                    </w:r>
                    <w:r>
                      <w:rPr>
                        <w:color w:val="632423"/>
                        <w:w w:val="80"/>
                        <w:sz w:val="38"/>
                      </w:rPr>
                      <w:t>un</w:t>
                    </w:r>
                    <w:r>
                      <w:rPr>
                        <w:color w:val="632423"/>
                        <w:w w:val="74"/>
                        <w:sz w:val="38"/>
                      </w:rPr>
                      <w:t> </w:t>
                    </w:r>
                    <w:r>
                      <w:rPr>
                        <w:color w:val="632423"/>
                        <w:w w:val="80"/>
                        <w:sz w:val="38"/>
                      </w:rPr>
                      <w:t>manejo</w:t>
                    </w:r>
                    <w:r>
                      <w:rPr>
                        <w:color w:val="632423"/>
                        <w:spacing w:val="-48"/>
                        <w:w w:val="80"/>
                        <w:sz w:val="38"/>
                      </w:rPr>
                      <w:t> </w:t>
                    </w:r>
                    <w:r>
                      <w:rPr>
                        <w:color w:val="632423"/>
                        <w:w w:val="80"/>
                        <w:sz w:val="38"/>
                      </w:rPr>
                      <w:t>sustentable</w:t>
                    </w:r>
                    <w:r>
                      <w:rPr>
                        <w:color w:val="632423"/>
                        <w:spacing w:val="-49"/>
                        <w:w w:val="80"/>
                        <w:sz w:val="38"/>
                      </w:rPr>
                      <w:t> </w:t>
                    </w:r>
                    <w:r>
                      <w:rPr>
                        <w:color w:val="632423"/>
                        <w:w w:val="80"/>
                        <w:sz w:val="38"/>
                      </w:rPr>
                      <w:t>de</w:t>
                    </w:r>
                    <w:r>
                      <w:rPr>
                        <w:color w:val="632423"/>
                        <w:spacing w:val="-49"/>
                        <w:w w:val="80"/>
                        <w:sz w:val="38"/>
                      </w:rPr>
                      <w:t> </w:t>
                    </w:r>
                    <w:r>
                      <w:rPr>
                        <w:color w:val="632423"/>
                        <w:w w:val="80"/>
                        <w:sz w:val="38"/>
                      </w:rPr>
                      <w:t>las</w:t>
                    </w:r>
                    <w:r>
                      <w:rPr>
                        <w:color w:val="632423"/>
                        <w:spacing w:val="-49"/>
                        <w:w w:val="80"/>
                        <w:sz w:val="38"/>
                      </w:rPr>
                      <w:t> </w:t>
                    </w:r>
                    <w:r>
                      <w:rPr>
                        <w:color w:val="632423"/>
                        <w:w w:val="80"/>
                        <w:sz w:val="38"/>
                      </w:rPr>
                      <w:t>tierras</w:t>
                    </w:r>
                    <w:r>
                      <w:rPr>
                        <w:color w:val="632423"/>
                        <w:spacing w:val="-49"/>
                        <w:w w:val="80"/>
                        <w:sz w:val="38"/>
                      </w:rPr>
                      <w:t> </w:t>
                    </w:r>
                    <w:r>
                      <w:rPr>
                        <w:color w:val="632423"/>
                        <w:w w:val="80"/>
                        <w:sz w:val="38"/>
                      </w:rPr>
                      <w:t>de</w:t>
                    </w:r>
                    <w:r>
                      <w:rPr>
                        <w:color w:val="632423"/>
                        <w:spacing w:val="-49"/>
                        <w:w w:val="80"/>
                        <w:sz w:val="38"/>
                      </w:rPr>
                      <w:t> </w:t>
                    </w:r>
                    <w:r>
                      <w:rPr>
                        <w:color w:val="632423"/>
                        <w:w w:val="80"/>
                        <w:sz w:val="38"/>
                      </w:rPr>
                      <w:t>pastoreo</w:t>
                    </w:r>
                    <w:r>
                      <w:rPr>
                        <w:color w:val="632423"/>
                        <w:spacing w:val="-48"/>
                        <w:w w:val="80"/>
                        <w:sz w:val="38"/>
                      </w:rPr>
                      <w:t> </w:t>
                    </w:r>
                    <w:r>
                      <w:rPr>
                        <w:color w:val="632423"/>
                        <w:w w:val="80"/>
                        <w:sz w:val="38"/>
                      </w:rPr>
                      <w:t>y</w:t>
                    </w:r>
                    <w:r>
                      <w:rPr>
                        <w:color w:val="632423"/>
                        <w:spacing w:val="-49"/>
                        <w:w w:val="80"/>
                        <w:sz w:val="38"/>
                      </w:rPr>
                      <w:t> </w:t>
                    </w:r>
                    <w:r>
                      <w:rPr>
                        <w:color w:val="632423"/>
                        <w:w w:val="80"/>
                        <w:sz w:val="38"/>
                      </w:rPr>
                      <w:t>al</w:t>
                    </w:r>
                    <w:r>
                      <w:rPr>
                        <w:color w:val="632423"/>
                        <w:spacing w:val="-49"/>
                        <w:w w:val="80"/>
                        <w:sz w:val="38"/>
                      </w:rPr>
                      <w:t> </w:t>
                    </w:r>
                    <w:r>
                      <w:rPr>
                        <w:color w:val="632423"/>
                        <w:w w:val="80"/>
                        <w:sz w:val="38"/>
                      </w:rPr>
                      <w:t>manejo</w:t>
                    </w:r>
                    <w:r>
                      <w:rPr>
                        <w:color w:val="632423"/>
                        <w:w w:val="76"/>
                        <w:sz w:val="38"/>
                      </w:rPr>
                      <w:t> </w:t>
                    </w:r>
                    <w:r>
                      <w:rPr>
                        <w:color w:val="632423"/>
                        <w:w w:val="80"/>
                        <w:sz w:val="38"/>
                      </w:rPr>
                      <w:t>de</w:t>
                    </w:r>
                    <w:r>
                      <w:rPr>
                        <w:color w:val="632423"/>
                        <w:spacing w:val="-51"/>
                        <w:w w:val="80"/>
                        <w:sz w:val="38"/>
                      </w:rPr>
                      <w:t> </w:t>
                    </w:r>
                    <w:r>
                      <w:rPr>
                        <w:color w:val="632423"/>
                        <w:w w:val="80"/>
                        <w:sz w:val="38"/>
                      </w:rPr>
                      <w:t>productos</w:t>
                    </w:r>
                    <w:r>
                      <w:rPr>
                        <w:color w:val="632423"/>
                        <w:spacing w:val="-50"/>
                        <w:w w:val="80"/>
                        <w:sz w:val="38"/>
                      </w:rPr>
                      <w:t> </w:t>
                    </w:r>
                    <w:r>
                      <w:rPr>
                        <w:color w:val="632423"/>
                        <w:w w:val="80"/>
                        <w:sz w:val="38"/>
                      </w:rPr>
                      <w:t>derivados</w:t>
                    </w:r>
                    <w:r>
                      <w:rPr>
                        <w:color w:val="632423"/>
                        <w:spacing w:val="-50"/>
                        <w:w w:val="80"/>
                        <w:sz w:val="38"/>
                      </w:rPr>
                      <w:t> </w:t>
                    </w:r>
                    <w:r>
                      <w:rPr>
                        <w:color w:val="632423"/>
                        <w:w w:val="80"/>
                        <w:sz w:val="38"/>
                      </w:rPr>
                      <w:t>de</w:t>
                    </w:r>
                    <w:r>
                      <w:rPr>
                        <w:color w:val="632423"/>
                        <w:spacing w:val="-51"/>
                        <w:w w:val="80"/>
                        <w:sz w:val="38"/>
                      </w:rPr>
                      <w:t> </w:t>
                    </w:r>
                    <w:r>
                      <w:rPr>
                        <w:color w:val="632423"/>
                        <w:w w:val="80"/>
                        <w:sz w:val="38"/>
                      </w:rPr>
                      <w:t>la</w:t>
                    </w:r>
                    <w:r>
                      <w:rPr>
                        <w:color w:val="632423"/>
                        <w:spacing w:val="-51"/>
                        <w:w w:val="80"/>
                        <w:sz w:val="38"/>
                      </w:rPr>
                      <w:t> </w:t>
                    </w:r>
                    <w:r>
                      <w:rPr>
                        <w:color w:val="632423"/>
                        <w:w w:val="80"/>
                        <w:sz w:val="38"/>
                      </w:rPr>
                      <w:t>fermentación</w:t>
                    </w:r>
                    <w:r>
                      <w:rPr>
                        <w:color w:val="632423"/>
                        <w:spacing w:val="-50"/>
                        <w:w w:val="80"/>
                        <w:sz w:val="38"/>
                      </w:rPr>
                      <w:t> </w:t>
                    </w:r>
                    <w:r>
                      <w:rPr>
                        <w:color w:val="632423"/>
                        <w:w w:val="80"/>
                        <w:sz w:val="38"/>
                      </w:rPr>
                      <w:t>entérica</w:t>
                    </w:r>
                    <w:r>
                      <w:rPr>
                        <w:color w:val="632423"/>
                        <w:spacing w:val="-51"/>
                        <w:w w:val="80"/>
                        <w:sz w:val="38"/>
                      </w:rPr>
                      <w:t> </w:t>
                    </w:r>
                    <w:r>
                      <w:rPr>
                        <w:color w:val="632423"/>
                        <w:w w:val="80"/>
                        <w:sz w:val="38"/>
                      </w:rPr>
                      <w:t>y</w:t>
                    </w:r>
                    <w:r>
                      <w:rPr>
                        <w:color w:val="632423"/>
                        <w:spacing w:val="-51"/>
                        <w:w w:val="80"/>
                        <w:sz w:val="38"/>
                      </w:rPr>
                      <w:t> </w:t>
                    </w:r>
                    <w:r>
                      <w:rPr>
                        <w:color w:val="632423"/>
                        <w:w w:val="80"/>
                        <w:sz w:val="38"/>
                      </w:rPr>
                      <w:t>de</w:t>
                    </w:r>
                    <w:r>
                      <w:rPr>
                        <w:color w:val="632423"/>
                        <w:spacing w:val="-49"/>
                        <w:w w:val="80"/>
                        <w:sz w:val="38"/>
                      </w:rPr>
                      <w:t> </w:t>
                    </w:r>
                    <w:r>
                      <w:rPr>
                        <w:color w:val="632423"/>
                        <w:w w:val="80"/>
                        <w:sz w:val="38"/>
                      </w:rPr>
                      <w:t>las</w:t>
                    </w:r>
                  </w:p>
                  <w:p>
                    <w:pPr>
                      <w:spacing w:before="0"/>
                      <w:ind w:left="0" w:right="144" w:firstLine="0"/>
                      <w:jc w:val="right"/>
                      <w:rPr>
                        <w:sz w:val="38"/>
                      </w:rPr>
                    </w:pPr>
                    <w:r>
                      <w:rPr>
                        <w:color w:val="632423"/>
                        <w:w w:val="75"/>
                        <w:sz w:val="38"/>
                      </w:rPr>
                      <w:t>excretas de animales”.</w:t>
                    </w:r>
                  </w:p>
                  <w:p>
                    <w:pPr>
                      <w:spacing w:before="257"/>
                      <w:ind w:left="0" w:right="140" w:firstLine="0"/>
                      <w:jc w:val="right"/>
                      <w:rPr>
                        <w:sz w:val="23"/>
                      </w:rPr>
                    </w:pPr>
                    <w:r>
                      <w:rPr>
                        <w:color w:val="632423"/>
                        <w:w w:val="75"/>
                        <w:sz w:val="23"/>
                      </w:rPr>
                      <w:t>SEMARNAT (2010)</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line="244" w:lineRule="auto" w:before="177" w:after="10"/>
        <w:ind w:left="2078" w:right="302"/>
      </w:pPr>
      <w:r>
        <w:rPr/>
        <w:pict>
          <v:group style="position:absolute;margin-left:86.392433pt;margin-top:-70.955315pt;width:89.8pt;height:189.95pt;mso-position-horizontal-relative:page;mso-position-vertical-relative:paragraph;z-index:1936" coordorigin="1728,-1419" coordsize="1796,3799">
            <v:shape style="position:absolute;left:1728;top:-1419;width:1795;height:3091" type="#_x0000_t75" stroked="false">
              <v:imagedata r:id="rId30" o:title=""/>
            </v:shape>
            <v:shape style="position:absolute;left:1728;top:-1419;width:1796;height:3799" type="#_x0000_t202" filled="false" stroked="false">
              <v:textbox inset="0,0,0,0">
                <w:txbxContent>
                  <w:p>
                    <w:pPr>
                      <w:spacing w:before="181"/>
                      <w:ind w:left="143" w:right="-17" w:firstLine="0"/>
                      <w:jc w:val="left"/>
                      <w:rPr>
                        <w:sz w:val="300"/>
                      </w:rPr>
                    </w:pPr>
                    <w:r>
                      <w:rPr>
                        <w:color w:val="943634"/>
                        <w:w w:val="99"/>
                        <w:sz w:val="300"/>
                      </w:rPr>
                      <w:t>3</w:t>
                    </w:r>
                  </w:p>
                </w:txbxContent>
              </v:textbox>
              <w10:wrap type="none"/>
            </v:shape>
            <w10:wrap type="none"/>
          </v:group>
        </w:pict>
      </w:r>
      <w:r>
        <w:rPr/>
        <w:t>Preguntas de investigación</w:t>
      </w:r>
    </w:p>
    <w:p>
      <w:pPr>
        <w:pStyle w:val="BodyText"/>
        <w:spacing w:line="120" w:lineRule="exact"/>
        <w:ind w:left="2051"/>
        <w:rPr>
          <w:sz w:val="12"/>
        </w:rPr>
      </w:pPr>
      <w:r>
        <w:rPr>
          <w:position w:val="-1"/>
          <w:sz w:val="12"/>
        </w:rPr>
        <w:pict>
          <v:group style="width:359.3pt;height:6pt;mso-position-horizontal-relative:char;mso-position-vertical-relative:line" coordorigin="0,0" coordsize="7186,120">
            <v:rect style="position:absolute;left:0;top:0;width:7186;height:120" filled="true" fillcolor="#943634" stroked="false">
              <v:fill type="solid"/>
            </v:rect>
          </v:group>
        </w:pict>
      </w:r>
      <w:r>
        <w:rPr>
          <w:position w:val="-1"/>
          <w:sz w:val="12"/>
        </w:rPr>
      </w:r>
    </w:p>
    <w:p>
      <w:pPr>
        <w:pStyle w:val="BodyText"/>
        <w:rPr>
          <w:b/>
          <w:sz w:val="20"/>
        </w:rPr>
      </w:pPr>
    </w:p>
    <w:p>
      <w:pPr>
        <w:pStyle w:val="BodyText"/>
        <w:rPr>
          <w:b/>
          <w:sz w:val="20"/>
        </w:rPr>
      </w:pPr>
    </w:p>
    <w:p>
      <w:pPr>
        <w:pStyle w:val="BodyText"/>
        <w:spacing w:before="7"/>
        <w:rPr>
          <w:b/>
          <w:sz w:val="26"/>
        </w:rPr>
      </w:pPr>
    </w:p>
    <w:p>
      <w:pPr>
        <w:pStyle w:val="BodyText"/>
        <w:spacing w:line="345" w:lineRule="auto" w:before="69"/>
        <w:ind w:left="376" w:right="144"/>
        <w:jc w:val="both"/>
      </w:pPr>
      <w:r>
        <w:rPr/>
        <w:t>¿Qué</w:t>
      </w:r>
      <w:r>
        <w:rPr>
          <w:spacing w:val="-4"/>
        </w:rPr>
        <w:t> </w:t>
      </w:r>
      <w:r>
        <w:rPr/>
        <w:t>cantidad</w:t>
      </w:r>
      <w:r>
        <w:rPr>
          <w:spacing w:val="-4"/>
        </w:rPr>
        <w:t> </w:t>
      </w:r>
      <w:r>
        <w:rPr/>
        <w:t>de</w:t>
      </w:r>
      <w:r>
        <w:rPr>
          <w:spacing w:val="-4"/>
        </w:rPr>
        <w:t> </w:t>
      </w:r>
      <w:r>
        <w:rPr/>
        <w:t>metano</w:t>
      </w:r>
      <w:r>
        <w:rPr>
          <w:spacing w:val="-4"/>
        </w:rPr>
        <w:t> </w:t>
      </w:r>
      <w:r>
        <w:rPr/>
        <w:t>entérico</w:t>
      </w:r>
      <w:r>
        <w:rPr>
          <w:spacing w:val="-4"/>
        </w:rPr>
        <w:t> </w:t>
      </w:r>
      <w:r>
        <w:rPr/>
        <w:t>emiten</w:t>
      </w:r>
      <w:r>
        <w:rPr>
          <w:spacing w:val="-4"/>
        </w:rPr>
        <w:t> </w:t>
      </w:r>
      <w:r>
        <w:rPr/>
        <w:t>los</w:t>
      </w:r>
      <w:r>
        <w:rPr>
          <w:spacing w:val="-4"/>
        </w:rPr>
        <w:t> </w:t>
      </w:r>
      <w:r>
        <w:rPr/>
        <w:t>bovinos</w:t>
      </w:r>
      <w:r>
        <w:rPr>
          <w:spacing w:val="-4"/>
        </w:rPr>
        <w:t> </w:t>
      </w:r>
      <w:r>
        <w:rPr/>
        <w:t>lecheros</w:t>
      </w:r>
      <w:r>
        <w:rPr>
          <w:spacing w:val="-4"/>
        </w:rPr>
        <w:t> </w:t>
      </w:r>
      <w:r>
        <w:rPr/>
        <w:t>en</w:t>
      </w:r>
      <w:r>
        <w:rPr>
          <w:spacing w:val="-4"/>
        </w:rPr>
        <w:t> </w:t>
      </w:r>
      <w:r>
        <w:rPr/>
        <w:t>cada</w:t>
      </w:r>
      <w:r>
        <w:rPr>
          <w:spacing w:val="-4"/>
        </w:rPr>
        <w:t> </w:t>
      </w:r>
      <w:r>
        <w:rPr/>
        <w:t>una</w:t>
      </w:r>
      <w:r>
        <w:rPr>
          <w:spacing w:val="-4"/>
        </w:rPr>
        <w:t> </w:t>
      </w:r>
      <w:r>
        <w:rPr/>
        <w:t>de</w:t>
      </w:r>
      <w:r>
        <w:rPr>
          <w:spacing w:val="-4"/>
        </w:rPr>
        <w:t> </w:t>
      </w:r>
      <w:r>
        <w:rPr/>
        <w:t>sus subcategorías</w:t>
      </w:r>
      <w:r>
        <w:rPr>
          <w:position w:val="11"/>
          <w:sz w:val="16"/>
        </w:rPr>
        <w:t>4 </w:t>
      </w:r>
      <w:r>
        <w:rPr/>
        <w:t>en el sistemas de producción lechera en pequeña escala en la</w:t>
      </w:r>
      <w:r>
        <w:rPr>
          <w:spacing w:val="-40"/>
        </w:rPr>
        <w:t> </w:t>
      </w:r>
      <w:r>
        <w:rPr/>
        <w:t>zona Sur Oriente del Estado de</w:t>
      </w:r>
      <w:r>
        <w:rPr>
          <w:spacing w:val="-1"/>
        </w:rPr>
        <w:t> </w:t>
      </w:r>
      <w:r>
        <w:rPr/>
        <w:t>México?</w:t>
      </w:r>
    </w:p>
    <w:p>
      <w:pPr>
        <w:pStyle w:val="BodyText"/>
        <w:spacing w:line="360" w:lineRule="auto" w:before="19"/>
        <w:ind w:left="376" w:right="144"/>
        <w:jc w:val="both"/>
      </w:pPr>
      <w:r>
        <w:rPr/>
        <w:t>¿Cuál es el Factor de Conversión de Metano (Ym) resultante de la pérdida de energía consumida de las dietas empleadas en los bovinos lecheros en el</w:t>
      </w:r>
      <w:r>
        <w:rPr>
          <w:spacing w:val="-37"/>
        </w:rPr>
        <w:t> </w:t>
      </w:r>
      <w:r>
        <w:rPr/>
        <w:t>sistemas de producción lechera en pequeña escala en la</w:t>
      </w:r>
      <w:r>
        <w:rPr>
          <w:spacing w:val="-2"/>
        </w:rPr>
        <w:t> </w:t>
      </w:r>
      <w:r>
        <w:rPr/>
        <w:t>región?</w:t>
      </w: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1888;mso-wrap-distance-left:0;mso-wrap-distance-right:0" from="99.832428pt,12.635859pt" to="243.832398pt,12.635859pt" stroked="true" strokeweight=".48pt" strokecolor="#000000">
            <w10:wrap type="topAndBottom"/>
          </v:line>
        </w:pict>
      </w:r>
    </w:p>
    <w:p>
      <w:pPr>
        <w:pStyle w:val="BodyText"/>
        <w:spacing w:before="10"/>
        <w:rPr>
          <w:sz w:val="20"/>
        </w:rPr>
      </w:pPr>
    </w:p>
    <w:p>
      <w:pPr>
        <w:spacing w:line="247" w:lineRule="auto" w:before="78"/>
        <w:ind w:left="376" w:right="144" w:firstLine="0"/>
        <w:jc w:val="both"/>
        <w:rPr>
          <w:rFonts w:ascii="Calibri" w:hAnsi="Calibri"/>
          <w:sz w:val="19"/>
        </w:rPr>
      </w:pPr>
      <w:r>
        <w:rPr>
          <w:rFonts w:ascii="Calibri" w:hAnsi="Calibri"/>
          <w:w w:val="105"/>
          <w:position w:val="10"/>
          <w:sz w:val="13"/>
        </w:rPr>
        <w:t>4 </w:t>
      </w:r>
      <w:r>
        <w:rPr>
          <w:rFonts w:ascii="Calibri" w:hAnsi="Calibri"/>
          <w:w w:val="105"/>
          <w:sz w:val="19"/>
        </w:rPr>
        <w:t>La población del hato ganadero se clasifica en subcategorías de acuerdo a su estado fisiológico, tomando en cuenta</w:t>
      </w:r>
      <w:r>
        <w:rPr>
          <w:rFonts w:ascii="Calibri" w:hAnsi="Calibri"/>
          <w:spacing w:val="-5"/>
          <w:w w:val="105"/>
          <w:sz w:val="19"/>
        </w:rPr>
        <w:t> </w:t>
      </w:r>
      <w:r>
        <w:rPr>
          <w:rFonts w:ascii="Calibri" w:hAnsi="Calibri"/>
          <w:w w:val="105"/>
          <w:sz w:val="19"/>
        </w:rPr>
        <w:t>edad,</w:t>
      </w:r>
      <w:r>
        <w:rPr>
          <w:rFonts w:ascii="Calibri" w:hAnsi="Calibri"/>
          <w:spacing w:val="-6"/>
          <w:w w:val="105"/>
          <w:sz w:val="19"/>
        </w:rPr>
        <w:t> </w:t>
      </w:r>
      <w:r>
        <w:rPr>
          <w:rFonts w:ascii="Calibri" w:hAnsi="Calibri"/>
          <w:w w:val="105"/>
          <w:sz w:val="19"/>
        </w:rPr>
        <w:t>sexo,</w:t>
      </w:r>
      <w:r>
        <w:rPr>
          <w:rFonts w:ascii="Calibri" w:hAnsi="Calibri"/>
          <w:spacing w:val="-6"/>
          <w:w w:val="105"/>
          <w:sz w:val="19"/>
        </w:rPr>
        <w:t> </w:t>
      </w:r>
      <w:r>
        <w:rPr>
          <w:rFonts w:ascii="Calibri" w:hAnsi="Calibri"/>
          <w:w w:val="105"/>
          <w:sz w:val="19"/>
        </w:rPr>
        <w:t>tipo</w:t>
      </w:r>
      <w:r>
        <w:rPr>
          <w:rFonts w:ascii="Calibri" w:hAnsi="Calibri"/>
          <w:spacing w:val="-5"/>
          <w:w w:val="105"/>
          <w:sz w:val="19"/>
        </w:rPr>
        <w:t> </w:t>
      </w:r>
      <w:r>
        <w:rPr>
          <w:rFonts w:ascii="Calibri" w:hAnsi="Calibri"/>
          <w:w w:val="105"/>
          <w:sz w:val="19"/>
        </w:rPr>
        <w:t>de</w:t>
      </w:r>
      <w:r>
        <w:rPr>
          <w:rFonts w:ascii="Calibri" w:hAnsi="Calibri"/>
          <w:spacing w:val="-5"/>
          <w:w w:val="105"/>
          <w:sz w:val="19"/>
        </w:rPr>
        <w:t> </w:t>
      </w:r>
      <w:r>
        <w:rPr>
          <w:rFonts w:ascii="Calibri" w:hAnsi="Calibri"/>
          <w:w w:val="105"/>
          <w:sz w:val="19"/>
        </w:rPr>
        <w:t>producción,</w:t>
      </w:r>
      <w:r>
        <w:rPr>
          <w:rFonts w:ascii="Calibri" w:hAnsi="Calibri"/>
          <w:spacing w:val="-6"/>
          <w:w w:val="105"/>
          <w:sz w:val="19"/>
        </w:rPr>
        <w:t> </w:t>
      </w:r>
      <w:r>
        <w:rPr>
          <w:rFonts w:ascii="Calibri" w:hAnsi="Calibri"/>
          <w:w w:val="105"/>
          <w:sz w:val="19"/>
        </w:rPr>
        <w:t>etc.,</w:t>
      </w:r>
      <w:r>
        <w:rPr>
          <w:rFonts w:ascii="Calibri" w:hAnsi="Calibri"/>
          <w:spacing w:val="-6"/>
          <w:w w:val="105"/>
          <w:sz w:val="19"/>
        </w:rPr>
        <w:t> </w:t>
      </w:r>
      <w:r>
        <w:rPr>
          <w:rFonts w:ascii="Calibri" w:hAnsi="Calibri"/>
          <w:w w:val="105"/>
          <w:sz w:val="19"/>
        </w:rPr>
        <w:t>como</w:t>
      </w:r>
      <w:r>
        <w:rPr>
          <w:rFonts w:ascii="Calibri" w:hAnsi="Calibri"/>
          <w:spacing w:val="-5"/>
          <w:w w:val="105"/>
          <w:sz w:val="19"/>
        </w:rPr>
        <w:t> </w:t>
      </w:r>
      <w:r>
        <w:rPr>
          <w:rFonts w:ascii="Calibri" w:hAnsi="Calibri"/>
          <w:w w:val="105"/>
          <w:sz w:val="19"/>
        </w:rPr>
        <w:t>una</w:t>
      </w:r>
      <w:r>
        <w:rPr>
          <w:rFonts w:ascii="Calibri" w:hAnsi="Calibri"/>
          <w:spacing w:val="-4"/>
          <w:w w:val="105"/>
          <w:sz w:val="19"/>
        </w:rPr>
        <w:t> </w:t>
      </w:r>
      <w:r>
        <w:rPr>
          <w:rFonts w:ascii="Calibri" w:hAnsi="Calibri"/>
          <w:i/>
          <w:w w:val="105"/>
          <w:sz w:val="19"/>
        </w:rPr>
        <w:t>buena</w:t>
      </w:r>
      <w:r>
        <w:rPr>
          <w:rFonts w:ascii="Calibri" w:hAnsi="Calibri"/>
          <w:i/>
          <w:spacing w:val="-5"/>
          <w:w w:val="105"/>
          <w:sz w:val="19"/>
        </w:rPr>
        <w:t> </w:t>
      </w:r>
      <w:r>
        <w:rPr>
          <w:rFonts w:ascii="Calibri" w:hAnsi="Calibri"/>
          <w:i/>
          <w:w w:val="105"/>
          <w:sz w:val="19"/>
        </w:rPr>
        <w:t>práctica</w:t>
      </w:r>
      <w:r>
        <w:rPr>
          <w:rFonts w:ascii="Calibri" w:hAnsi="Calibri"/>
          <w:i/>
          <w:spacing w:val="-5"/>
          <w:w w:val="105"/>
          <w:sz w:val="19"/>
        </w:rPr>
        <w:t> </w:t>
      </w:r>
      <w:r>
        <w:rPr>
          <w:rFonts w:ascii="Calibri" w:hAnsi="Calibri"/>
          <w:w w:val="105"/>
          <w:sz w:val="19"/>
        </w:rPr>
        <w:t>para</w:t>
      </w:r>
      <w:r>
        <w:rPr>
          <w:rFonts w:ascii="Calibri" w:hAnsi="Calibri"/>
          <w:spacing w:val="-5"/>
          <w:w w:val="105"/>
          <w:sz w:val="19"/>
        </w:rPr>
        <w:t> </w:t>
      </w:r>
      <w:r>
        <w:rPr>
          <w:rFonts w:ascii="Calibri" w:hAnsi="Calibri"/>
          <w:w w:val="105"/>
          <w:sz w:val="19"/>
        </w:rPr>
        <w:t>la</w:t>
      </w:r>
      <w:r>
        <w:rPr>
          <w:rFonts w:ascii="Calibri" w:hAnsi="Calibri"/>
          <w:spacing w:val="-5"/>
          <w:w w:val="105"/>
          <w:sz w:val="19"/>
        </w:rPr>
        <w:t> </w:t>
      </w:r>
      <w:r>
        <w:rPr>
          <w:rFonts w:ascii="Calibri" w:hAnsi="Calibri"/>
          <w:w w:val="105"/>
          <w:sz w:val="19"/>
        </w:rPr>
        <w:t>estimación</w:t>
      </w:r>
      <w:r>
        <w:rPr>
          <w:rFonts w:ascii="Calibri" w:hAnsi="Calibri"/>
          <w:spacing w:val="-5"/>
          <w:w w:val="105"/>
          <w:sz w:val="19"/>
        </w:rPr>
        <w:t> </w:t>
      </w:r>
      <w:r>
        <w:rPr>
          <w:rFonts w:ascii="Calibri" w:hAnsi="Calibri"/>
          <w:w w:val="105"/>
          <w:sz w:val="19"/>
        </w:rPr>
        <w:t>de</w:t>
      </w:r>
      <w:r>
        <w:rPr>
          <w:rFonts w:ascii="Calibri" w:hAnsi="Calibri"/>
          <w:spacing w:val="-5"/>
          <w:w w:val="105"/>
          <w:sz w:val="19"/>
        </w:rPr>
        <w:t> </w:t>
      </w:r>
      <w:r>
        <w:rPr>
          <w:rFonts w:ascii="Calibri" w:hAnsi="Calibri"/>
          <w:w w:val="105"/>
          <w:sz w:val="19"/>
        </w:rPr>
        <w:t>la</w:t>
      </w:r>
      <w:r>
        <w:rPr>
          <w:rFonts w:ascii="Calibri" w:hAnsi="Calibri"/>
          <w:spacing w:val="-5"/>
          <w:w w:val="105"/>
          <w:sz w:val="19"/>
        </w:rPr>
        <w:t> </w:t>
      </w:r>
      <w:r>
        <w:rPr>
          <w:rFonts w:ascii="Calibri" w:hAnsi="Calibri"/>
          <w:w w:val="105"/>
          <w:sz w:val="19"/>
        </w:rPr>
        <w:t>emisión</w:t>
      </w:r>
      <w:r>
        <w:rPr>
          <w:rFonts w:ascii="Calibri" w:hAnsi="Calibri"/>
          <w:spacing w:val="-5"/>
          <w:w w:val="105"/>
          <w:sz w:val="19"/>
        </w:rPr>
        <w:t> </w:t>
      </w:r>
      <w:r>
        <w:rPr>
          <w:rFonts w:ascii="Calibri" w:hAnsi="Calibri"/>
          <w:w w:val="105"/>
          <w:sz w:val="19"/>
        </w:rPr>
        <w:t>de</w:t>
      </w:r>
      <w:r>
        <w:rPr>
          <w:rFonts w:ascii="Calibri" w:hAnsi="Calibri"/>
          <w:spacing w:val="-5"/>
          <w:w w:val="105"/>
          <w:sz w:val="19"/>
        </w:rPr>
        <w:t> </w:t>
      </w:r>
      <w:r>
        <w:rPr>
          <w:rFonts w:ascii="Calibri" w:hAnsi="Calibri"/>
          <w:w w:val="105"/>
          <w:sz w:val="19"/>
        </w:rPr>
        <w:t>CH</w:t>
      </w:r>
      <w:r>
        <w:rPr>
          <w:rFonts w:ascii="Calibri" w:hAnsi="Calibri"/>
          <w:w w:val="105"/>
          <w:position w:val="-2"/>
          <w:sz w:val="13"/>
        </w:rPr>
        <w:t>4 </w:t>
      </w:r>
      <w:r>
        <w:rPr>
          <w:rFonts w:ascii="Calibri" w:hAnsi="Calibri"/>
          <w:w w:val="105"/>
          <w:sz w:val="19"/>
        </w:rPr>
        <w:t>y N</w:t>
      </w:r>
      <w:r>
        <w:rPr>
          <w:rFonts w:ascii="Calibri" w:hAnsi="Calibri"/>
          <w:w w:val="105"/>
          <w:position w:val="-2"/>
          <w:sz w:val="13"/>
        </w:rPr>
        <w:t>2</w:t>
      </w:r>
      <w:r>
        <w:rPr>
          <w:rFonts w:ascii="Calibri" w:hAnsi="Calibri"/>
          <w:w w:val="105"/>
          <w:sz w:val="19"/>
        </w:rPr>
        <w:t>O de acuerdo a la metodología del IPCC</w:t>
      </w:r>
      <w:r>
        <w:rPr>
          <w:rFonts w:ascii="Calibri" w:hAnsi="Calibri"/>
          <w:spacing w:val="-19"/>
          <w:w w:val="105"/>
          <w:sz w:val="19"/>
        </w:rPr>
        <w:t> </w:t>
      </w:r>
      <w:r>
        <w:rPr>
          <w:rFonts w:ascii="Calibri" w:hAnsi="Calibri"/>
          <w:w w:val="105"/>
          <w:sz w:val="19"/>
        </w:rPr>
        <w:t>(2006).</w:t>
      </w:r>
    </w:p>
    <w:p>
      <w:pPr>
        <w:spacing w:after="0" w:line="247" w:lineRule="auto"/>
        <w:jc w:val="both"/>
        <w:rPr>
          <w:rFonts w:ascii="Calibri" w:hAnsi="Calibri"/>
          <w:sz w:val="19"/>
        </w:rPr>
        <w:sectPr>
          <w:headerReference w:type="default" r:id="rId39"/>
          <w:footerReference w:type="default" r:id="rId40"/>
          <w:pgSz w:w="12240" w:h="15840"/>
          <w:pgMar w:header="741" w:footer="739" w:top="1220" w:bottom="920" w:left="1620" w:right="1260"/>
          <w:pgNumType w:start="21"/>
        </w:sectPr>
      </w:pPr>
    </w:p>
    <w:p>
      <w:pPr>
        <w:pStyle w:val="BodyText"/>
        <w:spacing w:before="8"/>
        <w:rPr>
          <w:rFonts w:ascii="Calibri"/>
          <w:sz w:val="22"/>
        </w:rPr>
      </w:pPr>
    </w:p>
    <w:p>
      <w:pPr>
        <w:pStyle w:val="BodyText"/>
        <w:ind w:left="1102"/>
        <w:rPr>
          <w:rFonts w:ascii="Calibri"/>
          <w:sz w:val="20"/>
        </w:rPr>
      </w:pPr>
      <w:r>
        <w:rPr>
          <w:rFonts w:ascii="Calibri"/>
          <w:sz w:val="20"/>
        </w:rPr>
        <w:pict>
          <v:group style="width:412.35pt;height:201.85pt;mso-position-horizontal-relative:char;mso-position-vertical-relative:line" coordorigin="0,0" coordsize="8247,4037">
            <v:shape style="position:absolute;left:0;top:0;width:8246;height:4037" type="#_x0000_t75" stroked="false">
              <v:imagedata r:id="rId41" o:title=""/>
            </v:shape>
            <v:shape style="position:absolute;left:432;top:5;width:211;height:557" type="#_x0000_t75" stroked="false">
              <v:imagedata r:id="rId42" o:title=""/>
            </v:shape>
            <v:shape style="position:absolute;left:710;top:5;width:211;height:557" type="#_x0000_t75" stroked="false">
              <v:imagedata r:id="rId16" o:title=""/>
            </v:shape>
            <v:shape style="position:absolute;left:0;top:0;width:8247;height:4037" type="#_x0000_t202" filled="false" stroked="false">
              <v:textbox inset="0,0,0,0">
                <w:txbxContent>
                  <w:p>
                    <w:pPr>
                      <w:spacing w:line="240" w:lineRule="auto" w:before="11"/>
                      <w:rPr>
                        <w:rFonts w:ascii="Calibri"/>
                        <w:sz w:val="45"/>
                      </w:rPr>
                    </w:pPr>
                  </w:p>
                  <w:p>
                    <w:pPr>
                      <w:spacing w:line="244" w:lineRule="auto" w:before="0"/>
                      <w:ind w:left="480" w:right="141" w:firstLine="921"/>
                      <w:jc w:val="both"/>
                      <w:rPr>
                        <w:sz w:val="38"/>
                      </w:rPr>
                    </w:pPr>
                    <w:r>
                      <w:rPr>
                        <w:color w:val="632423"/>
                        <w:w w:val="80"/>
                        <w:sz w:val="38"/>
                      </w:rPr>
                      <w:t>El</w:t>
                    </w:r>
                    <w:r>
                      <w:rPr>
                        <w:color w:val="632423"/>
                        <w:spacing w:val="-57"/>
                        <w:w w:val="80"/>
                        <w:sz w:val="38"/>
                      </w:rPr>
                      <w:t> </w:t>
                    </w:r>
                    <w:r>
                      <w:rPr>
                        <w:color w:val="632423"/>
                        <w:w w:val="80"/>
                        <w:sz w:val="38"/>
                      </w:rPr>
                      <w:t>CH</w:t>
                    </w:r>
                    <w:r>
                      <w:rPr>
                        <w:color w:val="632423"/>
                        <w:w w:val="80"/>
                        <w:position w:val="-3"/>
                        <w:sz w:val="25"/>
                      </w:rPr>
                      <w:t>4</w:t>
                    </w:r>
                    <w:r>
                      <w:rPr>
                        <w:color w:val="632423"/>
                        <w:spacing w:val="-38"/>
                        <w:w w:val="80"/>
                        <w:position w:val="-3"/>
                        <w:sz w:val="25"/>
                      </w:rPr>
                      <w:t> </w:t>
                    </w:r>
                    <w:r>
                      <w:rPr>
                        <w:color w:val="632423"/>
                        <w:w w:val="80"/>
                        <w:sz w:val="38"/>
                      </w:rPr>
                      <w:t>procedente</w:t>
                    </w:r>
                    <w:r>
                      <w:rPr>
                        <w:color w:val="632423"/>
                        <w:spacing w:val="-57"/>
                        <w:w w:val="80"/>
                        <w:sz w:val="38"/>
                      </w:rPr>
                      <w:t> </w:t>
                    </w:r>
                    <w:r>
                      <w:rPr>
                        <w:color w:val="632423"/>
                        <w:w w:val="80"/>
                        <w:sz w:val="38"/>
                      </w:rPr>
                      <w:t>de</w:t>
                    </w:r>
                    <w:r>
                      <w:rPr>
                        <w:color w:val="632423"/>
                        <w:spacing w:val="-57"/>
                        <w:w w:val="80"/>
                        <w:sz w:val="38"/>
                      </w:rPr>
                      <w:t> </w:t>
                    </w:r>
                    <w:r>
                      <w:rPr>
                        <w:color w:val="632423"/>
                        <w:w w:val="80"/>
                        <w:sz w:val="38"/>
                      </w:rPr>
                      <w:t>la</w:t>
                    </w:r>
                    <w:r>
                      <w:rPr>
                        <w:color w:val="632423"/>
                        <w:spacing w:val="-57"/>
                        <w:w w:val="80"/>
                        <w:sz w:val="38"/>
                      </w:rPr>
                      <w:t> </w:t>
                    </w:r>
                    <w:r>
                      <w:rPr>
                        <w:color w:val="632423"/>
                        <w:w w:val="80"/>
                        <w:sz w:val="38"/>
                      </w:rPr>
                      <w:t>fermentación</w:t>
                    </w:r>
                    <w:r>
                      <w:rPr>
                        <w:color w:val="632423"/>
                        <w:spacing w:val="-57"/>
                        <w:w w:val="80"/>
                        <w:sz w:val="38"/>
                      </w:rPr>
                      <w:t> </w:t>
                    </w:r>
                    <w:r>
                      <w:rPr>
                        <w:color w:val="632423"/>
                        <w:w w:val="80"/>
                        <w:sz w:val="38"/>
                      </w:rPr>
                      <w:t>enterica</w:t>
                    </w:r>
                    <w:r>
                      <w:rPr>
                        <w:color w:val="632423"/>
                        <w:spacing w:val="-57"/>
                        <w:w w:val="80"/>
                        <w:sz w:val="38"/>
                      </w:rPr>
                      <w:t> </w:t>
                    </w:r>
                    <w:r>
                      <w:rPr>
                        <w:color w:val="632423"/>
                        <w:w w:val="80"/>
                        <w:sz w:val="38"/>
                      </w:rPr>
                      <w:t>de</w:t>
                    </w:r>
                    <w:r>
                      <w:rPr>
                        <w:color w:val="632423"/>
                        <w:spacing w:val="-57"/>
                        <w:w w:val="80"/>
                        <w:sz w:val="38"/>
                      </w:rPr>
                      <w:t> </w:t>
                    </w:r>
                    <w:r>
                      <w:rPr>
                        <w:color w:val="632423"/>
                        <w:w w:val="80"/>
                        <w:sz w:val="38"/>
                      </w:rPr>
                      <w:t>los rumiantes</w:t>
                    </w:r>
                    <w:r>
                      <w:rPr>
                        <w:color w:val="632423"/>
                        <w:spacing w:val="-46"/>
                        <w:w w:val="80"/>
                        <w:sz w:val="38"/>
                      </w:rPr>
                      <w:t> </w:t>
                    </w:r>
                    <w:r>
                      <w:rPr>
                        <w:color w:val="632423"/>
                        <w:w w:val="80"/>
                        <w:sz w:val="38"/>
                      </w:rPr>
                      <w:t>se</w:t>
                    </w:r>
                    <w:r>
                      <w:rPr>
                        <w:color w:val="632423"/>
                        <w:spacing w:val="-46"/>
                        <w:w w:val="80"/>
                        <w:sz w:val="38"/>
                      </w:rPr>
                      <w:t> </w:t>
                    </w:r>
                    <w:r>
                      <w:rPr>
                        <w:color w:val="632423"/>
                        <w:w w:val="80"/>
                        <w:sz w:val="38"/>
                      </w:rPr>
                      <w:t>calcula</w:t>
                    </w:r>
                    <w:r>
                      <w:rPr>
                        <w:color w:val="632423"/>
                        <w:spacing w:val="-46"/>
                        <w:w w:val="80"/>
                        <w:sz w:val="38"/>
                      </w:rPr>
                      <w:t> </w:t>
                    </w:r>
                    <w:r>
                      <w:rPr>
                        <w:color w:val="632423"/>
                        <w:w w:val="80"/>
                        <w:sz w:val="38"/>
                      </w:rPr>
                      <w:t>multiplicando</w:t>
                    </w:r>
                    <w:r>
                      <w:rPr>
                        <w:color w:val="632423"/>
                        <w:spacing w:val="-46"/>
                        <w:w w:val="80"/>
                        <w:sz w:val="38"/>
                      </w:rPr>
                      <w:t> </w:t>
                    </w:r>
                    <w:r>
                      <w:rPr>
                        <w:color w:val="632423"/>
                        <w:w w:val="80"/>
                        <w:sz w:val="38"/>
                      </w:rPr>
                      <w:t>el</w:t>
                    </w:r>
                    <w:r>
                      <w:rPr>
                        <w:color w:val="632423"/>
                        <w:spacing w:val="-46"/>
                        <w:w w:val="80"/>
                        <w:sz w:val="38"/>
                      </w:rPr>
                      <w:t> </w:t>
                    </w:r>
                    <w:r>
                      <w:rPr>
                        <w:color w:val="632423"/>
                        <w:w w:val="80"/>
                        <w:sz w:val="38"/>
                      </w:rPr>
                      <w:t>numero</w:t>
                    </w:r>
                    <w:r>
                      <w:rPr>
                        <w:color w:val="632423"/>
                        <w:spacing w:val="-45"/>
                        <w:w w:val="80"/>
                        <w:sz w:val="38"/>
                      </w:rPr>
                      <w:t> </w:t>
                    </w:r>
                    <w:r>
                      <w:rPr>
                        <w:color w:val="632423"/>
                        <w:w w:val="80"/>
                        <w:sz w:val="38"/>
                      </w:rPr>
                      <w:t>de</w:t>
                    </w:r>
                    <w:r>
                      <w:rPr>
                        <w:color w:val="632423"/>
                        <w:spacing w:val="-46"/>
                        <w:w w:val="80"/>
                        <w:sz w:val="38"/>
                      </w:rPr>
                      <w:t> </w:t>
                    </w:r>
                    <w:r>
                      <w:rPr>
                        <w:color w:val="632423"/>
                        <w:w w:val="80"/>
                        <w:sz w:val="38"/>
                      </w:rPr>
                      <w:t>animales </w:t>
                    </w:r>
                    <w:r>
                      <w:rPr>
                        <w:color w:val="632423"/>
                        <w:w w:val="85"/>
                        <w:sz w:val="38"/>
                      </w:rPr>
                      <w:t>que</w:t>
                    </w:r>
                    <w:r>
                      <w:rPr>
                        <w:color w:val="632423"/>
                        <w:spacing w:val="-69"/>
                        <w:w w:val="85"/>
                        <w:sz w:val="38"/>
                      </w:rPr>
                      <w:t> </w:t>
                    </w:r>
                    <w:r>
                      <w:rPr>
                        <w:color w:val="632423"/>
                        <w:w w:val="85"/>
                        <w:sz w:val="38"/>
                      </w:rPr>
                      <w:t>emiten</w:t>
                    </w:r>
                    <w:r>
                      <w:rPr>
                        <w:color w:val="632423"/>
                        <w:spacing w:val="-68"/>
                        <w:w w:val="85"/>
                        <w:sz w:val="38"/>
                      </w:rPr>
                      <w:t> </w:t>
                    </w:r>
                    <w:r>
                      <w:rPr>
                        <w:color w:val="632423"/>
                        <w:w w:val="85"/>
                        <w:sz w:val="38"/>
                      </w:rPr>
                      <w:t>dicho</w:t>
                    </w:r>
                    <w:r>
                      <w:rPr>
                        <w:color w:val="632423"/>
                        <w:spacing w:val="-68"/>
                        <w:w w:val="85"/>
                        <w:sz w:val="38"/>
                      </w:rPr>
                      <w:t> </w:t>
                    </w:r>
                    <w:r>
                      <w:rPr>
                        <w:color w:val="632423"/>
                        <w:w w:val="85"/>
                        <w:sz w:val="38"/>
                      </w:rPr>
                      <w:t>gas</w:t>
                    </w:r>
                    <w:r>
                      <w:rPr>
                        <w:color w:val="632423"/>
                        <w:spacing w:val="-68"/>
                        <w:w w:val="85"/>
                        <w:sz w:val="38"/>
                      </w:rPr>
                      <w:t> </w:t>
                    </w:r>
                    <w:r>
                      <w:rPr>
                        <w:color w:val="632423"/>
                        <w:w w:val="85"/>
                        <w:sz w:val="38"/>
                      </w:rPr>
                      <w:t>por</w:t>
                    </w:r>
                    <w:r>
                      <w:rPr>
                        <w:color w:val="632423"/>
                        <w:spacing w:val="-69"/>
                        <w:w w:val="85"/>
                        <w:sz w:val="38"/>
                      </w:rPr>
                      <w:t> </w:t>
                    </w:r>
                    <w:r>
                      <w:rPr>
                        <w:color w:val="632423"/>
                        <w:w w:val="85"/>
                        <w:sz w:val="38"/>
                      </w:rPr>
                      <w:t>un</w:t>
                    </w:r>
                    <w:r>
                      <w:rPr>
                        <w:color w:val="632423"/>
                        <w:spacing w:val="-68"/>
                        <w:w w:val="85"/>
                        <w:sz w:val="38"/>
                      </w:rPr>
                      <w:t> </w:t>
                    </w:r>
                    <w:r>
                      <w:rPr>
                        <w:color w:val="632423"/>
                        <w:w w:val="85"/>
                        <w:sz w:val="38"/>
                      </w:rPr>
                      <w:t>factor</w:t>
                    </w:r>
                    <w:r>
                      <w:rPr>
                        <w:color w:val="632423"/>
                        <w:spacing w:val="-69"/>
                        <w:w w:val="85"/>
                        <w:sz w:val="38"/>
                      </w:rPr>
                      <w:t> </w:t>
                    </w:r>
                    <w:r>
                      <w:rPr>
                        <w:color w:val="632423"/>
                        <w:w w:val="85"/>
                        <w:sz w:val="38"/>
                      </w:rPr>
                      <w:t>de</w:t>
                    </w:r>
                    <w:r>
                      <w:rPr>
                        <w:color w:val="632423"/>
                        <w:spacing w:val="-67"/>
                        <w:w w:val="85"/>
                        <w:sz w:val="38"/>
                      </w:rPr>
                      <w:t> </w:t>
                    </w:r>
                    <w:r>
                      <w:rPr>
                        <w:color w:val="632423"/>
                        <w:w w:val="85"/>
                        <w:sz w:val="38"/>
                      </w:rPr>
                      <w:t>emision</w:t>
                    </w:r>
                    <w:r>
                      <w:rPr>
                        <w:color w:val="632423"/>
                        <w:spacing w:val="-68"/>
                        <w:w w:val="85"/>
                        <w:sz w:val="38"/>
                      </w:rPr>
                      <w:t> </w:t>
                    </w:r>
                    <w:r>
                      <w:rPr>
                        <w:color w:val="632423"/>
                        <w:w w:val="85"/>
                        <w:sz w:val="38"/>
                      </w:rPr>
                      <w:t>(FE)</w:t>
                    </w:r>
                    <w:r>
                      <w:rPr>
                        <w:color w:val="632423"/>
                        <w:spacing w:val="-68"/>
                        <w:w w:val="85"/>
                        <w:sz w:val="38"/>
                      </w:rPr>
                      <w:t> </w:t>
                    </w:r>
                    <w:r>
                      <w:rPr>
                        <w:color w:val="632423"/>
                        <w:w w:val="85"/>
                        <w:sz w:val="38"/>
                      </w:rPr>
                      <w:t>anual </w:t>
                    </w:r>
                    <w:r>
                      <w:rPr>
                        <w:color w:val="632423"/>
                        <w:w w:val="80"/>
                        <w:sz w:val="38"/>
                      </w:rPr>
                      <w:t>para</w:t>
                    </w:r>
                    <w:r>
                      <w:rPr>
                        <w:color w:val="632423"/>
                        <w:spacing w:val="-47"/>
                        <w:w w:val="80"/>
                        <w:sz w:val="38"/>
                      </w:rPr>
                      <w:t> </w:t>
                    </w:r>
                    <w:r>
                      <w:rPr>
                        <w:color w:val="632423"/>
                        <w:w w:val="80"/>
                        <w:sz w:val="38"/>
                      </w:rPr>
                      <w:t>el</w:t>
                    </w:r>
                    <w:r>
                      <w:rPr>
                        <w:color w:val="632423"/>
                        <w:spacing w:val="-48"/>
                        <w:w w:val="80"/>
                        <w:sz w:val="38"/>
                      </w:rPr>
                      <w:t> </w:t>
                    </w:r>
                    <w:r>
                      <w:rPr>
                        <w:color w:val="632423"/>
                        <w:w w:val="80"/>
                        <w:sz w:val="38"/>
                      </w:rPr>
                      <w:t>ganado</w:t>
                    </w:r>
                    <w:r>
                      <w:rPr>
                        <w:color w:val="632423"/>
                        <w:spacing w:val="-47"/>
                        <w:w w:val="80"/>
                        <w:sz w:val="38"/>
                      </w:rPr>
                      <w:t> </w:t>
                    </w:r>
                    <w:r>
                      <w:rPr>
                        <w:color w:val="632423"/>
                        <w:w w:val="80"/>
                        <w:sz w:val="38"/>
                      </w:rPr>
                      <w:t>bovino.</w:t>
                    </w:r>
                    <w:r>
                      <w:rPr>
                        <w:color w:val="632423"/>
                        <w:spacing w:val="-48"/>
                        <w:w w:val="80"/>
                        <w:sz w:val="38"/>
                      </w:rPr>
                      <w:t> </w:t>
                    </w:r>
                    <w:r>
                      <w:rPr>
                        <w:color w:val="632423"/>
                        <w:w w:val="80"/>
                        <w:sz w:val="38"/>
                      </w:rPr>
                      <w:t>Este</w:t>
                    </w:r>
                    <w:r>
                      <w:rPr>
                        <w:color w:val="632423"/>
                        <w:spacing w:val="-47"/>
                        <w:w w:val="80"/>
                        <w:sz w:val="38"/>
                      </w:rPr>
                      <w:t> </w:t>
                    </w:r>
                    <w:r>
                      <w:rPr>
                        <w:color w:val="632423"/>
                        <w:w w:val="80"/>
                        <w:sz w:val="38"/>
                      </w:rPr>
                      <w:t>FE,</w:t>
                    </w:r>
                    <w:r>
                      <w:rPr>
                        <w:color w:val="632423"/>
                        <w:spacing w:val="-48"/>
                        <w:w w:val="80"/>
                        <w:sz w:val="38"/>
                      </w:rPr>
                      <w:t> </w:t>
                    </w:r>
                    <w:r>
                      <w:rPr>
                        <w:color w:val="632423"/>
                        <w:w w:val="80"/>
                        <w:sz w:val="38"/>
                      </w:rPr>
                      <w:t>expresado</w:t>
                    </w:r>
                    <w:r>
                      <w:rPr>
                        <w:color w:val="632423"/>
                        <w:spacing w:val="-47"/>
                        <w:w w:val="80"/>
                        <w:sz w:val="38"/>
                      </w:rPr>
                      <w:t> </w:t>
                    </w:r>
                    <w:r>
                      <w:rPr>
                        <w:color w:val="632423"/>
                        <w:w w:val="80"/>
                        <w:sz w:val="38"/>
                      </w:rPr>
                      <w:t>en</w:t>
                    </w:r>
                    <w:r>
                      <w:rPr>
                        <w:color w:val="632423"/>
                        <w:spacing w:val="-47"/>
                        <w:w w:val="80"/>
                        <w:sz w:val="38"/>
                      </w:rPr>
                      <w:t> </w:t>
                    </w:r>
                    <w:r>
                      <w:rPr>
                        <w:color w:val="632423"/>
                        <w:w w:val="80"/>
                        <w:sz w:val="38"/>
                      </w:rPr>
                      <w:t>kilos</w:t>
                    </w:r>
                    <w:r>
                      <w:rPr>
                        <w:color w:val="632423"/>
                        <w:spacing w:val="-47"/>
                        <w:w w:val="80"/>
                        <w:sz w:val="38"/>
                      </w:rPr>
                      <w:t> </w:t>
                    </w:r>
                    <w:r>
                      <w:rPr>
                        <w:color w:val="632423"/>
                        <w:w w:val="80"/>
                        <w:sz w:val="38"/>
                      </w:rPr>
                      <w:t>de</w:t>
                    </w:r>
                    <w:r>
                      <w:rPr>
                        <w:color w:val="632423"/>
                        <w:spacing w:val="-47"/>
                        <w:w w:val="80"/>
                        <w:sz w:val="38"/>
                      </w:rPr>
                      <w:t> </w:t>
                    </w:r>
                    <w:r>
                      <w:rPr>
                        <w:color w:val="632423"/>
                        <w:w w:val="80"/>
                        <w:sz w:val="38"/>
                      </w:rPr>
                      <w:t>CH</w:t>
                    </w:r>
                    <w:r>
                      <w:rPr>
                        <w:color w:val="632423"/>
                        <w:w w:val="80"/>
                        <w:position w:val="-3"/>
                        <w:sz w:val="25"/>
                      </w:rPr>
                      <w:t>4 </w:t>
                    </w:r>
                    <w:r>
                      <w:rPr>
                        <w:color w:val="632423"/>
                        <w:w w:val="80"/>
                        <w:sz w:val="38"/>
                      </w:rPr>
                      <w:t>por</w:t>
                    </w:r>
                    <w:r>
                      <w:rPr>
                        <w:color w:val="632423"/>
                        <w:spacing w:val="-42"/>
                        <w:w w:val="80"/>
                        <w:sz w:val="38"/>
                      </w:rPr>
                      <w:t> </w:t>
                    </w:r>
                    <w:r>
                      <w:rPr>
                        <w:color w:val="632423"/>
                        <w:w w:val="80"/>
                        <w:sz w:val="38"/>
                      </w:rPr>
                      <w:t>cabeza</w:t>
                    </w:r>
                    <w:r>
                      <w:rPr>
                        <w:color w:val="632423"/>
                        <w:spacing w:val="-41"/>
                        <w:w w:val="80"/>
                        <w:sz w:val="38"/>
                      </w:rPr>
                      <w:t> </w:t>
                    </w:r>
                    <w:r>
                      <w:rPr>
                        <w:color w:val="632423"/>
                        <w:w w:val="80"/>
                        <w:sz w:val="38"/>
                      </w:rPr>
                      <w:t>y</w:t>
                    </w:r>
                    <w:r>
                      <w:rPr>
                        <w:color w:val="632423"/>
                        <w:spacing w:val="-41"/>
                        <w:w w:val="80"/>
                        <w:sz w:val="38"/>
                      </w:rPr>
                      <w:t> </w:t>
                    </w:r>
                    <w:r>
                      <w:rPr>
                        <w:color w:val="632423"/>
                        <w:w w:val="80"/>
                        <w:sz w:val="38"/>
                      </w:rPr>
                      <w:t>año,</w:t>
                    </w:r>
                    <w:r>
                      <w:rPr>
                        <w:color w:val="632423"/>
                        <w:spacing w:val="-42"/>
                        <w:w w:val="80"/>
                        <w:sz w:val="38"/>
                      </w:rPr>
                      <w:t> </w:t>
                    </w:r>
                    <w:r>
                      <w:rPr>
                        <w:color w:val="632423"/>
                        <w:w w:val="80"/>
                        <w:sz w:val="38"/>
                      </w:rPr>
                      <w:t>depende</w:t>
                    </w:r>
                    <w:r>
                      <w:rPr>
                        <w:color w:val="632423"/>
                        <w:spacing w:val="-41"/>
                        <w:w w:val="80"/>
                        <w:sz w:val="38"/>
                      </w:rPr>
                      <w:t> </w:t>
                    </w:r>
                    <w:r>
                      <w:rPr>
                        <w:color w:val="632423"/>
                        <w:w w:val="80"/>
                        <w:sz w:val="38"/>
                      </w:rPr>
                      <w:t>de</w:t>
                    </w:r>
                    <w:r>
                      <w:rPr>
                        <w:color w:val="632423"/>
                        <w:spacing w:val="-41"/>
                        <w:w w:val="80"/>
                        <w:sz w:val="38"/>
                      </w:rPr>
                      <w:t> </w:t>
                    </w:r>
                    <w:r>
                      <w:rPr>
                        <w:color w:val="632423"/>
                        <w:w w:val="80"/>
                        <w:sz w:val="38"/>
                      </w:rPr>
                      <w:t>la</w:t>
                    </w:r>
                    <w:r>
                      <w:rPr>
                        <w:color w:val="632423"/>
                        <w:spacing w:val="-39"/>
                        <w:w w:val="80"/>
                        <w:sz w:val="38"/>
                      </w:rPr>
                      <w:t> </w:t>
                    </w:r>
                    <w:r>
                      <w:rPr>
                        <w:color w:val="632423"/>
                        <w:w w:val="80"/>
                        <w:sz w:val="38"/>
                      </w:rPr>
                      <w:t>ingesta</w:t>
                    </w:r>
                    <w:r>
                      <w:rPr>
                        <w:color w:val="632423"/>
                        <w:spacing w:val="-41"/>
                        <w:w w:val="80"/>
                        <w:sz w:val="38"/>
                      </w:rPr>
                      <w:t> </w:t>
                    </w:r>
                    <w:r>
                      <w:rPr>
                        <w:color w:val="632423"/>
                        <w:w w:val="80"/>
                        <w:sz w:val="38"/>
                      </w:rPr>
                      <w:t>de</w:t>
                    </w:r>
                    <w:r>
                      <w:rPr>
                        <w:color w:val="632423"/>
                        <w:spacing w:val="-41"/>
                        <w:w w:val="80"/>
                        <w:sz w:val="38"/>
                      </w:rPr>
                      <w:t> </w:t>
                    </w:r>
                    <w:r>
                      <w:rPr>
                        <w:color w:val="632423"/>
                        <w:w w:val="80"/>
                        <w:sz w:val="38"/>
                      </w:rPr>
                      <w:t>energía</w:t>
                    </w:r>
                    <w:r>
                      <w:rPr>
                        <w:color w:val="632423"/>
                        <w:spacing w:val="-41"/>
                        <w:w w:val="80"/>
                        <w:sz w:val="38"/>
                      </w:rPr>
                      <w:t> </w:t>
                    </w:r>
                    <w:r>
                      <w:rPr>
                        <w:color w:val="632423"/>
                        <w:w w:val="80"/>
                        <w:sz w:val="38"/>
                      </w:rPr>
                      <w:t>bruta</w:t>
                    </w:r>
                    <w:r>
                      <w:rPr>
                        <w:color w:val="632423"/>
                        <w:spacing w:val="-41"/>
                        <w:w w:val="80"/>
                        <w:sz w:val="38"/>
                      </w:rPr>
                      <w:t> </w:t>
                    </w:r>
                    <w:r>
                      <w:rPr>
                        <w:color w:val="632423"/>
                        <w:w w:val="80"/>
                        <w:sz w:val="38"/>
                      </w:rPr>
                      <w:t>y</w:t>
                    </w:r>
                  </w:p>
                  <w:p>
                    <w:pPr>
                      <w:spacing w:line="446" w:lineRule="exact" w:before="0"/>
                      <w:ind w:left="0" w:right="139" w:firstLine="0"/>
                      <w:jc w:val="right"/>
                      <w:rPr>
                        <w:sz w:val="38"/>
                      </w:rPr>
                    </w:pPr>
                    <w:r>
                      <w:rPr>
                        <w:color w:val="632423"/>
                        <w:w w:val="75"/>
                        <w:sz w:val="38"/>
                      </w:rPr>
                      <w:t>del factor conversión de CH</w:t>
                    </w:r>
                    <w:r>
                      <w:rPr>
                        <w:color w:val="632423"/>
                        <w:w w:val="75"/>
                        <w:position w:val="-3"/>
                        <w:sz w:val="25"/>
                      </w:rPr>
                      <w:t>4 </w:t>
                    </w:r>
                    <w:r>
                      <w:rPr>
                        <w:color w:val="632423"/>
                        <w:w w:val="75"/>
                        <w:sz w:val="38"/>
                      </w:rPr>
                      <w:t>(YM)”.</w:t>
                    </w:r>
                  </w:p>
                  <w:p>
                    <w:pPr>
                      <w:spacing w:before="245"/>
                      <w:ind w:left="0" w:right="143" w:firstLine="0"/>
                      <w:jc w:val="right"/>
                      <w:rPr>
                        <w:sz w:val="23"/>
                      </w:rPr>
                    </w:pPr>
                    <w:r>
                      <w:rPr>
                        <w:color w:val="632423"/>
                        <w:w w:val="80"/>
                        <w:sz w:val="23"/>
                      </w:rPr>
                      <w:t>IPCC (2006)</w:t>
                    </w:r>
                  </w:p>
                </w:txbxContent>
              </v:textbox>
              <w10:wrap type="none"/>
            </v:shape>
          </v:group>
        </w:pict>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22"/>
        </w:rPr>
      </w:pPr>
    </w:p>
    <w:p>
      <w:pPr>
        <w:pStyle w:val="Heading1"/>
        <w:spacing w:line="2731" w:lineRule="exact"/>
        <w:ind w:left="247"/>
      </w:pPr>
      <w:r>
        <w:rPr/>
        <w:pict>
          <v:rect style="position:absolute;margin-left:182.152405pt;margin-top:87.233047pt;width:360.72pt;height:6pt;mso-position-horizontal-relative:page;mso-position-vertical-relative:paragraph;z-index:-310024" filled="true" fillcolor="#943634" stroked="false">
            <v:fill type="solid"/>
            <w10:wrap type="none"/>
          </v:rect>
        </w:pict>
      </w:r>
      <w:r>
        <w:rPr/>
        <w:drawing>
          <wp:anchor distT="0" distB="0" distL="0" distR="0" allowOverlap="1" layoutInCell="1" locked="0" behindDoc="1" simplePos="0" relativeHeight="268125455">
            <wp:simplePos x="0" y="0"/>
            <wp:positionH relativeFrom="page">
              <wp:posOffset>1081943</wp:posOffset>
            </wp:positionH>
            <wp:positionV relativeFrom="paragraph">
              <wp:posOffset>-443572</wp:posOffset>
            </wp:positionV>
            <wp:extent cx="1136903" cy="1965960"/>
            <wp:effectExtent l="0" t="0" r="0" b="0"/>
            <wp:wrapNone/>
            <wp:docPr id="9" name="image19.png" descr=""/>
            <wp:cNvGraphicFramePr>
              <a:graphicFrameLocks noChangeAspect="1"/>
            </wp:cNvGraphicFramePr>
            <a:graphic>
              <a:graphicData uri="http://schemas.openxmlformats.org/drawingml/2006/picture">
                <pic:pic>
                  <pic:nvPicPr>
                    <pic:cNvPr id="10" name="image19.png"/>
                    <pic:cNvPicPr/>
                  </pic:nvPicPr>
                  <pic:blipFill>
                    <a:blip r:embed="rId43" cstate="print"/>
                    <a:stretch>
                      <a:fillRect/>
                    </a:stretch>
                  </pic:blipFill>
                  <pic:spPr>
                    <a:xfrm>
                      <a:off x="0" y="0"/>
                      <a:ext cx="1136903" cy="1965960"/>
                    </a:xfrm>
                    <a:prstGeom prst="rect">
                      <a:avLst/>
                    </a:prstGeom>
                  </pic:spPr>
                </pic:pic>
              </a:graphicData>
            </a:graphic>
          </wp:anchor>
        </w:drawing>
      </w:r>
      <w:bookmarkStart w:name="_TOC_250023" w:id="7"/>
      <w:r>
        <w:rPr>
          <w:b w:val="0"/>
          <w:color w:val="943634"/>
          <w:spacing w:val="155"/>
          <w:w w:val="99"/>
          <w:position w:val="-68"/>
          <w:sz w:val="300"/>
        </w:rPr>
        <w:t>4</w:t>
      </w:r>
      <w:r>
        <w:rPr>
          <w:spacing w:val="2"/>
          <w:w w:val="101"/>
        </w:rPr>
        <w:t>H</w:t>
      </w:r>
      <w:r>
        <w:rPr>
          <w:w w:val="101"/>
        </w:rPr>
        <w:t>i</w:t>
      </w:r>
      <w:r>
        <w:rPr>
          <w:spacing w:val="1"/>
          <w:w w:val="101"/>
        </w:rPr>
        <w:t>pótes</w:t>
      </w:r>
      <w:bookmarkEnd w:id="7"/>
      <w:r>
        <w:rPr>
          <w:w w:val="101"/>
        </w:rPr>
        <w:t>is</w:t>
      </w:r>
    </w:p>
    <w:p>
      <w:pPr>
        <w:pStyle w:val="BodyText"/>
        <w:spacing w:line="245" w:lineRule="exact"/>
        <w:ind w:left="396"/>
        <w:jc w:val="both"/>
      </w:pPr>
      <w:r>
        <w:rPr/>
        <w:t>La determinación del factor de conversión de metano (Ym), permitirá cuantificar  la</w:t>
      </w:r>
    </w:p>
    <w:p>
      <w:pPr>
        <w:pStyle w:val="BodyText"/>
        <w:spacing w:line="360" w:lineRule="auto" w:before="137"/>
        <w:ind w:left="396" w:right="223"/>
        <w:jc w:val="both"/>
      </w:pPr>
      <w:r>
        <w:rPr/>
        <w:t>cantidad de metano que emiten las diferentes subcategorías del ganado bovino en el sistemas de producción lechera en pequeña escala en la Zona Sur Oriente del Estado de México.</w:t>
      </w:r>
    </w:p>
    <w:p>
      <w:pPr>
        <w:spacing w:after="0" w:line="360" w:lineRule="auto"/>
        <w:jc w:val="both"/>
        <w:sectPr>
          <w:pgSz w:w="12240" w:h="15840"/>
          <w:pgMar w:header="741" w:footer="739" w:top="1220" w:bottom="920" w:left="1600" w:right="1180"/>
        </w:sectPr>
      </w:pPr>
    </w:p>
    <w:p>
      <w:pPr>
        <w:pStyle w:val="BodyText"/>
      </w:pPr>
    </w:p>
    <w:p>
      <w:pPr>
        <w:pStyle w:val="BodyText"/>
        <w:ind w:left="1327"/>
        <w:rPr>
          <w:sz w:val="20"/>
        </w:rPr>
      </w:pPr>
      <w:r>
        <w:rPr>
          <w:sz w:val="20"/>
        </w:rPr>
        <w:pict>
          <v:group style="width:412.1pt;height:201.85pt;mso-position-horizontal-relative:char;mso-position-vertical-relative:line" coordorigin="0,0" coordsize="8242,4037">
            <v:shape style="position:absolute;left:0;top:0;width:8242;height:4037" type="#_x0000_t75" stroked="false">
              <v:imagedata r:id="rId44" o:title=""/>
            </v:shape>
            <v:shape style="position:absolute;left:432;top:5;width:211;height:557" type="#_x0000_t75" stroked="false">
              <v:imagedata r:id="rId42" o:title=""/>
            </v:shape>
            <v:shape style="position:absolute;left:710;top:5;width:211;height:557" type="#_x0000_t75" stroked="false">
              <v:imagedata r:id="rId16" o:title=""/>
            </v:shape>
            <v:shape style="position:absolute;left:0;top:0;width:8242;height:4037" type="#_x0000_t202" filled="false" stroked="false">
              <v:textbox inset="0,0,0,0">
                <w:txbxContent>
                  <w:p>
                    <w:pPr>
                      <w:spacing w:line="240" w:lineRule="auto" w:before="0"/>
                      <w:rPr>
                        <w:sz w:val="47"/>
                      </w:rPr>
                    </w:pPr>
                  </w:p>
                  <w:p>
                    <w:pPr>
                      <w:spacing w:line="242" w:lineRule="auto" w:before="0"/>
                      <w:ind w:left="921" w:right="136" w:hanging="298"/>
                      <w:jc w:val="right"/>
                      <w:rPr>
                        <w:sz w:val="38"/>
                      </w:rPr>
                    </w:pPr>
                    <w:r>
                      <w:rPr>
                        <w:color w:val="632423"/>
                        <w:w w:val="80"/>
                        <w:sz w:val="38"/>
                      </w:rPr>
                      <w:t>Dado</w:t>
                    </w:r>
                    <w:r>
                      <w:rPr>
                        <w:color w:val="632423"/>
                        <w:spacing w:val="-53"/>
                        <w:w w:val="80"/>
                        <w:sz w:val="38"/>
                      </w:rPr>
                      <w:t> </w:t>
                    </w:r>
                    <w:r>
                      <w:rPr>
                        <w:color w:val="632423"/>
                        <w:w w:val="80"/>
                        <w:sz w:val="38"/>
                      </w:rPr>
                      <w:t>que</w:t>
                    </w:r>
                    <w:r>
                      <w:rPr>
                        <w:color w:val="632423"/>
                        <w:spacing w:val="-54"/>
                        <w:w w:val="80"/>
                        <w:sz w:val="38"/>
                      </w:rPr>
                      <w:t> </w:t>
                    </w:r>
                    <w:r>
                      <w:rPr>
                        <w:color w:val="632423"/>
                        <w:w w:val="80"/>
                        <w:sz w:val="38"/>
                      </w:rPr>
                      <w:t>el</w:t>
                    </w:r>
                    <w:r>
                      <w:rPr>
                        <w:color w:val="632423"/>
                        <w:spacing w:val="-54"/>
                        <w:w w:val="80"/>
                        <w:sz w:val="38"/>
                      </w:rPr>
                      <w:t> </w:t>
                    </w:r>
                    <w:r>
                      <w:rPr>
                        <w:color w:val="632423"/>
                        <w:w w:val="80"/>
                        <w:sz w:val="38"/>
                      </w:rPr>
                      <w:t>Ym</w:t>
                    </w:r>
                    <w:r>
                      <w:rPr>
                        <w:color w:val="632423"/>
                        <w:spacing w:val="-53"/>
                        <w:w w:val="80"/>
                        <w:sz w:val="38"/>
                      </w:rPr>
                      <w:t> </w:t>
                    </w:r>
                    <w:r>
                      <w:rPr>
                        <w:color w:val="632423"/>
                        <w:w w:val="80"/>
                        <w:sz w:val="38"/>
                      </w:rPr>
                      <w:t>es</w:t>
                    </w:r>
                    <w:r>
                      <w:rPr>
                        <w:color w:val="632423"/>
                        <w:spacing w:val="-53"/>
                        <w:w w:val="80"/>
                        <w:sz w:val="38"/>
                      </w:rPr>
                      <w:t> </w:t>
                    </w:r>
                    <w:r>
                      <w:rPr>
                        <w:color w:val="632423"/>
                        <w:w w:val="80"/>
                        <w:sz w:val="38"/>
                      </w:rPr>
                      <w:t>una</w:t>
                    </w:r>
                    <w:r>
                      <w:rPr>
                        <w:color w:val="632423"/>
                        <w:spacing w:val="-54"/>
                        <w:w w:val="80"/>
                        <w:sz w:val="38"/>
                      </w:rPr>
                      <w:t> </w:t>
                    </w:r>
                    <w:r>
                      <w:rPr>
                        <w:color w:val="632423"/>
                        <w:w w:val="80"/>
                        <w:sz w:val="38"/>
                      </w:rPr>
                      <w:t>variable</w:t>
                    </w:r>
                    <w:r>
                      <w:rPr>
                        <w:color w:val="632423"/>
                        <w:spacing w:val="-54"/>
                        <w:w w:val="80"/>
                        <w:sz w:val="38"/>
                      </w:rPr>
                      <w:t> </w:t>
                    </w:r>
                    <w:r>
                      <w:rPr>
                        <w:color w:val="632423"/>
                        <w:w w:val="80"/>
                        <w:sz w:val="38"/>
                      </w:rPr>
                      <w:t>que</w:t>
                    </w:r>
                    <w:r>
                      <w:rPr>
                        <w:color w:val="632423"/>
                        <w:spacing w:val="-54"/>
                        <w:w w:val="80"/>
                        <w:sz w:val="38"/>
                      </w:rPr>
                      <w:t> </w:t>
                    </w:r>
                    <w:r>
                      <w:rPr>
                        <w:color w:val="632423"/>
                        <w:w w:val="80"/>
                        <w:sz w:val="38"/>
                      </w:rPr>
                      <w:t>afecta</w:t>
                    </w:r>
                    <w:r>
                      <w:rPr>
                        <w:color w:val="632423"/>
                        <w:spacing w:val="-54"/>
                        <w:w w:val="80"/>
                        <w:sz w:val="38"/>
                      </w:rPr>
                      <w:t> </w:t>
                    </w:r>
                    <w:r>
                      <w:rPr>
                        <w:color w:val="632423"/>
                        <w:w w:val="80"/>
                        <w:sz w:val="38"/>
                      </w:rPr>
                      <w:t>directamente</w:t>
                    </w:r>
                    <w:r>
                      <w:rPr>
                        <w:color w:val="632423"/>
                        <w:spacing w:val="-54"/>
                        <w:w w:val="80"/>
                        <w:sz w:val="38"/>
                      </w:rPr>
                      <w:t> </w:t>
                    </w:r>
                    <w:r>
                      <w:rPr>
                        <w:color w:val="632423"/>
                        <w:w w:val="80"/>
                        <w:sz w:val="38"/>
                      </w:rPr>
                      <w:t>al</w:t>
                    </w:r>
                    <w:r>
                      <w:rPr>
                        <w:color w:val="632423"/>
                        <w:w w:val="74"/>
                        <w:sz w:val="38"/>
                      </w:rPr>
                      <w:t> </w:t>
                    </w:r>
                    <w:r>
                      <w:rPr>
                        <w:color w:val="632423"/>
                        <w:w w:val="80"/>
                        <w:sz w:val="38"/>
                      </w:rPr>
                      <w:t>cálculo</w:t>
                    </w:r>
                    <w:r>
                      <w:rPr>
                        <w:color w:val="632423"/>
                        <w:spacing w:val="-41"/>
                        <w:w w:val="80"/>
                        <w:sz w:val="38"/>
                      </w:rPr>
                      <w:t> </w:t>
                    </w:r>
                    <w:r>
                      <w:rPr>
                        <w:color w:val="632423"/>
                        <w:w w:val="80"/>
                        <w:sz w:val="38"/>
                      </w:rPr>
                      <w:t>del</w:t>
                    </w:r>
                    <w:r>
                      <w:rPr>
                        <w:color w:val="632423"/>
                        <w:spacing w:val="-42"/>
                        <w:w w:val="80"/>
                        <w:sz w:val="38"/>
                      </w:rPr>
                      <w:t> </w:t>
                    </w:r>
                    <w:r>
                      <w:rPr>
                        <w:color w:val="632423"/>
                        <w:w w:val="80"/>
                        <w:sz w:val="38"/>
                      </w:rPr>
                      <w:t>FE,</w:t>
                    </w:r>
                    <w:r>
                      <w:rPr>
                        <w:color w:val="632423"/>
                        <w:spacing w:val="-43"/>
                        <w:w w:val="80"/>
                        <w:sz w:val="38"/>
                      </w:rPr>
                      <w:t> </w:t>
                    </w:r>
                    <w:r>
                      <w:rPr>
                        <w:color w:val="632423"/>
                        <w:w w:val="80"/>
                        <w:sz w:val="38"/>
                      </w:rPr>
                      <w:t>es</w:t>
                    </w:r>
                    <w:r>
                      <w:rPr>
                        <w:color w:val="632423"/>
                        <w:spacing w:val="-39"/>
                        <w:w w:val="80"/>
                        <w:sz w:val="38"/>
                      </w:rPr>
                      <w:t> </w:t>
                    </w:r>
                    <w:r>
                      <w:rPr>
                        <w:color w:val="632423"/>
                        <w:w w:val="80"/>
                        <w:sz w:val="38"/>
                      </w:rPr>
                      <w:t>importante</w:t>
                    </w:r>
                    <w:r>
                      <w:rPr>
                        <w:color w:val="632423"/>
                        <w:spacing w:val="-42"/>
                        <w:w w:val="80"/>
                        <w:sz w:val="38"/>
                      </w:rPr>
                      <w:t> </w:t>
                    </w:r>
                    <w:r>
                      <w:rPr>
                        <w:color w:val="632423"/>
                        <w:w w:val="80"/>
                        <w:sz w:val="38"/>
                      </w:rPr>
                      <w:t>tratar</w:t>
                    </w:r>
                    <w:r>
                      <w:rPr>
                        <w:color w:val="632423"/>
                        <w:spacing w:val="-42"/>
                        <w:w w:val="80"/>
                        <w:sz w:val="38"/>
                      </w:rPr>
                      <w:t> </w:t>
                    </w:r>
                    <w:r>
                      <w:rPr>
                        <w:color w:val="632423"/>
                        <w:w w:val="80"/>
                        <w:sz w:val="38"/>
                      </w:rPr>
                      <w:t>de</w:t>
                    </w:r>
                    <w:r>
                      <w:rPr>
                        <w:color w:val="632423"/>
                        <w:spacing w:val="-40"/>
                        <w:w w:val="80"/>
                        <w:sz w:val="38"/>
                      </w:rPr>
                      <w:t> </w:t>
                    </w:r>
                    <w:r>
                      <w:rPr>
                        <w:color w:val="632423"/>
                        <w:w w:val="80"/>
                        <w:sz w:val="38"/>
                      </w:rPr>
                      <w:t>refinar</w:t>
                    </w:r>
                    <w:r>
                      <w:rPr>
                        <w:color w:val="632423"/>
                        <w:spacing w:val="-42"/>
                        <w:w w:val="80"/>
                        <w:sz w:val="38"/>
                      </w:rPr>
                      <w:t> </w:t>
                    </w:r>
                    <w:r>
                      <w:rPr>
                        <w:color w:val="632423"/>
                        <w:w w:val="80"/>
                        <w:sz w:val="38"/>
                      </w:rPr>
                      <w:t>el</w:t>
                    </w:r>
                    <w:r>
                      <w:rPr>
                        <w:color w:val="632423"/>
                        <w:spacing w:val="-42"/>
                        <w:w w:val="80"/>
                        <w:sz w:val="38"/>
                      </w:rPr>
                      <w:t> </w:t>
                    </w:r>
                    <w:r>
                      <w:rPr>
                        <w:color w:val="632423"/>
                        <w:w w:val="80"/>
                        <w:sz w:val="38"/>
                      </w:rPr>
                      <w:t>valor</w:t>
                    </w:r>
                    <w:r>
                      <w:rPr>
                        <w:color w:val="632423"/>
                        <w:spacing w:val="-42"/>
                        <w:w w:val="80"/>
                        <w:sz w:val="38"/>
                      </w:rPr>
                      <w:t> </w:t>
                    </w:r>
                    <w:r>
                      <w:rPr>
                        <w:color w:val="632423"/>
                        <w:w w:val="80"/>
                        <w:sz w:val="38"/>
                      </w:rPr>
                      <w:t>de</w:t>
                    </w:r>
                    <w:r>
                      <w:rPr>
                        <w:color w:val="632423"/>
                        <w:w w:val="72"/>
                        <w:sz w:val="38"/>
                      </w:rPr>
                      <w:t> </w:t>
                    </w:r>
                    <w:r>
                      <w:rPr>
                        <w:color w:val="632423"/>
                        <w:w w:val="80"/>
                        <w:sz w:val="38"/>
                      </w:rPr>
                      <w:t>este</w:t>
                    </w:r>
                    <w:r>
                      <w:rPr>
                        <w:color w:val="632423"/>
                        <w:spacing w:val="-52"/>
                        <w:w w:val="80"/>
                        <w:sz w:val="38"/>
                      </w:rPr>
                      <w:t> </w:t>
                    </w:r>
                    <w:r>
                      <w:rPr>
                        <w:color w:val="632423"/>
                        <w:w w:val="80"/>
                        <w:sz w:val="38"/>
                      </w:rPr>
                      <w:t>parámetro.</w:t>
                    </w:r>
                    <w:r>
                      <w:rPr>
                        <w:color w:val="632423"/>
                        <w:spacing w:val="-51"/>
                        <w:w w:val="80"/>
                        <w:sz w:val="38"/>
                      </w:rPr>
                      <w:t> </w:t>
                    </w:r>
                    <w:r>
                      <w:rPr>
                        <w:color w:val="632423"/>
                        <w:w w:val="80"/>
                        <w:sz w:val="38"/>
                      </w:rPr>
                      <w:t>La</w:t>
                    </w:r>
                    <w:r>
                      <w:rPr>
                        <w:color w:val="632423"/>
                        <w:spacing w:val="-52"/>
                        <w:w w:val="80"/>
                        <w:sz w:val="38"/>
                      </w:rPr>
                      <w:t> </w:t>
                    </w:r>
                    <w:r>
                      <w:rPr>
                        <w:color w:val="632423"/>
                        <w:w w:val="80"/>
                        <w:sz w:val="38"/>
                      </w:rPr>
                      <w:t>mejor</w:t>
                    </w:r>
                    <w:r>
                      <w:rPr>
                        <w:color w:val="632423"/>
                        <w:spacing w:val="-52"/>
                        <w:w w:val="80"/>
                        <w:sz w:val="38"/>
                      </w:rPr>
                      <w:t> </w:t>
                    </w:r>
                    <w:r>
                      <w:rPr>
                        <w:color w:val="632423"/>
                        <w:w w:val="80"/>
                        <w:sz w:val="38"/>
                      </w:rPr>
                      <w:t>opción</w:t>
                    </w:r>
                    <w:r>
                      <w:rPr>
                        <w:color w:val="632423"/>
                        <w:spacing w:val="-51"/>
                        <w:w w:val="80"/>
                        <w:sz w:val="38"/>
                      </w:rPr>
                      <w:t> </w:t>
                    </w:r>
                    <w:r>
                      <w:rPr>
                        <w:color w:val="632423"/>
                        <w:w w:val="80"/>
                        <w:sz w:val="38"/>
                      </w:rPr>
                      <w:t>es</w:t>
                    </w:r>
                    <w:r>
                      <w:rPr>
                        <w:color w:val="632423"/>
                        <w:spacing w:val="-51"/>
                        <w:w w:val="80"/>
                        <w:sz w:val="38"/>
                      </w:rPr>
                      <w:t> </w:t>
                    </w:r>
                    <w:r>
                      <w:rPr>
                        <w:color w:val="632423"/>
                        <w:w w:val="80"/>
                        <w:sz w:val="38"/>
                      </w:rPr>
                      <w:t>obtener</w:t>
                    </w:r>
                    <w:r>
                      <w:rPr>
                        <w:color w:val="632423"/>
                        <w:spacing w:val="-1"/>
                        <w:w w:val="77"/>
                        <w:sz w:val="38"/>
                      </w:rPr>
                      <w:t> </w:t>
                    </w:r>
                    <w:r>
                      <w:rPr>
                        <w:color w:val="632423"/>
                        <w:w w:val="75"/>
                        <w:sz w:val="38"/>
                      </w:rPr>
                      <w:t>experimentalmente valores de Ym</w:t>
                    </w:r>
                    <w:r>
                      <w:rPr>
                        <w:color w:val="632423"/>
                        <w:spacing w:val="-47"/>
                        <w:w w:val="75"/>
                        <w:sz w:val="38"/>
                      </w:rPr>
                      <w:t> </w:t>
                    </w:r>
                    <w:r>
                      <w:rPr>
                        <w:color w:val="632423"/>
                        <w:w w:val="75"/>
                        <w:sz w:val="38"/>
                      </w:rPr>
                      <w:t>mediante</w:t>
                    </w:r>
                    <w:r>
                      <w:rPr>
                        <w:color w:val="632423"/>
                        <w:spacing w:val="-13"/>
                        <w:w w:val="75"/>
                        <w:sz w:val="38"/>
                      </w:rPr>
                      <w:t> </w:t>
                    </w:r>
                    <w:r>
                      <w:rPr>
                        <w:color w:val="632423"/>
                        <w:w w:val="75"/>
                        <w:sz w:val="38"/>
                      </w:rPr>
                      <w:t>medición</w:t>
                    </w:r>
                    <w:r>
                      <w:rPr>
                        <w:color w:val="632423"/>
                        <w:spacing w:val="1"/>
                        <w:w w:val="75"/>
                        <w:sz w:val="38"/>
                      </w:rPr>
                      <w:t> </w:t>
                    </w:r>
                    <w:r>
                      <w:rPr>
                        <w:color w:val="632423"/>
                        <w:w w:val="80"/>
                        <w:sz w:val="38"/>
                      </w:rPr>
                      <w:t>directa</w:t>
                    </w:r>
                    <w:r>
                      <w:rPr>
                        <w:color w:val="632423"/>
                        <w:spacing w:val="-44"/>
                        <w:w w:val="80"/>
                        <w:sz w:val="38"/>
                      </w:rPr>
                      <w:t> </w:t>
                    </w:r>
                    <w:r>
                      <w:rPr>
                        <w:color w:val="632423"/>
                        <w:w w:val="80"/>
                        <w:sz w:val="38"/>
                      </w:rPr>
                      <w:t>de</w:t>
                    </w:r>
                    <w:r>
                      <w:rPr>
                        <w:color w:val="632423"/>
                        <w:spacing w:val="-44"/>
                        <w:w w:val="80"/>
                        <w:sz w:val="38"/>
                      </w:rPr>
                      <w:t> </w:t>
                    </w:r>
                    <w:r>
                      <w:rPr>
                        <w:color w:val="632423"/>
                        <w:w w:val="80"/>
                        <w:sz w:val="38"/>
                      </w:rPr>
                      <w:t>la</w:t>
                    </w:r>
                    <w:r>
                      <w:rPr>
                        <w:color w:val="632423"/>
                        <w:spacing w:val="-44"/>
                        <w:w w:val="80"/>
                        <w:sz w:val="38"/>
                      </w:rPr>
                      <w:t> </w:t>
                    </w:r>
                    <w:r>
                      <w:rPr>
                        <w:color w:val="632423"/>
                        <w:w w:val="80"/>
                        <w:sz w:val="38"/>
                      </w:rPr>
                      <w:t>emisión</w:t>
                    </w:r>
                    <w:r>
                      <w:rPr>
                        <w:color w:val="632423"/>
                        <w:spacing w:val="-43"/>
                        <w:w w:val="80"/>
                        <w:sz w:val="38"/>
                      </w:rPr>
                      <w:t> </w:t>
                    </w:r>
                    <w:r>
                      <w:rPr>
                        <w:color w:val="632423"/>
                        <w:w w:val="80"/>
                        <w:sz w:val="38"/>
                      </w:rPr>
                      <w:t>de</w:t>
                    </w:r>
                    <w:r>
                      <w:rPr>
                        <w:color w:val="632423"/>
                        <w:spacing w:val="-41"/>
                        <w:w w:val="80"/>
                        <w:sz w:val="38"/>
                      </w:rPr>
                      <w:t> </w:t>
                    </w:r>
                    <w:r>
                      <w:rPr>
                        <w:color w:val="632423"/>
                        <w:w w:val="80"/>
                        <w:sz w:val="38"/>
                      </w:rPr>
                      <w:t>CH</w:t>
                    </w:r>
                    <w:r>
                      <w:rPr>
                        <w:color w:val="632423"/>
                        <w:w w:val="80"/>
                        <w:position w:val="-3"/>
                        <w:sz w:val="25"/>
                      </w:rPr>
                      <w:t>4</w:t>
                    </w:r>
                    <w:r>
                      <w:rPr>
                        <w:color w:val="632423"/>
                        <w:spacing w:val="-14"/>
                        <w:w w:val="80"/>
                        <w:position w:val="-3"/>
                        <w:sz w:val="25"/>
                      </w:rPr>
                      <w:t> </w:t>
                    </w:r>
                    <w:r>
                      <w:rPr>
                        <w:color w:val="632423"/>
                        <w:w w:val="80"/>
                        <w:sz w:val="38"/>
                      </w:rPr>
                      <w:t>y</w:t>
                    </w:r>
                    <w:r>
                      <w:rPr>
                        <w:color w:val="632423"/>
                        <w:spacing w:val="-44"/>
                        <w:w w:val="80"/>
                        <w:sz w:val="38"/>
                      </w:rPr>
                      <w:t> </w:t>
                    </w:r>
                    <w:r>
                      <w:rPr>
                        <w:color w:val="632423"/>
                        <w:w w:val="80"/>
                        <w:sz w:val="38"/>
                      </w:rPr>
                      <w:t>de</w:t>
                    </w:r>
                    <w:r>
                      <w:rPr>
                        <w:color w:val="632423"/>
                        <w:spacing w:val="-44"/>
                        <w:w w:val="80"/>
                        <w:sz w:val="38"/>
                      </w:rPr>
                      <w:t> </w:t>
                    </w:r>
                    <w:r>
                      <w:rPr>
                        <w:color w:val="632423"/>
                        <w:w w:val="80"/>
                        <w:sz w:val="38"/>
                      </w:rPr>
                      <w:t>la</w:t>
                    </w:r>
                    <w:r>
                      <w:rPr>
                        <w:color w:val="632423"/>
                        <w:spacing w:val="-44"/>
                        <w:w w:val="80"/>
                        <w:sz w:val="38"/>
                      </w:rPr>
                      <w:t> </w:t>
                    </w:r>
                    <w:r>
                      <w:rPr>
                        <w:color w:val="632423"/>
                        <w:w w:val="80"/>
                        <w:sz w:val="38"/>
                      </w:rPr>
                      <w:t>digestibilidad</w:t>
                    </w:r>
                    <w:r>
                      <w:rPr>
                        <w:color w:val="632423"/>
                        <w:spacing w:val="-43"/>
                        <w:w w:val="80"/>
                        <w:sz w:val="38"/>
                      </w:rPr>
                      <w:t> </w:t>
                    </w:r>
                    <w:r>
                      <w:rPr>
                        <w:color w:val="632423"/>
                        <w:w w:val="80"/>
                        <w:sz w:val="38"/>
                      </w:rPr>
                      <w:t>de</w:t>
                    </w:r>
                    <w:r>
                      <w:rPr>
                        <w:color w:val="632423"/>
                        <w:spacing w:val="-44"/>
                        <w:w w:val="80"/>
                        <w:sz w:val="38"/>
                      </w:rPr>
                      <w:t> </w:t>
                    </w:r>
                    <w:r>
                      <w:rPr>
                        <w:color w:val="632423"/>
                        <w:w w:val="80"/>
                        <w:sz w:val="38"/>
                      </w:rPr>
                      <w:t>las</w:t>
                    </w:r>
                  </w:p>
                  <w:p>
                    <w:pPr>
                      <w:spacing w:line="420" w:lineRule="exact" w:before="0"/>
                      <w:ind w:left="0" w:right="138" w:firstLine="0"/>
                      <w:jc w:val="right"/>
                      <w:rPr>
                        <w:sz w:val="38"/>
                      </w:rPr>
                    </w:pPr>
                    <w:r>
                      <w:rPr>
                        <w:color w:val="632423"/>
                        <w:w w:val="75"/>
                        <w:sz w:val="38"/>
                      </w:rPr>
                      <w:t>distintas</w:t>
                    </w:r>
                    <w:r>
                      <w:rPr>
                        <w:color w:val="632423"/>
                        <w:spacing w:val="62"/>
                        <w:w w:val="75"/>
                        <w:sz w:val="38"/>
                      </w:rPr>
                      <w:t> </w:t>
                    </w:r>
                    <w:r>
                      <w:rPr>
                        <w:color w:val="632423"/>
                        <w:w w:val="75"/>
                        <w:sz w:val="38"/>
                      </w:rPr>
                      <w:t>dietas”.</w:t>
                    </w:r>
                  </w:p>
                  <w:p>
                    <w:pPr>
                      <w:spacing w:before="244"/>
                      <w:ind w:left="0" w:right="140" w:firstLine="0"/>
                      <w:jc w:val="right"/>
                      <w:rPr>
                        <w:sz w:val="23"/>
                      </w:rPr>
                    </w:pPr>
                    <w:r>
                      <w:rPr>
                        <w:color w:val="632423"/>
                        <w:w w:val="80"/>
                        <w:sz w:val="23"/>
                      </w:rPr>
                      <w:t>Cambra-López </w:t>
                    </w:r>
                    <w:r>
                      <w:rPr>
                        <w:rFonts w:ascii="Calibri" w:hAnsi="Calibri"/>
                        <w:i/>
                        <w:color w:val="632423"/>
                        <w:w w:val="80"/>
                        <w:sz w:val="24"/>
                      </w:rPr>
                      <w:t>et al. </w:t>
                    </w:r>
                    <w:r>
                      <w:rPr>
                        <w:color w:val="632423"/>
                        <w:w w:val="80"/>
                        <w:sz w:val="23"/>
                      </w:rPr>
                      <w:t>(2006)</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Heading1"/>
        <w:spacing w:before="36" w:after="23"/>
        <w:ind w:left="2088" w:right="311"/>
      </w:pPr>
      <w:r>
        <w:rPr/>
        <w:pict>
          <v:group style="position:absolute;margin-left:85.91243pt;margin-top:-109.685333pt;width:89.8pt;height:189.95pt;mso-position-horizontal-relative:page;mso-position-vertical-relative:paragraph;z-index:2152" coordorigin="1718,-2194" coordsize="1796,3799">
            <v:shape style="position:absolute;left:1718;top:-2194;width:1795;height:3091" type="#_x0000_t75" stroked="false">
              <v:imagedata r:id="rId30" o:title=""/>
            </v:shape>
            <v:shape style="position:absolute;left:1718;top:-2194;width:1796;height:3799" type="#_x0000_t202" filled="false" stroked="false">
              <v:textbox inset="0,0,0,0">
                <w:txbxContent>
                  <w:p>
                    <w:pPr>
                      <w:spacing w:before="181"/>
                      <w:ind w:left="144" w:right="-17" w:firstLine="0"/>
                      <w:jc w:val="left"/>
                      <w:rPr>
                        <w:sz w:val="300"/>
                      </w:rPr>
                    </w:pPr>
                    <w:r>
                      <w:rPr>
                        <w:color w:val="943634"/>
                        <w:w w:val="99"/>
                        <w:sz w:val="300"/>
                      </w:rPr>
                      <w:t>5</w:t>
                    </w:r>
                  </w:p>
                </w:txbxContent>
              </v:textbox>
              <w10:wrap type="none"/>
            </v:shape>
            <w10:wrap type="none"/>
          </v:group>
        </w:pict>
      </w:r>
      <w:r>
        <w:rPr/>
        <w:t>Objetivos</w:t>
      </w:r>
    </w:p>
    <w:p>
      <w:pPr>
        <w:pStyle w:val="BodyText"/>
        <w:spacing w:line="120" w:lineRule="exact"/>
        <w:ind w:left="2062"/>
        <w:rPr>
          <w:sz w:val="12"/>
        </w:rPr>
      </w:pPr>
      <w:r>
        <w:rPr>
          <w:position w:val="-1"/>
          <w:sz w:val="12"/>
        </w:rPr>
        <w:pict>
          <v:group style="width:359.8pt;height:6pt;mso-position-horizontal-relative:char;mso-position-vertical-relative:line" coordorigin="0,0" coordsize="7196,120">
            <v:rect style="position:absolute;left:0;top:0;width:7195;height:120" filled="true" fillcolor="#943634" stroked="false">
              <v:fill type="solid"/>
            </v:rect>
          </v:group>
        </w:pict>
      </w:r>
      <w:r>
        <w:rPr>
          <w:position w:val="-1"/>
          <w:sz w:val="12"/>
        </w:rPr>
      </w:r>
    </w:p>
    <w:p>
      <w:pPr>
        <w:pStyle w:val="BodyText"/>
        <w:spacing w:before="8"/>
        <w:rPr>
          <w:b/>
          <w:sz w:val="72"/>
        </w:rPr>
      </w:pPr>
    </w:p>
    <w:p>
      <w:pPr>
        <w:pStyle w:val="Heading4"/>
        <w:numPr>
          <w:ilvl w:val="1"/>
          <w:numId w:val="4"/>
        </w:numPr>
        <w:tabs>
          <w:tab w:pos="942" w:val="left" w:leader="none"/>
        </w:tabs>
        <w:spacing w:line="240" w:lineRule="auto" w:before="0" w:after="0"/>
        <w:ind w:left="941" w:right="0" w:hanging="545"/>
        <w:jc w:val="left"/>
      </w:pPr>
      <w:bookmarkStart w:name="_TOC_250022" w:id="8"/>
      <w:r>
        <w:rPr/>
        <w:t>Objetivo</w:t>
      </w:r>
      <w:r>
        <w:rPr>
          <w:spacing w:val="-10"/>
        </w:rPr>
        <w:t> </w:t>
      </w:r>
      <w:bookmarkEnd w:id="8"/>
      <w:r>
        <w:rPr/>
        <w:t>General</w:t>
      </w:r>
    </w:p>
    <w:p>
      <w:pPr>
        <w:pStyle w:val="ListParagraph"/>
        <w:numPr>
          <w:ilvl w:val="2"/>
          <w:numId w:val="4"/>
        </w:numPr>
        <w:tabs>
          <w:tab w:pos="1390" w:val="left" w:leader="none"/>
        </w:tabs>
        <w:spacing w:line="355" w:lineRule="auto" w:before="160" w:after="0"/>
        <w:ind w:left="1389" w:right="444" w:hanging="426"/>
        <w:jc w:val="both"/>
        <w:rPr>
          <w:sz w:val="24"/>
        </w:rPr>
      </w:pPr>
      <w:r>
        <w:rPr>
          <w:sz w:val="24"/>
        </w:rPr>
        <w:t>Evaluar la emisión de metano entérico de los bovinos lecheros en los sistema de producción lechera en pequeña escala (SPLPE) a través del factor de conversión de metano (Ym) y su relación con la digestibilidad</w:t>
      </w:r>
      <w:r>
        <w:rPr>
          <w:spacing w:val="-25"/>
          <w:sz w:val="24"/>
        </w:rPr>
        <w:t> </w:t>
      </w:r>
      <w:r>
        <w:rPr>
          <w:sz w:val="24"/>
        </w:rPr>
        <w:t>de las</w:t>
      </w:r>
      <w:r>
        <w:rPr>
          <w:spacing w:val="-12"/>
          <w:sz w:val="24"/>
        </w:rPr>
        <w:t> </w:t>
      </w:r>
      <w:r>
        <w:rPr>
          <w:sz w:val="24"/>
        </w:rPr>
        <w:t>dietas</w:t>
      </w:r>
      <w:r>
        <w:rPr>
          <w:spacing w:val="-12"/>
          <w:sz w:val="24"/>
        </w:rPr>
        <w:t> </w:t>
      </w:r>
      <w:r>
        <w:rPr>
          <w:sz w:val="24"/>
        </w:rPr>
        <w:t>que</w:t>
      </w:r>
      <w:r>
        <w:rPr>
          <w:spacing w:val="-12"/>
          <w:sz w:val="24"/>
        </w:rPr>
        <w:t> </w:t>
      </w:r>
      <w:r>
        <w:rPr>
          <w:sz w:val="24"/>
        </w:rPr>
        <w:t>consumen,</w:t>
      </w:r>
      <w:r>
        <w:rPr>
          <w:spacing w:val="-12"/>
          <w:sz w:val="24"/>
        </w:rPr>
        <w:t> </w:t>
      </w:r>
      <w:r>
        <w:rPr>
          <w:sz w:val="24"/>
        </w:rPr>
        <w:t>utilizando</w:t>
      </w:r>
      <w:r>
        <w:rPr>
          <w:spacing w:val="-12"/>
          <w:sz w:val="24"/>
        </w:rPr>
        <w:t> </w:t>
      </w:r>
      <w:r>
        <w:rPr>
          <w:sz w:val="24"/>
        </w:rPr>
        <w:t>la</w:t>
      </w:r>
      <w:r>
        <w:rPr>
          <w:spacing w:val="-12"/>
          <w:sz w:val="24"/>
        </w:rPr>
        <w:t> </w:t>
      </w:r>
      <w:r>
        <w:rPr>
          <w:sz w:val="24"/>
        </w:rPr>
        <w:t>metodología</w:t>
      </w:r>
      <w:r>
        <w:rPr>
          <w:spacing w:val="-12"/>
          <w:sz w:val="24"/>
        </w:rPr>
        <w:t> </w:t>
      </w:r>
      <w:r>
        <w:rPr>
          <w:sz w:val="24"/>
        </w:rPr>
        <w:t>propuesta</w:t>
      </w:r>
      <w:r>
        <w:rPr>
          <w:spacing w:val="-12"/>
          <w:sz w:val="24"/>
        </w:rPr>
        <w:t> </w:t>
      </w:r>
      <w:r>
        <w:rPr>
          <w:sz w:val="24"/>
        </w:rPr>
        <w:t>por</w:t>
      </w:r>
      <w:r>
        <w:rPr>
          <w:spacing w:val="-12"/>
          <w:sz w:val="24"/>
        </w:rPr>
        <w:t> </w:t>
      </w:r>
      <w:r>
        <w:rPr>
          <w:sz w:val="24"/>
        </w:rPr>
        <w:t>el</w:t>
      </w:r>
      <w:r>
        <w:rPr>
          <w:spacing w:val="-12"/>
          <w:sz w:val="24"/>
        </w:rPr>
        <w:t> </w:t>
      </w:r>
      <w:r>
        <w:rPr>
          <w:sz w:val="24"/>
        </w:rPr>
        <w:t>IPCC.</w:t>
      </w:r>
    </w:p>
    <w:p>
      <w:pPr>
        <w:pStyle w:val="Heading4"/>
        <w:numPr>
          <w:ilvl w:val="1"/>
          <w:numId w:val="4"/>
        </w:numPr>
        <w:tabs>
          <w:tab w:pos="942" w:val="left" w:leader="none"/>
        </w:tabs>
        <w:spacing w:line="240" w:lineRule="auto" w:before="215" w:after="0"/>
        <w:ind w:left="941" w:right="0" w:hanging="545"/>
        <w:jc w:val="left"/>
      </w:pPr>
      <w:bookmarkStart w:name="_TOC_250021" w:id="9"/>
      <w:r>
        <w:rPr/>
        <w:t>Objetivos</w:t>
      </w:r>
      <w:r>
        <w:rPr>
          <w:spacing w:val="-14"/>
        </w:rPr>
        <w:t> </w:t>
      </w:r>
      <w:bookmarkEnd w:id="9"/>
      <w:r>
        <w:rPr/>
        <w:t>específicos</w:t>
      </w:r>
    </w:p>
    <w:p>
      <w:pPr>
        <w:pStyle w:val="ListParagraph"/>
        <w:numPr>
          <w:ilvl w:val="2"/>
          <w:numId w:val="4"/>
        </w:numPr>
        <w:tabs>
          <w:tab w:pos="1390" w:val="left" w:leader="none"/>
        </w:tabs>
        <w:spacing w:line="355" w:lineRule="auto" w:before="155" w:after="0"/>
        <w:ind w:left="1389" w:right="445" w:hanging="426"/>
        <w:jc w:val="both"/>
        <w:rPr>
          <w:sz w:val="24"/>
        </w:rPr>
      </w:pPr>
      <w:r>
        <w:rPr>
          <w:sz w:val="24"/>
        </w:rPr>
        <w:t>Analizar la composición de las dietas en el sistema de producción</w:t>
      </w:r>
      <w:r>
        <w:rPr>
          <w:spacing w:val="-11"/>
          <w:sz w:val="24"/>
        </w:rPr>
        <w:t> </w:t>
      </w:r>
      <w:r>
        <w:rPr>
          <w:sz w:val="24"/>
        </w:rPr>
        <w:t>lechera en pequeña escala.</w:t>
      </w:r>
    </w:p>
    <w:p>
      <w:pPr>
        <w:spacing w:after="0" w:line="355" w:lineRule="auto"/>
        <w:jc w:val="both"/>
        <w:rPr>
          <w:sz w:val="24"/>
        </w:rPr>
        <w:sectPr>
          <w:pgSz w:w="12240" w:h="15840"/>
          <w:pgMar w:header="741" w:footer="739" w:top="1220" w:bottom="920" w:left="1600" w:right="960"/>
        </w:sectPr>
      </w:pPr>
    </w:p>
    <w:p>
      <w:pPr>
        <w:pStyle w:val="BodyText"/>
        <w:spacing w:before="7"/>
        <w:rPr>
          <w:sz w:val="12"/>
        </w:rPr>
      </w:pPr>
    </w:p>
    <w:p>
      <w:pPr>
        <w:pStyle w:val="ListParagraph"/>
        <w:numPr>
          <w:ilvl w:val="3"/>
          <w:numId w:val="4"/>
        </w:numPr>
        <w:tabs>
          <w:tab w:pos="1488" w:val="left" w:leader="none"/>
        </w:tabs>
        <w:spacing w:line="352" w:lineRule="auto" w:before="53" w:after="0"/>
        <w:ind w:left="1487" w:right="144" w:hanging="360"/>
        <w:jc w:val="both"/>
        <w:rPr>
          <w:sz w:val="24"/>
        </w:rPr>
      </w:pPr>
      <w:r>
        <w:rPr>
          <w:sz w:val="24"/>
        </w:rPr>
        <w:t>Estimar las emisiones de CH</w:t>
      </w:r>
      <w:r>
        <w:rPr>
          <w:position w:val="-2"/>
          <w:sz w:val="16"/>
        </w:rPr>
        <w:t>4 </w:t>
      </w:r>
      <w:r>
        <w:rPr>
          <w:sz w:val="24"/>
        </w:rPr>
        <w:t>entérico en los SPLPE seleccionados, considerando factores como: el estado fisiológico del animal, alimentación recibida, estructura del hato y fermentación entérica.</w:t>
      </w:r>
    </w:p>
    <w:p>
      <w:pPr>
        <w:pStyle w:val="ListParagraph"/>
        <w:numPr>
          <w:ilvl w:val="3"/>
          <w:numId w:val="4"/>
        </w:numPr>
        <w:tabs>
          <w:tab w:pos="1488" w:val="left" w:leader="none"/>
        </w:tabs>
        <w:spacing w:line="352" w:lineRule="auto" w:before="14" w:after="0"/>
        <w:ind w:left="1487" w:right="143" w:hanging="360"/>
        <w:jc w:val="both"/>
        <w:rPr>
          <w:sz w:val="24"/>
        </w:rPr>
      </w:pPr>
      <w:r>
        <w:rPr>
          <w:sz w:val="24"/>
        </w:rPr>
        <w:t>Generar el factor de conversión de metano y su relación con la digestibilidad para asociarla con la digestibilidad de las dietas más usuales que se les proporcionan a los bovinos de la zona de</w:t>
      </w:r>
      <w:r>
        <w:rPr>
          <w:spacing w:val="-1"/>
          <w:sz w:val="24"/>
        </w:rPr>
        <w:t> </w:t>
      </w:r>
      <w:r>
        <w:rPr>
          <w:sz w:val="24"/>
        </w:rPr>
        <w:t>estudio.</w:t>
      </w:r>
    </w:p>
    <w:p>
      <w:pPr>
        <w:spacing w:after="0" w:line="352" w:lineRule="auto"/>
        <w:jc w:val="both"/>
        <w:rPr>
          <w:sz w:val="24"/>
        </w:rPr>
        <w:sectPr>
          <w:pgSz w:w="12240" w:h="15840"/>
          <w:pgMar w:header="741" w:footer="739" w:top="1220" w:bottom="920" w:left="1720" w:right="1260"/>
        </w:sectPr>
      </w:pPr>
    </w:p>
    <w:p>
      <w:pPr>
        <w:pStyle w:val="BodyText"/>
      </w:pPr>
    </w:p>
    <w:p>
      <w:pPr>
        <w:pStyle w:val="BodyText"/>
        <w:ind w:left="1283"/>
        <w:rPr>
          <w:sz w:val="20"/>
        </w:rPr>
      </w:pPr>
      <w:r>
        <w:rPr>
          <w:sz w:val="20"/>
        </w:rPr>
        <w:pict>
          <v:group style="width:412.1pt;height:209.55pt;mso-position-horizontal-relative:char;mso-position-vertical-relative:line" coordorigin="0,0" coordsize="8242,4191">
            <v:shape style="position:absolute;left:0;top:0;width:8242;height:4190" type="#_x0000_t75" stroked="false">
              <v:imagedata r:id="rId45" o:title=""/>
            </v:shape>
            <v:shape style="position:absolute;left:432;top:5;width:206;height:552" type="#_x0000_t75" stroked="false">
              <v:imagedata r:id="rId9" o:title=""/>
            </v:shape>
            <v:shape style="position:absolute;left:710;top:5;width:206;height:552" type="#_x0000_t75" stroked="false">
              <v:imagedata r:id="rId10" o:title=""/>
            </v:shape>
            <v:shape style="position:absolute;left:0;top:0;width:8242;height:4191" type="#_x0000_t202" filled="false" stroked="false">
              <v:textbox inset="0,0,0,0">
                <w:txbxContent>
                  <w:p>
                    <w:pPr>
                      <w:spacing w:line="240" w:lineRule="auto" w:before="7"/>
                      <w:rPr>
                        <w:sz w:val="46"/>
                      </w:rPr>
                    </w:pPr>
                  </w:p>
                  <w:p>
                    <w:pPr>
                      <w:spacing w:line="242" w:lineRule="auto" w:before="0"/>
                      <w:ind w:left="633" w:right="135" w:firstLine="331"/>
                      <w:jc w:val="right"/>
                      <w:rPr>
                        <w:sz w:val="38"/>
                      </w:rPr>
                    </w:pPr>
                    <w:r>
                      <w:rPr>
                        <w:color w:val="632423"/>
                        <w:w w:val="75"/>
                        <w:sz w:val="38"/>
                      </w:rPr>
                      <w:t>Los rumiantes, poseen un sistema digestivo que tiene la</w:t>
                    </w:r>
                    <w:r>
                      <w:rPr>
                        <w:color w:val="632423"/>
                        <w:w w:val="72"/>
                        <w:sz w:val="38"/>
                      </w:rPr>
                      <w:t> </w:t>
                    </w:r>
                    <w:r>
                      <w:rPr>
                        <w:color w:val="632423"/>
                        <w:w w:val="75"/>
                        <w:sz w:val="38"/>
                      </w:rPr>
                      <w:t>capacidad de aprovechar y convertir material fibroso con</w:t>
                    </w:r>
                    <w:r>
                      <w:rPr>
                        <w:color w:val="632423"/>
                        <w:w w:val="74"/>
                        <w:sz w:val="38"/>
                      </w:rPr>
                      <w:t> </w:t>
                    </w:r>
                    <w:r>
                      <w:rPr>
                        <w:color w:val="632423"/>
                        <w:w w:val="75"/>
                        <w:sz w:val="38"/>
                      </w:rPr>
                      <w:t>altos contenidos de carbohidratos</w:t>
                    </w:r>
                    <w:r>
                      <w:rPr>
                        <w:color w:val="632423"/>
                        <w:spacing w:val="61"/>
                        <w:w w:val="75"/>
                        <w:sz w:val="38"/>
                      </w:rPr>
                      <w:t> </w:t>
                    </w:r>
                    <w:r>
                      <w:rPr>
                        <w:color w:val="632423"/>
                        <w:w w:val="75"/>
                        <w:sz w:val="38"/>
                      </w:rPr>
                      <w:t>estructurales en</w:t>
                    </w:r>
                    <w:r>
                      <w:rPr>
                        <w:color w:val="632423"/>
                        <w:w w:val="74"/>
                        <w:sz w:val="38"/>
                      </w:rPr>
                      <w:t> </w:t>
                    </w:r>
                    <w:r>
                      <w:rPr>
                        <w:color w:val="632423"/>
                        <w:w w:val="80"/>
                        <w:sz w:val="38"/>
                      </w:rPr>
                      <w:t>alimentos</w:t>
                    </w:r>
                    <w:r>
                      <w:rPr>
                        <w:color w:val="632423"/>
                        <w:spacing w:val="-56"/>
                        <w:w w:val="80"/>
                        <w:sz w:val="38"/>
                      </w:rPr>
                      <w:t> </w:t>
                    </w:r>
                    <w:r>
                      <w:rPr>
                        <w:color w:val="632423"/>
                        <w:w w:val="80"/>
                        <w:sz w:val="38"/>
                      </w:rPr>
                      <w:t>de</w:t>
                    </w:r>
                    <w:r>
                      <w:rPr>
                        <w:color w:val="632423"/>
                        <w:spacing w:val="-56"/>
                        <w:w w:val="80"/>
                        <w:sz w:val="38"/>
                      </w:rPr>
                      <w:t> </w:t>
                    </w:r>
                    <w:r>
                      <w:rPr>
                        <w:color w:val="632423"/>
                        <w:w w:val="80"/>
                        <w:sz w:val="38"/>
                      </w:rPr>
                      <w:t>alta</w:t>
                    </w:r>
                    <w:r>
                      <w:rPr>
                        <w:color w:val="632423"/>
                        <w:spacing w:val="-56"/>
                        <w:w w:val="80"/>
                        <w:sz w:val="38"/>
                      </w:rPr>
                      <w:t> </w:t>
                    </w:r>
                    <w:r>
                      <w:rPr>
                        <w:color w:val="632423"/>
                        <w:w w:val="80"/>
                        <w:sz w:val="38"/>
                      </w:rPr>
                      <w:t>calidad</w:t>
                    </w:r>
                    <w:r>
                      <w:rPr>
                        <w:color w:val="632423"/>
                        <w:spacing w:val="-56"/>
                        <w:w w:val="80"/>
                        <w:sz w:val="38"/>
                      </w:rPr>
                      <w:t> </w:t>
                    </w:r>
                    <w:r>
                      <w:rPr>
                        <w:color w:val="632423"/>
                        <w:w w:val="80"/>
                        <w:sz w:val="38"/>
                      </w:rPr>
                      <w:t>nutritiva:</w:t>
                    </w:r>
                    <w:r>
                      <w:rPr>
                        <w:color w:val="632423"/>
                        <w:spacing w:val="-56"/>
                        <w:w w:val="80"/>
                        <w:sz w:val="38"/>
                      </w:rPr>
                      <w:t> </w:t>
                    </w:r>
                    <w:r>
                      <w:rPr>
                        <w:color w:val="632423"/>
                        <w:w w:val="80"/>
                        <w:sz w:val="38"/>
                      </w:rPr>
                      <w:t>carne</w:t>
                    </w:r>
                    <w:r>
                      <w:rPr>
                        <w:color w:val="632423"/>
                        <w:spacing w:val="-56"/>
                        <w:w w:val="80"/>
                        <w:sz w:val="38"/>
                      </w:rPr>
                      <w:t> </w:t>
                    </w:r>
                    <w:r>
                      <w:rPr>
                        <w:color w:val="632423"/>
                        <w:w w:val="80"/>
                        <w:sz w:val="38"/>
                      </w:rPr>
                      <w:t>y</w:t>
                    </w:r>
                    <w:r>
                      <w:rPr>
                        <w:color w:val="632423"/>
                        <w:spacing w:val="-56"/>
                        <w:w w:val="80"/>
                        <w:sz w:val="38"/>
                      </w:rPr>
                      <w:t> </w:t>
                    </w:r>
                    <w:r>
                      <w:rPr>
                        <w:color w:val="632423"/>
                        <w:w w:val="80"/>
                        <w:sz w:val="38"/>
                      </w:rPr>
                      <w:t>leche.</w:t>
                    </w:r>
                    <w:r>
                      <w:rPr>
                        <w:color w:val="632423"/>
                        <w:spacing w:val="-56"/>
                        <w:w w:val="80"/>
                        <w:sz w:val="38"/>
                      </w:rPr>
                      <w:t> </w:t>
                    </w:r>
                    <w:r>
                      <w:rPr>
                        <w:color w:val="632423"/>
                        <w:w w:val="80"/>
                        <w:sz w:val="38"/>
                      </w:rPr>
                      <w:t>Sin</w:t>
                    </w:r>
                    <w:r>
                      <w:rPr>
                        <w:color w:val="632423"/>
                        <w:w w:val="74"/>
                        <w:sz w:val="38"/>
                      </w:rPr>
                      <w:t> </w:t>
                    </w:r>
                    <w:r>
                      <w:rPr>
                        <w:color w:val="632423"/>
                        <w:w w:val="75"/>
                        <w:sz w:val="38"/>
                      </w:rPr>
                      <w:t>embargo, por sus características innatas, también produce</w:t>
                    </w:r>
                  </w:p>
                  <w:p>
                    <w:pPr>
                      <w:spacing w:line="433" w:lineRule="exact" w:before="0"/>
                      <w:ind w:left="0" w:right="135" w:firstLine="0"/>
                      <w:jc w:val="right"/>
                      <w:rPr>
                        <w:sz w:val="38"/>
                      </w:rPr>
                    </w:pPr>
                    <w:r>
                      <w:rPr>
                        <w:color w:val="632423"/>
                        <w:w w:val="75"/>
                        <w:sz w:val="38"/>
                      </w:rPr>
                      <w:t>metano”.</w:t>
                    </w:r>
                  </w:p>
                  <w:p>
                    <w:pPr>
                      <w:spacing w:before="244"/>
                      <w:ind w:left="0" w:right="140" w:firstLine="0"/>
                      <w:jc w:val="right"/>
                      <w:rPr>
                        <w:sz w:val="23"/>
                      </w:rPr>
                    </w:pPr>
                    <w:r>
                      <w:rPr>
                        <w:color w:val="632423"/>
                        <w:w w:val="85"/>
                        <w:sz w:val="23"/>
                      </w:rPr>
                      <w:t>Carmona </w:t>
                    </w:r>
                    <w:r>
                      <w:rPr>
                        <w:rFonts w:ascii="Calibri"/>
                        <w:i/>
                        <w:color w:val="632423"/>
                        <w:w w:val="85"/>
                        <w:sz w:val="24"/>
                      </w:rPr>
                      <w:t>et al. </w:t>
                    </w:r>
                    <w:r>
                      <w:rPr>
                        <w:color w:val="632423"/>
                        <w:w w:val="85"/>
                        <w:sz w:val="23"/>
                      </w:rPr>
                      <w:t>(2007)</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Heading1"/>
        <w:spacing w:line="2935" w:lineRule="exact"/>
        <w:ind w:left="246"/>
      </w:pPr>
      <w:r>
        <w:rPr/>
        <w:pict>
          <v:rect style="position:absolute;margin-left:178.312393pt;margin-top:106.680908pt;width:364.8pt;height:6pt;mso-position-horizontal-relative:page;mso-position-vertical-relative:paragraph;z-index:-309808" filled="true" fillcolor="#943634" stroked="false">
            <v:fill type="solid"/>
            <w10:wrap type="none"/>
          </v:rect>
        </w:pict>
      </w:r>
      <w:r>
        <w:rPr/>
        <w:drawing>
          <wp:anchor distT="0" distB="0" distL="0" distR="0" allowOverlap="1" layoutInCell="1" locked="0" behindDoc="1" simplePos="0" relativeHeight="268125671">
            <wp:simplePos x="0" y="0"/>
            <wp:positionH relativeFrom="page">
              <wp:posOffset>1030127</wp:posOffset>
            </wp:positionH>
            <wp:positionV relativeFrom="paragraph">
              <wp:posOffset>-443472</wp:posOffset>
            </wp:positionV>
            <wp:extent cx="1136903" cy="1962912"/>
            <wp:effectExtent l="0" t="0" r="0" b="0"/>
            <wp:wrapNone/>
            <wp:docPr id="11" name="image12.png" descr=""/>
            <wp:cNvGraphicFramePr>
              <a:graphicFrameLocks noChangeAspect="1"/>
            </wp:cNvGraphicFramePr>
            <a:graphic>
              <a:graphicData uri="http://schemas.openxmlformats.org/drawingml/2006/picture">
                <pic:pic>
                  <pic:nvPicPr>
                    <pic:cNvPr id="12" name="image12.png"/>
                    <pic:cNvPicPr/>
                  </pic:nvPicPr>
                  <pic:blipFill>
                    <a:blip r:embed="rId28" cstate="print"/>
                    <a:stretch>
                      <a:fillRect/>
                    </a:stretch>
                  </pic:blipFill>
                  <pic:spPr>
                    <a:xfrm>
                      <a:off x="0" y="0"/>
                      <a:ext cx="1136903" cy="1962912"/>
                    </a:xfrm>
                    <a:prstGeom prst="rect">
                      <a:avLst/>
                    </a:prstGeom>
                  </pic:spPr>
                </pic:pic>
              </a:graphicData>
            </a:graphic>
          </wp:anchor>
        </w:drawing>
      </w:r>
      <w:r>
        <w:rPr>
          <w:b w:val="0"/>
          <w:color w:val="943634"/>
          <w:spacing w:val="162"/>
          <w:w w:val="99"/>
          <w:position w:val="-30"/>
          <w:sz w:val="300"/>
        </w:rPr>
        <w:t>6</w:t>
      </w:r>
      <w:r>
        <w:rPr>
          <w:spacing w:val="2"/>
          <w:w w:val="101"/>
        </w:rPr>
        <w:t>M</w:t>
      </w:r>
      <w:r>
        <w:rPr>
          <w:spacing w:val="1"/>
          <w:w w:val="101"/>
        </w:rPr>
        <w:t>arc</w:t>
      </w:r>
      <w:r>
        <w:rPr>
          <w:w w:val="101"/>
        </w:rPr>
        <w:t>o</w:t>
      </w:r>
      <w:r>
        <w:rPr>
          <w:spacing w:val="5"/>
        </w:rPr>
        <w:t> </w:t>
      </w:r>
      <w:r>
        <w:rPr>
          <w:spacing w:val="1"/>
          <w:w w:val="101"/>
        </w:rPr>
        <w:t>te</w:t>
      </w:r>
      <w:r>
        <w:rPr>
          <w:spacing w:val="2"/>
          <w:w w:val="101"/>
        </w:rPr>
        <w:t>ó</w:t>
      </w:r>
      <w:r>
        <w:rPr>
          <w:spacing w:val="1"/>
          <w:w w:val="101"/>
        </w:rPr>
        <w:t>ric</w:t>
      </w:r>
      <w:r>
        <w:rPr>
          <w:w w:val="101"/>
        </w:rPr>
        <w:t>o</w:t>
      </w:r>
    </w:p>
    <w:p>
      <w:pPr>
        <w:pStyle w:val="BodyText"/>
        <w:rPr>
          <w:b/>
          <w:sz w:val="9"/>
        </w:rPr>
      </w:pPr>
    </w:p>
    <w:p>
      <w:pPr>
        <w:pStyle w:val="Heading2"/>
        <w:numPr>
          <w:ilvl w:val="1"/>
          <w:numId w:val="5"/>
        </w:numPr>
        <w:tabs>
          <w:tab w:pos="1100" w:val="left" w:leader="none"/>
        </w:tabs>
        <w:spacing w:line="240" w:lineRule="auto" w:before="66" w:after="0"/>
        <w:ind w:left="1059" w:right="0" w:hanging="583"/>
        <w:jc w:val="both"/>
      </w:pPr>
      <w:bookmarkStart w:name="_TOC_250020" w:id="10"/>
      <w:r>
        <w:rPr/>
        <w:t>Efecto</w:t>
      </w:r>
      <w:r>
        <w:rPr>
          <w:spacing w:val="78"/>
        </w:rPr>
        <w:t> </w:t>
      </w:r>
      <w:bookmarkEnd w:id="10"/>
      <w:r>
        <w:rPr/>
        <w:t>Invernadero</w:t>
      </w:r>
    </w:p>
    <w:p>
      <w:pPr>
        <w:pStyle w:val="BodyText"/>
        <w:spacing w:before="7"/>
        <w:rPr>
          <w:b/>
          <w:sz w:val="35"/>
        </w:rPr>
      </w:pPr>
    </w:p>
    <w:p>
      <w:pPr>
        <w:pStyle w:val="BodyText"/>
        <w:spacing w:line="360" w:lineRule="auto"/>
        <w:ind w:left="476" w:right="323"/>
        <w:jc w:val="both"/>
      </w:pPr>
      <w:r>
        <w:rPr/>
        <w:t>La vida actual en la Tierra depende, entre otros factores, de una delgada capa gaseosa: la atmósfera. Esta capa es una mezcla de gases en la que dominan principalmente el nitrógeno (78.1%) y el oxígeno (20.9%), así como pequeñas cantidades de argón (0.93%). El pequeñísimo porcentaje restante lo constituyen el vapor de agua, ozono, bióxido de carbono, hidrógeno, neón, helio y kriptón. Estos gases se encuentran dispersos, en distintas cantidades, en las cinco capas en las que</w:t>
      </w:r>
      <w:r>
        <w:rPr>
          <w:spacing w:val="-14"/>
        </w:rPr>
        <w:t> </w:t>
      </w:r>
      <w:r>
        <w:rPr/>
        <w:t>los</w:t>
      </w:r>
      <w:r>
        <w:rPr>
          <w:spacing w:val="-14"/>
        </w:rPr>
        <w:t> </w:t>
      </w:r>
      <w:r>
        <w:rPr/>
        <w:t>científicos</w:t>
      </w:r>
      <w:r>
        <w:rPr>
          <w:spacing w:val="-14"/>
        </w:rPr>
        <w:t> </w:t>
      </w:r>
      <w:r>
        <w:rPr/>
        <w:t>han</w:t>
      </w:r>
      <w:r>
        <w:rPr>
          <w:spacing w:val="-14"/>
        </w:rPr>
        <w:t> </w:t>
      </w:r>
      <w:r>
        <w:rPr/>
        <w:t>dividido</w:t>
      </w:r>
      <w:r>
        <w:rPr>
          <w:spacing w:val="-14"/>
        </w:rPr>
        <w:t> </w:t>
      </w:r>
      <w:r>
        <w:rPr/>
        <w:t>la</w:t>
      </w:r>
      <w:r>
        <w:rPr>
          <w:spacing w:val="-14"/>
        </w:rPr>
        <w:t> </w:t>
      </w:r>
      <w:r>
        <w:rPr/>
        <w:t>atmósfera</w:t>
      </w:r>
      <w:r>
        <w:rPr>
          <w:spacing w:val="-14"/>
        </w:rPr>
        <w:t> </w:t>
      </w:r>
      <w:r>
        <w:rPr/>
        <w:t>para</w:t>
      </w:r>
      <w:r>
        <w:rPr>
          <w:spacing w:val="-15"/>
        </w:rPr>
        <w:t> </w:t>
      </w:r>
      <w:r>
        <w:rPr/>
        <w:t>estudiarla.</w:t>
      </w:r>
      <w:r>
        <w:rPr>
          <w:spacing w:val="-14"/>
        </w:rPr>
        <w:t> </w:t>
      </w:r>
      <w:r>
        <w:rPr/>
        <w:t>Entre</w:t>
      </w:r>
      <w:r>
        <w:rPr>
          <w:spacing w:val="-14"/>
        </w:rPr>
        <w:t> </w:t>
      </w:r>
      <w:r>
        <w:rPr/>
        <w:t>las</w:t>
      </w:r>
      <w:r>
        <w:rPr>
          <w:spacing w:val="-14"/>
        </w:rPr>
        <w:t> </w:t>
      </w:r>
      <w:r>
        <w:rPr/>
        <w:t>funciones</w:t>
      </w:r>
      <w:r>
        <w:rPr>
          <w:spacing w:val="-14"/>
        </w:rPr>
        <w:t> </w:t>
      </w:r>
      <w:r>
        <w:rPr/>
        <w:t>más importantes</w:t>
      </w:r>
      <w:r>
        <w:rPr>
          <w:spacing w:val="43"/>
        </w:rPr>
        <w:t> </w:t>
      </w:r>
      <w:r>
        <w:rPr/>
        <w:t>de</w:t>
      </w:r>
      <w:r>
        <w:rPr>
          <w:spacing w:val="43"/>
        </w:rPr>
        <w:t> </w:t>
      </w:r>
      <w:r>
        <w:rPr/>
        <w:t>la</w:t>
      </w:r>
      <w:r>
        <w:rPr>
          <w:spacing w:val="43"/>
        </w:rPr>
        <w:t> </w:t>
      </w:r>
      <w:r>
        <w:rPr/>
        <w:t>atmósfera</w:t>
      </w:r>
      <w:r>
        <w:rPr>
          <w:spacing w:val="43"/>
        </w:rPr>
        <w:t> </w:t>
      </w:r>
      <w:r>
        <w:rPr/>
        <w:t>se</w:t>
      </w:r>
      <w:r>
        <w:rPr>
          <w:spacing w:val="43"/>
        </w:rPr>
        <w:t> </w:t>
      </w:r>
      <w:r>
        <w:rPr/>
        <w:t>menciona</w:t>
      </w:r>
      <w:r>
        <w:rPr>
          <w:spacing w:val="43"/>
        </w:rPr>
        <w:t> </w:t>
      </w:r>
      <w:r>
        <w:rPr/>
        <w:t>su</w:t>
      </w:r>
      <w:r>
        <w:rPr>
          <w:spacing w:val="43"/>
        </w:rPr>
        <w:t> </w:t>
      </w:r>
      <w:r>
        <w:rPr/>
        <w:t>control</w:t>
      </w:r>
      <w:r>
        <w:rPr>
          <w:spacing w:val="43"/>
        </w:rPr>
        <w:t> </w:t>
      </w:r>
      <w:r>
        <w:rPr/>
        <w:t>como</w:t>
      </w:r>
      <w:r>
        <w:rPr>
          <w:spacing w:val="43"/>
        </w:rPr>
        <w:t> </w:t>
      </w:r>
      <w:r>
        <w:rPr/>
        <w:t>filtro</w:t>
      </w:r>
      <w:r>
        <w:rPr>
          <w:spacing w:val="43"/>
        </w:rPr>
        <w:t> </w:t>
      </w:r>
      <w:r>
        <w:rPr/>
        <w:t>de</w:t>
      </w:r>
      <w:r>
        <w:rPr>
          <w:spacing w:val="43"/>
        </w:rPr>
        <w:t> </w:t>
      </w:r>
      <w:r>
        <w:rPr/>
        <w:t>la</w:t>
      </w:r>
      <w:r>
        <w:rPr>
          <w:spacing w:val="43"/>
        </w:rPr>
        <w:t> </w:t>
      </w:r>
      <w:r>
        <w:rPr/>
        <w:t>radiación</w:t>
      </w:r>
    </w:p>
    <w:p>
      <w:pPr>
        <w:spacing w:after="0" w:line="360" w:lineRule="auto"/>
        <w:jc w:val="both"/>
        <w:sectPr>
          <w:pgSz w:w="12240" w:h="15840"/>
          <w:pgMar w:header="741" w:footer="739" w:top="1220" w:bottom="920" w:left="1520" w:right="1080"/>
        </w:sectPr>
      </w:pPr>
    </w:p>
    <w:p>
      <w:pPr>
        <w:pStyle w:val="BodyText"/>
        <w:spacing w:before="4"/>
        <w:rPr>
          <w:sz w:val="11"/>
        </w:rPr>
      </w:pPr>
    </w:p>
    <w:p>
      <w:pPr>
        <w:pStyle w:val="BodyText"/>
        <w:spacing w:line="360" w:lineRule="auto" w:before="69"/>
        <w:ind w:left="276" w:right="144"/>
        <w:jc w:val="both"/>
      </w:pPr>
      <w:r>
        <w:rPr/>
        <w:t>ultravioleta que llega a la superficie terrestre, su acción protectora al destruir una gran cantidad de meteoritos que, de otra manera, llegarían a la superficie de la Tierra y regular la temperatura, esto último por medio del llamado </w:t>
      </w:r>
      <w:r>
        <w:rPr>
          <w:b/>
        </w:rPr>
        <w:t>“efecto invernadero” </w:t>
      </w:r>
      <w:r>
        <w:rPr/>
        <w:t>(SEMARNAT, 2009) (Figura 2).</w:t>
      </w:r>
    </w:p>
    <w:p>
      <w:pPr>
        <w:pStyle w:val="BodyText"/>
        <w:spacing w:line="357" w:lineRule="auto" w:before="2"/>
        <w:ind w:left="276" w:right="145"/>
        <w:jc w:val="both"/>
      </w:pPr>
      <w:r>
        <w:rPr/>
        <w:t>La Tierra funciona de manera muy parecida a un gran invernadero. Entre los</w:t>
      </w:r>
      <w:r>
        <w:rPr>
          <w:spacing w:val="-27"/>
        </w:rPr>
        <w:t> </w:t>
      </w:r>
      <w:r>
        <w:rPr/>
        <w:t>gases que tienen impacto en la temperatura de la Tierra, son los llamados GEI; que son principalmente</w:t>
      </w:r>
      <w:r>
        <w:rPr>
          <w:spacing w:val="-6"/>
        </w:rPr>
        <w:t> </w:t>
      </w:r>
      <w:r>
        <w:rPr/>
        <w:t>el</w:t>
      </w:r>
      <w:r>
        <w:rPr>
          <w:spacing w:val="-6"/>
        </w:rPr>
        <w:t> </w:t>
      </w:r>
      <w:r>
        <w:rPr/>
        <w:t>CO</w:t>
      </w:r>
      <w:r>
        <w:rPr>
          <w:position w:val="-2"/>
          <w:sz w:val="16"/>
        </w:rPr>
        <w:t>2</w:t>
      </w:r>
      <w:r>
        <w:rPr/>
        <w:t>,</w:t>
      </w:r>
      <w:r>
        <w:rPr>
          <w:spacing w:val="-6"/>
        </w:rPr>
        <w:t> </w:t>
      </w:r>
      <w:r>
        <w:rPr/>
        <w:t>CH</w:t>
      </w:r>
      <w:r>
        <w:rPr>
          <w:position w:val="-2"/>
          <w:sz w:val="16"/>
        </w:rPr>
        <w:t>4</w:t>
      </w:r>
      <w:r>
        <w:rPr/>
        <w:t>,</w:t>
      </w:r>
      <w:r>
        <w:rPr>
          <w:spacing w:val="-6"/>
        </w:rPr>
        <w:t> </w:t>
      </w:r>
      <w:r>
        <w:rPr/>
        <w:t>N</w:t>
      </w:r>
      <w:r>
        <w:rPr>
          <w:position w:val="-2"/>
          <w:sz w:val="16"/>
        </w:rPr>
        <w:t>2</w:t>
      </w:r>
      <w:r>
        <w:rPr/>
        <w:t>O,</w:t>
      </w:r>
      <w:r>
        <w:rPr>
          <w:spacing w:val="-6"/>
        </w:rPr>
        <w:t> </w:t>
      </w:r>
      <w:r>
        <w:rPr/>
        <w:t>ozono</w:t>
      </w:r>
      <w:r>
        <w:rPr>
          <w:spacing w:val="-6"/>
        </w:rPr>
        <w:t> </w:t>
      </w:r>
      <w:r>
        <w:rPr/>
        <w:t>(O</w:t>
      </w:r>
      <w:r>
        <w:rPr>
          <w:position w:val="-2"/>
          <w:sz w:val="16"/>
        </w:rPr>
        <w:t>3</w:t>
      </w:r>
      <w:r>
        <w:rPr/>
        <w:t>)</w:t>
      </w:r>
      <w:r>
        <w:rPr>
          <w:spacing w:val="-6"/>
        </w:rPr>
        <w:t> </w:t>
      </w:r>
      <w:r>
        <w:rPr/>
        <w:t>y</w:t>
      </w:r>
      <w:r>
        <w:rPr>
          <w:spacing w:val="-6"/>
        </w:rPr>
        <w:t> </w:t>
      </w:r>
      <w:r>
        <w:rPr/>
        <w:t>el</w:t>
      </w:r>
      <w:r>
        <w:rPr>
          <w:spacing w:val="-6"/>
        </w:rPr>
        <w:t> </w:t>
      </w:r>
      <w:r>
        <w:rPr/>
        <w:t>vapor</w:t>
      </w:r>
      <w:r>
        <w:rPr>
          <w:spacing w:val="-6"/>
        </w:rPr>
        <w:t> </w:t>
      </w:r>
      <w:r>
        <w:rPr/>
        <w:t>de</w:t>
      </w:r>
      <w:r>
        <w:rPr>
          <w:spacing w:val="-6"/>
        </w:rPr>
        <w:t> </w:t>
      </w:r>
      <w:r>
        <w:rPr/>
        <w:t>agua.</w:t>
      </w:r>
      <w:r>
        <w:rPr>
          <w:spacing w:val="-6"/>
        </w:rPr>
        <w:t> </w:t>
      </w:r>
      <w:r>
        <w:rPr/>
        <w:t>Estos</w:t>
      </w:r>
      <w:r>
        <w:rPr>
          <w:spacing w:val="-6"/>
        </w:rPr>
        <w:t> </w:t>
      </w:r>
      <w:r>
        <w:rPr/>
        <w:t>gases</w:t>
      </w:r>
      <w:r>
        <w:rPr>
          <w:spacing w:val="-6"/>
        </w:rPr>
        <w:t> </w:t>
      </w:r>
      <w:r>
        <w:rPr/>
        <w:t>dejan pasar la luz solar, la cual alcanza la superficie terrestre y marina, transformándose en calor, es decir, en radiación infrarroja. Una parte de esa radiación se queda en los mares y los continentes y otra es reemitida nuevamente hacia la atmósfera. Es entonces cuando los GEI detienen parte de esa radiación infrarroja (IPCC, 2007; SEMARNAT, 2009).</w:t>
      </w:r>
    </w:p>
    <w:p>
      <w:pPr>
        <w:pStyle w:val="BodyText"/>
        <w:spacing w:line="360" w:lineRule="auto" w:before="5"/>
        <w:ind w:left="276" w:right="144"/>
        <w:jc w:val="both"/>
      </w:pPr>
      <w:r>
        <w:rPr/>
        <w:t>El efecto invernadero es un proceso en el que la radiación térmica emitida por la superficie</w:t>
      </w:r>
      <w:r>
        <w:rPr>
          <w:spacing w:val="-13"/>
        </w:rPr>
        <w:t> </w:t>
      </w:r>
      <w:r>
        <w:rPr/>
        <w:t>planetaria</w:t>
      </w:r>
      <w:r>
        <w:rPr>
          <w:spacing w:val="-13"/>
        </w:rPr>
        <w:t> </w:t>
      </w:r>
      <w:r>
        <w:rPr/>
        <w:t>es</w:t>
      </w:r>
      <w:r>
        <w:rPr>
          <w:spacing w:val="-13"/>
        </w:rPr>
        <w:t> </w:t>
      </w:r>
      <w:r>
        <w:rPr/>
        <w:t>absorbida</w:t>
      </w:r>
      <w:r>
        <w:rPr>
          <w:spacing w:val="-13"/>
        </w:rPr>
        <w:t> </w:t>
      </w:r>
      <w:r>
        <w:rPr/>
        <w:t>por</w:t>
      </w:r>
      <w:r>
        <w:rPr>
          <w:spacing w:val="-13"/>
        </w:rPr>
        <w:t> </w:t>
      </w:r>
      <w:r>
        <w:rPr/>
        <w:t>los</w:t>
      </w:r>
      <w:r>
        <w:rPr>
          <w:spacing w:val="-14"/>
        </w:rPr>
        <w:t> </w:t>
      </w:r>
      <w:r>
        <w:rPr/>
        <w:t>GEI</w:t>
      </w:r>
      <w:r>
        <w:rPr>
          <w:spacing w:val="-13"/>
        </w:rPr>
        <w:t> </w:t>
      </w:r>
      <w:r>
        <w:rPr/>
        <w:t>atmosféricos</w:t>
      </w:r>
      <w:r>
        <w:rPr>
          <w:spacing w:val="-13"/>
        </w:rPr>
        <w:t> </w:t>
      </w:r>
      <w:r>
        <w:rPr/>
        <w:t>y</w:t>
      </w:r>
      <w:r>
        <w:rPr>
          <w:spacing w:val="-13"/>
        </w:rPr>
        <w:t> </w:t>
      </w:r>
      <w:r>
        <w:rPr/>
        <w:t>es</w:t>
      </w:r>
      <w:r>
        <w:rPr>
          <w:spacing w:val="-13"/>
        </w:rPr>
        <w:t> </w:t>
      </w:r>
      <w:r>
        <w:rPr/>
        <w:t>reirradiada</w:t>
      </w:r>
      <w:r>
        <w:rPr>
          <w:spacing w:val="-13"/>
        </w:rPr>
        <w:t> </w:t>
      </w:r>
      <w:r>
        <w:rPr/>
        <w:t>en</w:t>
      </w:r>
      <w:r>
        <w:rPr>
          <w:spacing w:val="-13"/>
        </w:rPr>
        <w:t> </w:t>
      </w:r>
      <w:r>
        <w:rPr/>
        <w:t>todas las direcciones. Parte de esta reirradiación es devuelta hacia la superficie y la atmósfera inferior, resulta en un incremento de la temperatura superficial media respecto a lo que habría en ausencia de los GEI (IPCC, 2016a; IPCC,</w:t>
      </w:r>
      <w:r>
        <w:rPr>
          <w:spacing w:val="-2"/>
        </w:rPr>
        <w:t> </w:t>
      </w:r>
      <w:r>
        <w:rPr/>
        <w:t>2016b).</w:t>
      </w:r>
    </w:p>
    <w:p>
      <w:pPr>
        <w:pStyle w:val="BodyText"/>
        <w:spacing w:line="360" w:lineRule="auto" w:before="7"/>
        <w:ind w:left="276" w:right="143"/>
        <w:jc w:val="both"/>
      </w:pPr>
      <w:r>
        <w:rPr/>
        <w:t>La radiación solar en frecuencias de la luz visible pasa en su mayor parte a través de la atmósfera para calentar la superficie planetaria y luego emite esta energía en frecuencias menores de radiación térmica infrarroja. Esta última es absorbida por los GEI, los que a su vez reirradian mucha de esta energía a la superficie y atmósfera</w:t>
      </w:r>
      <w:r>
        <w:rPr>
          <w:spacing w:val="-12"/>
        </w:rPr>
        <w:t> </w:t>
      </w:r>
      <w:r>
        <w:rPr/>
        <w:t>inferior.</w:t>
      </w:r>
      <w:r>
        <w:rPr>
          <w:spacing w:val="-12"/>
        </w:rPr>
        <w:t> </w:t>
      </w:r>
      <w:r>
        <w:rPr/>
        <w:t>Este</w:t>
      </w:r>
      <w:r>
        <w:rPr>
          <w:spacing w:val="-12"/>
        </w:rPr>
        <w:t> </w:t>
      </w:r>
      <w:r>
        <w:rPr/>
        <w:t>mecanismo</w:t>
      </w:r>
      <w:r>
        <w:rPr>
          <w:spacing w:val="-12"/>
        </w:rPr>
        <w:t> </w:t>
      </w:r>
      <w:r>
        <w:rPr/>
        <w:t>recibe</w:t>
      </w:r>
      <w:r>
        <w:rPr>
          <w:spacing w:val="-12"/>
        </w:rPr>
        <w:t> </w:t>
      </w:r>
      <w:r>
        <w:rPr/>
        <w:t>su</w:t>
      </w:r>
      <w:r>
        <w:rPr>
          <w:spacing w:val="-12"/>
        </w:rPr>
        <w:t> </w:t>
      </w:r>
      <w:r>
        <w:rPr/>
        <w:t>nombre</w:t>
      </w:r>
      <w:r>
        <w:rPr>
          <w:spacing w:val="-12"/>
        </w:rPr>
        <w:t> </w:t>
      </w:r>
      <w:r>
        <w:rPr/>
        <w:t>debido</w:t>
      </w:r>
      <w:r>
        <w:rPr>
          <w:spacing w:val="-12"/>
        </w:rPr>
        <w:t> </w:t>
      </w:r>
      <w:r>
        <w:rPr/>
        <w:t>a</w:t>
      </w:r>
      <w:r>
        <w:rPr>
          <w:spacing w:val="-12"/>
        </w:rPr>
        <w:t> </w:t>
      </w:r>
      <w:r>
        <w:rPr/>
        <w:t>su</w:t>
      </w:r>
      <w:r>
        <w:rPr>
          <w:spacing w:val="-12"/>
        </w:rPr>
        <w:t> </w:t>
      </w:r>
      <w:r>
        <w:rPr/>
        <w:t>analogía</w:t>
      </w:r>
      <w:r>
        <w:rPr>
          <w:spacing w:val="-12"/>
        </w:rPr>
        <w:t> </w:t>
      </w:r>
      <w:r>
        <w:rPr/>
        <w:t>al</w:t>
      </w:r>
      <w:r>
        <w:rPr>
          <w:spacing w:val="-12"/>
        </w:rPr>
        <w:t> </w:t>
      </w:r>
      <w:r>
        <w:rPr/>
        <w:t>efecto de la radiación solar que pasa a través de un vidrio y calienta un invernadero, pero la manera en que atrapa calor es fundamentalmente diferente a como funciona un invernadero al reducir las corrientes de aire, aislando el aire caliente dentro de la habitación y con ello no se pierde el calor por convección (Allaby </w:t>
      </w:r>
      <w:r>
        <w:rPr>
          <w:i/>
        </w:rPr>
        <w:t>et al., </w:t>
      </w:r>
      <w:r>
        <w:rPr/>
        <w:t>1999; Claussen </w:t>
      </w:r>
      <w:r>
        <w:rPr>
          <w:i/>
        </w:rPr>
        <w:t>et al.</w:t>
      </w:r>
      <w:r>
        <w:rPr/>
        <w:t>, 2001; Stephen, 2001; IPCC,</w:t>
      </w:r>
      <w:r>
        <w:rPr>
          <w:spacing w:val="-12"/>
        </w:rPr>
        <w:t> </w:t>
      </w:r>
      <w:r>
        <w:rPr/>
        <w:t>2016b).</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tabs>
          <w:tab w:pos="1879" w:val="left" w:leader="none"/>
        </w:tabs>
        <w:spacing w:before="69" w:after="6"/>
        <w:ind w:left="663"/>
      </w:pPr>
      <w:r>
        <w:rPr>
          <w:b/>
          <w:color w:val="943634"/>
        </w:rPr>
        <w:t>Figura</w:t>
      </w:r>
      <w:r>
        <w:rPr>
          <w:b/>
          <w:color w:val="943634"/>
          <w:spacing w:val="-1"/>
        </w:rPr>
        <w:t> </w:t>
      </w:r>
      <w:r>
        <w:rPr>
          <w:b/>
          <w:color w:val="943634"/>
        </w:rPr>
        <w:t>2.</w:t>
        <w:tab/>
      </w:r>
      <w:r>
        <w:rPr/>
        <w:t>Efecto invernadero y calentamiento global en el planeta Tierra.</w:t>
      </w:r>
    </w:p>
    <w:p>
      <w:pPr>
        <w:pStyle w:val="BodyText"/>
        <w:ind w:left="245"/>
        <w:rPr>
          <w:sz w:val="20"/>
        </w:rPr>
      </w:pPr>
      <w:r>
        <w:rPr>
          <w:sz w:val="20"/>
        </w:rPr>
        <w:pict>
          <v:group style="width:454.95pt;height:327.4pt;mso-position-horizontal-relative:char;mso-position-vertical-relative:line" coordorigin="0,0" coordsize="9099,6548">
            <v:line style="position:absolute" from="22,22" to="1529,22" stroked="true" strokeweight="2.16pt" strokecolor="#943634"/>
            <v:line style="position:absolute" from="1515,22" to="1558,22" stroked="true" strokeweight="2.16pt" strokecolor="#000000"/>
            <v:line style="position:absolute" from="1558,22" to="8864,22" stroked="true" strokeweight="2.16pt" strokecolor="#000000"/>
            <v:shape style="position:absolute;left:32;top:44;width:9067;height:6504" type="#_x0000_t75" stroked="false">
              <v:imagedata r:id="rId46" o:title=""/>
            </v:shape>
          </v:group>
        </w:pict>
      </w:r>
      <w:r>
        <w:rPr>
          <w:sz w:val="20"/>
        </w:rPr>
      </w:r>
    </w:p>
    <w:p>
      <w:pPr>
        <w:pStyle w:val="BodyText"/>
        <w:spacing w:before="11"/>
        <w:rPr>
          <w:sz w:val="7"/>
        </w:rPr>
      </w:pPr>
      <w:r>
        <w:rPr/>
        <w:pict>
          <v:line style="position:absolute;mso-position-horizontal-relative:page;mso-position-vertical-relative:paragraph;z-index:2296;mso-wrap-distance-left:0;mso-wrap-distance-right:0" from="98.39241pt,7.64pt" to="543.1124pt,7.64pt" stroked="true" strokeweight="2.16pt" strokecolor="#943634">
            <w10:wrap type="topAndBottom"/>
          </v:line>
        </w:pict>
      </w:r>
    </w:p>
    <w:p>
      <w:pPr>
        <w:spacing w:line="217" w:lineRule="exact" w:before="0"/>
        <w:ind w:left="276" w:right="0" w:firstLine="0"/>
        <w:jc w:val="left"/>
        <w:rPr>
          <w:sz w:val="19"/>
        </w:rPr>
      </w:pPr>
      <w:r>
        <w:rPr>
          <w:b/>
          <w:sz w:val="19"/>
        </w:rPr>
        <w:t>Fuente:      </w:t>
      </w:r>
      <w:r>
        <w:rPr>
          <w:sz w:val="19"/>
        </w:rPr>
        <w:t>https://muestracine.files.wordpress.com/2013/08/calentamiento_global.jpg</w:t>
      </w:r>
    </w:p>
    <w:p>
      <w:pPr>
        <w:pStyle w:val="BodyText"/>
        <w:rPr>
          <w:sz w:val="20"/>
        </w:rPr>
      </w:pPr>
    </w:p>
    <w:p>
      <w:pPr>
        <w:pStyle w:val="BodyText"/>
        <w:spacing w:before="2"/>
        <w:rPr>
          <w:sz w:val="20"/>
        </w:rPr>
      </w:pPr>
    </w:p>
    <w:p>
      <w:pPr>
        <w:pStyle w:val="BodyText"/>
        <w:spacing w:line="352" w:lineRule="auto" w:before="69"/>
        <w:ind w:left="276" w:right="344"/>
        <w:jc w:val="both"/>
      </w:pPr>
      <w:r>
        <w:rPr/>
        <w:t>En la Tierra, las cantidades naturales de GEI tienen un efecto de calentamiento medio de aproximadamente 33</w:t>
      </w:r>
      <w:r>
        <w:rPr>
          <w:position w:val="11"/>
          <w:sz w:val="16"/>
        </w:rPr>
        <w:t>o</w:t>
      </w:r>
      <w:r>
        <w:rPr/>
        <w:t>C (Le Treut </w:t>
      </w:r>
      <w:r>
        <w:rPr>
          <w:i/>
        </w:rPr>
        <w:t>et al.</w:t>
      </w:r>
      <w:r>
        <w:rPr/>
        <w:t>, 2007). Sin la atmósfera, la temperatura promedio de la Tierra estaría bien bajo el punto de congelación del agua. Los principales GEI son el vapor de agua (causante de alrededor de 36-70% del efecto invernadero); el CO</w:t>
      </w:r>
      <w:r>
        <w:rPr>
          <w:position w:val="-2"/>
          <w:sz w:val="16"/>
        </w:rPr>
        <w:t>2  </w:t>
      </w:r>
      <w:r>
        <w:rPr/>
        <w:t>(9-26%), el CH</w:t>
      </w:r>
      <w:r>
        <w:rPr>
          <w:position w:val="-2"/>
          <w:sz w:val="16"/>
        </w:rPr>
        <w:t>4  </w:t>
      </w:r>
      <w:r>
        <w:rPr/>
        <w:t>(4-9%) y el O</w:t>
      </w:r>
      <w:r>
        <w:rPr>
          <w:position w:val="-2"/>
          <w:sz w:val="16"/>
        </w:rPr>
        <w:t>3  </w:t>
      </w:r>
      <w:r>
        <w:rPr/>
        <w:t>(7.3%).Las    nubes</w:t>
      </w:r>
    </w:p>
    <w:p>
      <w:pPr>
        <w:pStyle w:val="BodyText"/>
        <w:spacing w:line="360" w:lineRule="auto"/>
        <w:ind w:left="276" w:right="344"/>
        <w:jc w:val="both"/>
      </w:pPr>
      <w:r>
        <w:rPr/>
        <w:t>también afectan el balance radiativo a través de los forzamientos de nube</w:t>
      </w:r>
      <w:r>
        <w:rPr>
          <w:spacing w:val="-25"/>
        </w:rPr>
        <w:t> </w:t>
      </w:r>
      <w:r>
        <w:rPr/>
        <w:t>similares a los GEI (Kiehl </w:t>
      </w:r>
      <w:r>
        <w:rPr>
          <w:i/>
        </w:rPr>
        <w:t>et al.</w:t>
      </w:r>
      <w:r>
        <w:rPr/>
        <w:t>, 1977; Schmidt, 2005; IPCC, 2007; SEMARNAT, 2009; Blue, 2016) (Figura</w:t>
      </w:r>
      <w:r>
        <w:rPr>
          <w:spacing w:val="-2"/>
        </w:rPr>
        <w:t> </w:t>
      </w:r>
      <w:r>
        <w:rPr/>
        <w:t>2).</w:t>
      </w:r>
    </w:p>
    <w:p>
      <w:pPr>
        <w:pStyle w:val="BodyText"/>
        <w:spacing w:line="360" w:lineRule="auto" w:before="2"/>
        <w:ind w:left="276" w:right="343"/>
        <w:jc w:val="both"/>
      </w:pPr>
      <w:r>
        <w:rPr/>
        <w:t>Dado que los GEI son uno de los factores más importantes para controlar la temperatura de la atmósfera, es fácil entender por qué un incremento de su concentración puede alterar el flujo natural de energía. La teoría nos dice que a mayor</w:t>
      </w:r>
      <w:r>
        <w:rPr>
          <w:spacing w:val="52"/>
        </w:rPr>
        <w:t> </w:t>
      </w:r>
      <w:r>
        <w:rPr/>
        <w:t>cantidad</w:t>
      </w:r>
      <w:r>
        <w:rPr>
          <w:spacing w:val="52"/>
        </w:rPr>
        <w:t> </w:t>
      </w:r>
      <w:r>
        <w:rPr/>
        <w:t>de</w:t>
      </w:r>
      <w:r>
        <w:rPr>
          <w:spacing w:val="52"/>
        </w:rPr>
        <w:t> </w:t>
      </w:r>
      <w:r>
        <w:rPr/>
        <w:t>GEI,</w:t>
      </w:r>
      <w:r>
        <w:rPr>
          <w:spacing w:val="52"/>
        </w:rPr>
        <w:t> </w:t>
      </w:r>
      <w:r>
        <w:rPr/>
        <w:t>mayor</w:t>
      </w:r>
      <w:r>
        <w:rPr>
          <w:spacing w:val="52"/>
        </w:rPr>
        <w:t> </w:t>
      </w:r>
      <w:r>
        <w:rPr/>
        <w:t>será</w:t>
      </w:r>
      <w:r>
        <w:rPr>
          <w:spacing w:val="52"/>
        </w:rPr>
        <w:t> </w:t>
      </w:r>
      <w:r>
        <w:rPr/>
        <w:t>la</w:t>
      </w:r>
      <w:r>
        <w:rPr>
          <w:spacing w:val="52"/>
        </w:rPr>
        <w:t> </w:t>
      </w:r>
      <w:r>
        <w:rPr/>
        <w:t>cantidad</w:t>
      </w:r>
      <w:r>
        <w:rPr>
          <w:spacing w:val="52"/>
        </w:rPr>
        <w:t> </w:t>
      </w:r>
      <w:r>
        <w:rPr/>
        <w:t>de</w:t>
      </w:r>
      <w:r>
        <w:rPr>
          <w:spacing w:val="52"/>
        </w:rPr>
        <w:t> </w:t>
      </w:r>
      <w:r>
        <w:rPr/>
        <w:t>calor</w:t>
      </w:r>
      <w:r>
        <w:rPr>
          <w:spacing w:val="52"/>
        </w:rPr>
        <w:t> </w:t>
      </w:r>
      <w:r>
        <w:rPr/>
        <w:t>que</w:t>
      </w:r>
      <w:r>
        <w:rPr>
          <w:spacing w:val="52"/>
        </w:rPr>
        <w:t> </w:t>
      </w:r>
      <w:r>
        <w:rPr/>
        <w:t>se</w:t>
      </w:r>
      <w:r>
        <w:rPr>
          <w:spacing w:val="52"/>
        </w:rPr>
        <w:t> </w:t>
      </w:r>
      <w:r>
        <w:rPr/>
        <w:t>absorba</w:t>
      </w:r>
      <w:r>
        <w:rPr>
          <w:spacing w:val="52"/>
        </w:rPr>
        <w:t> </w:t>
      </w:r>
      <w:r>
        <w:rPr/>
        <w:t>y</w:t>
      </w:r>
      <w:r>
        <w:rPr>
          <w:spacing w:val="52"/>
        </w:rPr>
        <w:t> </w:t>
      </w:r>
      <w:r>
        <w:rPr/>
        <w:t>la</w:t>
      </w:r>
    </w:p>
    <w:p>
      <w:pPr>
        <w:spacing w:after="0" w:line="360" w:lineRule="auto"/>
        <w:jc w:val="both"/>
        <w:sectPr>
          <w:pgSz w:w="12240" w:h="15840"/>
          <w:pgMar w:header="741" w:footer="739" w:top="1220" w:bottom="920" w:left="1720" w:right="1060"/>
        </w:sectPr>
      </w:pPr>
    </w:p>
    <w:p>
      <w:pPr>
        <w:pStyle w:val="BodyText"/>
        <w:spacing w:before="4"/>
        <w:rPr>
          <w:sz w:val="11"/>
        </w:rPr>
      </w:pPr>
    </w:p>
    <w:p>
      <w:pPr>
        <w:pStyle w:val="BodyText"/>
        <w:spacing w:line="360" w:lineRule="auto" w:before="69"/>
        <w:ind w:left="276" w:right="163"/>
        <w:jc w:val="both"/>
      </w:pPr>
      <w:r>
        <w:rPr/>
        <w:t>superficie del planeta alcanzará una temperatura más alta. Es decir, se reduce la eficiencia con la cual la Tierra reemite la energía recibida al espacio. Cualquier proceso que altere tal balance, ya sea por cambios en la radiación recibida o reemitida, o en su distribución en la Tierra, se reflejará, tarde o temprano, como cambios en el clima (SEMARNAT, 2009).</w:t>
      </w:r>
    </w:p>
    <w:p>
      <w:pPr>
        <w:pStyle w:val="BodyText"/>
        <w:spacing w:line="355" w:lineRule="auto" w:before="7"/>
        <w:ind w:left="276" w:right="163"/>
        <w:jc w:val="both"/>
      </w:pPr>
      <w:r>
        <w:rPr/>
        <w:t>Las actividades humanas traen como consecuencia la emisión de cuatro gases de efecto invernadero principales: CO</w:t>
      </w:r>
      <w:r>
        <w:rPr>
          <w:position w:val="-2"/>
          <w:sz w:val="16"/>
        </w:rPr>
        <w:t>2</w:t>
      </w:r>
      <w:r>
        <w:rPr/>
        <w:t>, CH</w:t>
      </w:r>
      <w:r>
        <w:rPr>
          <w:position w:val="-2"/>
          <w:sz w:val="16"/>
        </w:rPr>
        <w:t>4</w:t>
      </w:r>
      <w:r>
        <w:rPr/>
        <w:t>, N</w:t>
      </w:r>
      <w:r>
        <w:rPr>
          <w:position w:val="-2"/>
          <w:sz w:val="16"/>
        </w:rPr>
        <w:t>2</w:t>
      </w:r>
      <w:r>
        <w:rPr/>
        <w:t>O y los halocarbonos (grupo de gases que contienen flúor, cloro y bromo). Estos gases se acumulan en la atmósfera, provocando un incremento de sus concentraciones con el paso del tiempo. En la era industrial se han producido incrementos significativos de todos estos gases (Figura 3) Todos estos incrementos se atribuyen a las actividades humanas. Las concentraciones</w:t>
      </w:r>
      <w:r>
        <w:rPr>
          <w:spacing w:val="-9"/>
        </w:rPr>
        <w:t> </w:t>
      </w:r>
      <w:r>
        <w:rPr/>
        <w:t>de</w:t>
      </w:r>
      <w:r>
        <w:rPr>
          <w:spacing w:val="-9"/>
        </w:rPr>
        <w:t> </w:t>
      </w:r>
      <w:r>
        <w:rPr/>
        <w:t>CO</w:t>
      </w:r>
      <w:r>
        <w:rPr>
          <w:position w:val="-2"/>
          <w:sz w:val="16"/>
        </w:rPr>
        <w:t>2</w:t>
      </w:r>
      <w:r>
        <w:rPr>
          <w:spacing w:val="14"/>
          <w:position w:val="-2"/>
          <w:sz w:val="16"/>
        </w:rPr>
        <w:t> </w:t>
      </w:r>
      <w:r>
        <w:rPr/>
        <w:t>y</w:t>
      </w:r>
      <w:r>
        <w:rPr>
          <w:spacing w:val="-9"/>
        </w:rPr>
        <w:t> </w:t>
      </w:r>
      <w:r>
        <w:rPr/>
        <w:t>CH</w:t>
      </w:r>
      <w:r>
        <w:rPr>
          <w:position w:val="-2"/>
          <w:sz w:val="16"/>
        </w:rPr>
        <w:t>4</w:t>
      </w:r>
      <w:r>
        <w:rPr>
          <w:spacing w:val="14"/>
          <w:position w:val="-2"/>
          <w:sz w:val="16"/>
        </w:rPr>
        <w:t> </w:t>
      </w:r>
      <w:r>
        <w:rPr/>
        <w:t>han</w:t>
      </w:r>
      <w:r>
        <w:rPr>
          <w:spacing w:val="-9"/>
        </w:rPr>
        <w:t> </w:t>
      </w:r>
      <w:r>
        <w:rPr/>
        <w:t>aumentado</w:t>
      </w:r>
      <w:r>
        <w:rPr>
          <w:spacing w:val="-9"/>
        </w:rPr>
        <w:t> </w:t>
      </w:r>
      <w:r>
        <w:rPr/>
        <w:t>en</w:t>
      </w:r>
      <w:r>
        <w:rPr>
          <w:spacing w:val="-9"/>
        </w:rPr>
        <w:t> </w:t>
      </w:r>
      <w:r>
        <w:rPr/>
        <w:t>un</w:t>
      </w:r>
      <w:r>
        <w:rPr>
          <w:spacing w:val="-9"/>
        </w:rPr>
        <w:t> </w:t>
      </w:r>
      <w:r>
        <w:rPr/>
        <w:t>36%</w:t>
      </w:r>
      <w:r>
        <w:rPr>
          <w:spacing w:val="-9"/>
        </w:rPr>
        <w:t> </w:t>
      </w:r>
      <w:r>
        <w:rPr/>
        <w:t>y</w:t>
      </w:r>
      <w:r>
        <w:rPr>
          <w:spacing w:val="-9"/>
        </w:rPr>
        <w:t> </w:t>
      </w:r>
      <w:r>
        <w:rPr/>
        <w:t>148%</w:t>
      </w:r>
      <w:r>
        <w:rPr>
          <w:spacing w:val="-9"/>
        </w:rPr>
        <w:t> </w:t>
      </w:r>
      <w:r>
        <w:rPr/>
        <w:t>respectivamente desde 1750 (IPCC, 2007; EPA,</w:t>
      </w:r>
      <w:r>
        <w:rPr>
          <w:spacing w:val="-2"/>
        </w:rPr>
        <w:t> </w:t>
      </w:r>
      <w:r>
        <w:rPr/>
        <w:t>2014).</w:t>
      </w:r>
    </w:p>
    <w:p>
      <w:pPr>
        <w:pStyle w:val="BodyText"/>
      </w:pPr>
    </w:p>
    <w:p>
      <w:pPr>
        <w:pStyle w:val="BodyText"/>
        <w:tabs>
          <w:tab w:pos="2081" w:val="left" w:leader="none"/>
        </w:tabs>
        <w:spacing w:before="149" w:after="6"/>
        <w:ind w:left="863" w:right="72"/>
      </w:pPr>
      <w:r>
        <w:rPr>
          <w:b/>
          <w:color w:val="943634"/>
        </w:rPr>
        <w:t>Figura 3.</w:t>
        <w:tab/>
      </w:r>
      <w:r>
        <w:rPr/>
        <w:t>Concentraciones de GEI del año 0 a</w:t>
      </w:r>
      <w:r>
        <w:rPr>
          <w:spacing w:val="-5"/>
        </w:rPr>
        <w:t> </w:t>
      </w:r>
      <w:r>
        <w:rPr/>
        <w:t>2005.</w:t>
      </w:r>
    </w:p>
    <w:p>
      <w:pPr>
        <w:pStyle w:val="BodyText"/>
        <w:ind w:left="245"/>
        <w:rPr>
          <w:sz w:val="20"/>
        </w:rPr>
      </w:pPr>
      <w:r>
        <w:rPr>
          <w:sz w:val="20"/>
        </w:rPr>
        <w:pict>
          <v:group style="width:444.3pt;height:310.6pt;mso-position-horizontal-relative:char;mso-position-vertical-relative:line" coordorigin="0,0" coordsize="8886,6212">
            <v:line style="position:absolute" from="22,22" to="1731,22" stroked="true" strokeweight="2.16pt" strokecolor="#943634"/>
            <v:line style="position:absolute" from="1716,22" to="1760,22" stroked="true" strokeweight="2.16pt" strokecolor="#000000"/>
            <v:line style="position:absolute" from="1760,22" to="8864,22" stroked="true" strokeweight="2.16pt" strokecolor="#000000"/>
            <v:shape style="position:absolute;left:32;top:44;width:8510;height:6168" type="#_x0000_t75" stroked="false">
              <v:imagedata r:id="rId47" o:title=""/>
            </v:shape>
          </v:group>
        </w:pict>
      </w:r>
      <w:r>
        <w:rPr>
          <w:sz w:val="20"/>
        </w:rPr>
      </w:r>
    </w:p>
    <w:p>
      <w:pPr>
        <w:pStyle w:val="BodyText"/>
        <w:spacing w:before="2"/>
        <w:rPr>
          <w:sz w:val="6"/>
        </w:rPr>
      </w:pPr>
      <w:r>
        <w:rPr/>
        <w:pict>
          <v:line style="position:absolute;mso-position-horizontal-relative:page;mso-position-vertical-relative:paragraph;z-index:2344;mso-wrap-distance-left:0;mso-wrap-distance-right:0" from="98.392433pt,6.619995pt" to="543.112403pt,6.619995pt" stroked="true" strokeweight="2.160010pt" strokecolor="#943634">
            <w10:wrap type="topAndBottom"/>
          </v:line>
        </w:pict>
      </w:r>
    </w:p>
    <w:p>
      <w:pPr>
        <w:spacing w:line="247" w:lineRule="auto" w:before="0"/>
        <w:ind w:left="276" w:right="72" w:firstLine="0"/>
        <w:jc w:val="left"/>
        <w:rPr>
          <w:sz w:val="19"/>
        </w:rPr>
      </w:pPr>
      <w:r>
        <w:rPr>
          <w:b/>
          <w:w w:val="105"/>
          <w:sz w:val="19"/>
        </w:rPr>
        <w:t>Fuente: IPCC (2007). </w:t>
      </w:r>
      <w:r>
        <w:rPr>
          <w:w w:val="105"/>
          <w:sz w:val="19"/>
        </w:rPr>
        <w:t>Disponible en: https://</w:t>
      </w:r>
      <w:hyperlink r:id="rId48">
        <w:r>
          <w:rPr>
            <w:w w:val="105"/>
            <w:sz w:val="19"/>
          </w:rPr>
          <w:t>www.ipcc.ch/publications_and_data/ar4/wg1/es/faq-2-</w:t>
        </w:r>
      </w:hyperlink>
      <w:r>
        <w:rPr>
          <w:w w:val="105"/>
          <w:sz w:val="19"/>
        </w:rPr>
        <w:t> 1.html</w:t>
      </w:r>
    </w:p>
    <w:p>
      <w:pPr>
        <w:spacing w:after="0" w:line="247" w:lineRule="auto"/>
        <w:jc w:val="left"/>
        <w:rPr>
          <w:sz w:val="19"/>
        </w:rPr>
        <w:sectPr>
          <w:pgSz w:w="12240" w:h="15840"/>
          <w:pgMar w:header="741" w:footer="739" w:top="1220" w:bottom="920" w:left="1720" w:right="1240"/>
        </w:sectPr>
      </w:pPr>
    </w:p>
    <w:p>
      <w:pPr>
        <w:pStyle w:val="BodyText"/>
        <w:rPr>
          <w:sz w:val="13"/>
        </w:rPr>
      </w:pPr>
    </w:p>
    <w:p>
      <w:pPr>
        <w:pStyle w:val="Heading2"/>
        <w:numPr>
          <w:ilvl w:val="1"/>
          <w:numId w:val="5"/>
        </w:numPr>
        <w:tabs>
          <w:tab w:pos="900" w:val="left" w:leader="none"/>
        </w:tabs>
        <w:spacing w:line="240" w:lineRule="auto" w:before="66" w:after="0"/>
        <w:ind w:left="899" w:right="0" w:hanging="623"/>
        <w:jc w:val="both"/>
      </w:pPr>
      <w:bookmarkStart w:name="_TOC_250019" w:id="11"/>
      <w:r>
        <w:rPr/>
        <w:t>Cambio climático  y calentamiento</w:t>
      </w:r>
      <w:r>
        <w:rPr>
          <w:spacing w:val="82"/>
        </w:rPr>
        <w:t> </w:t>
      </w:r>
      <w:bookmarkEnd w:id="11"/>
      <w:r>
        <w:rPr/>
        <w:t>global</w:t>
      </w:r>
    </w:p>
    <w:p>
      <w:pPr>
        <w:pStyle w:val="BodyText"/>
        <w:rPr>
          <w:b/>
          <w:sz w:val="36"/>
        </w:rPr>
      </w:pPr>
    </w:p>
    <w:p>
      <w:pPr>
        <w:pStyle w:val="BodyText"/>
        <w:spacing w:line="360" w:lineRule="auto" w:before="1"/>
        <w:ind w:left="276" w:right="144"/>
        <w:jc w:val="both"/>
      </w:pPr>
      <w:r>
        <w:rPr/>
        <w:t>El</w:t>
      </w:r>
      <w:r>
        <w:rPr>
          <w:spacing w:val="-7"/>
        </w:rPr>
        <w:t> </w:t>
      </w:r>
      <w:r>
        <w:rPr/>
        <w:t>cambio</w:t>
      </w:r>
      <w:r>
        <w:rPr>
          <w:spacing w:val="-7"/>
        </w:rPr>
        <w:t> </w:t>
      </w:r>
      <w:r>
        <w:rPr/>
        <w:t>climático</w:t>
      </w:r>
      <w:r>
        <w:rPr>
          <w:spacing w:val="-7"/>
        </w:rPr>
        <w:t> </w:t>
      </w:r>
      <w:r>
        <w:rPr/>
        <w:t>es</w:t>
      </w:r>
      <w:r>
        <w:rPr>
          <w:spacing w:val="-7"/>
        </w:rPr>
        <w:t> </w:t>
      </w:r>
      <w:r>
        <w:rPr/>
        <w:t>considerado</w:t>
      </w:r>
      <w:r>
        <w:rPr>
          <w:spacing w:val="-7"/>
        </w:rPr>
        <w:t> </w:t>
      </w:r>
      <w:r>
        <w:rPr/>
        <w:t>por</w:t>
      </w:r>
      <w:r>
        <w:rPr>
          <w:spacing w:val="-7"/>
        </w:rPr>
        <w:t> </w:t>
      </w:r>
      <w:r>
        <w:rPr/>
        <w:t>muchos</w:t>
      </w:r>
      <w:r>
        <w:rPr>
          <w:spacing w:val="-7"/>
        </w:rPr>
        <w:t> </w:t>
      </w:r>
      <w:r>
        <w:rPr/>
        <w:t>científicos</w:t>
      </w:r>
      <w:r>
        <w:rPr>
          <w:spacing w:val="-7"/>
        </w:rPr>
        <w:t> </w:t>
      </w:r>
      <w:r>
        <w:rPr/>
        <w:t>como</w:t>
      </w:r>
      <w:r>
        <w:rPr>
          <w:spacing w:val="-7"/>
        </w:rPr>
        <w:t> </w:t>
      </w:r>
      <w:r>
        <w:rPr/>
        <w:t>el</w:t>
      </w:r>
      <w:r>
        <w:rPr>
          <w:spacing w:val="-7"/>
        </w:rPr>
        <w:t> </w:t>
      </w:r>
      <w:r>
        <w:rPr/>
        <w:t>mayor</w:t>
      </w:r>
      <w:r>
        <w:rPr>
          <w:spacing w:val="-7"/>
        </w:rPr>
        <w:t> </w:t>
      </w:r>
      <w:r>
        <w:rPr/>
        <w:t>problema a ser enfrentado por la humanidad en el presente siglo. Es un reto de claras responsabilidades comunes que deberán ser asumidas de manera urgente y diferenciada por los países industrializados y no industrializados del</w:t>
      </w:r>
      <w:r>
        <w:rPr>
          <w:spacing w:val="-3"/>
        </w:rPr>
        <w:t> </w:t>
      </w:r>
      <w:r>
        <w:rPr/>
        <w:t>orbe.</w:t>
      </w:r>
    </w:p>
    <w:p>
      <w:pPr>
        <w:pStyle w:val="BodyText"/>
        <w:spacing w:line="360" w:lineRule="auto" w:before="7"/>
        <w:ind w:left="276" w:right="143"/>
        <w:jc w:val="both"/>
      </w:pPr>
      <w:r>
        <w:rPr/>
        <w:t>El cambio climático y el calentamiento global se refieren al aumento observado en los últimos siglos de la temperatura media del sistema climático de la Tierra y sus efectos (Gills, 2015). Múltiples líneas de pruebas científicas demuestran que el sistema climático se está calentando (Hartmann </w:t>
      </w:r>
      <w:r>
        <w:rPr>
          <w:i/>
        </w:rPr>
        <w:t>et al., </w:t>
      </w:r>
      <w:r>
        <w:rPr/>
        <w:t>2013). Aunque a menudo la prensa popular comunica el incremento de la temperatura atmosférica superficial como medición del calentamiento global, la mayor parte de la energía adicional almacenada en el sistema climático desde 1970 se ha usado en calentar los océanos. El resto ha fundido el hielo y calentado los continentes y la atmósfera. Muchos</w:t>
      </w:r>
      <w:r>
        <w:rPr>
          <w:spacing w:val="-17"/>
        </w:rPr>
        <w:t> </w:t>
      </w:r>
      <w:r>
        <w:rPr/>
        <w:t>de</w:t>
      </w:r>
      <w:r>
        <w:rPr>
          <w:spacing w:val="-17"/>
        </w:rPr>
        <w:t> </w:t>
      </w:r>
      <w:r>
        <w:rPr/>
        <w:t>los</w:t>
      </w:r>
      <w:r>
        <w:rPr>
          <w:spacing w:val="-17"/>
        </w:rPr>
        <w:t> </w:t>
      </w:r>
      <w:r>
        <w:rPr/>
        <w:t>cambios</w:t>
      </w:r>
      <w:r>
        <w:rPr>
          <w:spacing w:val="-17"/>
        </w:rPr>
        <w:t> </w:t>
      </w:r>
      <w:r>
        <w:rPr/>
        <w:t>observados</w:t>
      </w:r>
      <w:r>
        <w:rPr>
          <w:spacing w:val="-17"/>
        </w:rPr>
        <w:t> </w:t>
      </w:r>
      <w:r>
        <w:rPr/>
        <w:t>desde</w:t>
      </w:r>
      <w:r>
        <w:rPr>
          <w:spacing w:val="-17"/>
        </w:rPr>
        <w:t> </w:t>
      </w:r>
      <w:r>
        <w:rPr/>
        <w:t>la</w:t>
      </w:r>
      <w:r>
        <w:rPr>
          <w:spacing w:val="-17"/>
        </w:rPr>
        <w:t> </w:t>
      </w:r>
      <w:r>
        <w:rPr/>
        <w:t>década</w:t>
      </w:r>
      <w:r>
        <w:rPr>
          <w:spacing w:val="-17"/>
        </w:rPr>
        <w:t> </w:t>
      </w:r>
      <w:r>
        <w:rPr/>
        <w:t>de</w:t>
      </w:r>
      <w:r>
        <w:rPr>
          <w:spacing w:val="-17"/>
        </w:rPr>
        <w:t> </w:t>
      </w:r>
      <w:r>
        <w:rPr/>
        <w:t>1950</w:t>
      </w:r>
      <w:r>
        <w:rPr>
          <w:spacing w:val="-17"/>
        </w:rPr>
        <w:t> </w:t>
      </w:r>
      <w:r>
        <w:rPr/>
        <w:t>no</w:t>
      </w:r>
      <w:r>
        <w:rPr>
          <w:spacing w:val="-17"/>
        </w:rPr>
        <w:t> </w:t>
      </w:r>
      <w:r>
        <w:rPr/>
        <w:t>tienen</w:t>
      </w:r>
      <w:r>
        <w:rPr>
          <w:spacing w:val="-17"/>
        </w:rPr>
        <w:t> </w:t>
      </w:r>
      <w:r>
        <w:rPr/>
        <w:t>precedentes en décadas, aún milenios (IPCC,</w:t>
      </w:r>
      <w:r>
        <w:rPr>
          <w:spacing w:val="-1"/>
        </w:rPr>
        <w:t> </w:t>
      </w:r>
      <w:r>
        <w:rPr/>
        <w:t>2013).</w:t>
      </w:r>
    </w:p>
    <w:p>
      <w:pPr>
        <w:pStyle w:val="BodyText"/>
        <w:spacing w:line="360" w:lineRule="auto" w:before="2"/>
        <w:ind w:left="276" w:right="143"/>
        <w:jc w:val="both"/>
      </w:pPr>
      <w:r>
        <w:rPr/>
        <w:t>La</w:t>
      </w:r>
      <w:r>
        <w:rPr>
          <w:spacing w:val="-7"/>
        </w:rPr>
        <w:t> </w:t>
      </w:r>
      <w:r>
        <w:rPr/>
        <w:t>comprensión</w:t>
      </w:r>
      <w:r>
        <w:rPr>
          <w:spacing w:val="-7"/>
        </w:rPr>
        <w:t> </w:t>
      </w:r>
      <w:r>
        <w:rPr/>
        <w:t>científica</w:t>
      </w:r>
      <w:r>
        <w:rPr>
          <w:spacing w:val="-7"/>
        </w:rPr>
        <w:t> </w:t>
      </w:r>
      <w:r>
        <w:rPr/>
        <w:t>del</w:t>
      </w:r>
      <w:r>
        <w:rPr>
          <w:spacing w:val="-7"/>
        </w:rPr>
        <w:t> </w:t>
      </w:r>
      <w:r>
        <w:rPr/>
        <w:t>calentamiento</w:t>
      </w:r>
      <w:r>
        <w:rPr>
          <w:spacing w:val="-7"/>
        </w:rPr>
        <w:t> </w:t>
      </w:r>
      <w:r>
        <w:rPr/>
        <w:t>global</w:t>
      </w:r>
      <w:r>
        <w:rPr>
          <w:spacing w:val="-7"/>
        </w:rPr>
        <w:t> </w:t>
      </w:r>
      <w:r>
        <w:rPr/>
        <w:t>ha</w:t>
      </w:r>
      <w:r>
        <w:rPr>
          <w:spacing w:val="-7"/>
        </w:rPr>
        <w:t> </w:t>
      </w:r>
      <w:r>
        <w:rPr/>
        <w:t>ido</w:t>
      </w:r>
      <w:r>
        <w:rPr>
          <w:spacing w:val="-7"/>
        </w:rPr>
        <w:t> </w:t>
      </w:r>
      <w:r>
        <w:rPr/>
        <w:t>en</w:t>
      </w:r>
      <w:r>
        <w:rPr>
          <w:spacing w:val="-7"/>
        </w:rPr>
        <w:t> </w:t>
      </w:r>
      <w:r>
        <w:rPr/>
        <w:t>aumento.</w:t>
      </w:r>
      <w:r>
        <w:rPr>
          <w:spacing w:val="-7"/>
        </w:rPr>
        <w:t> </w:t>
      </w:r>
      <w:r>
        <w:rPr/>
        <w:t>En</w:t>
      </w:r>
      <w:r>
        <w:rPr>
          <w:spacing w:val="-7"/>
        </w:rPr>
        <w:t> </w:t>
      </w:r>
      <w:r>
        <w:rPr/>
        <w:t>su</w:t>
      </w:r>
      <w:r>
        <w:rPr>
          <w:spacing w:val="-7"/>
        </w:rPr>
        <w:t> </w:t>
      </w:r>
      <w:r>
        <w:rPr/>
        <w:t>quinto informe (AR5, por sus siglas en inglés) el IPCC señala que en 2014 los científicos estaban más del 95% seguros de que la mayor parte del calentamiento global es causada por las crecientes concentraciones de GEI y otras actividades antropogénicas. Las proyecciones de modelos climáticos resumidos en el AR5 indicaron</w:t>
      </w:r>
      <w:r>
        <w:rPr>
          <w:spacing w:val="50"/>
        </w:rPr>
        <w:t> </w:t>
      </w:r>
      <w:r>
        <w:rPr/>
        <w:t>que</w:t>
      </w:r>
      <w:r>
        <w:rPr>
          <w:spacing w:val="50"/>
        </w:rPr>
        <w:t> </w:t>
      </w:r>
      <w:r>
        <w:rPr/>
        <w:t>durante</w:t>
      </w:r>
      <w:r>
        <w:rPr>
          <w:spacing w:val="50"/>
        </w:rPr>
        <w:t> </w:t>
      </w:r>
      <w:r>
        <w:rPr/>
        <w:t>el</w:t>
      </w:r>
      <w:r>
        <w:rPr>
          <w:spacing w:val="50"/>
        </w:rPr>
        <w:t> </w:t>
      </w:r>
      <w:r>
        <w:rPr/>
        <w:t>presente</w:t>
      </w:r>
      <w:r>
        <w:rPr>
          <w:spacing w:val="50"/>
        </w:rPr>
        <w:t> </w:t>
      </w:r>
      <w:r>
        <w:rPr/>
        <w:t>siglo</w:t>
      </w:r>
      <w:r>
        <w:rPr>
          <w:spacing w:val="50"/>
        </w:rPr>
        <w:t> </w:t>
      </w:r>
      <w:r>
        <w:rPr/>
        <w:t>la</w:t>
      </w:r>
      <w:r>
        <w:rPr>
          <w:spacing w:val="50"/>
        </w:rPr>
        <w:t> </w:t>
      </w:r>
      <w:r>
        <w:rPr/>
        <w:t>temperatura</w:t>
      </w:r>
      <w:r>
        <w:rPr>
          <w:spacing w:val="50"/>
        </w:rPr>
        <w:t> </w:t>
      </w:r>
      <w:r>
        <w:rPr/>
        <w:t>superficial</w:t>
      </w:r>
      <w:r>
        <w:rPr>
          <w:spacing w:val="50"/>
        </w:rPr>
        <w:t> </w:t>
      </w:r>
      <w:r>
        <w:rPr/>
        <w:t>global</w:t>
      </w:r>
      <w:r>
        <w:rPr>
          <w:spacing w:val="50"/>
        </w:rPr>
        <w:t> </w:t>
      </w:r>
      <w:r>
        <w:rPr/>
        <w:t>subirá</w:t>
      </w:r>
    </w:p>
    <w:p>
      <w:pPr>
        <w:pStyle w:val="BodyText"/>
        <w:spacing w:line="279" w:lineRule="exact"/>
        <w:ind w:left="276"/>
        <w:jc w:val="both"/>
      </w:pPr>
      <w:r>
        <w:rPr/>
        <w:t>probablemente 0.3 a 1.7</w:t>
      </w:r>
      <w:r>
        <w:rPr>
          <w:position w:val="11"/>
          <w:sz w:val="16"/>
        </w:rPr>
        <w:t>o</w:t>
      </w:r>
      <w:r>
        <w:rPr/>
        <w:t>C para su escenario de emisiones más bajas usando</w:t>
      </w:r>
    </w:p>
    <w:p>
      <w:pPr>
        <w:pStyle w:val="BodyText"/>
        <w:spacing w:line="360" w:lineRule="auto" w:before="106"/>
        <w:ind w:left="276" w:right="144"/>
        <w:jc w:val="both"/>
      </w:pPr>
      <w:r>
        <w:rPr/>
        <w:t>mitigación estricta y 2.6 a 4.8</w:t>
      </w:r>
      <w:r>
        <w:rPr>
          <w:position w:val="11"/>
          <w:sz w:val="16"/>
        </w:rPr>
        <w:t>o</w:t>
      </w:r>
      <w:r>
        <w:rPr/>
        <w:t>C para las mayores. Estas conclusiones han sido respaldadas por las academias nacionales de ciencia de los principales países industrializados</w:t>
      </w:r>
      <w:r>
        <w:rPr>
          <w:spacing w:val="-12"/>
        </w:rPr>
        <w:t> </w:t>
      </w:r>
      <w:r>
        <w:rPr/>
        <w:t>y</w:t>
      </w:r>
      <w:r>
        <w:rPr>
          <w:spacing w:val="-12"/>
        </w:rPr>
        <w:t> </w:t>
      </w:r>
      <w:r>
        <w:rPr/>
        <w:t>no</w:t>
      </w:r>
      <w:r>
        <w:rPr>
          <w:spacing w:val="-12"/>
        </w:rPr>
        <w:t> </w:t>
      </w:r>
      <w:r>
        <w:rPr/>
        <w:t>son</w:t>
      </w:r>
      <w:r>
        <w:rPr>
          <w:spacing w:val="-12"/>
        </w:rPr>
        <w:t> </w:t>
      </w:r>
      <w:r>
        <w:rPr/>
        <w:t>disputadas</w:t>
      </w:r>
      <w:r>
        <w:rPr>
          <w:spacing w:val="-12"/>
        </w:rPr>
        <w:t> </w:t>
      </w:r>
      <w:r>
        <w:rPr/>
        <w:t>por</w:t>
      </w:r>
      <w:r>
        <w:rPr>
          <w:spacing w:val="-12"/>
        </w:rPr>
        <w:t> </w:t>
      </w:r>
      <w:r>
        <w:rPr/>
        <w:t>ninguna</w:t>
      </w:r>
      <w:r>
        <w:rPr>
          <w:spacing w:val="-12"/>
        </w:rPr>
        <w:t> </w:t>
      </w:r>
      <w:r>
        <w:rPr/>
        <w:t>organización</w:t>
      </w:r>
      <w:r>
        <w:rPr>
          <w:spacing w:val="-12"/>
        </w:rPr>
        <w:t> </w:t>
      </w:r>
      <w:r>
        <w:rPr/>
        <w:t>científica</w:t>
      </w:r>
      <w:r>
        <w:rPr>
          <w:spacing w:val="-12"/>
        </w:rPr>
        <w:t> </w:t>
      </w:r>
      <w:r>
        <w:rPr/>
        <w:t>de</w:t>
      </w:r>
      <w:r>
        <w:rPr>
          <w:spacing w:val="-12"/>
        </w:rPr>
        <w:t> </w:t>
      </w:r>
      <w:r>
        <w:rPr/>
        <w:t>prestigio nacional o internacional (IPCC,</w:t>
      </w:r>
      <w:r>
        <w:rPr>
          <w:spacing w:val="-1"/>
        </w:rPr>
        <w:t> </w:t>
      </w:r>
      <w:r>
        <w:rPr/>
        <w:t>2014).</w:t>
      </w:r>
    </w:p>
    <w:p>
      <w:pPr>
        <w:pStyle w:val="BodyText"/>
        <w:spacing w:line="360" w:lineRule="auto" w:before="7"/>
        <w:ind w:left="276" w:right="144"/>
        <w:jc w:val="both"/>
      </w:pPr>
      <w:r>
        <w:rPr/>
        <w:t>El cambio climático futuro y los impactos asociados serán distintos de una región a otra alrededor del globo. Los efectos anticipados incluyen un aumento en las temperaturas globales, una subida en el nivel del mar, un cambio en los patrones de las precipitaciones y una expansión de los desiertos subtropicales. Se espera</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que</w:t>
      </w:r>
      <w:r>
        <w:rPr>
          <w:spacing w:val="-5"/>
        </w:rPr>
        <w:t> </w:t>
      </w:r>
      <w:r>
        <w:rPr/>
        <w:t>el</w:t>
      </w:r>
      <w:r>
        <w:rPr>
          <w:spacing w:val="-5"/>
        </w:rPr>
        <w:t> </w:t>
      </w:r>
      <w:r>
        <w:rPr/>
        <w:t>calentamiento</w:t>
      </w:r>
      <w:r>
        <w:rPr>
          <w:spacing w:val="-5"/>
        </w:rPr>
        <w:t> </w:t>
      </w:r>
      <w:r>
        <w:rPr/>
        <w:t>sea</w:t>
      </w:r>
      <w:r>
        <w:rPr>
          <w:spacing w:val="-5"/>
        </w:rPr>
        <w:t> </w:t>
      </w:r>
      <w:r>
        <w:rPr/>
        <w:t>mayor</w:t>
      </w:r>
      <w:r>
        <w:rPr>
          <w:spacing w:val="-5"/>
        </w:rPr>
        <w:t> </w:t>
      </w:r>
      <w:r>
        <w:rPr/>
        <w:t>en</w:t>
      </w:r>
      <w:r>
        <w:rPr>
          <w:spacing w:val="-5"/>
        </w:rPr>
        <w:t> </w:t>
      </w:r>
      <w:r>
        <w:rPr/>
        <w:t>la</w:t>
      </w:r>
      <w:r>
        <w:rPr>
          <w:spacing w:val="-5"/>
        </w:rPr>
        <w:t> </w:t>
      </w:r>
      <w:r>
        <w:rPr/>
        <w:t>tierra</w:t>
      </w:r>
      <w:r>
        <w:rPr>
          <w:spacing w:val="-5"/>
        </w:rPr>
        <w:t> </w:t>
      </w:r>
      <w:r>
        <w:rPr/>
        <w:t>que</w:t>
      </w:r>
      <w:r>
        <w:rPr>
          <w:spacing w:val="-5"/>
        </w:rPr>
        <w:t> </w:t>
      </w:r>
      <w:r>
        <w:rPr/>
        <w:t>en</w:t>
      </w:r>
      <w:r>
        <w:rPr>
          <w:spacing w:val="-5"/>
        </w:rPr>
        <w:t> </w:t>
      </w:r>
      <w:r>
        <w:rPr/>
        <w:t>los</w:t>
      </w:r>
      <w:r>
        <w:rPr>
          <w:spacing w:val="-5"/>
        </w:rPr>
        <w:t> </w:t>
      </w:r>
      <w:r>
        <w:rPr/>
        <w:t>océanos</w:t>
      </w:r>
      <w:r>
        <w:rPr>
          <w:spacing w:val="-5"/>
        </w:rPr>
        <w:t> </w:t>
      </w:r>
      <w:r>
        <w:rPr/>
        <w:t>y</w:t>
      </w:r>
      <w:r>
        <w:rPr>
          <w:spacing w:val="-5"/>
        </w:rPr>
        <w:t> </w:t>
      </w:r>
      <w:r>
        <w:rPr/>
        <w:t>el</w:t>
      </w:r>
      <w:r>
        <w:rPr>
          <w:spacing w:val="-5"/>
        </w:rPr>
        <w:t> </w:t>
      </w:r>
      <w:r>
        <w:rPr/>
        <w:t>más</w:t>
      </w:r>
      <w:r>
        <w:rPr>
          <w:spacing w:val="-5"/>
        </w:rPr>
        <w:t> </w:t>
      </w:r>
      <w:r>
        <w:rPr/>
        <w:t>acentuado ocurra en el Ártico, con el continuo retroceso de los glaciares, el permafrost y la banquisa. Otros efectos probables incluyen fenómenos meteorológicos extremos más frecuentes, tales como olas de calor, sequías, lluvias torrenciales y fuertes nevadas; acidificación del océano y extinción de especies debido a regímenes de temperatura cambiantes. Entre sus impactos humanos significativos se incluye la amenaza a la seguridad alimentaria por la disminución del rendimiento de las cosechas y la pérdida de hábitat por inundación (IPCC,</w:t>
      </w:r>
      <w:r>
        <w:rPr>
          <w:spacing w:val="-1"/>
        </w:rPr>
        <w:t> </w:t>
      </w:r>
      <w:r>
        <w:rPr/>
        <w:t>2007).</w:t>
      </w:r>
    </w:p>
    <w:p>
      <w:pPr>
        <w:pStyle w:val="BodyText"/>
        <w:spacing w:line="360" w:lineRule="auto" w:before="2"/>
        <w:ind w:left="276" w:right="143"/>
        <w:jc w:val="both"/>
      </w:pPr>
      <w:r>
        <w:rPr/>
        <w:t>Las posibles respuestas al calentamiento global incluyen la mitigación mediante la reducción</w:t>
      </w:r>
      <w:r>
        <w:rPr>
          <w:spacing w:val="-16"/>
        </w:rPr>
        <w:t> </w:t>
      </w:r>
      <w:r>
        <w:rPr/>
        <w:t>de</w:t>
      </w:r>
      <w:r>
        <w:rPr>
          <w:spacing w:val="-16"/>
        </w:rPr>
        <w:t> </w:t>
      </w:r>
      <w:r>
        <w:rPr/>
        <w:t>las</w:t>
      </w:r>
      <w:r>
        <w:rPr>
          <w:spacing w:val="-16"/>
        </w:rPr>
        <w:t> </w:t>
      </w:r>
      <w:r>
        <w:rPr/>
        <w:t>emisiones,</w:t>
      </w:r>
      <w:r>
        <w:rPr>
          <w:spacing w:val="-16"/>
        </w:rPr>
        <w:t> </w:t>
      </w:r>
      <w:r>
        <w:rPr/>
        <w:t>la</w:t>
      </w:r>
      <w:r>
        <w:rPr>
          <w:spacing w:val="-16"/>
        </w:rPr>
        <w:t> </w:t>
      </w:r>
      <w:r>
        <w:rPr/>
        <w:t>adaptación</w:t>
      </w:r>
      <w:r>
        <w:rPr>
          <w:spacing w:val="-16"/>
        </w:rPr>
        <w:t> </w:t>
      </w:r>
      <w:r>
        <w:rPr/>
        <w:t>a</w:t>
      </w:r>
      <w:r>
        <w:rPr>
          <w:spacing w:val="-16"/>
        </w:rPr>
        <w:t> </w:t>
      </w:r>
      <w:r>
        <w:rPr/>
        <w:t>sus</w:t>
      </w:r>
      <w:r>
        <w:rPr>
          <w:spacing w:val="-16"/>
        </w:rPr>
        <w:t> </w:t>
      </w:r>
      <w:r>
        <w:rPr/>
        <w:t>efectos,</w:t>
      </w:r>
      <w:r>
        <w:rPr>
          <w:spacing w:val="-16"/>
        </w:rPr>
        <w:t> </w:t>
      </w:r>
      <w:r>
        <w:rPr/>
        <w:t>la</w:t>
      </w:r>
      <w:r>
        <w:rPr>
          <w:spacing w:val="-16"/>
        </w:rPr>
        <w:t> </w:t>
      </w:r>
      <w:r>
        <w:rPr/>
        <w:t>construcción</w:t>
      </w:r>
      <w:r>
        <w:rPr>
          <w:spacing w:val="-16"/>
        </w:rPr>
        <w:t> </w:t>
      </w:r>
      <w:r>
        <w:rPr/>
        <w:t>de</w:t>
      </w:r>
      <w:r>
        <w:rPr>
          <w:spacing w:val="-16"/>
        </w:rPr>
        <w:t> </w:t>
      </w:r>
      <w:r>
        <w:rPr/>
        <w:t>sistemas resilientes a sus impactos y una posible ingeniería climática futura. La mayoría de los países son parte de la Convención Marco de las Naciones Unidas sobre el Cambio Climático (CMNUCC), cuyo objetivo último es prevenir un cambio</w:t>
      </w:r>
      <w:r>
        <w:rPr>
          <w:spacing w:val="-11"/>
        </w:rPr>
        <w:t> </w:t>
      </w:r>
      <w:r>
        <w:rPr/>
        <w:t>climático antropogénico peligroso. La CMNUCC, ha adoptado una serie de políticas destinadas a reducir las emisiones de gases de efecto invernadero y ayudar en la adaptación al calentamiento global. Los miembros de la CMNUCC han acordado que</w:t>
      </w:r>
      <w:r>
        <w:rPr>
          <w:spacing w:val="37"/>
        </w:rPr>
        <w:t> </w:t>
      </w:r>
      <w:r>
        <w:rPr/>
        <w:t>se</w:t>
      </w:r>
      <w:r>
        <w:rPr>
          <w:spacing w:val="37"/>
        </w:rPr>
        <w:t> </w:t>
      </w:r>
      <w:r>
        <w:rPr/>
        <w:t>requieren</w:t>
      </w:r>
      <w:r>
        <w:rPr>
          <w:spacing w:val="37"/>
        </w:rPr>
        <w:t> </w:t>
      </w:r>
      <w:r>
        <w:rPr/>
        <w:t>grandes</w:t>
      </w:r>
      <w:r>
        <w:rPr>
          <w:spacing w:val="37"/>
        </w:rPr>
        <w:t> </w:t>
      </w:r>
      <w:r>
        <w:rPr/>
        <w:t>reducciones</w:t>
      </w:r>
      <w:r>
        <w:rPr>
          <w:spacing w:val="37"/>
        </w:rPr>
        <w:t> </w:t>
      </w:r>
      <w:r>
        <w:rPr/>
        <w:t>en</w:t>
      </w:r>
      <w:r>
        <w:rPr>
          <w:spacing w:val="37"/>
        </w:rPr>
        <w:t> </w:t>
      </w:r>
      <w:r>
        <w:rPr/>
        <w:t>las</w:t>
      </w:r>
      <w:r>
        <w:rPr>
          <w:spacing w:val="37"/>
        </w:rPr>
        <w:t> </w:t>
      </w:r>
      <w:r>
        <w:rPr/>
        <w:t>emisiones</w:t>
      </w:r>
      <w:r>
        <w:rPr>
          <w:spacing w:val="37"/>
        </w:rPr>
        <w:t> </w:t>
      </w:r>
      <w:r>
        <w:rPr/>
        <w:t>y</w:t>
      </w:r>
      <w:r>
        <w:rPr>
          <w:spacing w:val="37"/>
        </w:rPr>
        <w:t> </w:t>
      </w:r>
      <w:r>
        <w:rPr/>
        <w:t>que</w:t>
      </w:r>
      <w:r>
        <w:rPr>
          <w:spacing w:val="37"/>
        </w:rPr>
        <w:t> </w:t>
      </w:r>
      <w:r>
        <w:rPr/>
        <w:t>el</w:t>
      </w:r>
      <w:r>
        <w:rPr>
          <w:spacing w:val="37"/>
        </w:rPr>
        <w:t> </w:t>
      </w:r>
      <w:r>
        <w:rPr/>
        <w:t>calentamiento</w:t>
      </w:r>
    </w:p>
    <w:p>
      <w:pPr>
        <w:pStyle w:val="BodyText"/>
        <w:spacing w:line="284" w:lineRule="exact"/>
        <w:ind w:left="276"/>
        <w:jc w:val="both"/>
      </w:pPr>
      <w:r>
        <w:rPr/>
        <w:t>global futuro debe limitarse a menos de 2.0</w:t>
      </w:r>
      <w:r>
        <w:rPr>
          <w:position w:val="11"/>
          <w:sz w:val="16"/>
        </w:rPr>
        <w:t>o</w:t>
      </w:r>
      <w:r>
        <w:rPr/>
        <w:t>C con respecto al nivel preindustrial.</w:t>
      </w:r>
    </w:p>
    <w:p>
      <w:pPr>
        <w:pStyle w:val="BodyText"/>
        <w:spacing w:before="137"/>
        <w:ind w:left="276"/>
        <w:jc w:val="both"/>
      </w:pPr>
      <w:r>
        <w:rPr/>
        <w:t>(CMNUCC, 2007).</w:t>
      </w:r>
    </w:p>
    <w:p>
      <w:pPr>
        <w:pStyle w:val="BodyText"/>
        <w:spacing w:line="355" w:lineRule="auto" w:before="137"/>
        <w:ind w:left="276" w:right="144"/>
        <w:jc w:val="both"/>
      </w:pPr>
      <w:r>
        <w:rPr/>
        <w:t>En 2015, científicos de la NASA informaron que el CO</w:t>
      </w:r>
      <w:r>
        <w:rPr>
          <w:position w:val="-2"/>
          <w:sz w:val="16"/>
        </w:rPr>
        <w:t>2 </w:t>
      </w:r>
      <w:r>
        <w:rPr/>
        <w:t>producido por el hombre continúa</w:t>
      </w:r>
      <w:r>
        <w:rPr>
          <w:spacing w:val="-18"/>
        </w:rPr>
        <w:t> </w:t>
      </w:r>
      <w:r>
        <w:rPr/>
        <w:t>incrementándose</w:t>
      </w:r>
      <w:r>
        <w:rPr>
          <w:spacing w:val="-18"/>
        </w:rPr>
        <w:t> </w:t>
      </w:r>
      <w:r>
        <w:rPr/>
        <w:t>sobre</w:t>
      </w:r>
      <w:r>
        <w:rPr>
          <w:spacing w:val="-18"/>
        </w:rPr>
        <w:t> </w:t>
      </w:r>
      <w:r>
        <w:rPr/>
        <w:t>niveles</w:t>
      </w:r>
      <w:r>
        <w:rPr>
          <w:spacing w:val="-18"/>
        </w:rPr>
        <w:t> </w:t>
      </w:r>
      <w:r>
        <w:rPr/>
        <w:t>no</w:t>
      </w:r>
      <w:r>
        <w:rPr>
          <w:spacing w:val="-18"/>
        </w:rPr>
        <w:t> </w:t>
      </w:r>
      <w:r>
        <w:rPr/>
        <w:t>alcanzados</w:t>
      </w:r>
      <w:r>
        <w:rPr>
          <w:spacing w:val="-18"/>
        </w:rPr>
        <w:t> </w:t>
      </w:r>
      <w:r>
        <w:rPr/>
        <w:t>en</w:t>
      </w:r>
      <w:r>
        <w:rPr>
          <w:spacing w:val="-18"/>
        </w:rPr>
        <w:t> </w:t>
      </w:r>
      <w:r>
        <w:rPr/>
        <w:t>cientos</w:t>
      </w:r>
      <w:r>
        <w:rPr>
          <w:spacing w:val="-18"/>
        </w:rPr>
        <w:t> </w:t>
      </w:r>
      <w:r>
        <w:rPr/>
        <w:t>de</w:t>
      </w:r>
      <w:r>
        <w:rPr>
          <w:spacing w:val="-18"/>
        </w:rPr>
        <w:t> </w:t>
      </w:r>
      <w:r>
        <w:rPr/>
        <w:t>miles</w:t>
      </w:r>
      <w:r>
        <w:rPr>
          <w:spacing w:val="-18"/>
        </w:rPr>
        <w:t> </w:t>
      </w:r>
      <w:r>
        <w:rPr/>
        <w:t>de</w:t>
      </w:r>
      <w:r>
        <w:rPr>
          <w:spacing w:val="-18"/>
        </w:rPr>
        <w:t> </w:t>
      </w:r>
      <w:r>
        <w:rPr/>
        <w:t>años. Actualmente, cerca de la mitad del CO</w:t>
      </w:r>
      <w:r>
        <w:rPr>
          <w:position w:val="-2"/>
          <w:sz w:val="16"/>
        </w:rPr>
        <w:t>2 </w:t>
      </w:r>
      <w:r>
        <w:rPr/>
        <w:t>proveniente de la quema de combustibles fósiles no es absorbido ni por la vegetación ni los océanos y permanece en la atmósfera (NASA, 2016).</w:t>
      </w:r>
    </w:p>
    <w:p>
      <w:pPr>
        <w:pStyle w:val="BodyText"/>
      </w:pPr>
    </w:p>
    <w:p>
      <w:pPr>
        <w:pStyle w:val="BodyText"/>
        <w:spacing w:before="3"/>
        <w:rPr>
          <w:sz w:val="30"/>
        </w:rPr>
      </w:pPr>
    </w:p>
    <w:p>
      <w:pPr>
        <w:pStyle w:val="Heading2"/>
        <w:numPr>
          <w:ilvl w:val="1"/>
          <w:numId w:val="5"/>
        </w:numPr>
        <w:tabs>
          <w:tab w:pos="1027" w:val="left" w:leader="none"/>
        </w:tabs>
        <w:spacing w:line="285" w:lineRule="auto" w:before="0" w:after="0"/>
        <w:ind w:left="1059" w:right="144" w:hanging="783"/>
        <w:jc w:val="both"/>
      </w:pPr>
      <w:bookmarkStart w:name="_TOC_250018" w:id="12"/>
      <w:bookmarkEnd w:id="12"/>
      <w:r>
        <w:rPr/>
        <w:t>Influencia de las actividades humanas sobre los ecosistemas el calentamiento global y el cambio climático</w:t>
      </w:r>
    </w:p>
    <w:p>
      <w:pPr>
        <w:pStyle w:val="BodyText"/>
        <w:spacing w:before="10"/>
        <w:rPr>
          <w:b/>
          <w:sz w:val="29"/>
        </w:rPr>
      </w:pPr>
    </w:p>
    <w:p>
      <w:pPr>
        <w:pStyle w:val="BodyText"/>
        <w:spacing w:line="360" w:lineRule="auto"/>
        <w:ind w:left="276" w:right="143"/>
        <w:jc w:val="both"/>
      </w:pPr>
      <w:r>
        <w:rPr/>
        <w:t>Durante siglos, las sociedades humanas han alterado los ecosistemas locales y modificado</w:t>
      </w:r>
      <w:r>
        <w:rPr>
          <w:spacing w:val="-17"/>
        </w:rPr>
        <w:t> </w:t>
      </w:r>
      <w:r>
        <w:rPr/>
        <w:t>los</w:t>
      </w:r>
      <w:r>
        <w:rPr>
          <w:spacing w:val="-17"/>
        </w:rPr>
        <w:t> </w:t>
      </w:r>
      <w:r>
        <w:rPr/>
        <w:t>climas</w:t>
      </w:r>
      <w:r>
        <w:rPr>
          <w:spacing w:val="-17"/>
        </w:rPr>
        <w:t> </w:t>
      </w:r>
      <w:r>
        <w:rPr/>
        <w:t>regionales.</w:t>
      </w:r>
      <w:r>
        <w:rPr>
          <w:spacing w:val="-17"/>
        </w:rPr>
        <w:t> </w:t>
      </w:r>
      <w:r>
        <w:rPr/>
        <w:t>Hoy</w:t>
      </w:r>
      <w:r>
        <w:rPr>
          <w:spacing w:val="-17"/>
        </w:rPr>
        <w:t> </w:t>
      </w:r>
      <w:r>
        <w:rPr/>
        <w:t>día,</w:t>
      </w:r>
      <w:r>
        <w:rPr>
          <w:spacing w:val="-17"/>
        </w:rPr>
        <w:t> </w:t>
      </w:r>
      <w:r>
        <w:rPr/>
        <w:t>la</w:t>
      </w:r>
      <w:r>
        <w:rPr>
          <w:spacing w:val="-17"/>
        </w:rPr>
        <w:t> </w:t>
      </w:r>
      <w:r>
        <w:rPr/>
        <w:t>influencia</w:t>
      </w:r>
      <w:r>
        <w:rPr>
          <w:spacing w:val="-17"/>
        </w:rPr>
        <w:t> </w:t>
      </w:r>
      <w:r>
        <w:rPr/>
        <w:t>del</w:t>
      </w:r>
      <w:r>
        <w:rPr>
          <w:spacing w:val="-17"/>
        </w:rPr>
        <w:t> </w:t>
      </w:r>
      <w:r>
        <w:rPr/>
        <w:t>ser</w:t>
      </w:r>
      <w:r>
        <w:rPr>
          <w:spacing w:val="-17"/>
        </w:rPr>
        <w:t> </w:t>
      </w:r>
      <w:r>
        <w:rPr/>
        <w:t>humano</w:t>
      </w:r>
      <w:r>
        <w:rPr>
          <w:spacing w:val="-17"/>
        </w:rPr>
        <w:t> </w:t>
      </w:r>
      <w:r>
        <w:rPr/>
        <w:t>ha</w:t>
      </w:r>
      <w:r>
        <w:rPr>
          <w:spacing w:val="-17"/>
        </w:rPr>
        <w:t> </w:t>
      </w:r>
      <w:r>
        <w:rPr/>
        <w:t>alcanzado</w:t>
      </w:r>
    </w:p>
    <w:p>
      <w:pPr>
        <w:spacing w:after="0" w:line="360" w:lineRule="auto"/>
        <w:jc w:val="both"/>
        <w:sectPr>
          <w:footerReference w:type="default" r:id="rId49"/>
          <w:pgSz w:w="12240" w:h="15840"/>
          <w:pgMar w:footer="739" w:header="741" w:top="1220" w:bottom="920" w:left="1720" w:right="1260"/>
        </w:sectPr>
      </w:pPr>
    </w:p>
    <w:p>
      <w:pPr>
        <w:pStyle w:val="BodyText"/>
        <w:spacing w:before="4"/>
        <w:rPr>
          <w:sz w:val="11"/>
        </w:rPr>
      </w:pPr>
    </w:p>
    <w:p>
      <w:pPr>
        <w:pStyle w:val="BodyText"/>
        <w:spacing w:line="360" w:lineRule="auto" w:before="69"/>
        <w:ind w:left="276" w:right="143"/>
        <w:jc w:val="both"/>
      </w:pPr>
      <w:r>
        <w:rPr/>
        <w:t>una escala mundial, reflejo del rápido incremento de la población en los últimos tiempos, del consumo de energía, de la intensidad de uso de la tierra y de otras actividades humanas. Estos cambios globales nos han hecho más conscientes de que, a largo plazo, la buena salud de la población depende de que los sistemas ecológicos, físicos y socioeconómicos de la biosfera se mantengan estables y en correcto funcionamiento.</w:t>
      </w:r>
    </w:p>
    <w:p>
      <w:pPr>
        <w:pStyle w:val="BodyText"/>
        <w:spacing w:line="357" w:lineRule="auto" w:before="2"/>
        <w:ind w:left="276" w:right="143"/>
        <w:jc w:val="both"/>
      </w:pPr>
      <w:r>
        <w:rPr/>
        <w:t>El sistema climático mundial es parte integrante de los complejos procesos que mantienen la vida. El clima y el tiempo siempre han repercutido mucho en la salud y el bienestar de los seres humanos, pero, al igual que otros grandes sistemas naturales, el climático está empezando a sufrir cambios por la presión de las actividades humanas ya que estamos alterando e incrementando la concentración atmosférica</w:t>
      </w:r>
      <w:r>
        <w:rPr>
          <w:spacing w:val="-17"/>
        </w:rPr>
        <w:t> </w:t>
      </w:r>
      <w:r>
        <w:rPr/>
        <w:t>de</w:t>
      </w:r>
      <w:r>
        <w:rPr>
          <w:spacing w:val="-17"/>
        </w:rPr>
        <w:t> </w:t>
      </w:r>
      <w:r>
        <w:rPr/>
        <w:t>gases</w:t>
      </w:r>
      <w:r>
        <w:rPr>
          <w:spacing w:val="-17"/>
        </w:rPr>
        <w:t> </w:t>
      </w:r>
      <w:r>
        <w:rPr/>
        <w:t>que</w:t>
      </w:r>
      <w:r>
        <w:rPr>
          <w:spacing w:val="-17"/>
        </w:rPr>
        <w:t> </w:t>
      </w:r>
      <w:r>
        <w:rPr/>
        <w:t>atrapan</w:t>
      </w:r>
      <w:r>
        <w:rPr>
          <w:spacing w:val="-17"/>
        </w:rPr>
        <w:t> </w:t>
      </w:r>
      <w:r>
        <w:rPr/>
        <w:t>la</w:t>
      </w:r>
      <w:r>
        <w:rPr>
          <w:spacing w:val="-17"/>
        </w:rPr>
        <w:t> </w:t>
      </w:r>
      <w:r>
        <w:rPr/>
        <w:t>energía,</w:t>
      </w:r>
      <w:r>
        <w:rPr>
          <w:spacing w:val="-17"/>
        </w:rPr>
        <w:t> </w:t>
      </w:r>
      <w:r>
        <w:rPr/>
        <w:t>lo</w:t>
      </w:r>
      <w:r>
        <w:rPr>
          <w:spacing w:val="-17"/>
        </w:rPr>
        <w:t> </w:t>
      </w:r>
      <w:r>
        <w:rPr/>
        <w:t>que</w:t>
      </w:r>
      <w:r>
        <w:rPr>
          <w:spacing w:val="-17"/>
        </w:rPr>
        <w:t> </w:t>
      </w:r>
      <w:r>
        <w:rPr/>
        <w:t>amplifica</w:t>
      </w:r>
      <w:r>
        <w:rPr>
          <w:spacing w:val="-17"/>
        </w:rPr>
        <w:t> </w:t>
      </w:r>
      <w:r>
        <w:rPr/>
        <w:t>el</w:t>
      </w:r>
      <w:r>
        <w:rPr>
          <w:spacing w:val="-17"/>
        </w:rPr>
        <w:t> </w:t>
      </w:r>
      <w:r>
        <w:rPr/>
        <w:t>“efecto</w:t>
      </w:r>
      <w:r>
        <w:rPr>
          <w:spacing w:val="-17"/>
        </w:rPr>
        <w:t> </w:t>
      </w:r>
      <w:r>
        <w:rPr/>
        <w:t>invernadero” natural que hace habitable la Tierra. Estos GEI, fundamentalmente, CO</w:t>
      </w:r>
      <w:r>
        <w:rPr>
          <w:position w:val="-2"/>
          <w:sz w:val="16"/>
        </w:rPr>
        <w:t>2 </w:t>
      </w:r>
      <w:r>
        <w:rPr/>
        <w:t>(procedente</w:t>
      </w:r>
      <w:r>
        <w:rPr>
          <w:spacing w:val="-9"/>
        </w:rPr>
        <w:t> </w:t>
      </w:r>
      <w:r>
        <w:rPr/>
        <w:t>en</w:t>
      </w:r>
      <w:r>
        <w:rPr>
          <w:spacing w:val="-9"/>
        </w:rPr>
        <w:t> </w:t>
      </w:r>
      <w:r>
        <w:rPr/>
        <w:t>su</w:t>
      </w:r>
      <w:r>
        <w:rPr>
          <w:spacing w:val="-9"/>
        </w:rPr>
        <w:t> </w:t>
      </w:r>
      <w:r>
        <w:rPr/>
        <w:t>mayor</w:t>
      </w:r>
      <w:r>
        <w:rPr>
          <w:spacing w:val="-9"/>
        </w:rPr>
        <w:t> </w:t>
      </w:r>
      <w:r>
        <w:rPr/>
        <w:t>parte</w:t>
      </w:r>
      <w:r>
        <w:rPr>
          <w:spacing w:val="-9"/>
        </w:rPr>
        <w:t> </w:t>
      </w:r>
      <w:r>
        <w:rPr/>
        <w:t>de</w:t>
      </w:r>
      <w:r>
        <w:rPr>
          <w:spacing w:val="-9"/>
        </w:rPr>
        <w:t> </w:t>
      </w:r>
      <w:r>
        <w:rPr/>
        <w:t>la</w:t>
      </w:r>
      <w:r>
        <w:rPr>
          <w:spacing w:val="-9"/>
        </w:rPr>
        <w:t> </w:t>
      </w:r>
      <w:r>
        <w:rPr/>
        <w:t>combustión</w:t>
      </w:r>
      <w:r>
        <w:rPr>
          <w:spacing w:val="-9"/>
        </w:rPr>
        <w:t> </w:t>
      </w:r>
      <w:r>
        <w:rPr/>
        <w:t>de</w:t>
      </w:r>
      <w:r>
        <w:rPr>
          <w:spacing w:val="-9"/>
        </w:rPr>
        <w:t> </w:t>
      </w:r>
      <w:r>
        <w:rPr/>
        <w:t>combustibles</w:t>
      </w:r>
      <w:r>
        <w:rPr>
          <w:spacing w:val="-9"/>
        </w:rPr>
        <w:t> </w:t>
      </w:r>
      <w:r>
        <w:rPr/>
        <w:t>fósiles</w:t>
      </w:r>
      <w:r>
        <w:rPr>
          <w:spacing w:val="-9"/>
        </w:rPr>
        <w:t> </w:t>
      </w:r>
      <w:r>
        <w:rPr/>
        <w:t>y</w:t>
      </w:r>
      <w:r>
        <w:rPr>
          <w:spacing w:val="-9"/>
        </w:rPr>
        <w:t> </w:t>
      </w:r>
      <w:r>
        <w:rPr/>
        <w:t>la</w:t>
      </w:r>
      <w:r>
        <w:rPr>
          <w:spacing w:val="-9"/>
        </w:rPr>
        <w:t> </w:t>
      </w:r>
      <w:r>
        <w:rPr/>
        <w:t>quema de bosques) y otros gases que atrapan el calor, como el CH</w:t>
      </w:r>
      <w:r>
        <w:rPr>
          <w:position w:val="-2"/>
          <w:sz w:val="16"/>
        </w:rPr>
        <w:t>4 </w:t>
      </w:r>
      <w:r>
        <w:rPr/>
        <w:t>(generado por la agricultura de regadío, la ganadería y la extracción de petróleo), el N</w:t>
      </w:r>
      <w:r>
        <w:rPr>
          <w:position w:val="-2"/>
          <w:sz w:val="16"/>
        </w:rPr>
        <w:t>2</w:t>
      </w:r>
      <w:r>
        <w:rPr/>
        <w:t>O y diversos halocarburos fabricados por el hombre.</w:t>
      </w:r>
    </w:p>
    <w:p>
      <w:pPr>
        <w:pStyle w:val="BodyText"/>
      </w:pPr>
    </w:p>
    <w:p>
      <w:pPr>
        <w:pStyle w:val="BodyText"/>
        <w:spacing w:before="5"/>
        <w:rPr>
          <w:sz w:val="30"/>
        </w:rPr>
      </w:pPr>
    </w:p>
    <w:p>
      <w:pPr>
        <w:pStyle w:val="Heading2"/>
        <w:numPr>
          <w:ilvl w:val="1"/>
          <w:numId w:val="5"/>
        </w:numPr>
        <w:tabs>
          <w:tab w:pos="897" w:val="left" w:leader="none"/>
        </w:tabs>
        <w:spacing w:line="240" w:lineRule="auto" w:before="0" w:after="0"/>
        <w:ind w:left="896" w:right="0" w:hanging="620"/>
        <w:jc w:val="both"/>
      </w:pPr>
      <w:bookmarkStart w:name="_TOC_250017" w:id="13"/>
      <w:r>
        <w:rPr/>
        <w:t>Gases de efecto invernadero y la producción  </w:t>
      </w:r>
      <w:r>
        <w:rPr>
          <w:spacing w:val="37"/>
        </w:rPr>
        <w:t> </w:t>
      </w:r>
      <w:bookmarkEnd w:id="13"/>
      <w:r>
        <w:rPr/>
        <w:t>pecuaria</w:t>
      </w:r>
    </w:p>
    <w:p>
      <w:pPr>
        <w:pStyle w:val="BodyText"/>
        <w:spacing w:before="7"/>
        <w:rPr>
          <w:b/>
          <w:sz w:val="35"/>
        </w:rPr>
      </w:pPr>
    </w:p>
    <w:p>
      <w:pPr>
        <w:pStyle w:val="BodyText"/>
        <w:spacing w:line="352" w:lineRule="auto"/>
        <w:ind w:left="276" w:right="143"/>
        <w:jc w:val="both"/>
      </w:pPr>
      <w:r>
        <w:rPr/>
        <w:t>El CO</w:t>
      </w:r>
      <w:r>
        <w:rPr>
          <w:position w:val="-2"/>
          <w:sz w:val="16"/>
        </w:rPr>
        <w:t>2 </w:t>
      </w:r>
      <w:r>
        <w:rPr/>
        <w:t>es el gas que contribuye en mayor medida al calentamiento, simplemente porque sus emisiones y concentraciones son más altas que las de otros gases. El CH</w:t>
      </w:r>
      <w:r>
        <w:rPr>
          <w:position w:val="-2"/>
          <w:sz w:val="16"/>
        </w:rPr>
        <w:t>4 </w:t>
      </w:r>
      <w:r>
        <w:rPr/>
        <w:t>es el segundo gas de efecto invernadero más importante. Después de su emisión el CH</w:t>
      </w:r>
      <w:r>
        <w:rPr>
          <w:position w:val="-2"/>
          <w:sz w:val="16"/>
        </w:rPr>
        <w:t>4 </w:t>
      </w:r>
      <w:r>
        <w:rPr/>
        <w:t>permanece en la atmósfera aproximadamente de 9 a 15 años. El poder de retención de calor del CH</w:t>
      </w:r>
      <w:r>
        <w:rPr>
          <w:position w:val="-2"/>
          <w:sz w:val="16"/>
        </w:rPr>
        <w:t>4 </w:t>
      </w:r>
      <w:r>
        <w:rPr/>
        <w:t>es unas 21 veces superior al del CO</w:t>
      </w:r>
      <w:r>
        <w:rPr>
          <w:position w:val="-2"/>
          <w:sz w:val="16"/>
        </w:rPr>
        <w:t>2 </w:t>
      </w:r>
      <w:r>
        <w:rPr/>
        <w:t>en un período de más de 100 años (Steinfeld </w:t>
      </w:r>
      <w:r>
        <w:rPr>
          <w:i/>
        </w:rPr>
        <w:t>et al., </w:t>
      </w:r>
      <w:r>
        <w:rPr/>
        <w:t>2009). Las concentraciones atmosféricas de CH</w:t>
      </w:r>
      <w:r>
        <w:rPr>
          <w:position w:val="-2"/>
          <w:sz w:val="16"/>
        </w:rPr>
        <w:t>4 </w:t>
      </w:r>
      <w:r>
        <w:rPr/>
        <w:t>se han incrementado en aproximadamente un 150% desde la era preindustrial, el N</w:t>
      </w:r>
      <w:r>
        <w:rPr>
          <w:position w:val="-2"/>
          <w:sz w:val="16"/>
        </w:rPr>
        <w:t>2</w:t>
      </w:r>
      <w:r>
        <w:rPr/>
        <w:t>O es el tercer gas de efecto invernadero con mayor</w:t>
      </w:r>
      <w:r>
        <w:rPr>
          <w:spacing w:val="-41"/>
        </w:rPr>
        <w:t> </w:t>
      </w:r>
      <w:r>
        <w:rPr/>
        <w:t>potencial para el calentamiento directo. Aunque está presente en la atmósfera en</w:t>
      </w:r>
      <w:r>
        <w:rPr>
          <w:spacing w:val="-11"/>
        </w:rPr>
        <w:t> </w:t>
      </w:r>
      <w:r>
        <w:rPr/>
        <w:t>cantidades muy</w:t>
      </w:r>
      <w:r>
        <w:rPr>
          <w:spacing w:val="39"/>
        </w:rPr>
        <w:t> </w:t>
      </w:r>
      <w:r>
        <w:rPr/>
        <w:t>reducidas,</w:t>
      </w:r>
      <w:r>
        <w:rPr>
          <w:spacing w:val="39"/>
        </w:rPr>
        <w:t> </w:t>
      </w:r>
      <w:r>
        <w:rPr/>
        <w:t>sin</w:t>
      </w:r>
      <w:r>
        <w:rPr>
          <w:spacing w:val="39"/>
        </w:rPr>
        <w:t> </w:t>
      </w:r>
      <w:r>
        <w:rPr/>
        <w:t>embargo,</w:t>
      </w:r>
      <w:r>
        <w:rPr>
          <w:spacing w:val="39"/>
        </w:rPr>
        <w:t> </w:t>
      </w:r>
      <w:r>
        <w:rPr/>
        <w:t>su</w:t>
      </w:r>
      <w:r>
        <w:rPr>
          <w:spacing w:val="39"/>
        </w:rPr>
        <w:t> </w:t>
      </w:r>
      <w:r>
        <w:rPr/>
        <w:t>capacidad</w:t>
      </w:r>
      <w:r>
        <w:rPr>
          <w:spacing w:val="39"/>
        </w:rPr>
        <w:t> </w:t>
      </w:r>
      <w:r>
        <w:rPr/>
        <w:t>de</w:t>
      </w:r>
      <w:r>
        <w:rPr>
          <w:spacing w:val="39"/>
        </w:rPr>
        <w:t> </w:t>
      </w:r>
      <w:r>
        <w:rPr/>
        <w:t>retención</w:t>
      </w:r>
      <w:r>
        <w:rPr>
          <w:spacing w:val="39"/>
        </w:rPr>
        <w:t> </w:t>
      </w:r>
      <w:r>
        <w:rPr/>
        <w:t>de</w:t>
      </w:r>
      <w:r>
        <w:rPr>
          <w:spacing w:val="39"/>
        </w:rPr>
        <w:t> </w:t>
      </w:r>
      <w:r>
        <w:rPr/>
        <w:t>calor</w:t>
      </w:r>
      <w:r>
        <w:rPr>
          <w:spacing w:val="39"/>
        </w:rPr>
        <w:t> </w:t>
      </w:r>
      <w:r>
        <w:rPr/>
        <w:t>es</w:t>
      </w:r>
      <w:r>
        <w:rPr>
          <w:spacing w:val="39"/>
        </w:rPr>
        <w:t> </w:t>
      </w:r>
      <w:r>
        <w:rPr/>
        <w:t>296</w:t>
      </w:r>
      <w:r>
        <w:rPr>
          <w:spacing w:val="39"/>
        </w:rPr>
        <w:t> </w:t>
      </w:r>
      <w:r>
        <w:rPr/>
        <w:t>veces</w:t>
      </w:r>
    </w:p>
    <w:p>
      <w:pPr>
        <w:spacing w:after="0" w:line="352" w:lineRule="auto"/>
        <w:jc w:val="both"/>
        <w:sectPr>
          <w:footerReference w:type="default" r:id="rId50"/>
          <w:pgSz w:w="12240" w:h="15840"/>
          <w:pgMar w:footer="739" w:header="741" w:top="1220" w:bottom="920" w:left="1720" w:right="1260"/>
          <w:pgNumType w:start="31"/>
        </w:sectPr>
      </w:pPr>
    </w:p>
    <w:p>
      <w:pPr>
        <w:pStyle w:val="BodyText"/>
        <w:spacing w:before="4"/>
        <w:rPr>
          <w:sz w:val="11"/>
        </w:rPr>
      </w:pPr>
    </w:p>
    <w:p>
      <w:pPr>
        <w:pStyle w:val="BodyText"/>
        <w:spacing w:line="352" w:lineRule="auto" w:before="69"/>
        <w:ind w:left="276" w:right="324"/>
        <w:jc w:val="both"/>
      </w:pPr>
      <w:r>
        <w:rPr/>
        <w:t>superior a la del CO</w:t>
      </w:r>
      <w:r>
        <w:rPr>
          <w:position w:val="-2"/>
          <w:sz w:val="16"/>
        </w:rPr>
        <w:t>2 </w:t>
      </w:r>
      <w:r>
        <w:rPr/>
        <w:t>y su tiempo de permanencia en la atmósfera es muy largo aproximadamente 120 años (Cuadro 1).</w:t>
      </w:r>
    </w:p>
    <w:p>
      <w:pPr>
        <w:pStyle w:val="BodyText"/>
        <w:spacing w:line="355" w:lineRule="auto" w:before="11"/>
        <w:ind w:left="276" w:right="323"/>
        <w:jc w:val="both"/>
      </w:pPr>
      <w:r>
        <w:rPr/>
        <w:t>Las actividades pecuarias son responsables de la emisión de cantidades considerables</w:t>
      </w:r>
      <w:r>
        <w:rPr>
          <w:spacing w:val="-7"/>
        </w:rPr>
        <w:t> </w:t>
      </w:r>
      <w:r>
        <w:rPr/>
        <w:t>de</w:t>
      </w:r>
      <w:r>
        <w:rPr>
          <w:spacing w:val="-7"/>
        </w:rPr>
        <w:t> </w:t>
      </w:r>
      <w:r>
        <w:rPr/>
        <w:t>estos</w:t>
      </w:r>
      <w:r>
        <w:rPr>
          <w:spacing w:val="-7"/>
        </w:rPr>
        <w:t> </w:t>
      </w:r>
      <w:r>
        <w:rPr/>
        <w:t>tres</w:t>
      </w:r>
      <w:r>
        <w:rPr>
          <w:spacing w:val="-7"/>
        </w:rPr>
        <w:t> </w:t>
      </w:r>
      <w:r>
        <w:rPr/>
        <w:t>gases.</w:t>
      </w:r>
      <w:r>
        <w:rPr>
          <w:spacing w:val="-7"/>
        </w:rPr>
        <w:t> </w:t>
      </w:r>
      <w:r>
        <w:rPr/>
        <w:t>Las</w:t>
      </w:r>
      <w:r>
        <w:rPr>
          <w:spacing w:val="-7"/>
        </w:rPr>
        <w:t> </w:t>
      </w:r>
      <w:r>
        <w:rPr/>
        <w:t>emisiones</w:t>
      </w:r>
      <w:r>
        <w:rPr>
          <w:spacing w:val="-7"/>
        </w:rPr>
        <w:t> </w:t>
      </w:r>
      <w:r>
        <w:rPr/>
        <w:t>directas</w:t>
      </w:r>
      <w:r>
        <w:rPr>
          <w:spacing w:val="-7"/>
        </w:rPr>
        <w:t> </w:t>
      </w:r>
      <w:r>
        <w:rPr/>
        <w:t>del</w:t>
      </w:r>
      <w:r>
        <w:rPr>
          <w:spacing w:val="-7"/>
        </w:rPr>
        <w:t> </w:t>
      </w:r>
      <w:r>
        <w:rPr/>
        <w:t>ganado</w:t>
      </w:r>
      <w:r>
        <w:rPr>
          <w:spacing w:val="-7"/>
        </w:rPr>
        <w:t> </w:t>
      </w:r>
      <w:r>
        <w:rPr/>
        <w:t>provienen</w:t>
      </w:r>
      <w:r>
        <w:rPr>
          <w:spacing w:val="-7"/>
        </w:rPr>
        <w:t> </w:t>
      </w:r>
      <w:r>
        <w:rPr/>
        <w:t>de los procesos respiratorios de todas las especies animales en forma de CO</w:t>
      </w:r>
      <w:r>
        <w:rPr>
          <w:position w:val="-2"/>
          <w:sz w:val="16"/>
        </w:rPr>
        <w:t>2</w:t>
      </w:r>
      <w:r>
        <w:rPr/>
        <w:t>. Además,</w:t>
      </w:r>
      <w:r>
        <w:rPr>
          <w:spacing w:val="-15"/>
        </w:rPr>
        <w:t> </w:t>
      </w:r>
      <w:r>
        <w:rPr/>
        <w:t>los</w:t>
      </w:r>
      <w:r>
        <w:rPr>
          <w:spacing w:val="-15"/>
        </w:rPr>
        <w:t> </w:t>
      </w:r>
      <w:r>
        <w:rPr/>
        <w:t>rumiantes,</w:t>
      </w:r>
      <w:r>
        <w:rPr>
          <w:spacing w:val="-15"/>
        </w:rPr>
        <w:t> </w:t>
      </w:r>
      <w:r>
        <w:rPr/>
        <w:t>emiten</w:t>
      </w:r>
      <w:r>
        <w:rPr>
          <w:spacing w:val="-15"/>
        </w:rPr>
        <w:t> </w:t>
      </w:r>
      <w:r>
        <w:rPr/>
        <w:t>CH</w:t>
      </w:r>
      <w:r>
        <w:rPr>
          <w:position w:val="-2"/>
          <w:sz w:val="16"/>
        </w:rPr>
        <w:t>4</w:t>
      </w:r>
      <w:r>
        <w:rPr>
          <w:spacing w:val="8"/>
          <w:position w:val="-2"/>
          <w:sz w:val="16"/>
        </w:rPr>
        <w:t> </w:t>
      </w:r>
      <w:r>
        <w:rPr/>
        <w:t>como</w:t>
      </w:r>
      <w:r>
        <w:rPr>
          <w:spacing w:val="-15"/>
        </w:rPr>
        <w:t> </w:t>
      </w:r>
      <w:r>
        <w:rPr/>
        <w:t>parte</w:t>
      </w:r>
      <w:r>
        <w:rPr>
          <w:spacing w:val="-15"/>
        </w:rPr>
        <w:t> </w:t>
      </w:r>
      <w:r>
        <w:rPr/>
        <w:t>de</w:t>
      </w:r>
      <w:r>
        <w:rPr>
          <w:spacing w:val="-15"/>
        </w:rPr>
        <w:t> </w:t>
      </w:r>
      <w:r>
        <w:rPr/>
        <w:t>su</w:t>
      </w:r>
      <w:r>
        <w:rPr>
          <w:spacing w:val="-15"/>
        </w:rPr>
        <w:t> </w:t>
      </w:r>
      <w:r>
        <w:rPr/>
        <w:t>proceso</w:t>
      </w:r>
      <w:r>
        <w:rPr>
          <w:spacing w:val="-15"/>
        </w:rPr>
        <w:t> </w:t>
      </w:r>
      <w:r>
        <w:rPr/>
        <w:t>digestivo,</w:t>
      </w:r>
      <w:r>
        <w:rPr>
          <w:spacing w:val="-15"/>
        </w:rPr>
        <w:t> </w:t>
      </w:r>
      <w:r>
        <w:rPr/>
        <w:t>que</w:t>
      </w:r>
      <w:r>
        <w:rPr>
          <w:spacing w:val="-15"/>
        </w:rPr>
        <w:t> </w:t>
      </w:r>
      <w:r>
        <w:rPr/>
        <w:t>incluye la fermentación entérica microbiana de los alimentos fibrosos. El estiércol de los bovinos también es una fuente de emisión de CH</w:t>
      </w:r>
      <w:r>
        <w:rPr>
          <w:position w:val="-2"/>
          <w:sz w:val="16"/>
        </w:rPr>
        <w:t>4</w:t>
      </w:r>
      <w:r>
        <w:rPr/>
        <w:t>, N</w:t>
      </w:r>
      <w:r>
        <w:rPr>
          <w:position w:val="-2"/>
          <w:sz w:val="16"/>
        </w:rPr>
        <w:t>2</w:t>
      </w:r>
      <w:r>
        <w:rPr/>
        <w:t>O, NH</w:t>
      </w:r>
      <w:r>
        <w:rPr>
          <w:position w:val="-2"/>
          <w:sz w:val="16"/>
        </w:rPr>
        <w:t>3 </w:t>
      </w:r>
      <w:r>
        <w:rPr/>
        <w:t>y CO</w:t>
      </w:r>
      <w:r>
        <w:rPr>
          <w:position w:val="-2"/>
          <w:sz w:val="16"/>
        </w:rPr>
        <w:t>2</w:t>
      </w:r>
      <w:r>
        <w:rPr/>
        <w:t>, en función de su modalidad de producción (sólido, líquido) y su manejo (recolección, almacenamiento, dispersión).</w:t>
      </w:r>
    </w:p>
    <w:p>
      <w:pPr>
        <w:pStyle w:val="BodyText"/>
      </w:pPr>
    </w:p>
    <w:p>
      <w:pPr>
        <w:pStyle w:val="BodyText"/>
        <w:spacing w:before="145"/>
        <w:ind w:left="276"/>
        <w:jc w:val="both"/>
      </w:pPr>
      <w:r>
        <w:rPr>
          <w:b/>
          <w:color w:val="943634"/>
          <w:u w:val="thick" w:color="943634"/>
        </w:rPr>
        <w:t>Cuadro 1. </w:t>
      </w:r>
      <w:r>
        <w:rPr/>
        <w:t>Poder de Calentamiento Global (PCG) de los GEI.</w:t>
      </w:r>
    </w:p>
    <w:p>
      <w:pPr>
        <w:pStyle w:val="BodyText"/>
        <w:spacing w:before="3"/>
        <w:rPr>
          <w:sz w:val="12"/>
        </w:rPr>
      </w:pPr>
    </w:p>
    <w:tbl>
      <w:tblPr>
        <w:tblW w:w="0" w:type="auto"/>
        <w:jc w:val="left"/>
        <w:tblInd w:w="2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10"/>
        <w:gridCol w:w="7229"/>
      </w:tblGrid>
      <w:tr>
        <w:trPr>
          <w:trHeight w:val="917" w:hRule="exact"/>
        </w:trPr>
        <w:tc>
          <w:tcPr>
            <w:tcW w:w="9038" w:type="dxa"/>
            <w:gridSpan w:val="2"/>
            <w:tcBorders>
              <w:left w:val="nil"/>
              <w:bottom w:val="single" w:sz="4" w:space="0" w:color="000000"/>
              <w:right w:val="nil"/>
            </w:tcBorders>
            <w:shd w:val="clear" w:color="auto" w:fill="632423"/>
          </w:tcPr>
          <w:p>
            <w:pPr>
              <w:pStyle w:val="TableParagraph"/>
              <w:tabs>
                <w:tab w:pos="5887" w:val="left" w:leader="none"/>
              </w:tabs>
              <w:spacing w:before="34"/>
              <w:ind w:left="2361" w:right="515"/>
              <w:rPr>
                <w:rFonts w:ascii="Arial"/>
                <w:b/>
                <w:sz w:val="24"/>
              </w:rPr>
            </w:pPr>
            <w:r>
              <w:rPr>
                <w:rFonts w:ascii="Arial"/>
                <w:b/>
                <w:color w:val="FFFFFF"/>
                <w:sz w:val="24"/>
              </w:rPr>
              <w:t>Inventario de los</w:t>
              <w:tab/>
              <w:t>Tiempo</w:t>
            </w:r>
            <w:r>
              <w:rPr>
                <w:rFonts w:ascii="Arial"/>
                <w:b/>
                <w:color w:val="FFFFFF"/>
                <w:spacing w:val="-7"/>
                <w:sz w:val="24"/>
              </w:rPr>
              <w:t> </w:t>
            </w:r>
            <w:r>
              <w:rPr>
                <w:rFonts w:ascii="Arial"/>
                <w:b/>
                <w:color w:val="FFFFFF"/>
                <w:sz w:val="24"/>
              </w:rPr>
              <w:t>de</w:t>
            </w:r>
          </w:p>
          <w:p>
            <w:pPr>
              <w:pStyle w:val="TableParagraph"/>
              <w:tabs>
                <w:tab w:pos="5037" w:val="left" w:leader="none"/>
                <w:tab w:pos="6072" w:val="left" w:leader="none"/>
                <w:tab w:pos="6205" w:val="left" w:leader="none"/>
                <w:tab w:pos="7707" w:val="left" w:leader="none"/>
              </w:tabs>
              <w:spacing w:line="274" w:lineRule="exact" w:before="8"/>
              <w:ind w:left="2641" w:right="515" w:hanging="87"/>
              <w:rPr>
                <w:rFonts w:ascii="Arial" w:hAnsi="Arial"/>
                <w:b/>
                <w:sz w:val="24"/>
              </w:rPr>
            </w:pPr>
            <w:r>
              <w:rPr>
                <w:rFonts w:ascii="Arial" w:hAnsi="Arial"/>
                <w:b/>
                <w:color w:val="FFFFFF"/>
                <w:sz w:val="24"/>
              </w:rPr>
              <w:t>parámetros o</w:t>
              <w:tab/>
              <w:t>PCG</w:t>
              <w:tab/>
              <w:t>vida</w:t>
            </w:r>
            <w:r>
              <w:rPr>
                <w:rFonts w:ascii="Arial" w:hAnsi="Arial"/>
                <w:b/>
                <w:color w:val="FFFFFF"/>
                <w:spacing w:val="-2"/>
                <w:sz w:val="24"/>
              </w:rPr>
              <w:t> </w:t>
            </w:r>
            <w:r>
              <w:rPr>
                <w:rFonts w:ascii="Arial" w:hAnsi="Arial"/>
                <w:b/>
                <w:color w:val="FFFFFF"/>
                <w:sz w:val="24"/>
              </w:rPr>
              <w:t>en</w:t>
              <w:tab/>
              <w:t>Unidad indicadores</w:t>
              <w:tab/>
              <w:tab/>
              <w:tab/>
              <w:t>años</w:t>
            </w:r>
          </w:p>
        </w:tc>
      </w:tr>
      <w:tr>
        <w:trPr>
          <w:trHeight w:val="499" w:hRule="exact"/>
        </w:trPr>
        <w:tc>
          <w:tcPr>
            <w:tcW w:w="1810" w:type="dxa"/>
            <w:tcBorders>
              <w:top w:val="single" w:sz="4" w:space="0" w:color="000000"/>
              <w:left w:val="nil"/>
              <w:bottom w:val="nil"/>
              <w:right w:val="single" w:sz="4" w:space="0" w:color="000000"/>
            </w:tcBorders>
          </w:tcPr>
          <w:p>
            <w:pPr/>
          </w:p>
        </w:tc>
        <w:tc>
          <w:tcPr>
            <w:tcW w:w="7229" w:type="dxa"/>
            <w:tcBorders>
              <w:top w:val="single" w:sz="4" w:space="0" w:color="000000"/>
              <w:left w:val="single" w:sz="4" w:space="0" w:color="000000"/>
              <w:bottom w:val="single" w:sz="4" w:space="0" w:color="000000"/>
              <w:right w:val="nil"/>
            </w:tcBorders>
          </w:tcPr>
          <w:p>
            <w:pPr>
              <w:pStyle w:val="TableParagraph"/>
              <w:tabs>
                <w:tab w:pos="3718" w:val="left" w:leader="none"/>
                <w:tab w:pos="4409" w:val="left" w:leader="none"/>
                <w:tab w:pos="5741" w:val="left" w:leader="none"/>
              </w:tabs>
              <w:spacing w:before="101"/>
              <w:ind w:left="100"/>
              <w:rPr>
                <w:rFonts w:ascii="Arial" w:hAnsi="Arial"/>
                <w:sz w:val="24"/>
              </w:rPr>
            </w:pPr>
            <w:r>
              <w:rPr>
                <w:rFonts w:ascii="Arial" w:hAnsi="Arial"/>
                <w:sz w:val="24"/>
              </w:rPr>
              <w:t>Dióxido de</w:t>
            </w:r>
            <w:r>
              <w:rPr>
                <w:rFonts w:ascii="Arial" w:hAnsi="Arial"/>
                <w:spacing w:val="-1"/>
                <w:sz w:val="24"/>
              </w:rPr>
              <w:t> </w:t>
            </w:r>
            <w:r>
              <w:rPr>
                <w:rFonts w:ascii="Arial" w:hAnsi="Arial"/>
                <w:sz w:val="24"/>
              </w:rPr>
              <w:t>carbono</w:t>
            </w:r>
            <w:r>
              <w:rPr>
                <w:rFonts w:ascii="Arial" w:hAnsi="Arial"/>
                <w:spacing w:val="-1"/>
                <w:sz w:val="24"/>
              </w:rPr>
              <w:t> </w:t>
            </w:r>
            <w:r>
              <w:rPr>
                <w:rFonts w:ascii="Arial" w:hAnsi="Arial"/>
                <w:sz w:val="24"/>
              </w:rPr>
              <w:t>(CO</w:t>
            </w:r>
            <w:r>
              <w:rPr>
                <w:rFonts w:ascii="Arial" w:hAnsi="Arial"/>
                <w:position w:val="-2"/>
                <w:sz w:val="16"/>
              </w:rPr>
              <w:t>2</w:t>
            </w:r>
            <w:r>
              <w:rPr>
                <w:rFonts w:ascii="Arial" w:hAnsi="Arial"/>
                <w:sz w:val="24"/>
              </w:rPr>
              <w:t>)</w:t>
              <w:tab/>
              <w:t>1</w:t>
              <w:tab/>
            </w:r>
            <w:r>
              <w:rPr>
                <w:rFonts w:ascii="Arial" w:hAnsi="Arial"/>
                <w:spacing w:val="-3"/>
                <w:sz w:val="24"/>
              </w:rPr>
              <w:t>Variable</w:t>
              <w:tab/>
            </w:r>
            <w:r>
              <w:rPr>
                <w:rFonts w:ascii="Arial" w:hAnsi="Arial"/>
                <w:sz w:val="24"/>
              </w:rPr>
              <w:t>kg</w:t>
            </w:r>
            <w:r>
              <w:rPr>
                <w:rFonts w:ascii="Arial" w:hAnsi="Arial"/>
                <w:spacing w:val="-1"/>
                <w:sz w:val="24"/>
              </w:rPr>
              <w:t> </w:t>
            </w:r>
            <w:r>
              <w:rPr>
                <w:rFonts w:ascii="Arial" w:hAnsi="Arial"/>
                <w:sz w:val="24"/>
              </w:rPr>
              <w:t>CO</w:t>
            </w:r>
            <w:r>
              <w:rPr>
                <w:rFonts w:ascii="Arial" w:hAnsi="Arial"/>
                <w:position w:val="-2"/>
                <w:sz w:val="16"/>
              </w:rPr>
              <w:t>2</w:t>
            </w:r>
            <w:r>
              <w:rPr>
                <w:rFonts w:ascii="Arial" w:hAnsi="Arial"/>
                <w:sz w:val="24"/>
              </w:rPr>
              <w:t>-eq</w:t>
            </w:r>
          </w:p>
        </w:tc>
      </w:tr>
      <w:tr>
        <w:trPr>
          <w:trHeight w:val="494" w:hRule="exact"/>
        </w:trPr>
        <w:tc>
          <w:tcPr>
            <w:tcW w:w="1810" w:type="dxa"/>
            <w:tcBorders>
              <w:top w:val="nil"/>
              <w:left w:val="nil"/>
              <w:bottom w:val="nil"/>
              <w:right w:val="single" w:sz="4" w:space="0" w:color="000000"/>
            </w:tcBorders>
          </w:tcPr>
          <w:p>
            <w:pPr>
              <w:pStyle w:val="TableParagraph"/>
              <w:spacing w:before="207"/>
              <w:ind w:left="105"/>
              <w:rPr>
                <w:rFonts w:ascii="Arial"/>
                <w:sz w:val="24"/>
              </w:rPr>
            </w:pPr>
            <w:r>
              <w:rPr>
                <w:rFonts w:ascii="Arial"/>
                <w:sz w:val="24"/>
              </w:rPr>
              <w:t>El cambio</w:t>
            </w:r>
          </w:p>
        </w:tc>
        <w:tc>
          <w:tcPr>
            <w:tcW w:w="7229" w:type="dxa"/>
            <w:vMerge w:val="restart"/>
            <w:tcBorders>
              <w:top w:val="single" w:sz="4" w:space="0" w:color="000000"/>
              <w:left w:val="single" w:sz="4" w:space="0" w:color="000000"/>
              <w:right w:val="nil"/>
            </w:tcBorders>
          </w:tcPr>
          <w:p>
            <w:pPr>
              <w:pStyle w:val="TableParagraph"/>
              <w:tabs>
                <w:tab w:pos="3585" w:val="left" w:leader="none"/>
                <w:tab w:pos="5005" w:val="left" w:leader="none"/>
                <w:tab w:pos="5741" w:val="left" w:leader="none"/>
              </w:tabs>
              <w:spacing w:before="139"/>
              <w:ind w:left="100"/>
              <w:rPr>
                <w:rFonts w:ascii="Arial"/>
                <w:sz w:val="24"/>
              </w:rPr>
            </w:pPr>
            <w:r>
              <w:rPr>
                <w:rFonts w:ascii="Arial"/>
                <w:sz w:val="24"/>
              </w:rPr>
              <w:t>Metano</w:t>
            </w:r>
            <w:r>
              <w:rPr>
                <w:rFonts w:ascii="Arial"/>
                <w:spacing w:val="-1"/>
                <w:sz w:val="24"/>
              </w:rPr>
              <w:t> </w:t>
            </w:r>
            <w:r>
              <w:rPr>
                <w:rFonts w:ascii="Arial"/>
                <w:sz w:val="24"/>
              </w:rPr>
              <w:t>(CH</w:t>
            </w:r>
            <w:r>
              <w:rPr>
                <w:rFonts w:ascii="Arial"/>
                <w:position w:val="-2"/>
                <w:sz w:val="16"/>
              </w:rPr>
              <w:t>4</w:t>
            </w:r>
            <w:r>
              <w:rPr>
                <w:rFonts w:ascii="Arial"/>
                <w:sz w:val="24"/>
              </w:rPr>
              <w:t>)</w:t>
              <w:tab/>
              <w:t>21</w:t>
              <w:tab/>
              <w:t>12</w:t>
              <w:tab/>
              <w:t>kg</w:t>
            </w:r>
            <w:r>
              <w:rPr>
                <w:rFonts w:ascii="Arial"/>
                <w:spacing w:val="-1"/>
                <w:sz w:val="24"/>
              </w:rPr>
              <w:t> </w:t>
            </w:r>
            <w:r>
              <w:rPr>
                <w:rFonts w:ascii="Arial"/>
                <w:sz w:val="24"/>
              </w:rPr>
              <w:t>CO</w:t>
            </w:r>
            <w:r>
              <w:rPr>
                <w:rFonts w:ascii="Arial"/>
                <w:position w:val="-2"/>
                <w:sz w:val="16"/>
              </w:rPr>
              <w:t>2</w:t>
            </w:r>
            <w:r>
              <w:rPr>
                <w:rFonts w:ascii="Arial"/>
                <w:sz w:val="24"/>
              </w:rPr>
              <w:t>-eq</w:t>
            </w:r>
          </w:p>
        </w:tc>
      </w:tr>
      <w:tr>
        <w:trPr>
          <w:trHeight w:val="72" w:hRule="exact"/>
        </w:trPr>
        <w:tc>
          <w:tcPr>
            <w:tcW w:w="1810" w:type="dxa"/>
            <w:vMerge w:val="restart"/>
            <w:tcBorders>
              <w:top w:val="nil"/>
              <w:left w:val="nil"/>
              <w:right w:val="single" w:sz="4" w:space="0" w:color="000000"/>
            </w:tcBorders>
          </w:tcPr>
          <w:p>
            <w:pPr>
              <w:pStyle w:val="TableParagraph"/>
              <w:spacing w:line="262" w:lineRule="exact"/>
              <w:ind w:left="105"/>
              <w:rPr>
                <w:rFonts w:ascii="Arial" w:hAnsi="Arial"/>
                <w:sz w:val="24"/>
              </w:rPr>
            </w:pPr>
            <w:r>
              <w:rPr>
                <w:rFonts w:ascii="Arial" w:hAnsi="Arial"/>
                <w:sz w:val="24"/>
              </w:rPr>
              <w:t>climático o</w:t>
            </w:r>
          </w:p>
        </w:tc>
        <w:tc>
          <w:tcPr>
            <w:tcW w:w="7229" w:type="dxa"/>
            <w:vMerge/>
            <w:tcBorders>
              <w:left w:val="single" w:sz="4" w:space="0" w:color="000000"/>
              <w:bottom w:val="single" w:sz="4" w:space="0" w:color="000000"/>
              <w:right w:val="nil"/>
            </w:tcBorders>
          </w:tcPr>
          <w:p>
            <w:pPr/>
          </w:p>
        </w:tc>
      </w:tr>
      <w:tr>
        <w:trPr>
          <w:trHeight w:val="204" w:hRule="exact"/>
        </w:trPr>
        <w:tc>
          <w:tcPr>
            <w:tcW w:w="1810" w:type="dxa"/>
            <w:vMerge/>
            <w:tcBorders>
              <w:left w:val="nil"/>
              <w:bottom w:val="nil"/>
              <w:right w:val="single" w:sz="4" w:space="0" w:color="000000"/>
            </w:tcBorders>
          </w:tcPr>
          <w:p>
            <w:pPr/>
          </w:p>
        </w:tc>
        <w:tc>
          <w:tcPr>
            <w:tcW w:w="7229" w:type="dxa"/>
            <w:vMerge w:val="restart"/>
            <w:tcBorders>
              <w:top w:val="single" w:sz="4" w:space="0" w:color="000000"/>
              <w:left w:val="single" w:sz="4" w:space="0" w:color="000000"/>
              <w:right w:val="nil"/>
            </w:tcBorders>
          </w:tcPr>
          <w:p>
            <w:pPr>
              <w:pStyle w:val="TableParagraph"/>
              <w:tabs>
                <w:tab w:pos="3451" w:val="left" w:leader="none"/>
                <w:tab w:pos="4871" w:val="left" w:leader="none"/>
                <w:tab w:pos="5741" w:val="left" w:leader="none"/>
              </w:tabs>
              <w:spacing w:before="149"/>
              <w:ind w:left="100"/>
              <w:rPr>
                <w:rFonts w:ascii="Arial" w:hAnsi="Arial"/>
                <w:sz w:val="24"/>
              </w:rPr>
            </w:pPr>
            <w:r>
              <w:rPr>
                <w:rFonts w:ascii="Arial" w:hAnsi="Arial"/>
                <w:sz w:val="24"/>
              </w:rPr>
              <w:t>Óxido</w:t>
            </w:r>
            <w:r>
              <w:rPr>
                <w:rFonts w:ascii="Arial" w:hAnsi="Arial"/>
                <w:spacing w:val="-1"/>
                <w:sz w:val="24"/>
              </w:rPr>
              <w:t> </w:t>
            </w:r>
            <w:r>
              <w:rPr>
                <w:rFonts w:ascii="Arial" w:hAnsi="Arial"/>
                <w:sz w:val="24"/>
              </w:rPr>
              <w:t>nitroso</w:t>
            </w:r>
            <w:r>
              <w:rPr>
                <w:rFonts w:ascii="Arial" w:hAnsi="Arial"/>
                <w:spacing w:val="-1"/>
                <w:sz w:val="24"/>
              </w:rPr>
              <w:t> </w:t>
            </w:r>
            <w:r>
              <w:rPr>
                <w:rFonts w:ascii="Arial" w:hAnsi="Arial"/>
                <w:sz w:val="24"/>
              </w:rPr>
              <w:t>(N</w:t>
            </w:r>
            <w:r>
              <w:rPr>
                <w:rFonts w:ascii="Arial" w:hAnsi="Arial"/>
                <w:position w:val="-2"/>
                <w:sz w:val="16"/>
              </w:rPr>
              <w:t>2</w:t>
            </w:r>
            <w:r>
              <w:rPr>
                <w:rFonts w:ascii="Arial" w:hAnsi="Arial"/>
                <w:sz w:val="24"/>
              </w:rPr>
              <w:t>O)</w:t>
              <w:tab/>
              <w:t>296</w:t>
              <w:tab/>
              <w:t>120</w:t>
              <w:tab/>
              <w:t>kg</w:t>
            </w:r>
            <w:r>
              <w:rPr>
                <w:rFonts w:ascii="Arial" w:hAnsi="Arial"/>
                <w:spacing w:val="-1"/>
                <w:sz w:val="24"/>
              </w:rPr>
              <w:t> </w:t>
            </w:r>
            <w:r>
              <w:rPr>
                <w:rFonts w:ascii="Arial" w:hAnsi="Arial"/>
                <w:sz w:val="24"/>
              </w:rPr>
              <w:t>CO</w:t>
            </w:r>
            <w:r>
              <w:rPr>
                <w:rFonts w:ascii="Arial" w:hAnsi="Arial"/>
                <w:position w:val="-2"/>
                <w:sz w:val="16"/>
              </w:rPr>
              <w:t>2</w:t>
            </w:r>
            <w:r>
              <w:rPr>
                <w:rFonts w:ascii="Arial" w:hAnsi="Arial"/>
                <w:sz w:val="24"/>
              </w:rPr>
              <w:t>-eq</w:t>
            </w:r>
          </w:p>
        </w:tc>
      </w:tr>
      <w:tr>
        <w:trPr>
          <w:trHeight w:val="276" w:hRule="exact"/>
        </w:trPr>
        <w:tc>
          <w:tcPr>
            <w:tcW w:w="1810" w:type="dxa"/>
            <w:tcBorders>
              <w:top w:val="nil"/>
              <w:left w:val="nil"/>
              <w:bottom w:val="nil"/>
              <w:right w:val="single" w:sz="4" w:space="0" w:color="000000"/>
            </w:tcBorders>
          </w:tcPr>
          <w:p>
            <w:pPr>
              <w:pStyle w:val="TableParagraph"/>
              <w:spacing w:line="265" w:lineRule="exact"/>
              <w:ind w:left="105"/>
              <w:rPr>
                <w:rFonts w:ascii="Arial"/>
                <w:sz w:val="24"/>
              </w:rPr>
            </w:pPr>
            <w:r>
              <w:rPr>
                <w:rFonts w:ascii="Arial"/>
                <w:sz w:val="24"/>
              </w:rPr>
              <w:t>potencial de</w:t>
            </w:r>
          </w:p>
        </w:tc>
        <w:tc>
          <w:tcPr>
            <w:tcW w:w="7229" w:type="dxa"/>
            <w:vMerge/>
            <w:tcBorders>
              <w:left w:val="single" w:sz="4" w:space="0" w:color="000000"/>
              <w:right w:val="nil"/>
            </w:tcBorders>
          </w:tcPr>
          <w:p>
            <w:pPr/>
          </w:p>
        </w:tc>
      </w:tr>
      <w:tr>
        <w:trPr>
          <w:trHeight w:val="96" w:hRule="exact"/>
        </w:trPr>
        <w:tc>
          <w:tcPr>
            <w:tcW w:w="1810" w:type="dxa"/>
            <w:vMerge w:val="restart"/>
            <w:tcBorders>
              <w:top w:val="nil"/>
              <w:left w:val="nil"/>
              <w:right w:val="single" w:sz="4" w:space="0" w:color="000000"/>
            </w:tcBorders>
          </w:tcPr>
          <w:p>
            <w:pPr>
              <w:pStyle w:val="TableParagraph"/>
              <w:spacing w:line="262" w:lineRule="exact"/>
              <w:ind w:left="105"/>
              <w:rPr>
                <w:rFonts w:ascii="Arial"/>
                <w:sz w:val="24"/>
              </w:rPr>
            </w:pPr>
            <w:r>
              <w:rPr>
                <w:rFonts w:ascii="Arial"/>
                <w:sz w:val="24"/>
              </w:rPr>
              <w:t>calentamiento</w:t>
            </w:r>
          </w:p>
        </w:tc>
        <w:tc>
          <w:tcPr>
            <w:tcW w:w="7229" w:type="dxa"/>
            <w:vMerge/>
            <w:tcBorders>
              <w:left w:val="single" w:sz="4" w:space="0" w:color="000000"/>
              <w:bottom w:val="single" w:sz="4" w:space="0" w:color="000000"/>
              <w:right w:val="nil"/>
            </w:tcBorders>
          </w:tcPr>
          <w:p>
            <w:pPr/>
          </w:p>
        </w:tc>
      </w:tr>
      <w:tr>
        <w:trPr>
          <w:trHeight w:val="180" w:hRule="exact"/>
        </w:trPr>
        <w:tc>
          <w:tcPr>
            <w:tcW w:w="1810" w:type="dxa"/>
            <w:vMerge/>
            <w:tcBorders>
              <w:left w:val="nil"/>
              <w:bottom w:val="nil"/>
              <w:right w:val="single" w:sz="4" w:space="0" w:color="000000"/>
            </w:tcBorders>
          </w:tcPr>
          <w:p>
            <w:pPr/>
          </w:p>
        </w:tc>
        <w:tc>
          <w:tcPr>
            <w:tcW w:w="7229" w:type="dxa"/>
            <w:vMerge w:val="restart"/>
            <w:tcBorders>
              <w:top w:val="single" w:sz="4" w:space="0" w:color="000000"/>
              <w:left w:val="single" w:sz="4" w:space="0" w:color="000000"/>
              <w:right w:val="nil"/>
            </w:tcBorders>
          </w:tcPr>
          <w:p>
            <w:pPr>
              <w:pStyle w:val="TableParagraph"/>
              <w:tabs>
                <w:tab w:pos="3135" w:val="left" w:leader="none"/>
                <w:tab w:pos="4871" w:val="left" w:leader="none"/>
                <w:tab w:pos="5741" w:val="left" w:leader="none"/>
              </w:tabs>
              <w:spacing w:before="144"/>
              <w:ind w:left="100"/>
              <w:rPr>
                <w:rFonts w:ascii="Arial"/>
                <w:sz w:val="24"/>
              </w:rPr>
            </w:pPr>
            <w:r>
              <w:rPr>
                <w:rFonts w:ascii="Arial"/>
                <w:sz w:val="24"/>
              </w:rPr>
              <w:t>HFC-23</w:t>
            </w:r>
            <w:r>
              <w:rPr>
                <w:rFonts w:ascii="Arial"/>
                <w:spacing w:val="-1"/>
                <w:sz w:val="24"/>
              </w:rPr>
              <w:t> </w:t>
            </w:r>
            <w:r>
              <w:rPr>
                <w:rFonts w:ascii="Arial"/>
                <w:sz w:val="24"/>
              </w:rPr>
              <w:t>(CHF</w:t>
            </w:r>
            <w:r>
              <w:rPr>
                <w:rFonts w:ascii="Arial"/>
                <w:position w:val="-2"/>
                <w:sz w:val="16"/>
              </w:rPr>
              <w:t>3</w:t>
            </w:r>
            <w:r>
              <w:rPr>
                <w:rFonts w:ascii="Arial"/>
                <w:sz w:val="24"/>
              </w:rPr>
              <w:t>)</w:t>
              <w:tab/>
            </w:r>
            <w:r>
              <w:rPr>
                <w:rFonts w:ascii="Arial"/>
                <w:spacing w:val="-4"/>
                <w:sz w:val="24"/>
              </w:rPr>
              <w:t>11,700</w:t>
              <w:tab/>
            </w:r>
            <w:r>
              <w:rPr>
                <w:rFonts w:ascii="Arial"/>
                <w:sz w:val="24"/>
              </w:rPr>
              <w:t>264</w:t>
              <w:tab/>
              <w:t>kg</w:t>
            </w:r>
            <w:r>
              <w:rPr>
                <w:rFonts w:ascii="Arial"/>
                <w:spacing w:val="-1"/>
                <w:sz w:val="24"/>
              </w:rPr>
              <w:t> </w:t>
            </w:r>
            <w:r>
              <w:rPr>
                <w:rFonts w:ascii="Arial"/>
                <w:sz w:val="24"/>
              </w:rPr>
              <w:t>CO</w:t>
            </w:r>
            <w:r>
              <w:rPr>
                <w:rFonts w:ascii="Arial"/>
                <w:position w:val="-2"/>
                <w:sz w:val="16"/>
              </w:rPr>
              <w:t>2</w:t>
            </w:r>
            <w:r>
              <w:rPr>
                <w:rFonts w:ascii="Arial"/>
                <w:sz w:val="24"/>
              </w:rPr>
              <w:t>-eq</w:t>
            </w:r>
          </w:p>
        </w:tc>
      </w:tr>
      <w:tr>
        <w:trPr>
          <w:trHeight w:val="396" w:hRule="exact"/>
        </w:trPr>
        <w:tc>
          <w:tcPr>
            <w:tcW w:w="1810" w:type="dxa"/>
            <w:tcBorders>
              <w:top w:val="nil"/>
              <w:left w:val="nil"/>
              <w:bottom w:val="nil"/>
              <w:right w:val="single" w:sz="4" w:space="0" w:color="000000"/>
            </w:tcBorders>
          </w:tcPr>
          <w:p>
            <w:pPr>
              <w:pStyle w:val="TableParagraph"/>
              <w:spacing w:line="265" w:lineRule="exact"/>
              <w:ind w:left="105"/>
              <w:rPr>
                <w:rFonts w:ascii="Arial"/>
                <w:sz w:val="24"/>
              </w:rPr>
            </w:pPr>
            <w:r>
              <w:rPr>
                <w:rFonts w:ascii="Arial"/>
                <w:sz w:val="24"/>
              </w:rPr>
              <w:t>global (PCG)</w:t>
            </w:r>
          </w:p>
        </w:tc>
        <w:tc>
          <w:tcPr>
            <w:tcW w:w="7229" w:type="dxa"/>
            <w:vMerge/>
            <w:tcBorders>
              <w:left w:val="single" w:sz="4" w:space="0" w:color="000000"/>
              <w:bottom w:val="single" w:sz="4" w:space="0" w:color="000000"/>
              <w:right w:val="nil"/>
            </w:tcBorders>
          </w:tcPr>
          <w:p>
            <w:pPr/>
          </w:p>
        </w:tc>
      </w:tr>
      <w:tr>
        <w:trPr>
          <w:trHeight w:val="581" w:hRule="exact"/>
        </w:trPr>
        <w:tc>
          <w:tcPr>
            <w:tcW w:w="1810" w:type="dxa"/>
            <w:tcBorders>
              <w:top w:val="nil"/>
              <w:left w:val="nil"/>
              <w:right w:val="single" w:sz="4" w:space="0" w:color="000000"/>
            </w:tcBorders>
          </w:tcPr>
          <w:p>
            <w:pPr/>
          </w:p>
        </w:tc>
        <w:tc>
          <w:tcPr>
            <w:tcW w:w="7229" w:type="dxa"/>
            <w:tcBorders>
              <w:top w:val="single" w:sz="4" w:space="0" w:color="000000"/>
              <w:left w:val="single" w:sz="4" w:space="0" w:color="000000"/>
              <w:bottom w:val="single" w:sz="4" w:space="0" w:color="000000"/>
              <w:right w:val="nil"/>
            </w:tcBorders>
          </w:tcPr>
          <w:p>
            <w:pPr>
              <w:pStyle w:val="TableParagraph"/>
              <w:tabs>
                <w:tab w:pos="3118" w:val="left" w:leader="none"/>
                <w:tab w:pos="4671" w:val="left" w:leader="none"/>
                <w:tab w:pos="5741" w:val="left" w:leader="none"/>
              </w:tabs>
              <w:spacing w:before="144"/>
              <w:ind w:left="100"/>
              <w:rPr>
                <w:rFonts w:ascii="Arial"/>
                <w:sz w:val="24"/>
              </w:rPr>
            </w:pPr>
            <w:r>
              <w:rPr>
                <w:rFonts w:ascii="Arial"/>
                <w:sz w:val="24"/>
              </w:rPr>
              <w:t>SF</w:t>
            </w:r>
            <w:r>
              <w:rPr>
                <w:rFonts w:ascii="Arial"/>
                <w:position w:val="-2"/>
                <w:sz w:val="16"/>
              </w:rPr>
              <w:t>6</w:t>
              <w:tab/>
            </w:r>
            <w:r>
              <w:rPr>
                <w:rFonts w:ascii="Arial"/>
                <w:sz w:val="24"/>
              </w:rPr>
              <w:t>23,900</w:t>
              <w:tab/>
              <w:t>3,200</w:t>
              <w:tab/>
              <w:t>kg</w:t>
            </w:r>
            <w:r>
              <w:rPr>
                <w:rFonts w:ascii="Arial"/>
                <w:spacing w:val="-1"/>
                <w:sz w:val="24"/>
              </w:rPr>
              <w:t> </w:t>
            </w:r>
            <w:r>
              <w:rPr>
                <w:rFonts w:ascii="Arial"/>
                <w:sz w:val="24"/>
              </w:rPr>
              <w:t>CO</w:t>
            </w:r>
            <w:r>
              <w:rPr>
                <w:rFonts w:ascii="Arial"/>
                <w:position w:val="-2"/>
                <w:sz w:val="16"/>
              </w:rPr>
              <w:t>2</w:t>
            </w:r>
            <w:r>
              <w:rPr>
                <w:rFonts w:ascii="Arial"/>
                <w:sz w:val="24"/>
              </w:rPr>
              <w:t>-eq</w:t>
            </w:r>
          </w:p>
        </w:tc>
      </w:tr>
    </w:tbl>
    <w:p>
      <w:pPr>
        <w:spacing w:line="252" w:lineRule="auto" w:before="4"/>
        <w:ind w:left="276" w:right="326" w:firstLine="0"/>
        <w:jc w:val="both"/>
        <w:rPr>
          <w:sz w:val="19"/>
        </w:rPr>
      </w:pPr>
      <w:r>
        <w:rPr>
          <w:b/>
          <w:w w:val="105"/>
          <w:sz w:val="19"/>
        </w:rPr>
        <w:t>Fuente: </w:t>
      </w:r>
      <w:r>
        <w:rPr>
          <w:w w:val="105"/>
          <w:sz w:val="19"/>
        </w:rPr>
        <w:t>Climate Change 1995, The Science of Climate Change: Summary for Policymackers Technical Summary of the Working Group I Report, página 22. Disponible en: </w:t>
      </w:r>
      <w:hyperlink r:id="rId29">
        <w:r>
          <w:rPr>
            <w:w w:val="105"/>
            <w:sz w:val="19"/>
          </w:rPr>
          <w:t>http://unfccc.int.</w:t>
        </w:r>
      </w:hyperlink>
    </w:p>
    <w:p>
      <w:pPr>
        <w:pStyle w:val="BodyText"/>
        <w:rPr>
          <w:sz w:val="20"/>
        </w:rPr>
      </w:pPr>
    </w:p>
    <w:p>
      <w:pPr>
        <w:pStyle w:val="BodyText"/>
        <w:rPr>
          <w:sz w:val="20"/>
        </w:rPr>
      </w:pPr>
    </w:p>
    <w:p>
      <w:pPr>
        <w:pStyle w:val="Heading2"/>
        <w:numPr>
          <w:ilvl w:val="1"/>
          <w:numId w:val="5"/>
        </w:numPr>
        <w:tabs>
          <w:tab w:pos="1281" w:val="left" w:leader="none"/>
          <w:tab w:pos="1282" w:val="left" w:leader="none"/>
          <w:tab w:pos="2126" w:val="left" w:leader="none"/>
          <w:tab w:pos="4215" w:val="left" w:leader="none"/>
          <w:tab w:pos="4543" w:val="left" w:leader="none"/>
          <w:tab w:pos="5077" w:val="left" w:leader="none"/>
          <w:tab w:pos="6437" w:val="left" w:leader="none"/>
          <w:tab w:pos="7477" w:val="left" w:leader="none"/>
        </w:tabs>
        <w:spacing w:line="283" w:lineRule="auto" w:before="148" w:after="0"/>
        <w:ind w:left="1297" w:right="323" w:hanging="1021"/>
        <w:jc w:val="left"/>
      </w:pPr>
      <w:bookmarkStart w:name="_TOC_250016" w:id="14"/>
      <w:r>
        <w:rPr/>
        <w:t>La</w:t>
        <w:tab/>
        <w:t>ganadería:</w:t>
        <w:tab/>
        <w:t>un</w:t>
        <w:tab/>
        <w:t>factor</w:t>
        <w:tab/>
        <w:t>que</w:t>
        <w:tab/>
        <w:t>contribuye considerablemente</w:t>
        <w:tab/>
        <w:tab/>
        <w:t>al cambio</w:t>
      </w:r>
      <w:r>
        <w:rPr>
          <w:spacing w:val="78"/>
        </w:rPr>
        <w:t> </w:t>
      </w:r>
      <w:bookmarkEnd w:id="14"/>
      <w:r>
        <w:rPr/>
        <w:t>climático</w:t>
      </w:r>
    </w:p>
    <w:p>
      <w:pPr>
        <w:pStyle w:val="BodyText"/>
        <w:spacing w:before="7"/>
        <w:rPr>
          <w:b/>
          <w:sz w:val="27"/>
        </w:rPr>
      </w:pPr>
    </w:p>
    <w:p>
      <w:pPr>
        <w:pStyle w:val="BodyText"/>
        <w:spacing w:line="360" w:lineRule="auto"/>
        <w:ind w:left="276" w:right="324"/>
        <w:jc w:val="both"/>
      </w:pPr>
      <w:r>
        <w:rPr/>
        <w:t>En promedio, la temperatura de la superficie terrestre ha aumentado 0.7</w:t>
      </w:r>
      <w:r>
        <w:rPr>
          <w:position w:val="11"/>
          <w:sz w:val="16"/>
        </w:rPr>
        <w:t>o</w:t>
      </w:r>
      <w:r>
        <w:rPr/>
        <w:t>C en el último siglo (IPCC, 2007). La temperatura de los océanos ha aumentado, en las regiones polares se ha constatado que se ha producido un deshielo significativo, y se espera que el nivel del mar aumente. El IPCC ha llegado a la conclusión de que los  GEI  antropogénicos,  como  el  CO</w:t>
      </w:r>
      <w:r>
        <w:rPr>
          <w:position w:val="-2"/>
          <w:sz w:val="16"/>
        </w:rPr>
        <w:t>2</w:t>
      </w:r>
      <w:r>
        <w:rPr/>
        <w:t>,  el  CH</w:t>
      </w:r>
      <w:r>
        <w:rPr>
          <w:position w:val="-2"/>
          <w:sz w:val="16"/>
        </w:rPr>
        <w:t>4</w:t>
      </w:r>
      <w:r>
        <w:rPr/>
        <w:t>,  el  N</w:t>
      </w:r>
      <w:r>
        <w:rPr>
          <w:position w:val="-2"/>
          <w:sz w:val="16"/>
        </w:rPr>
        <w:t>2</w:t>
      </w:r>
      <w:r>
        <w:rPr/>
        <w:t>O  y  los      hidrocarburos</w:t>
      </w:r>
    </w:p>
    <w:p>
      <w:pPr>
        <w:spacing w:after="0" w:line="360" w:lineRule="auto"/>
        <w:jc w:val="both"/>
        <w:sectPr>
          <w:pgSz w:w="12240" w:h="15840"/>
          <w:pgMar w:header="741" w:footer="739" w:top="1220" w:bottom="920" w:left="1720" w:right="1080"/>
        </w:sectPr>
      </w:pPr>
    </w:p>
    <w:p>
      <w:pPr>
        <w:pStyle w:val="BodyText"/>
        <w:spacing w:before="4"/>
        <w:rPr>
          <w:sz w:val="11"/>
        </w:rPr>
      </w:pPr>
    </w:p>
    <w:p>
      <w:pPr>
        <w:pStyle w:val="BodyText"/>
        <w:spacing w:line="362" w:lineRule="auto" w:before="69"/>
        <w:ind w:left="276" w:right="143"/>
        <w:jc w:val="both"/>
      </w:pPr>
      <w:r>
        <w:rPr/>
        <w:t>halogenados han sido responsables de la mayor parte del incremento de la temperatura producido desde mediados del siglo XX (FAO, 2009c).</w:t>
      </w:r>
    </w:p>
    <w:p>
      <w:pPr>
        <w:pStyle w:val="BodyText"/>
        <w:spacing w:line="360" w:lineRule="auto"/>
        <w:ind w:left="276" w:right="143"/>
        <w:jc w:val="both"/>
      </w:pPr>
      <w:r>
        <w:rPr/>
        <w:t>Entre las crecientes preocupaciones sobre el cambio climático se reconoce cada vez más que las actividades agropecuarias, en particular la ganadera, son tanto contribuidoras al proceso como víctimas potenciales de él. Se necesitan intervenciones normativas y soluciones técnicas para abordar tanto los efectos de la producción pecuaria en el cambio climático como los efectos de éste en la producción</w:t>
      </w:r>
      <w:r>
        <w:rPr>
          <w:spacing w:val="-9"/>
        </w:rPr>
        <w:t> </w:t>
      </w:r>
      <w:r>
        <w:rPr/>
        <w:t>ganadera.</w:t>
      </w:r>
      <w:r>
        <w:rPr>
          <w:spacing w:val="-9"/>
        </w:rPr>
        <w:t> </w:t>
      </w:r>
      <w:r>
        <w:rPr/>
        <w:t>El</w:t>
      </w:r>
      <w:r>
        <w:rPr>
          <w:spacing w:val="-9"/>
        </w:rPr>
        <w:t> </w:t>
      </w:r>
      <w:r>
        <w:rPr/>
        <w:t>ganado</w:t>
      </w:r>
      <w:r>
        <w:rPr>
          <w:spacing w:val="-9"/>
        </w:rPr>
        <w:t> </w:t>
      </w:r>
      <w:r>
        <w:rPr/>
        <w:t>contribuye</w:t>
      </w:r>
      <w:r>
        <w:rPr>
          <w:spacing w:val="-9"/>
        </w:rPr>
        <w:t> </w:t>
      </w:r>
      <w:r>
        <w:rPr/>
        <w:t>al</w:t>
      </w:r>
      <w:r>
        <w:rPr>
          <w:spacing w:val="-9"/>
        </w:rPr>
        <w:t> </w:t>
      </w:r>
      <w:r>
        <w:rPr/>
        <w:t>cambio</w:t>
      </w:r>
      <w:r>
        <w:rPr>
          <w:spacing w:val="-9"/>
        </w:rPr>
        <w:t> </w:t>
      </w:r>
      <w:r>
        <w:rPr/>
        <w:t>climático</w:t>
      </w:r>
      <w:r>
        <w:rPr>
          <w:spacing w:val="-9"/>
        </w:rPr>
        <w:t> </w:t>
      </w:r>
      <w:r>
        <w:rPr/>
        <w:t>emitiendo</w:t>
      </w:r>
      <w:r>
        <w:rPr>
          <w:spacing w:val="-9"/>
        </w:rPr>
        <w:t> </w:t>
      </w:r>
      <w:r>
        <w:rPr/>
        <w:t>GEI</w:t>
      </w:r>
      <w:r>
        <w:rPr>
          <w:spacing w:val="-9"/>
        </w:rPr>
        <w:t> </w:t>
      </w:r>
      <w:r>
        <w:rPr/>
        <w:t>tanto directamente a partir de la fermentación entérica, como indirectamente a partir de las actividades de producción de forrajes, de la deforestación para crear nuevos pastos, etc. (FAO,</w:t>
      </w:r>
      <w:r>
        <w:rPr>
          <w:spacing w:val="-1"/>
        </w:rPr>
        <w:t> </w:t>
      </w:r>
      <w:r>
        <w:rPr/>
        <w:t>2009c).</w:t>
      </w:r>
    </w:p>
    <w:p>
      <w:pPr>
        <w:pStyle w:val="BodyText"/>
        <w:spacing w:line="357" w:lineRule="auto" w:before="2"/>
        <w:ind w:left="276" w:right="143"/>
        <w:jc w:val="both"/>
      </w:pPr>
      <w:r>
        <w:rPr/>
        <w:t>Las emisiones de GEI pueden proceder de todas las principales fases del ciclo de la producción pecuaria. Las emisiones causadas por la producción de forraje y los pastos están vinculadas a la producción y la aplicación de fertilizantes químicos y plaguicidas, a la pérdida de materia orgánica del suelo y al transporte. Cuando los bosques se desmontan para obtener pastos y forraje, se liberan a la atmósfera grandes cantidades de carbono almacenado en la vegetación y el suelo. Por el contrario,</w:t>
      </w:r>
      <w:r>
        <w:rPr>
          <w:spacing w:val="-13"/>
        </w:rPr>
        <w:t> </w:t>
      </w:r>
      <w:r>
        <w:rPr/>
        <w:t>cuando</w:t>
      </w:r>
      <w:r>
        <w:rPr>
          <w:spacing w:val="-13"/>
        </w:rPr>
        <w:t> </w:t>
      </w:r>
      <w:r>
        <w:rPr/>
        <w:t>se</w:t>
      </w:r>
      <w:r>
        <w:rPr>
          <w:spacing w:val="-13"/>
        </w:rPr>
        <w:t> </w:t>
      </w:r>
      <w:r>
        <w:rPr/>
        <w:t>ponen</w:t>
      </w:r>
      <w:r>
        <w:rPr>
          <w:spacing w:val="-13"/>
        </w:rPr>
        <w:t> </w:t>
      </w:r>
      <w:r>
        <w:rPr/>
        <w:t>en</w:t>
      </w:r>
      <w:r>
        <w:rPr>
          <w:spacing w:val="-13"/>
        </w:rPr>
        <w:t> </w:t>
      </w:r>
      <w:r>
        <w:rPr/>
        <w:t>práctica</w:t>
      </w:r>
      <w:r>
        <w:rPr>
          <w:spacing w:val="-13"/>
        </w:rPr>
        <w:t> </w:t>
      </w:r>
      <w:r>
        <w:rPr/>
        <w:t>unas</w:t>
      </w:r>
      <w:r>
        <w:rPr>
          <w:spacing w:val="-13"/>
        </w:rPr>
        <w:t> </w:t>
      </w:r>
      <w:r>
        <w:rPr/>
        <w:t>buenas</w:t>
      </w:r>
      <w:r>
        <w:rPr>
          <w:spacing w:val="-13"/>
        </w:rPr>
        <w:t> </w:t>
      </w:r>
      <w:r>
        <w:rPr/>
        <w:t>prácticas</w:t>
      </w:r>
      <w:r>
        <w:rPr>
          <w:spacing w:val="-13"/>
        </w:rPr>
        <w:t> </w:t>
      </w:r>
      <w:r>
        <w:rPr/>
        <w:t>de</w:t>
      </w:r>
      <w:r>
        <w:rPr>
          <w:spacing w:val="-13"/>
        </w:rPr>
        <w:t> </w:t>
      </w:r>
      <w:r>
        <w:rPr/>
        <w:t>manejo</w:t>
      </w:r>
      <w:r>
        <w:rPr>
          <w:spacing w:val="-13"/>
        </w:rPr>
        <w:t> </w:t>
      </w:r>
      <w:r>
        <w:rPr/>
        <w:t>en</w:t>
      </w:r>
      <w:r>
        <w:rPr>
          <w:spacing w:val="-13"/>
        </w:rPr>
        <w:t> </w:t>
      </w:r>
      <w:r>
        <w:rPr/>
        <w:t>la</w:t>
      </w:r>
      <w:r>
        <w:rPr>
          <w:spacing w:val="-13"/>
        </w:rPr>
        <w:t> </w:t>
      </w:r>
      <w:r>
        <w:rPr/>
        <w:t>tierra degradada,</w:t>
      </w:r>
      <w:r>
        <w:rPr>
          <w:spacing w:val="-15"/>
        </w:rPr>
        <w:t> </w:t>
      </w:r>
      <w:r>
        <w:rPr/>
        <w:t>los</w:t>
      </w:r>
      <w:r>
        <w:rPr>
          <w:spacing w:val="-15"/>
        </w:rPr>
        <w:t> </w:t>
      </w:r>
      <w:r>
        <w:rPr/>
        <w:t>pastos</w:t>
      </w:r>
      <w:r>
        <w:rPr>
          <w:spacing w:val="-15"/>
        </w:rPr>
        <w:t> </w:t>
      </w:r>
      <w:r>
        <w:rPr/>
        <w:t>y</w:t>
      </w:r>
      <w:r>
        <w:rPr>
          <w:spacing w:val="-15"/>
        </w:rPr>
        <w:t> </w:t>
      </w:r>
      <w:r>
        <w:rPr/>
        <w:t>las</w:t>
      </w:r>
      <w:r>
        <w:rPr>
          <w:spacing w:val="-15"/>
        </w:rPr>
        <w:t> </w:t>
      </w:r>
      <w:r>
        <w:rPr/>
        <w:t>tierras</w:t>
      </w:r>
      <w:r>
        <w:rPr>
          <w:spacing w:val="-15"/>
        </w:rPr>
        <w:t> </w:t>
      </w:r>
      <w:r>
        <w:rPr/>
        <w:t>de</w:t>
      </w:r>
      <w:r>
        <w:rPr>
          <w:spacing w:val="-15"/>
        </w:rPr>
        <w:t> </w:t>
      </w:r>
      <w:r>
        <w:rPr/>
        <w:t>cultivo</w:t>
      </w:r>
      <w:r>
        <w:rPr>
          <w:spacing w:val="-15"/>
        </w:rPr>
        <w:t> </w:t>
      </w:r>
      <w:r>
        <w:rPr/>
        <w:t>pueden</w:t>
      </w:r>
      <w:r>
        <w:rPr>
          <w:spacing w:val="-15"/>
        </w:rPr>
        <w:t> </w:t>
      </w:r>
      <w:r>
        <w:rPr/>
        <w:t>convertirse</w:t>
      </w:r>
      <w:r>
        <w:rPr>
          <w:spacing w:val="-15"/>
        </w:rPr>
        <w:t> </w:t>
      </w:r>
      <w:r>
        <w:rPr/>
        <w:t>en</w:t>
      </w:r>
      <w:r>
        <w:rPr>
          <w:spacing w:val="-15"/>
        </w:rPr>
        <w:t> </w:t>
      </w:r>
      <w:r>
        <w:rPr/>
        <w:t>sumideros</w:t>
      </w:r>
      <w:r>
        <w:rPr>
          <w:spacing w:val="-15"/>
        </w:rPr>
        <w:t> </w:t>
      </w:r>
      <w:r>
        <w:rPr/>
        <w:t>netos de carbono y capturar carbono de la atmósfera. En el ámbito de las explotaciones, la fermentación entérica y el estiércol producen emisiones de CH</w:t>
      </w:r>
      <w:r>
        <w:rPr>
          <w:position w:val="-2"/>
          <w:sz w:val="16"/>
        </w:rPr>
        <w:t>4 </w:t>
      </w:r>
      <w:r>
        <w:rPr/>
        <w:t>y N</w:t>
      </w:r>
      <w:r>
        <w:rPr>
          <w:position w:val="-2"/>
          <w:sz w:val="16"/>
        </w:rPr>
        <w:t>2</w:t>
      </w:r>
      <w:r>
        <w:rPr/>
        <w:t>O. En las especies rumiantes (como búfalo, ganado vacuno, caprino y ovino) la fermentación microbiana entérica convierte la fibra y la celulosa en productos que pueden ser digeridos y utilizados por los animales, que exhalan CH</w:t>
      </w:r>
      <w:r>
        <w:rPr>
          <w:position w:val="-2"/>
          <w:sz w:val="16"/>
        </w:rPr>
        <w:t>4 </w:t>
      </w:r>
      <w:r>
        <w:rPr/>
        <w:t>como producto derivado de este proceso. El estiércol libera N</w:t>
      </w:r>
      <w:r>
        <w:rPr>
          <w:position w:val="-2"/>
          <w:sz w:val="16"/>
        </w:rPr>
        <w:t>2</w:t>
      </w:r>
      <w:r>
        <w:rPr/>
        <w:t>O durante su almacenamiento y su distribución, mientras que si se almacena en condiciones anaeróbicas y</w:t>
      </w:r>
      <w:r>
        <w:rPr>
          <w:spacing w:val="-40"/>
        </w:rPr>
        <w:t> </w:t>
      </w:r>
      <w:r>
        <w:rPr/>
        <w:t>templadas, también genera CH</w:t>
      </w:r>
      <w:r>
        <w:rPr>
          <w:position w:val="-2"/>
          <w:sz w:val="16"/>
        </w:rPr>
        <w:t>4</w:t>
      </w:r>
      <w:r>
        <w:rPr/>
        <w:t>. Por último, el sacrificio, la elaboración y el transporte de productos animales causan emisiones relacionadas principalmente con el uso de combustibles fósiles y el desarrollo de las infraestructuras (FAO,</w:t>
      </w:r>
      <w:r>
        <w:rPr>
          <w:spacing w:val="-1"/>
        </w:rPr>
        <w:t> </w:t>
      </w:r>
      <w:r>
        <w:rPr/>
        <w:t>2009c).</w:t>
      </w:r>
    </w:p>
    <w:p>
      <w:pPr>
        <w:pStyle w:val="BodyText"/>
        <w:spacing w:line="362" w:lineRule="auto" w:before="5"/>
        <w:ind w:left="276" w:right="144"/>
        <w:jc w:val="both"/>
      </w:pPr>
      <w:r>
        <w:rPr/>
        <w:t>De acuerdo con la FAO (2013), las emisiones estimadas son de 7.1 gigatoneladas (Gt)  de  dióxido  de  carbono  equivalente  (CO</w:t>
      </w:r>
      <w:r>
        <w:rPr>
          <w:position w:val="-2"/>
          <w:sz w:val="16"/>
        </w:rPr>
        <w:t>2</w:t>
      </w:r>
      <w:r>
        <w:rPr/>
        <w:t>-eq)  por  año  para  el  periodo</w:t>
      </w:r>
      <w:r>
        <w:rPr>
          <w:spacing w:val="51"/>
        </w:rPr>
        <w:t> </w:t>
      </w:r>
      <w:r>
        <w:rPr/>
        <w:t>de</w:t>
      </w:r>
    </w:p>
    <w:p>
      <w:pPr>
        <w:spacing w:after="0" w:line="362"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referencia de 2005. Este total representa el 14.5% de todas las emisiones de GEI inducidas por el ser humano, por lo que el sector ganadero incide de manera importante en el cambio climático. Así mismo la FAO (2013), reporta que la producción de carne y leche de vacuno es responsable de la mayoría de las emisiones, pues contribuye con el 41% y el 29% respectivamente de las emisiones del sector ganadero. El fuerte crecimiento previsto de esta producción ocasionará con el tiempo un aumento de los porcentajes y volúmenes de emisiones. Destacando: 1) la producción y elaboración de alimentos y 2) la fermentación entérica proveniente de los rumiantes, siendo estas dos fuentes las responsables del 45% y el 39% de las emisiones del sector respectivamente. El almacenamiento y elaboración del estiércol representa el 10% y la parte restante se atribuye a la elaboración y el transporte de productos pecuarios. Incluida en la producción de alimentos, la expansión de los pastizales y cultivos forrajeros a expensas de los bosques es responsable de aproximadamente el 9% de las emisiones del sector. Considerando todas las categorías, el consumo de combustible fósil a lo largo de las cadenas de suministro pecuario representa alrededor del 20% de las</w:t>
      </w:r>
      <w:r>
        <w:rPr>
          <w:spacing w:val="-12"/>
        </w:rPr>
        <w:t> </w:t>
      </w:r>
      <w:r>
        <w:rPr/>
        <w:t>emisiones del sector.</w:t>
      </w:r>
    </w:p>
    <w:p>
      <w:pPr>
        <w:pStyle w:val="BodyText"/>
        <w:spacing w:line="360" w:lineRule="auto" w:before="7"/>
        <w:ind w:left="276" w:right="143"/>
        <w:jc w:val="both"/>
      </w:pPr>
      <w:r>
        <w:rPr/>
        <w:t>El</w:t>
      </w:r>
      <w:r>
        <w:rPr>
          <w:spacing w:val="-9"/>
        </w:rPr>
        <w:t> </w:t>
      </w:r>
      <w:r>
        <w:rPr/>
        <w:t>cambio</w:t>
      </w:r>
      <w:r>
        <w:rPr>
          <w:spacing w:val="-9"/>
        </w:rPr>
        <w:t> </w:t>
      </w:r>
      <w:r>
        <w:rPr/>
        <w:t>climático</w:t>
      </w:r>
      <w:r>
        <w:rPr>
          <w:spacing w:val="-9"/>
        </w:rPr>
        <w:t> </w:t>
      </w:r>
      <w:r>
        <w:rPr/>
        <w:t>es</w:t>
      </w:r>
      <w:r>
        <w:rPr>
          <w:spacing w:val="-9"/>
        </w:rPr>
        <w:t> </w:t>
      </w:r>
      <w:r>
        <w:rPr/>
        <w:t>uno</w:t>
      </w:r>
      <w:r>
        <w:rPr>
          <w:spacing w:val="-9"/>
        </w:rPr>
        <w:t> </w:t>
      </w:r>
      <w:r>
        <w:rPr/>
        <w:t>de</w:t>
      </w:r>
      <w:r>
        <w:rPr>
          <w:spacing w:val="-9"/>
        </w:rPr>
        <w:t> </w:t>
      </w:r>
      <w:r>
        <w:rPr/>
        <w:t>los</w:t>
      </w:r>
      <w:r>
        <w:rPr>
          <w:spacing w:val="-9"/>
        </w:rPr>
        <w:t> </w:t>
      </w:r>
      <w:r>
        <w:rPr/>
        <w:t>desafíos</w:t>
      </w:r>
      <w:r>
        <w:rPr>
          <w:spacing w:val="-9"/>
        </w:rPr>
        <w:t> </w:t>
      </w:r>
      <w:r>
        <w:rPr/>
        <w:t>más</w:t>
      </w:r>
      <w:r>
        <w:rPr>
          <w:spacing w:val="-9"/>
        </w:rPr>
        <w:t> </w:t>
      </w:r>
      <w:r>
        <w:rPr/>
        <w:t>complejos</w:t>
      </w:r>
      <w:r>
        <w:rPr>
          <w:spacing w:val="-9"/>
        </w:rPr>
        <w:t> </w:t>
      </w:r>
      <w:r>
        <w:rPr/>
        <w:t>de</w:t>
      </w:r>
      <w:r>
        <w:rPr>
          <w:spacing w:val="-9"/>
        </w:rPr>
        <w:t> </w:t>
      </w:r>
      <w:r>
        <w:rPr/>
        <w:t>comienzos</w:t>
      </w:r>
      <w:r>
        <w:rPr>
          <w:spacing w:val="-9"/>
        </w:rPr>
        <w:t> </w:t>
      </w:r>
      <w:r>
        <w:rPr/>
        <w:t>de</w:t>
      </w:r>
      <w:r>
        <w:rPr>
          <w:spacing w:val="-9"/>
        </w:rPr>
        <w:t> </w:t>
      </w:r>
      <w:r>
        <w:rPr/>
        <w:t>nuestro siglo. Ningún país está inmune ni puede, por sí solo, afrontar los desafíos interconectados que plantea el cambio climático, entre los que se incluyen decisiones políticas controvertidas, un cambio tecnológico impresionante y consecuencias mundiales de gran alcance. A medida que se calienta el planeta, cambian las pautas de las precipitaciones y se multiplican los episodios extremos, como sequías, inundaciones e incendios forestales. Millones de personas de las zonas costeras densamente pobladas y de los países insulares perderán sus hogares a medida que se eleve el nivel del mar. Las poblaciones se enfrenta con</w:t>
      </w:r>
      <w:r>
        <w:rPr>
          <w:spacing w:val="-45"/>
        </w:rPr>
        <w:t> </w:t>
      </w:r>
      <w:r>
        <w:rPr/>
        <w:t>la perspectiva de pérdidas de cosechas de consecuencias trágicas, descenso de la productividad agrícola, y aumento del hambre, la malnutrición y las enfermedades (Banco Mundial, 2010).</w:t>
      </w:r>
    </w:p>
    <w:p>
      <w:pPr>
        <w:spacing w:after="0" w:line="360" w:lineRule="auto"/>
        <w:jc w:val="both"/>
        <w:sectPr>
          <w:pgSz w:w="12240" w:h="15840"/>
          <w:pgMar w:header="741" w:footer="739" w:top="1220" w:bottom="920" w:left="1720" w:right="1260"/>
        </w:sectPr>
      </w:pPr>
    </w:p>
    <w:p>
      <w:pPr>
        <w:pStyle w:val="BodyText"/>
        <w:rPr>
          <w:sz w:val="13"/>
        </w:rPr>
      </w:pPr>
    </w:p>
    <w:p>
      <w:pPr>
        <w:pStyle w:val="Heading2"/>
        <w:numPr>
          <w:ilvl w:val="1"/>
          <w:numId w:val="5"/>
        </w:numPr>
        <w:tabs>
          <w:tab w:pos="900" w:val="left" w:leader="none"/>
        </w:tabs>
        <w:spacing w:line="240" w:lineRule="auto" w:before="66" w:after="0"/>
        <w:ind w:left="899" w:right="0" w:hanging="623"/>
        <w:jc w:val="both"/>
      </w:pPr>
      <w:bookmarkStart w:name="_TOC_250015" w:id="15"/>
      <w:r>
        <w:rPr/>
        <w:t>Emisiones de CH</w:t>
      </w:r>
      <w:r>
        <w:rPr>
          <w:position w:val="-3"/>
          <w:sz w:val="20"/>
        </w:rPr>
        <w:t>4  </w:t>
      </w:r>
      <w:r>
        <w:rPr/>
        <w:t>por fermentación </w:t>
      </w:r>
      <w:r>
        <w:rPr>
          <w:spacing w:val="78"/>
        </w:rPr>
        <w:t> </w:t>
      </w:r>
      <w:bookmarkEnd w:id="15"/>
      <w:r>
        <w:rPr/>
        <w:t>entérica</w:t>
      </w:r>
    </w:p>
    <w:p>
      <w:pPr>
        <w:pStyle w:val="BodyText"/>
        <w:spacing w:before="7"/>
        <w:rPr>
          <w:b/>
          <w:sz w:val="34"/>
        </w:rPr>
      </w:pPr>
    </w:p>
    <w:p>
      <w:pPr>
        <w:pStyle w:val="BodyText"/>
        <w:spacing w:line="355" w:lineRule="auto"/>
        <w:ind w:left="276" w:right="144"/>
        <w:jc w:val="both"/>
      </w:pPr>
      <w:r>
        <w:rPr/>
        <w:t>La ganadería contribuye a la emisión y acumulación de CH</w:t>
      </w:r>
      <w:r>
        <w:rPr>
          <w:position w:val="-2"/>
          <w:sz w:val="16"/>
        </w:rPr>
        <w:t>4 </w:t>
      </w:r>
      <w:r>
        <w:rPr/>
        <w:t>en forma directa con</w:t>
      </w:r>
      <w:r>
        <w:rPr>
          <w:spacing w:val="-34"/>
        </w:rPr>
        <w:t> </w:t>
      </w:r>
      <w:r>
        <w:rPr/>
        <w:t>la digestión microbiana anaeróbica de los alimentos en el tracto digestivo, lo cual se conoce</w:t>
      </w:r>
      <w:r>
        <w:rPr>
          <w:spacing w:val="-7"/>
        </w:rPr>
        <w:t> </w:t>
      </w:r>
      <w:r>
        <w:rPr/>
        <w:t>como</w:t>
      </w:r>
      <w:r>
        <w:rPr>
          <w:spacing w:val="-8"/>
        </w:rPr>
        <w:t> </w:t>
      </w:r>
      <w:r>
        <w:rPr/>
        <w:t>fermentación</w:t>
      </w:r>
      <w:r>
        <w:rPr>
          <w:spacing w:val="-7"/>
        </w:rPr>
        <w:t> </w:t>
      </w:r>
      <w:r>
        <w:rPr/>
        <w:t>entérica.</w:t>
      </w:r>
      <w:r>
        <w:rPr>
          <w:spacing w:val="-7"/>
        </w:rPr>
        <w:t> </w:t>
      </w:r>
      <w:r>
        <w:rPr/>
        <w:t>Los</w:t>
      </w:r>
      <w:r>
        <w:rPr>
          <w:spacing w:val="-7"/>
        </w:rPr>
        <w:t> </w:t>
      </w:r>
      <w:r>
        <w:rPr/>
        <w:t>rumiantes</w:t>
      </w:r>
      <w:r>
        <w:rPr>
          <w:spacing w:val="-7"/>
        </w:rPr>
        <w:t> </w:t>
      </w:r>
      <w:r>
        <w:rPr/>
        <w:t>producen,</w:t>
      </w:r>
      <w:r>
        <w:rPr>
          <w:spacing w:val="-7"/>
        </w:rPr>
        <w:t> </w:t>
      </w:r>
      <w:r>
        <w:rPr/>
        <w:t>aproximadamente,</w:t>
      </w:r>
      <w:r>
        <w:rPr>
          <w:spacing w:val="-7"/>
        </w:rPr>
        <w:t> </w:t>
      </w:r>
      <w:r>
        <w:rPr/>
        <w:t>el 97% del CH</w:t>
      </w:r>
      <w:r>
        <w:rPr>
          <w:position w:val="-2"/>
          <w:sz w:val="16"/>
        </w:rPr>
        <w:t>4 </w:t>
      </w:r>
      <w:r>
        <w:rPr/>
        <w:t>emitido anualmente por los animales domésticos (Johnson </w:t>
      </w:r>
      <w:r>
        <w:rPr>
          <w:i/>
        </w:rPr>
        <w:t>et al</w:t>
      </w:r>
      <w:r>
        <w:rPr/>
        <w:t>., 2000). De los GEI, este gas es el segundo mayor contribuyente al efecto invernadero y responsable del 18% de este fenómeno (Moss </w:t>
      </w:r>
      <w:r>
        <w:rPr>
          <w:i/>
        </w:rPr>
        <w:t>et al.</w:t>
      </w:r>
      <w:r>
        <w:rPr/>
        <w:t>, 2000; Beauchemin y McGinn, 2006; Barker </w:t>
      </w:r>
      <w:r>
        <w:rPr>
          <w:i/>
        </w:rPr>
        <w:t>et al.</w:t>
      </w:r>
      <w:r>
        <w:rPr/>
        <w:t>,</w:t>
      </w:r>
      <w:r>
        <w:rPr>
          <w:spacing w:val="-4"/>
        </w:rPr>
        <w:t> </w:t>
      </w:r>
      <w:r>
        <w:rPr/>
        <w:t>2007).</w:t>
      </w:r>
    </w:p>
    <w:p>
      <w:pPr>
        <w:pStyle w:val="BodyText"/>
        <w:spacing w:line="360" w:lineRule="auto" w:before="8"/>
        <w:ind w:left="276" w:right="143"/>
        <w:jc w:val="both"/>
      </w:pPr>
      <w:r>
        <w:rPr/>
        <w:t>En condiciones normales, los rumiantes son alimentados con pasturas y forrajes, compuestos por celulosa. El proceso de fermentación, que tiene lugar en el rumen, permite que los microorganismos desdoblen la celulosa, transformándola en productos que pueden ser absorbidos y utilizados por el animal. Estos organismos forman una ecología compleja, con mecanismos de competición y simbiosis, y su población está influenciada por la composición de la dieta. Las bacterias metanogénicas</w:t>
      </w:r>
      <w:r>
        <w:rPr>
          <w:spacing w:val="-18"/>
        </w:rPr>
        <w:t> </w:t>
      </w:r>
      <w:r>
        <w:rPr/>
        <w:t>son</w:t>
      </w:r>
      <w:r>
        <w:rPr>
          <w:spacing w:val="-18"/>
        </w:rPr>
        <w:t> </w:t>
      </w:r>
      <w:r>
        <w:rPr/>
        <w:t>las</w:t>
      </w:r>
      <w:r>
        <w:rPr>
          <w:spacing w:val="-18"/>
        </w:rPr>
        <w:t> </w:t>
      </w:r>
      <w:r>
        <w:rPr/>
        <w:t>responsables</w:t>
      </w:r>
      <w:r>
        <w:rPr>
          <w:spacing w:val="-18"/>
        </w:rPr>
        <w:t> </w:t>
      </w:r>
      <w:r>
        <w:rPr/>
        <w:t>de</w:t>
      </w:r>
      <w:r>
        <w:rPr>
          <w:spacing w:val="-18"/>
        </w:rPr>
        <w:t> </w:t>
      </w:r>
      <w:r>
        <w:rPr/>
        <w:t>la</w:t>
      </w:r>
      <w:r>
        <w:rPr>
          <w:spacing w:val="-18"/>
        </w:rPr>
        <w:t> </w:t>
      </w:r>
      <w:r>
        <w:rPr/>
        <w:t>producción</w:t>
      </w:r>
      <w:r>
        <w:rPr>
          <w:spacing w:val="-18"/>
        </w:rPr>
        <w:t> </w:t>
      </w:r>
      <w:r>
        <w:rPr/>
        <w:t>de</w:t>
      </w:r>
      <w:r>
        <w:rPr>
          <w:spacing w:val="-18"/>
        </w:rPr>
        <w:t> </w:t>
      </w:r>
      <w:r>
        <w:rPr/>
        <w:t>CH</w:t>
      </w:r>
      <w:r>
        <w:rPr>
          <w:position w:val="-2"/>
          <w:sz w:val="16"/>
        </w:rPr>
        <w:t>4</w:t>
      </w:r>
      <w:r>
        <w:rPr>
          <w:spacing w:val="5"/>
          <w:position w:val="-2"/>
          <w:sz w:val="16"/>
        </w:rPr>
        <w:t> </w:t>
      </w:r>
      <w:r>
        <w:rPr/>
        <w:t>y,</w:t>
      </w:r>
      <w:r>
        <w:rPr>
          <w:spacing w:val="-18"/>
        </w:rPr>
        <w:t> </w:t>
      </w:r>
      <w:r>
        <w:rPr/>
        <w:t>aunque</w:t>
      </w:r>
      <w:r>
        <w:rPr>
          <w:spacing w:val="-18"/>
        </w:rPr>
        <w:t> </w:t>
      </w:r>
      <w:r>
        <w:rPr/>
        <w:t>constituyen una fracción muy pequeña de la población microbiana total, cumplen una función muy importante, al proveer un mecanismo para eliminar el hidrógeno producido en el rumen (Berra y Finster, 2002). La cantidad de metano producido por la fermentación entérica en los rumiantes varía en dependencia de determinados factores relacionados con la dieta de los animales (Figura 4). Estos factores son:</w:t>
      </w:r>
      <w:r>
        <w:rPr>
          <w:spacing w:val="-14"/>
        </w:rPr>
        <w:t> </w:t>
      </w:r>
      <w:r>
        <w:rPr/>
        <w:t>la calidad nutritiva y digestibilidad de los componentes de la dieta, al igual que sus interacciones con los microorganismos del rumen (Ruiz y Álvarez, 2007), la concentración</w:t>
      </w:r>
      <w:r>
        <w:rPr>
          <w:spacing w:val="-15"/>
        </w:rPr>
        <w:t> </w:t>
      </w:r>
      <w:r>
        <w:rPr/>
        <w:t>proteica</w:t>
      </w:r>
      <w:r>
        <w:rPr>
          <w:spacing w:val="-15"/>
        </w:rPr>
        <w:t> </w:t>
      </w:r>
      <w:r>
        <w:rPr/>
        <w:t>y</w:t>
      </w:r>
      <w:r>
        <w:rPr>
          <w:spacing w:val="-16"/>
        </w:rPr>
        <w:t> </w:t>
      </w:r>
      <w:r>
        <w:rPr/>
        <w:t>energética</w:t>
      </w:r>
      <w:r>
        <w:rPr>
          <w:spacing w:val="-15"/>
        </w:rPr>
        <w:t> </w:t>
      </w:r>
      <w:r>
        <w:rPr/>
        <w:t>de</w:t>
      </w:r>
      <w:r>
        <w:rPr>
          <w:spacing w:val="-15"/>
        </w:rPr>
        <w:t> </w:t>
      </w:r>
      <w:r>
        <w:rPr/>
        <w:t>la</w:t>
      </w:r>
      <w:r>
        <w:rPr>
          <w:spacing w:val="-15"/>
        </w:rPr>
        <w:t> </w:t>
      </w:r>
      <w:r>
        <w:rPr/>
        <w:t>ración</w:t>
      </w:r>
      <w:r>
        <w:rPr>
          <w:spacing w:val="-15"/>
        </w:rPr>
        <w:t> </w:t>
      </w:r>
      <w:r>
        <w:rPr/>
        <w:t>(Preston</w:t>
      </w:r>
      <w:r>
        <w:rPr>
          <w:spacing w:val="-15"/>
        </w:rPr>
        <w:t> </w:t>
      </w:r>
      <w:r>
        <w:rPr/>
        <w:t>y</w:t>
      </w:r>
      <w:r>
        <w:rPr>
          <w:spacing w:val="-16"/>
        </w:rPr>
        <w:t> </w:t>
      </w:r>
      <w:r>
        <w:rPr/>
        <w:t>Leng,</w:t>
      </w:r>
      <w:r>
        <w:rPr>
          <w:spacing w:val="-16"/>
        </w:rPr>
        <w:t> </w:t>
      </w:r>
      <w:r>
        <w:rPr/>
        <w:t>1987),</w:t>
      </w:r>
      <w:r>
        <w:rPr>
          <w:spacing w:val="-16"/>
        </w:rPr>
        <w:t> </w:t>
      </w:r>
      <w:r>
        <w:rPr/>
        <w:t>la</w:t>
      </w:r>
      <w:r>
        <w:rPr>
          <w:spacing w:val="-15"/>
        </w:rPr>
        <w:t> </w:t>
      </w:r>
      <w:r>
        <w:rPr/>
        <w:t>velocidad de digestión y tiempo de permanencia de los alimentos en el rumen, la frecuencia de consumo y forma física del alimento (Galindo </w:t>
      </w:r>
      <w:r>
        <w:rPr>
          <w:i/>
        </w:rPr>
        <w:t>et al., </w:t>
      </w:r>
      <w:r>
        <w:rPr/>
        <w:t>2010). Los rumiantes que consumen pasturas y forrajes de buena calidad y suplementos ricos en carbohidratos solubles, producen menos CH</w:t>
      </w:r>
      <w:r>
        <w:rPr>
          <w:position w:val="-2"/>
          <w:sz w:val="16"/>
        </w:rPr>
        <w:t>4</w:t>
      </w:r>
      <w:r>
        <w:rPr/>
        <w:t>; por el contrario, producen más CH</w:t>
      </w:r>
      <w:r>
        <w:rPr>
          <w:position w:val="-2"/>
          <w:sz w:val="16"/>
        </w:rPr>
        <w:t>4 </w:t>
      </w:r>
      <w:r>
        <w:rPr/>
        <w:t>cuando las dietas son altas en fibra (Blanco </w:t>
      </w:r>
      <w:r>
        <w:rPr>
          <w:i/>
        </w:rPr>
        <w:t>et al.</w:t>
      </w:r>
      <w:r>
        <w:rPr/>
        <w:t>,</w:t>
      </w:r>
      <w:r>
        <w:rPr>
          <w:spacing w:val="-7"/>
        </w:rPr>
        <w:t> </w:t>
      </w:r>
      <w:r>
        <w:rPr/>
        <w:t>2011).</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Heading6"/>
        <w:tabs>
          <w:tab w:pos="2081" w:val="left" w:leader="none"/>
        </w:tabs>
        <w:spacing w:before="69" w:after="6"/>
        <w:ind w:left="863" w:right="72"/>
        <w:jc w:val="left"/>
      </w:pPr>
      <w:r>
        <w:rPr>
          <w:color w:val="943634"/>
        </w:rPr>
        <w:t>Figura</w:t>
      </w:r>
      <w:r>
        <w:rPr>
          <w:color w:val="943634"/>
          <w:spacing w:val="-2"/>
        </w:rPr>
        <w:t> </w:t>
      </w:r>
      <w:r>
        <w:rPr>
          <w:color w:val="943634"/>
        </w:rPr>
        <w:t>4.</w:t>
        <w:tab/>
      </w:r>
      <w:r>
        <w:rPr/>
        <w:t>Factores relacionados con la emisión de metano.</w:t>
      </w:r>
    </w:p>
    <w:p>
      <w:pPr>
        <w:pStyle w:val="BodyText"/>
        <w:spacing w:line="44" w:lineRule="exact"/>
        <w:ind w:left="245"/>
        <w:rPr>
          <w:sz w:val="4"/>
        </w:rPr>
      </w:pPr>
      <w:r>
        <w:rPr>
          <w:position w:val="0"/>
          <w:sz w:val="4"/>
        </w:rPr>
        <w:pict>
          <v:group style="width:444.3pt;height:2.2pt;mso-position-horizontal-relative:char;mso-position-vertical-relative:line" coordorigin="0,0" coordsize="8886,44">
            <v:line style="position:absolute" from="22,22" to="1731,22" stroked="true" strokeweight="2.16pt" strokecolor="#943634"/>
            <v:line style="position:absolute" from="1716,22" to="1760,22" stroked="true" strokeweight="2.16pt" strokecolor="#000000"/>
            <v:line style="position:absolute" from="1760,22" to="8864,22" stroked="true" strokeweight="2.16pt" strokecolor="#000000"/>
          </v:group>
        </w:pict>
      </w:r>
      <w:r>
        <w:rPr>
          <w:position w:val="0"/>
          <w:sz w:val="4"/>
        </w:rPr>
      </w:r>
    </w:p>
    <w:p>
      <w:pPr>
        <w:spacing w:before="58"/>
        <w:ind w:left="0" w:right="1069" w:firstLine="0"/>
        <w:jc w:val="center"/>
        <w:rPr>
          <w:b/>
          <w:sz w:val="14"/>
        </w:rPr>
      </w:pPr>
      <w:r>
        <w:rPr>
          <w:rFonts w:ascii="Times New Roman"/>
          <w:color w:val="FFFFFF"/>
          <w:w w:val="100"/>
          <w:sz w:val="14"/>
          <w:shd w:fill="000000" w:color="auto" w:val="clear"/>
        </w:rPr>
        <w:t> </w:t>
      </w:r>
      <w:r>
        <w:rPr>
          <w:rFonts w:ascii="Times New Roman"/>
          <w:color w:val="FFFFFF"/>
          <w:sz w:val="14"/>
          <w:shd w:fill="000000" w:color="auto" w:val="clear"/>
        </w:rPr>
        <w:t>   </w:t>
      </w:r>
      <w:r>
        <w:rPr>
          <w:b/>
          <w:color w:val="FFFFFF"/>
          <w:sz w:val="14"/>
          <w:shd w:fill="000000" w:color="auto" w:val="clear"/>
        </w:rPr>
        <w:t>Peso Corporal (BW) </w:t>
      </w:r>
    </w:p>
    <w:p>
      <w:pPr>
        <w:pStyle w:val="BodyText"/>
        <w:rPr>
          <w:b/>
          <w:sz w:val="20"/>
        </w:rPr>
      </w:pPr>
    </w:p>
    <w:p>
      <w:pPr>
        <w:pStyle w:val="BodyText"/>
        <w:rPr>
          <w:b/>
          <w:sz w:val="20"/>
        </w:rPr>
      </w:pPr>
    </w:p>
    <w:p>
      <w:pPr>
        <w:pStyle w:val="BodyText"/>
        <w:spacing w:before="10"/>
        <w:rPr>
          <w:b/>
          <w:sz w:val="15"/>
        </w:rPr>
      </w:pPr>
      <w:r>
        <w:rPr/>
        <w:pict>
          <v:shape style="position:absolute;margin-left:165.263947pt;margin-top:10.361771pt;width:81.650pt;height:18.350pt;mso-position-horizontal-relative:page;mso-position-vertical-relative:paragraph;z-index:2392;mso-wrap-distance-left:0;mso-wrap-distance-right:0" type="#_x0000_t202" filled="true" fillcolor="#000000" stroked="false">
            <v:textbox inset="0,0,0,0">
              <w:txbxContent>
                <w:p>
                  <w:pPr>
                    <w:spacing w:line="252" w:lineRule="auto" w:before="25"/>
                    <w:ind w:left="366" w:right="0" w:firstLine="0"/>
                    <w:jc w:val="left"/>
                    <w:rPr>
                      <w:b/>
                      <w:sz w:val="14"/>
                    </w:rPr>
                  </w:pPr>
                  <w:r>
                    <w:rPr>
                      <w:b/>
                      <w:color w:val="FFFFFF"/>
                      <w:sz w:val="14"/>
                    </w:rPr>
                    <w:t>Estrategia de Alimentación</w:t>
                  </w:r>
                </w:p>
              </w:txbxContent>
            </v:textbox>
            <v:fill type="solid"/>
            <w10:wrap type="topAndBottom"/>
          </v:shape>
        </w:pict>
      </w:r>
    </w:p>
    <w:p>
      <w:pPr>
        <w:pStyle w:val="BodyText"/>
        <w:spacing w:before="6"/>
        <w:rPr>
          <w:b/>
          <w:sz w:val="3"/>
        </w:rPr>
      </w:pPr>
    </w:p>
    <w:p>
      <w:pPr>
        <w:pStyle w:val="BodyText"/>
        <w:spacing w:line="197" w:lineRule="exact"/>
        <w:ind w:left="6158"/>
        <w:rPr>
          <w:sz w:val="19"/>
        </w:rPr>
      </w:pPr>
      <w:r>
        <w:rPr>
          <w:position w:val="-3"/>
          <w:sz w:val="19"/>
        </w:rPr>
        <w:pict>
          <v:shape style="width:38.7pt;height:9.9pt;mso-position-horizontal-relative:char;mso-position-vertical-relative:line" type="#_x0000_t202" filled="true" fillcolor="#000000" stroked="false">
            <w10:anchorlock/>
            <v:textbox inset="0,0,0,0">
              <w:txbxContent>
                <w:p>
                  <w:pPr>
                    <w:spacing w:before="26"/>
                    <w:ind w:left="225" w:right="0" w:firstLine="0"/>
                    <w:jc w:val="left"/>
                    <w:rPr>
                      <w:b/>
                      <w:sz w:val="14"/>
                    </w:rPr>
                  </w:pPr>
                  <w:r>
                    <w:rPr>
                      <w:b/>
                      <w:color w:val="FFFFFF"/>
                      <w:sz w:val="14"/>
                    </w:rPr>
                    <w:t>Raza</w:t>
                  </w:r>
                </w:p>
              </w:txbxContent>
            </v:textbox>
            <v:fill type="solid"/>
          </v:shape>
        </w:pict>
      </w:r>
      <w:r>
        <w:rPr>
          <w:position w:val="-3"/>
          <w:sz w:val="19"/>
        </w:rPr>
      </w:r>
    </w:p>
    <w:p>
      <w:pPr>
        <w:spacing w:after="0" w:line="197" w:lineRule="exact"/>
        <w:rPr>
          <w:sz w:val="19"/>
        </w:rPr>
        <w:sectPr>
          <w:pgSz w:w="12240" w:h="15840"/>
          <w:pgMar w:header="741" w:footer="739" w:top="1220" w:bottom="920" w:left="1720" w:right="1240"/>
        </w:sectPr>
      </w:pPr>
    </w:p>
    <w:p>
      <w:pPr>
        <w:tabs>
          <w:tab w:pos="650" w:val="left" w:leader="none"/>
          <w:tab w:pos="1486" w:val="left" w:leader="none"/>
        </w:tabs>
        <w:spacing w:before="78"/>
        <w:ind w:left="318" w:right="0" w:firstLine="0"/>
        <w:jc w:val="left"/>
        <w:rPr>
          <w:rFonts w:ascii="Calibri"/>
          <w:b/>
          <w:sz w:val="14"/>
        </w:rPr>
      </w:pPr>
      <w:r>
        <w:rPr/>
        <w:pict>
          <v:group style="position:absolute;margin-left:99.811005pt;margin-top:-63.693348pt;width:441.9pt;height:196.25pt;mso-position-horizontal-relative:page;mso-position-vertical-relative:paragraph;z-index:-309496" coordorigin="1996,-1274" coordsize="8838,3925">
            <v:shape style="position:absolute;left:5740;top:1408;width:1731;height:746" coordorigin="5740,1408" coordsize="1731,746" path="m7344,1408l5856,1409,5774,1448,5740,1533,5740,2039,5752,2084,5780,2121,5818,2145,5865,2154,7353,2154,7399,2142,7436,2115,7461,2076,7470,2030,7470,1524,7457,1478,7430,1442,7391,1417,7344,1408xe" filled="true" fillcolor="#c00000" stroked="false">
              <v:path arrowok="t"/>
              <v:fill opacity="19791f" type="solid"/>
            </v:shape>
            <v:shape style="position:absolute;left:5740;top:1408;width:1731;height:746" coordorigin="5740,1408" coordsize="1731,746" path="m7344,1408l5856,1409,5774,1448,5740,1533,5740,2039,5752,2084,5780,2121,5818,2145,5865,2154,7353,2154,7399,2142,7436,2115,7461,2076,7470,2030,7470,1524,7457,1478,7430,1442,7391,1417,7344,1408xe" filled="false" stroked="true" strokeweight="1.407778pt" strokecolor="#c00000">
              <v:path arrowok="t"/>
            </v:shape>
            <v:shape style="position:absolute;left:9328;top:-549;width:1492;height:2872" coordorigin="9328,-549" coordsize="1492,2872" path="m10571,-549l9576,-549,9556,-548,9445,-511,9365,-430,9329,-319,9328,-298,9328,2073,9335,2133,9388,2236,9480,2303,9576,2323,10571,2323,10631,2316,10733,2263,10800,2170,10819,2073,10819,-298,10812,-359,10760,-461,10668,-529,10571,-549xe" filled="true" fillcolor="#c00000" stroked="false">
              <v:path arrowok="t"/>
              <v:fill opacity="19791f" type="solid"/>
            </v:shape>
            <v:shape style="position:absolute;left:9328;top:-549;width:1492;height:2872" coordorigin="9328,-549" coordsize="1492,2872" path="m10571,-549l9576,-549,9556,-548,9445,-511,9365,-430,9329,-319,9328,-298,9328,2073,9335,2133,9388,2236,9480,2303,9576,2323,10571,2323,10631,2316,10733,2263,10800,2170,10819,2073,10819,-298,10812,-359,10760,-461,10668,-529,10571,-549xe" filled="false" stroked="true" strokeweight="1.407296pt" strokecolor="#c00000">
              <v:path arrowok="t"/>
            </v:shape>
            <v:shape style="position:absolute;left:7492;top:1627;width:1843;height:296" coordorigin="7492,1627" coordsize="1843,296" path="m9184,1627l9184,1700,7492,1700,7492,1848,9184,1848,9184,1922,9334,1774,9184,1627xe" filled="true" fillcolor="#c00000" stroked="false">
              <v:path arrowok="t"/>
              <v:fill type="solid"/>
            </v:shape>
            <v:shape style="position:absolute;left:7492;top:1627;width:1843;height:296" coordorigin="7492,1627" coordsize="1843,296" path="m9184,1627l9184,1700,7492,1700,7492,1848,9184,1848,9184,1922,9334,1774,9184,1627xe" filled="false" stroked="true" strokeweight=".703939pt" strokecolor="#3f3029">
              <v:path arrowok="t"/>
            </v:shape>
            <v:shape style="position:absolute;left:5740;top:-183;width:1731;height:746" coordorigin="5740,-183" coordsize="1731,746" path="m7344,-183l5856,-182,5774,-143,5740,-58,5740,447,5752,493,5779,530,5818,554,5865,563,7353,563,7399,551,7436,524,7461,485,7470,439,7470,-67,7458,-112,7430,-149,7391,-174,7344,-183xe" filled="true" fillcolor="#c00000" stroked="false">
              <v:path arrowok="t"/>
              <v:fill opacity="19791f" type="solid"/>
            </v:shape>
            <v:shape style="position:absolute;left:5740;top:-183;width:1731;height:746" coordorigin="5740,-183" coordsize="1731,746" path="m7344,-183l5856,-182,5774,-143,5740,-58,5740,447,5752,493,5779,530,5818,554,5865,563,7353,563,7399,551,7436,524,7461,485,7470,439,7470,-67,7458,-112,7430,-149,7391,-174,7344,-183xe" filled="false" stroked="true" strokeweight="1.407778pt" strokecolor="#c00000">
              <v:path arrowok="t"/>
            </v:shape>
            <v:shape style="position:absolute;left:3784;top:648;width:1408;height:746" coordorigin="3784,648" coordsize="1408,746" path="m5066,648l3899,648,3817,687,3784,772,3784,1278,3796,1324,3823,1360,3862,1385,3908,1394,5075,1394,5121,1382,5157,1355,5182,1316,5191,1270,5191,764,5179,718,5151,682,5113,657,5066,648xe" filled="true" fillcolor="#c00000" stroked="false">
              <v:path arrowok="t"/>
              <v:fill opacity="19791f" type="solid"/>
            </v:shape>
            <v:shape style="position:absolute;left:3784;top:648;width:1408;height:746" coordorigin="3784,648" coordsize="1408,746" path="m5066,648l3899,648,3817,687,3784,772,3784,1278,3796,1324,3823,1360,3862,1385,3908,1394,5075,1394,5121,1382,5157,1355,5182,1316,5191,1270,5191,764,5179,718,5151,682,5113,657,5066,648xe" filled="false" stroked="true" strokeweight="1.40773pt" strokecolor="#c00000">
              <v:path arrowok="t"/>
            </v:shape>
            <v:shape style="position:absolute;left:4593;top:92;width:1154;height:535" coordorigin="4593,92" coordsize="1154,535" path="m5641,92l5641,159,4777,159,4762,160,4719,171,4680,194,4647,227,4620,270,4602,319,4593,374,4593,393,4593,627,4698,627,4708,344,4737,307,4777,293,5694,293,5747,226,5641,92xm5694,293l5641,293,5641,359,5694,293xe" filled="true" fillcolor="#c00000" stroked="false">
              <v:path arrowok="t"/>
              <v:fill type="solid"/>
            </v:shape>
            <v:shape style="position:absolute;left:4593;top:92;width:1154;height:535" coordorigin="4593,92" coordsize="1154,535" path="m4593,627l4593,393,4593,374,4620,270,4680,194,4762,160,4777,159,5641,159,5641,92,5747,226,5641,359,5641,293,4777,293,4737,307,4708,344,4698,627,4593,627xe" filled="false" stroked="true" strokeweight=".703881pt" strokecolor="#3f3029">
              <v:path arrowok="t"/>
            </v:shape>
            <v:shape style="position:absolute;left:7477;top:64;width:1843;height:296" coordorigin="7477,64" coordsize="1843,296" path="m9169,64l9169,138,7477,138,7477,286,9169,286,9169,359,9320,212,9169,64xe" filled="true" fillcolor="#c00000" stroked="false">
              <v:path arrowok="t"/>
              <v:fill type="solid"/>
            </v:shape>
            <v:shape style="position:absolute;left:7477;top:64;width:1843;height:296" coordorigin="7477,64" coordsize="1843,296" path="m9169,64l9169,138,7477,138,7477,286,9169,286,9169,359,9320,212,9169,64xe" filled="false" stroked="true" strokeweight=".703939pt" strokecolor="#3f3029">
              <v:path arrowok="t"/>
            </v:shape>
            <v:shape style="position:absolute;left:4593;top:1415;width:1168;height:493" coordorigin="4593,1415" coordsize="1168,493" path="m4700,1415l4593,1415,4593,1631,4593,1649,4602,1699,4621,1744,4647,1783,4681,1814,4721,1835,4764,1846,4780,1846,5654,1846,5654,1908,5761,1785,5707,1723,4780,1723,4738,1710,4710,1676,4700,1415xm5654,1662l5654,1723,5707,1723,5654,1662xe" filled="true" fillcolor="#c00000" stroked="false">
              <v:path arrowok="t"/>
              <v:fill type="solid"/>
            </v:shape>
            <v:shape style="position:absolute;left:4593;top:1415;width:1168;height:493" coordorigin="4593,1415" coordsize="1168,493" path="m4593,1415l4593,1631,4593,1649,4621,1744,4681,1814,4764,1846,4780,1846,5654,1846,5654,1908,5761,1785,5654,1662,5654,1723,4780,1723,4738,1710,4710,1676,4700,1415,4593,1415xe" filled="false" stroked="true" strokeweight=".703891pt" strokecolor="#3f3029">
              <v:path arrowok="t"/>
            </v:shape>
            <v:rect style="position:absolute;left:2011;top:789;width:1154;height:408" filled="true" fillcolor="#000000" stroked="false">
              <v:fill type="solid"/>
            </v:rect>
            <v:rect style="position:absolute;left:2011;top:789;width:1154;height:408" filled="false" stroked="true" strokeweight="1.407813pt" strokecolor="#000000"/>
            <v:shape style="position:absolute;left:2989;top:-1274;width:3041;height:3387" coordorigin="2989,-1274" coordsize="3041,3387" path="m3764,1014l3715,989,3714,1014,3764,1014m3791,1246l3706,1204,3706,1239,3491,1239,3488,1243,3488,1706,3200,1706,3200,1720,3499,1720,3502,1717,3502,1253,3706,1253,3706,1289,3777,1253,3791,1246m3796,810l3782,803,3712,768,3712,803,3498,803,3498,172,3495,169,2989,169,2989,183,3484,183,3484,814,3487,817,3712,817,3712,852,3796,810m3798,1032l3782,1024,3714,1024,3172,1024,3171,1028,3714,1038,3713,1073,3798,1032m4171,569l4135,569,4135,-274,4121,-274,4121,569,4086,569,4128,654,4171,569m4185,1486l4143,1401,4101,1486,4136,1486,4135,2113,4150,2113,4150,1486,4185,1486,4185,1486m6029,-260l5994,-260,5979,-1274,5965,-1274,5980,-259,5944,-259,5988,-175,6029,-260,6029,-260e" filled="true" fillcolor="#a5300f" stroked="false">
              <v:path arrowok="t"/>
              <v:fill type="solid"/>
            </v:shape>
            <v:rect style="position:absolute;left:6260;top:-1154;width:1083;height:352" filled="true" fillcolor="#000000" stroked="false">
              <v:fill type="solid"/>
            </v:rect>
            <v:rect style="position:absolute;left:6260;top:-1154;width:1083;height:352" filled="false" stroked="true" strokeweight="1.407825pt" strokecolor="#000000"/>
            <v:shape style="position:absolute;left:6762;top:-795;width:85;height:622" coordorigin="6762,-795" coordsize="85,622" path="m6808,-795l6797,-258,6762,-258,6802,-174,6846,-257,6811,-258,6811,-258,6797,-258,6762,-259,6811,-259,6822,-795,6808,-795xe" filled="true" fillcolor="#a5300f" stroked="false">
              <v:path arrowok="t"/>
              <v:fill type="solid"/>
            </v:shape>
            <v:rect style="position:absolute;left:7442;top:-1224;width:1196;height:169" filled="true" fillcolor="#000000" stroked="false">
              <v:fill type="solid"/>
            </v:rect>
            <v:rect style="position:absolute;left:7442;top:-1224;width:1196;height:169" filled="false" stroked="true" strokeweight="1.407883pt" strokecolor="#000000"/>
            <v:shape style="position:absolute;left:7182;top:-1063;width:872;height:1022" coordorigin="7182,-1063" coordsize="872,1022" path="m7900,-84l7899,-90,7899,-98,7534,-90,7533,-125,7449,-81,7535,-41,7534,-76,7900,-84m8054,-1063l8040,-1063,8040,-616,7220,-616,7217,-613,7217,-267,7182,-267,7224,-183,7266,-267,7231,-267,7231,-602,8051,-602,8054,-605,8054,-1063e" filled="true" fillcolor="#a5300f" stroked="false">
              <v:path arrowok="t"/>
              <v:fill type="solid"/>
            </v:shape>
            <v:shape style="position:absolute;left:5949;top:2162;width:1205;height:489" coordorigin="5949,2162" coordsize="1205,489" path="m6034,2247l6033,2246,5993,2162,5949,2245,5984,2246,5979,2650,5993,2650,5998,2246,6034,2247m7154,2246l7112,2162,7069,2246,7105,2246,7105,2650,7119,2650,7119,2246,7154,2246e" filled="true" fillcolor="#a5300f" stroked="false">
              <v:path arrowok="t"/>
              <v:fill type="solid"/>
            </v:shape>
            <v:shape style="position:absolute;left:7393;top:-1203;width:1260;height:162" type="#_x0000_t202" filled="false" stroked="false">
              <v:textbox inset="0,0,0,0">
                <w:txbxContent>
                  <w:p>
                    <w:pPr>
                      <w:spacing w:line="143" w:lineRule="exact" w:before="0"/>
                      <w:ind w:left="330" w:right="0" w:firstLine="0"/>
                      <w:jc w:val="left"/>
                      <w:rPr>
                        <w:b/>
                        <w:sz w:val="14"/>
                      </w:rPr>
                    </w:pPr>
                    <w:r>
                      <w:rPr>
                        <w:b/>
                        <w:color w:val="FFFFFF"/>
                        <w:sz w:val="14"/>
                      </w:rPr>
                      <w:t>Ambiente</w:t>
                    </w:r>
                  </w:p>
                </w:txbxContent>
              </v:textbox>
              <w10:wrap type="none"/>
            </v:shape>
            <v:shape style="position:absolute;left:6246;top:-1203;width:1147;height:416" type="#_x0000_t202" filled="false" stroked="false">
              <v:textbox inset="0,0,0,0">
                <w:txbxContent>
                  <w:p>
                    <w:pPr>
                      <w:spacing w:line="252" w:lineRule="auto" w:before="62"/>
                      <w:ind w:left="349" w:right="87" w:hanging="282"/>
                      <w:jc w:val="left"/>
                      <w:rPr>
                        <w:b/>
                        <w:sz w:val="14"/>
                      </w:rPr>
                    </w:pPr>
                    <w:r>
                      <w:rPr>
                        <w:b/>
                        <w:color w:val="FFFFFF"/>
                        <w:sz w:val="14"/>
                      </w:rPr>
                      <w:t>Producción de Leche</w:t>
                    </w:r>
                  </w:p>
                </w:txbxContent>
              </v:textbox>
              <w10:wrap type="none"/>
            </v:shape>
            <w10:wrap type="none"/>
          </v:group>
        </w:pict>
      </w:r>
      <w:r>
        <w:rPr>
          <w:rFonts w:ascii="Times New Roman"/>
          <w:color w:val="FFFFFF"/>
          <w:w w:val="100"/>
          <w:sz w:val="14"/>
          <w:shd w:fill="000000" w:color="auto" w:val="clear"/>
        </w:rPr>
        <w:t> </w:t>
      </w:r>
      <w:r>
        <w:rPr>
          <w:rFonts w:ascii="Times New Roman"/>
          <w:color w:val="FFFFFF"/>
          <w:sz w:val="14"/>
          <w:shd w:fill="000000" w:color="auto" w:val="clear"/>
        </w:rPr>
        <w:tab/>
      </w:r>
      <w:r>
        <w:rPr>
          <w:rFonts w:ascii="Calibri"/>
          <w:b/>
          <w:color w:val="FFFFFF"/>
          <w:spacing w:val="2"/>
          <w:sz w:val="14"/>
          <w:shd w:fill="000000" w:color="auto" w:val="clear"/>
        </w:rPr>
        <w:t>F:C</w:t>
      </w:r>
      <w:r>
        <w:rPr>
          <w:rFonts w:ascii="Calibri"/>
          <w:b/>
          <w:color w:val="FFFFFF"/>
          <w:spacing w:val="-11"/>
          <w:sz w:val="14"/>
          <w:shd w:fill="000000" w:color="auto" w:val="clear"/>
        </w:rPr>
        <w:t> </w:t>
      </w:r>
      <w:r>
        <w:rPr>
          <w:rFonts w:ascii="Calibri"/>
          <w:b/>
          <w:color w:val="FFFFFF"/>
          <w:sz w:val="14"/>
          <w:shd w:fill="000000" w:color="auto" w:val="clear"/>
        </w:rPr>
        <w:t>radio</w:t>
        <w:tab/>
      </w:r>
    </w:p>
    <w:p>
      <w:pPr>
        <w:spacing w:before="71"/>
        <w:ind w:left="318" w:right="0" w:firstLine="0"/>
        <w:jc w:val="left"/>
        <w:rPr>
          <w:rFonts w:ascii="Calibri"/>
          <w:b/>
          <w:sz w:val="19"/>
        </w:rPr>
      </w:pPr>
      <w:r>
        <w:rPr/>
        <w:br w:type="column"/>
      </w:r>
      <w:r>
        <w:rPr>
          <w:rFonts w:ascii="Calibri"/>
          <w:b/>
          <w:w w:val="110"/>
          <w:sz w:val="19"/>
        </w:rPr>
        <w:t>Animal</w:t>
      </w:r>
    </w:p>
    <w:p>
      <w:pPr>
        <w:spacing w:after="0"/>
        <w:jc w:val="left"/>
        <w:rPr>
          <w:rFonts w:ascii="Calibri"/>
          <w:sz w:val="19"/>
        </w:rPr>
        <w:sectPr>
          <w:type w:val="continuous"/>
          <w:pgSz w:w="12240" w:h="15840"/>
          <w:pgMar w:top="1420" w:bottom="280" w:left="1720" w:right="1240"/>
          <w:cols w:num="2" w:equalWidth="0">
            <w:col w:w="1487" w:space="2770"/>
            <w:col w:w="5023"/>
          </w:cols>
        </w:sectPr>
      </w:pPr>
    </w:p>
    <w:p>
      <w:pPr>
        <w:pStyle w:val="BodyText"/>
        <w:spacing w:before="11"/>
        <w:rPr>
          <w:rFonts w:ascii="Calibri"/>
          <w:b/>
          <w:sz w:val="22"/>
        </w:rPr>
      </w:pPr>
    </w:p>
    <w:p>
      <w:pPr>
        <w:spacing w:after="0"/>
        <w:rPr>
          <w:rFonts w:ascii="Calibri"/>
          <w:sz w:val="22"/>
        </w:rPr>
        <w:sectPr>
          <w:type w:val="continuous"/>
          <w:pgSz w:w="12240" w:h="15840"/>
          <w:pgMar w:top="1420" w:bottom="280" w:left="1720" w:right="1240"/>
        </w:sectPr>
      </w:pPr>
    </w:p>
    <w:p>
      <w:pPr>
        <w:pStyle w:val="BodyText"/>
        <w:spacing w:before="9"/>
        <w:rPr>
          <w:rFonts w:ascii="Calibri"/>
          <w:b/>
          <w:sz w:val="26"/>
        </w:rPr>
      </w:pPr>
    </w:p>
    <w:p>
      <w:pPr>
        <w:spacing w:before="0"/>
        <w:ind w:left="0" w:right="0" w:firstLine="0"/>
        <w:jc w:val="right"/>
        <w:rPr>
          <w:rFonts w:ascii="Calibri"/>
          <w:b/>
          <w:sz w:val="19"/>
        </w:rPr>
      </w:pPr>
      <w:r>
        <w:rPr/>
        <w:pict>
          <v:shape style="position:absolute;margin-left:99.832245pt;margin-top:-6.707134pt;width:59.1pt;height:21.85pt;mso-position-horizontal-relative:page;mso-position-vertical-relative:paragraph;z-index:2560" type="#_x0000_t202" filled="false" stroked="false">
            <v:textbox inset="0,0,0,0">
              <w:txbxContent>
                <w:p>
                  <w:pPr>
                    <w:pStyle w:val="BodyText"/>
                    <w:spacing w:before="5"/>
                    <w:rPr>
                      <w:sz w:val="12"/>
                    </w:rPr>
                  </w:pPr>
                </w:p>
                <w:p>
                  <w:pPr>
                    <w:spacing w:before="0"/>
                    <w:ind w:left="119" w:right="0" w:firstLine="0"/>
                    <w:jc w:val="left"/>
                    <w:rPr>
                      <w:b/>
                      <w:sz w:val="14"/>
                    </w:rPr>
                  </w:pPr>
                  <w:r>
                    <w:rPr>
                      <w:b/>
                      <w:color w:val="FFFFFF"/>
                      <w:sz w:val="14"/>
                    </w:rPr>
                    <w:t>Digestibilidad</w:t>
                  </w:r>
                </w:p>
              </w:txbxContent>
            </v:textbox>
            <w10:wrap type="none"/>
          </v:shape>
        </w:pict>
      </w:r>
      <w:r>
        <w:rPr>
          <w:rFonts w:ascii="Calibri"/>
          <w:b/>
          <w:sz w:val="19"/>
        </w:rPr>
        <w:t>Dieta</w:t>
      </w:r>
    </w:p>
    <w:p>
      <w:pPr>
        <w:spacing w:line="247" w:lineRule="auto" w:before="74"/>
        <w:ind w:left="2777" w:right="0" w:hanging="240"/>
        <w:jc w:val="left"/>
        <w:rPr>
          <w:rFonts w:ascii="Calibri" w:hAnsi="Calibri"/>
          <w:sz w:val="19"/>
        </w:rPr>
      </w:pPr>
      <w:r>
        <w:rPr/>
        <w:br w:type="column"/>
      </w:r>
      <w:r>
        <w:rPr>
          <w:rFonts w:ascii="Calibri" w:hAnsi="Calibri"/>
          <w:sz w:val="19"/>
        </w:rPr>
        <w:t>Producción de Metano</w:t>
      </w:r>
    </w:p>
    <w:p>
      <w:pPr>
        <w:spacing w:after="0" w:line="247" w:lineRule="auto"/>
        <w:jc w:val="left"/>
        <w:rPr>
          <w:rFonts w:ascii="Calibri" w:hAnsi="Calibri"/>
          <w:sz w:val="19"/>
        </w:rPr>
        <w:sectPr>
          <w:type w:val="continuous"/>
          <w:pgSz w:w="12240" w:h="15840"/>
          <w:pgMar w:top="1420" w:bottom="280" w:left="1720" w:right="1240"/>
          <w:cols w:num="2" w:equalWidth="0">
            <w:col w:w="2980" w:space="2287"/>
            <w:col w:w="4013"/>
          </w:cols>
        </w:sectPr>
      </w:pPr>
    </w:p>
    <w:p>
      <w:pPr>
        <w:pStyle w:val="BodyText"/>
        <w:rPr>
          <w:rFonts w:ascii="Calibri"/>
          <w:sz w:val="20"/>
        </w:rPr>
      </w:pPr>
    </w:p>
    <w:p>
      <w:pPr>
        <w:spacing w:after="0"/>
        <w:rPr>
          <w:rFonts w:ascii="Calibri"/>
          <w:sz w:val="20"/>
        </w:rPr>
        <w:sectPr>
          <w:type w:val="continuous"/>
          <w:pgSz w:w="12240" w:h="15840"/>
          <w:pgMar w:top="1420" w:bottom="280" w:left="1720" w:right="1240"/>
        </w:sectPr>
      </w:pPr>
    </w:p>
    <w:p>
      <w:pPr>
        <w:pStyle w:val="BodyText"/>
        <w:spacing w:before="9"/>
        <w:rPr>
          <w:rFonts w:ascii="Calibri"/>
          <w:sz w:val="19"/>
        </w:rPr>
      </w:pPr>
    </w:p>
    <w:p>
      <w:pPr>
        <w:spacing w:before="0"/>
        <w:ind w:left="304" w:right="0" w:firstLine="0"/>
        <w:jc w:val="left"/>
        <w:rPr>
          <w:b/>
          <w:sz w:val="14"/>
        </w:rPr>
      </w:pPr>
      <w:r>
        <w:rPr>
          <w:rFonts w:ascii="Times New Roman" w:hAnsi="Times New Roman"/>
          <w:color w:val="FFFFFF"/>
          <w:w w:val="100"/>
          <w:sz w:val="14"/>
          <w:shd w:fill="000000" w:color="auto" w:val="clear"/>
        </w:rPr>
        <w:t> </w:t>
      </w:r>
      <w:r>
        <w:rPr>
          <w:rFonts w:ascii="Times New Roman" w:hAnsi="Times New Roman"/>
          <w:color w:val="FFFFFF"/>
          <w:sz w:val="14"/>
          <w:shd w:fill="000000" w:color="auto" w:val="clear"/>
        </w:rPr>
        <w:t>   </w:t>
      </w:r>
      <w:r>
        <w:rPr>
          <w:b/>
          <w:color w:val="FFFFFF"/>
          <w:sz w:val="14"/>
          <w:shd w:fill="000000" w:color="auto" w:val="clear"/>
        </w:rPr>
        <w:t>Composición </w:t>
      </w:r>
    </w:p>
    <w:p>
      <w:pPr>
        <w:pStyle w:val="BodyText"/>
        <w:spacing w:before="11"/>
        <w:rPr>
          <w:b/>
          <w:sz w:val="23"/>
        </w:rPr>
      </w:pPr>
      <w:r>
        <w:rPr/>
        <w:br w:type="column"/>
      </w:r>
      <w:r>
        <w:rPr>
          <w:b/>
          <w:sz w:val="23"/>
        </w:rPr>
      </w:r>
    </w:p>
    <w:p>
      <w:pPr>
        <w:spacing w:before="0"/>
        <w:ind w:left="304" w:right="0" w:firstLine="0"/>
        <w:jc w:val="left"/>
        <w:rPr>
          <w:rFonts w:ascii="Calibri"/>
          <w:b/>
          <w:sz w:val="19"/>
        </w:rPr>
      </w:pPr>
      <w:r>
        <w:rPr>
          <w:rFonts w:ascii="Calibri"/>
          <w:b/>
          <w:sz w:val="19"/>
        </w:rPr>
        <w:t>Rumen</w:t>
      </w:r>
    </w:p>
    <w:p>
      <w:pPr>
        <w:spacing w:after="0"/>
        <w:jc w:val="left"/>
        <w:rPr>
          <w:rFonts w:ascii="Calibri"/>
          <w:sz w:val="19"/>
        </w:rPr>
        <w:sectPr>
          <w:type w:val="continuous"/>
          <w:pgSz w:w="12240" w:h="15840"/>
          <w:pgMar w:top="1420" w:bottom="280" w:left="1720" w:right="1240"/>
          <w:cols w:num="2" w:equalWidth="0">
            <w:col w:w="1487" w:space="2811"/>
            <w:col w:w="4982"/>
          </w:cols>
        </w:sectPr>
      </w:pPr>
    </w:p>
    <w:p>
      <w:pPr>
        <w:pStyle w:val="BodyText"/>
        <w:spacing w:before="10"/>
        <w:rPr>
          <w:rFonts w:ascii="Calibri"/>
          <w:b/>
          <w:sz w:val="16"/>
        </w:rPr>
      </w:pPr>
    </w:p>
    <w:p>
      <w:pPr>
        <w:pStyle w:val="BodyText"/>
        <w:ind w:left="1641"/>
        <w:rPr>
          <w:rFonts w:ascii="Calibri"/>
          <w:sz w:val="20"/>
        </w:rPr>
      </w:pPr>
      <w:r>
        <w:rPr>
          <w:rFonts w:ascii="Calibri"/>
          <w:sz w:val="20"/>
        </w:rPr>
        <w:pict>
          <v:shape style="width:76.7pt;height:18.350pt;mso-position-horizontal-relative:char;mso-position-vertical-relative:line" type="#_x0000_t202" filled="true" fillcolor="#000000" stroked="false">
            <w10:anchorlock/>
            <v:textbox inset="0,0,0,0">
              <w:txbxContent>
                <w:p>
                  <w:pPr>
                    <w:spacing w:line="252" w:lineRule="auto" w:before="22"/>
                    <w:ind w:left="478" w:right="228" w:hanging="282"/>
                    <w:jc w:val="left"/>
                    <w:rPr>
                      <w:b/>
                      <w:sz w:val="14"/>
                    </w:rPr>
                  </w:pPr>
                  <w:r>
                    <w:rPr>
                      <w:b/>
                      <w:color w:val="FFFFFF"/>
                      <w:sz w:val="14"/>
                    </w:rPr>
                    <w:t>Ingesta (GE, DE, ME, DM)</w:t>
                  </w:r>
                </w:p>
              </w:txbxContent>
            </v:textbox>
            <v:fill type="solid"/>
          </v:shape>
        </w:pict>
      </w:r>
      <w:r>
        <w:rPr>
          <w:rFonts w:ascii="Calibri"/>
          <w:sz w:val="20"/>
        </w:rPr>
      </w:r>
    </w:p>
    <w:p>
      <w:pPr>
        <w:pStyle w:val="BodyText"/>
        <w:spacing w:before="5"/>
        <w:rPr>
          <w:rFonts w:ascii="Calibri"/>
          <w:b/>
          <w:sz w:val="6"/>
        </w:rPr>
      </w:pPr>
    </w:p>
    <w:p>
      <w:pPr>
        <w:tabs>
          <w:tab w:pos="4209" w:val="left" w:leader="none"/>
          <w:tab w:pos="4610" w:val="left" w:leader="none"/>
          <w:tab w:pos="5060" w:val="left" w:leader="none"/>
          <w:tab w:pos="5309" w:val="left" w:leader="none"/>
          <w:tab w:pos="6214" w:val="left" w:leader="none"/>
        </w:tabs>
        <w:spacing w:before="81"/>
        <w:ind w:left="3892" w:right="72" w:firstLine="0"/>
        <w:jc w:val="left"/>
        <w:rPr>
          <w:b/>
          <w:sz w:val="14"/>
        </w:rPr>
      </w:pPr>
      <w:r>
        <w:rPr>
          <w:rFonts w:ascii="Times New Roman"/>
          <w:color w:val="FFFFFF"/>
          <w:w w:val="100"/>
          <w:position w:val="1"/>
          <w:sz w:val="14"/>
          <w:shd w:fill="000000" w:color="auto" w:val="clear"/>
        </w:rPr>
        <w:t> </w:t>
      </w:r>
      <w:r>
        <w:rPr>
          <w:rFonts w:ascii="Times New Roman"/>
          <w:color w:val="FFFFFF"/>
          <w:position w:val="1"/>
          <w:sz w:val="14"/>
          <w:shd w:fill="000000" w:color="auto" w:val="clear"/>
        </w:rPr>
        <w:tab/>
      </w:r>
      <w:r>
        <w:rPr>
          <w:b/>
          <w:color w:val="FFFFFF"/>
          <w:position w:val="1"/>
          <w:sz w:val="14"/>
          <w:shd w:fill="000000" w:color="auto" w:val="clear"/>
        </w:rPr>
        <w:t>pH</w:t>
        <w:tab/>
      </w:r>
      <w:r>
        <w:rPr>
          <w:b/>
          <w:color w:val="FFFFFF"/>
          <w:position w:val="1"/>
          <w:sz w:val="14"/>
        </w:rPr>
        <w:tab/>
      </w:r>
      <w:r>
        <w:rPr>
          <w:rFonts w:ascii="Times New Roman"/>
          <w:color w:val="FFFFFF"/>
          <w:sz w:val="14"/>
          <w:shd w:fill="000000" w:color="auto" w:val="clear"/>
        </w:rPr>
        <w:tab/>
      </w:r>
      <w:r>
        <w:rPr>
          <w:b/>
          <w:color w:val="FFFFFF"/>
          <w:sz w:val="14"/>
          <w:shd w:fill="000000" w:color="auto" w:val="clear"/>
        </w:rPr>
        <w:t>Microbios</w:t>
        <w:tab/>
      </w:r>
    </w:p>
    <w:p>
      <w:pPr>
        <w:pStyle w:val="BodyText"/>
        <w:spacing w:before="9"/>
        <w:rPr>
          <w:b/>
          <w:sz w:val="25"/>
        </w:rPr>
      </w:pPr>
      <w:r>
        <w:rPr/>
        <w:pict>
          <v:line style="position:absolute;mso-position-horizontal-relative:page;mso-position-vertical-relative:paragraph;z-index:2464;mso-wrap-distance-left:0;mso-wrap-distance-right:0" from="98.39241pt,17.896595pt" to="543.1124pt,17.896595pt" stroked="true" strokeweight="2.16pt" strokecolor="#943634">
            <w10:wrap type="topAndBottom"/>
          </v:line>
        </w:pict>
      </w:r>
    </w:p>
    <w:p>
      <w:pPr>
        <w:spacing w:line="247" w:lineRule="auto" w:before="0"/>
        <w:ind w:left="276" w:right="165" w:firstLine="0"/>
        <w:jc w:val="both"/>
        <w:rPr>
          <w:sz w:val="19"/>
        </w:rPr>
      </w:pPr>
      <w:r>
        <w:rPr>
          <w:b/>
          <w:w w:val="105"/>
          <w:sz w:val="19"/>
        </w:rPr>
        <w:t>Fuente: </w:t>
      </w:r>
      <w:r>
        <w:rPr>
          <w:w w:val="105"/>
          <w:sz w:val="19"/>
        </w:rPr>
        <w:t>Kebreab, 2012. Livestock Related Emission Modeling. </w:t>
      </w:r>
      <w:hyperlink r:id="rId51">
        <w:r>
          <w:rPr>
            <w:w w:val="105"/>
            <w:sz w:val="19"/>
          </w:rPr>
          <w:t>http://www.mapsprogramme.org/wp-</w:t>
        </w:r>
      </w:hyperlink>
      <w:r>
        <w:rPr>
          <w:w w:val="105"/>
          <w:sz w:val="19"/>
        </w:rPr>
        <w:t> content/uploads/AgriLab_Presentation_Livestock-Models.pdf.</w:t>
      </w:r>
    </w:p>
    <w:p>
      <w:pPr>
        <w:pStyle w:val="BodyText"/>
        <w:rPr>
          <w:sz w:val="20"/>
        </w:rPr>
      </w:pPr>
    </w:p>
    <w:p>
      <w:pPr>
        <w:pStyle w:val="BodyText"/>
        <w:rPr>
          <w:sz w:val="20"/>
        </w:rPr>
      </w:pPr>
    </w:p>
    <w:p>
      <w:pPr>
        <w:pStyle w:val="BodyText"/>
        <w:rPr>
          <w:sz w:val="20"/>
        </w:rPr>
      </w:pPr>
    </w:p>
    <w:p>
      <w:pPr>
        <w:pStyle w:val="BodyText"/>
        <w:spacing w:line="355" w:lineRule="auto" w:before="137"/>
        <w:ind w:left="276" w:right="163"/>
        <w:jc w:val="both"/>
      </w:pPr>
      <w:r>
        <w:rPr/>
        <w:t>Según afirman Suharyono </w:t>
      </w:r>
      <w:r>
        <w:rPr>
          <w:i/>
        </w:rPr>
        <w:t>et al. </w:t>
      </w:r>
      <w:r>
        <w:rPr/>
        <w:t>(2010), la producción ruminal de CH</w:t>
      </w:r>
      <w:r>
        <w:rPr>
          <w:position w:val="-2"/>
          <w:sz w:val="16"/>
        </w:rPr>
        <w:t>4 </w:t>
      </w:r>
      <w:r>
        <w:rPr/>
        <w:t>disminuye si los</w:t>
      </w:r>
      <w:r>
        <w:rPr>
          <w:spacing w:val="-5"/>
        </w:rPr>
        <w:t> </w:t>
      </w:r>
      <w:r>
        <w:rPr/>
        <w:t>animales</w:t>
      </w:r>
      <w:r>
        <w:rPr>
          <w:spacing w:val="-5"/>
        </w:rPr>
        <w:t> </w:t>
      </w:r>
      <w:r>
        <w:rPr/>
        <w:t>son</w:t>
      </w:r>
      <w:r>
        <w:rPr>
          <w:spacing w:val="-5"/>
        </w:rPr>
        <w:t> </w:t>
      </w:r>
      <w:r>
        <w:rPr/>
        <w:t>alimentados</w:t>
      </w:r>
      <w:r>
        <w:rPr>
          <w:spacing w:val="-5"/>
        </w:rPr>
        <w:t> </w:t>
      </w:r>
      <w:r>
        <w:rPr/>
        <w:t>con</w:t>
      </w:r>
      <w:r>
        <w:rPr>
          <w:spacing w:val="-5"/>
        </w:rPr>
        <w:t> </w:t>
      </w:r>
      <w:r>
        <w:rPr/>
        <w:t>forrajes</w:t>
      </w:r>
      <w:r>
        <w:rPr>
          <w:spacing w:val="-5"/>
        </w:rPr>
        <w:t> </w:t>
      </w:r>
      <w:r>
        <w:rPr/>
        <w:t>de</w:t>
      </w:r>
      <w:r>
        <w:rPr>
          <w:spacing w:val="-5"/>
        </w:rPr>
        <w:t> </w:t>
      </w:r>
      <w:r>
        <w:rPr/>
        <w:t>alta</w:t>
      </w:r>
      <w:r>
        <w:rPr>
          <w:spacing w:val="-5"/>
        </w:rPr>
        <w:t> </w:t>
      </w:r>
      <w:r>
        <w:rPr/>
        <w:t>calidad</w:t>
      </w:r>
      <w:r>
        <w:rPr>
          <w:spacing w:val="-5"/>
        </w:rPr>
        <w:t> </w:t>
      </w:r>
      <w:r>
        <w:rPr/>
        <w:t>y</w:t>
      </w:r>
      <w:r>
        <w:rPr>
          <w:spacing w:val="-5"/>
        </w:rPr>
        <w:t> </w:t>
      </w:r>
      <w:r>
        <w:rPr/>
        <w:t>la</w:t>
      </w:r>
      <w:r>
        <w:rPr>
          <w:spacing w:val="-5"/>
        </w:rPr>
        <w:t> </w:t>
      </w:r>
      <w:r>
        <w:rPr/>
        <w:t>ración</w:t>
      </w:r>
      <w:r>
        <w:rPr>
          <w:spacing w:val="-5"/>
        </w:rPr>
        <w:t> </w:t>
      </w:r>
      <w:r>
        <w:rPr/>
        <w:t>se</w:t>
      </w:r>
      <w:r>
        <w:rPr>
          <w:spacing w:val="-5"/>
        </w:rPr>
        <w:t> </w:t>
      </w:r>
      <w:r>
        <w:rPr/>
        <w:t>formula</w:t>
      </w:r>
      <w:r>
        <w:rPr>
          <w:spacing w:val="-5"/>
        </w:rPr>
        <w:t> </w:t>
      </w:r>
      <w:r>
        <w:rPr/>
        <w:t>con un</w:t>
      </w:r>
      <w:r>
        <w:rPr>
          <w:spacing w:val="-10"/>
        </w:rPr>
        <w:t> </w:t>
      </w:r>
      <w:r>
        <w:rPr/>
        <w:t>adecuado</w:t>
      </w:r>
      <w:r>
        <w:rPr>
          <w:spacing w:val="-10"/>
        </w:rPr>
        <w:t> </w:t>
      </w:r>
      <w:r>
        <w:rPr/>
        <w:t>balance</w:t>
      </w:r>
      <w:r>
        <w:rPr>
          <w:spacing w:val="-10"/>
        </w:rPr>
        <w:t> </w:t>
      </w:r>
      <w:r>
        <w:rPr/>
        <w:t>proteico,</w:t>
      </w:r>
      <w:r>
        <w:rPr>
          <w:spacing w:val="-10"/>
        </w:rPr>
        <w:t> </w:t>
      </w:r>
      <w:r>
        <w:rPr/>
        <w:t>energético</w:t>
      </w:r>
      <w:r>
        <w:rPr>
          <w:spacing w:val="-10"/>
        </w:rPr>
        <w:t> </w:t>
      </w:r>
      <w:r>
        <w:rPr/>
        <w:t>y</w:t>
      </w:r>
      <w:r>
        <w:rPr>
          <w:spacing w:val="-10"/>
        </w:rPr>
        <w:t> </w:t>
      </w:r>
      <w:r>
        <w:rPr/>
        <w:t>mineral,</w:t>
      </w:r>
      <w:r>
        <w:rPr>
          <w:spacing w:val="-10"/>
        </w:rPr>
        <w:t> </w:t>
      </w:r>
      <w:r>
        <w:rPr/>
        <w:t>pues</w:t>
      </w:r>
      <w:r>
        <w:rPr>
          <w:spacing w:val="-10"/>
        </w:rPr>
        <w:t> </w:t>
      </w:r>
      <w:r>
        <w:rPr/>
        <w:t>esto</w:t>
      </w:r>
      <w:r>
        <w:rPr>
          <w:spacing w:val="-10"/>
        </w:rPr>
        <w:t> </w:t>
      </w:r>
      <w:r>
        <w:rPr/>
        <w:t>favorece</w:t>
      </w:r>
      <w:r>
        <w:rPr>
          <w:spacing w:val="-10"/>
        </w:rPr>
        <w:t> </w:t>
      </w:r>
      <w:r>
        <w:rPr/>
        <w:t>la</w:t>
      </w:r>
      <w:r>
        <w:rPr>
          <w:spacing w:val="-10"/>
        </w:rPr>
        <w:t> </w:t>
      </w:r>
      <w:r>
        <w:rPr/>
        <w:t>actividad celulolítica de los microorganismos del rumen.</w:t>
      </w:r>
    </w:p>
    <w:p>
      <w:pPr>
        <w:pStyle w:val="BodyText"/>
        <w:spacing w:line="360" w:lineRule="auto" w:before="13"/>
        <w:ind w:left="276" w:right="163"/>
        <w:jc w:val="both"/>
      </w:pPr>
      <w:r>
        <w:rPr/>
        <w:t>Galindo </w:t>
      </w:r>
      <w:r>
        <w:rPr>
          <w:i/>
        </w:rPr>
        <w:t>et al. </w:t>
      </w:r>
      <w:r>
        <w:rPr/>
        <w:t>(2010), hacen referencia a las alternativas para reducir la metanogénesis ruminal de los animales alimentados con forrajes de baja calidad, donde se utilizan biopreparados microbianos con levaduras viables, forrajes ricos en</w:t>
      </w:r>
      <w:r>
        <w:rPr>
          <w:spacing w:val="-12"/>
        </w:rPr>
        <w:t> </w:t>
      </w:r>
      <w:r>
        <w:rPr/>
        <w:t>taninos</w:t>
      </w:r>
      <w:r>
        <w:rPr>
          <w:spacing w:val="-12"/>
        </w:rPr>
        <w:t> </w:t>
      </w:r>
      <w:r>
        <w:rPr/>
        <w:t>y</w:t>
      </w:r>
      <w:r>
        <w:rPr>
          <w:spacing w:val="-12"/>
        </w:rPr>
        <w:t> </w:t>
      </w:r>
      <w:r>
        <w:rPr/>
        <w:t>adición</w:t>
      </w:r>
      <w:r>
        <w:rPr>
          <w:spacing w:val="-12"/>
        </w:rPr>
        <w:t> </w:t>
      </w:r>
      <w:r>
        <w:rPr/>
        <w:t>de</w:t>
      </w:r>
      <w:r>
        <w:rPr>
          <w:spacing w:val="-12"/>
        </w:rPr>
        <w:t> </w:t>
      </w:r>
      <w:r>
        <w:rPr/>
        <w:t>ácidos</w:t>
      </w:r>
      <w:r>
        <w:rPr>
          <w:spacing w:val="-12"/>
        </w:rPr>
        <w:t> </w:t>
      </w:r>
      <w:r>
        <w:rPr/>
        <w:t>grasos</w:t>
      </w:r>
      <w:r>
        <w:rPr>
          <w:spacing w:val="-12"/>
        </w:rPr>
        <w:t> </w:t>
      </w:r>
      <w:r>
        <w:rPr/>
        <w:t>de</w:t>
      </w:r>
      <w:r>
        <w:rPr>
          <w:spacing w:val="-12"/>
        </w:rPr>
        <w:t> </w:t>
      </w:r>
      <w:r>
        <w:rPr/>
        <w:t>cadena</w:t>
      </w:r>
      <w:r>
        <w:rPr>
          <w:spacing w:val="-12"/>
        </w:rPr>
        <w:t> </w:t>
      </w:r>
      <w:r>
        <w:rPr/>
        <w:t>media</w:t>
      </w:r>
      <w:r>
        <w:rPr>
          <w:spacing w:val="-12"/>
        </w:rPr>
        <w:t> </w:t>
      </w:r>
      <w:r>
        <w:rPr/>
        <w:t>(C8-C16).</w:t>
      </w:r>
      <w:r>
        <w:rPr>
          <w:spacing w:val="-12"/>
        </w:rPr>
        <w:t> </w:t>
      </w:r>
      <w:r>
        <w:rPr/>
        <w:t>Estos</w:t>
      </w:r>
      <w:r>
        <w:rPr>
          <w:spacing w:val="-12"/>
        </w:rPr>
        <w:t> </w:t>
      </w:r>
      <w:r>
        <w:rPr/>
        <w:t>últimos</w:t>
      </w:r>
      <w:r>
        <w:rPr>
          <w:spacing w:val="-12"/>
        </w:rPr>
        <w:t> </w:t>
      </w:r>
      <w:r>
        <w:rPr/>
        <w:t>son abundantes en los aceites de coco, girasol y colza (Kongmun </w:t>
      </w:r>
      <w:r>
        <w:rPr>
          <w:i/>
        </w:rPr>
        <w:t>et al.,</w:t>
      </w:r>
      <w:r>
        <w:rPr>
          <w:i/>
          <w:spacing w:val="-4"/>
        </w:rPr>
        <w:t> </w:t>
      </w:r>
      <w:r>
        <w:rPr/>
        <w:t>2011).</w:t>
      </w:r>
    </w:p>
    <w:p>
      <w:pPr>
        <w:pStyle w:val="BodyText"/>
        <w:spacing w:line="360" w:lineRule="auto" w:before="2"/>
        <w:ind w:left="276" w:right="163"/>
        <w:jc w:val="both"/>
      </w:pPr>
      <w:r>
        <w:rPr/>
        <w:t>Varios</w:t>
      </w:r>
      <w:r>
        <w:rPr>
          <w:spacing w:val="-9"/>
        </w:rPr>
        <w:t> </w:t>
      </w:r>
      <w:r>
        <w:rPr/>
        <w:t>autores</w:t>
      </w:r>
      <w:r>
        <w:rPr>
          <w:spacing w:val="-9"/>
        </w:rPr>
        <w:t> </w:t>
      </w:r>
      <w:r>
        <w:rPr/>
        <w:t>señalaron</w:t>
      </w:r>
      <w:r>
        <w:rPr>
          <w:spacing w:val="-8"/>
        </w:rPr>
        <w:t> </w:t>
      </w:r>
      <w:r>
        <w:rPr/>
        <w:t>la</w:t>
      </w:r>
      <w:r>
        <w:rPr>
          <w:spacing w:val="-8"/>
        </w:rPr>
        <w:t> </w:t>
      </w:r>
      <w:r>
        <w:rPr/>
        <w:t>posibilidad</w:t>
      </w:r>
      <w:r>
        <w:rPr>
          <w:spacing w:val="-8"/>
        </w:rPr>
        <w:t> </w:t>
      </w:r>
      <w:r>
        <w:rPr/>
        <w:t>de</w:t>
      </w:r>
      <w:r>
        <w:rPr>
          <w:spacing w:val="-8"/>
        </w:rPr>
        <w:t> </w:t>
      </w:r>
      <w:r>
        <w:rPr/>
        <w:t>manipular</w:t>
      </w:r>
      <w:r>
        <w:rPr>
          <w:spacing w:val="-9"/>
        </w:rPr>
        <w:t> </w:t>
      </w:r>
      <w:r>
        <w:rPr/>
        <w:t>el</w:t>
      </w:r>
      <w:r>
        <w:rPr>
          <w:spacing w:val="-8"/>
        </w:rPr>
        <w:t> </w:t>
      </w:r>
      <w:r>
        <w:rPr/>
        <w:t>proceso</w:t>
      </w:r>
      <w:r>
        <w:rPr>
          <w:spacing w:val="-8"/>
        </w:rPr>
        <w:t> </w:t>
      </w:r>
      <w:r>
        <w:rPr/>
        <w:t>de</w:t>
      </w:r>
      <w:r>
        <w:rPr>
          <w:spacing w:val="-8"/>
        </w:rPr>
        <w:t> </w:t>
      </w:r>
      <w:r>
        <w:rPr/>
        <w:t>fermentación</w:t>
      </w:r>
      <w:r>
        <w:rPr>
          <w:spacing w:val="-8"/>
        </w:rPr>
        <w:t> </w:t>
      </w:r>
      <w:r>
        <w:rPr/>
        <w:t>del rumen</w:t>
      </w:r>
      <w:r>
        <w:rPr>
          <w:spacing w:val="-15"/>
        </w:rPr>
        <w:t> </w:t>
      </w:r>
      <w:r>
        <w:rPr/>
        <w:t>(Su</w:t>
      </w:r>
      <w:r>
        <w:rPr>
          <w:spacing w:val="-15"/>
        </w:rPr>
        <w:t> </w:t>
      </w:r>
      <w:r>
        <w:rPr>
          <w:i/>
        </w:rPr>
        <w:t>et</w:t>
      </w:r>
      <w:r>
        <w:rPr>
          <w:i/>
          <w:spacing w:val="-15"/>
        </w:rPr>
        <w:t> </w:t>
      </w:r>
      <w:r>
        <w:rPr>
          <w:i/>
        </w:rPr>
        <w:t>al.,</w:t>
      </w:r>
      <w:r>
        <w:rPr>
          <w:i/>
          <w:spacing w:val="-16"/>
        </w:rPr>
        <w:t> </w:t>
      </w:r>
      <w:r>
        <w:rPr/>
        <w:t>2003)</w:t>
      </w:r>
      <w:r>
        <w:rPr>
          <w:spacing w:val="-15"/>
        </w:rPr>
        <w:t> </w:t>
      </w:r>
      <w:r>
        <w:rPr/>
        <w:t>y</w:t>
      </w:r>
      <w:r>
        <w:rPr>
          <w:spacing w:val="-15"/>
        </w:rPr>
        <w:t> </w:t>
      </w:r>
      <w:r>
        <w:rPr/>
        <w:t>otros</w:t>
      </w:r>
      <w:r>
        <w:rPr>
          <w:spacing w:val="-15"/>
        </w:rPr>
        <w:t> </w:t>
      </w:r>
      <w:r>
        <w:rPr/>
        <w:t>exhortan</w:t>
      </w:r>
      <w:r>
        <w:rPr>
          <w:spacing w:val="-15"/>
        </w:rPr>
        <w:t> </w:t>
      </w:r>
      <w:r>
        <w:rPr/>
        <w:t>a</w:t>
      </w:r>
      <w:r>
        <w:rPr>
          <w:spacing w:val="-15"/>
        </w:rPr>
        <w:t> </w:t>
      </w:r>
      <w:r>
        <w:rPr/>
        <w:t>suministrar</w:t>
      </w:r>
      <w:r>
        <w:rPr>
          <w:spacing w:val="-15"/>
        </w:rPr>
        <w:t> </w:t>
      </w:r>
      <w:r>
        <w:rPr/>
        <w:t>alimentos</w:t>
      </w:r>
      <w:r>
        <w:rPr>
          <w:spacing w:val="-15"/>
        </w:rPr>
        <w:t> </w:t>
      </w:r>
      <w:r>
        <w:rPr/>
        <w:t>con</w:t>
      </w:r>
      <w:r>
        <w:rPr>
          <w:spacing w:val="-15"/>
        </w:rPr>
        <w:t> </w:t>
      </w:r>
      <w:r>
        <w:rPr/>
        <w:t>elevada</w:t>
      </w:r>
      <w:r>
        <w:rPr>
          <w:spacing w:val="-15"/>
        </w:rPr>
        <w:t> </w:t>
      </w:r>
      <w:r>
        <w:rPr/>
        <w:t>energía para reducir las emisiones (Beauchemin y McGinn,</w:t>
      </w:r>
      <w:r>
        <w:rPr>
          <w:spacing w:val="-1"/>
        </w:rPr>
        <w:t> </w:t>
      </w:r>
      <w:r>
        <w:rPr/>
        <w:t>2006).</w:t>
      </w:r>
    </w:p>
    <w:p>
      <w:pPr>
        <w:pStyle w:val="BodyText"/>
        <w:spacing w:line="360" w:lineRule="auto" w:before="7"/>
        <w:ind w:left="276" w:right="163"/>
        <w:jc w:val="both"/>
      </w:pPr>
      <w:r>
        <w:rPr/>
        <w:t>Berra (2011), reporta que el Instituto Nacional de Tecnología Agropecuaria (INTA), han determinado que un bovino adulto de 500 kilogramos de peso eructa un promedio de 200 a 250 litros diarios de gas metano, utilizando un sistema telemétrico</w:t>
      </w:r>
      <w:r>
        <w:rPr>
          <w:spacing w:val="-5"/>
        </w:rPr>
        <w:t> </w:t>
      </w:r>
      <w:r>
        <w:rPr/>
        <w:t>que</w:t>
      </w:r>
      <w:r>
        <w:rPr>
          <w:spacing w:val="-5"/>
        </w:rPr>
        <w:t> </w:t>
      </w:r>
      <w:r>
        <w:rPr/>
        <w:t>registra</w:t>
      </w:r>
      <w:r>
        <w:rPr>
          <w:spacing w:val="-5"/>
        </w:rPr>
        <w:t> </w:t>
      </w:r>
      <w:r>
        <w:rPr/>
        <w:t>y</w:t>
      </w:r>
      <w:r>
        <w:rPr>
          <w:spacing w:val="-5"/>
        </w:rPr>
        <w:t> </w:t>
      </w:r>
      <w:r>
        <w:rPr/>
        <w:t>cuantifica</w:t>
      </w:r>
      <w:r>
        <w:rPr>
          <w:spacing w:val="-5"/>
        </w:rPr>
        <w:t> </w:t>
      </w:r>
      <w:r>
        <w:rPr/>
        <w:t>on-line</w:t>
      </w:r>
      <w:r>
        <w:rPr>
          <w:spacing w:val="-5"/>
        </w:rPr>
        <w:t> </w:t>
      </w:r>
      <w:r>
        <w:rPr/>
        <w:t>los</w:t>
      </w:r>
      <w:r>
        <w:rPr>
          <w:spacing w:val="-5"/>
        </w:rPr>
        <w:t> </w:t>
      </w:r>
      <w:r>
        <w:rPr/>
        <w:t>gases</w:t>
      </w:r>
      <w:r>
        <w:rPr>
          <w:spacing w:val="-5"/>
        </w:rPr>
        <w:t> </w:t>
      </w:r>
      <w:r>
        <w:rPr/>
        <w:t>generados</w:t>
      </w:r>
      <w:r>
        <w:rPr>
          <w:spacing w:val="-5"/>
        </w:rPr>
        <w:t> </w:t>
      </w:r>
      <w:r>
        <w:rPr/>
        <w:t>en</w:t>
      </w:r>
      <w:r>
        <w:rPr>
          <w:spacing w:val="-5"/>
        </w:rPr>
        <w:t> </w:t>
      </w:r>
      <w:r>
        <w:rPr/>
        <w:t>el</w:t>
      </w:r>
      <w:r>
        <w:rPr>
          <w:spacing w:val="-5"/>
        </w:rPr>
        <w:t> </w:t>
      </w:r>
      <w:r>
        <w:rPr/>
        <w:t>rumen</w:t>
      </w:r>
      <w:r>
        <w:rPr>
          <w:spacing w:val="-5"/>
        </w:rPr>
        <w:t> </w:t>
      </w:r>
      <w:r>
        <w:rPr/>
        <w:t>de</w:t>
      </w:r>
      <w:r>
        <w:rPr>
          <w:spacing w:val="-5"/>
        </w:rPr>
        <w:t> </w:t>
      </w:r>
      <w:r>
        <w:rPr/>
        <w:t>los</w:t>
      </w:r>
    </w:p>
    <w:p>
      <w:pPr>
        <w:spacing w:after="0" w:line="360" w:lineRule="auto"/>
        <w:jc w:val="both"/>
        <w:sectPr>
          <w:type w:val="continuous"/>
          <w:pgSz w:w="12240" w:h="15840"/>
          <w:pgMar w:top="1420" w:bottom="280" w:left="1720" w:right="1240"/>
        </w:sectPr>
      </w:pPr>
    </w:p>
    <w:p>
      <w:pPr>
        <w:pStyle w:val="BodyText"/>
        <w:spacing w:before="4"/>
        <w:rPr>
          <w:sz w:val="11"/>
        </w:rPr>
      </w:pPr>
    </w:p>
    <w:p>
      <w:pPr>
        <w:pStyle w:val="BodyText"/>
        <w:spacing w:line="360" w:lineRule="auto" w:before="69"/>
        <w:ind w:left="276" w:right="72"/>
      </w:pPr>
      <w:r>
        <w:rPr/>
        <w:t>bovinos. El equipo se instala en la región dorsal del animal empleando un arnés para su fijación, lo cual le confiere la denominación de “vaca mochilera” (figura 5). La emisión de metano no solo constituye un problema ambiental, también reduce la productividad de los animales al provocar pérdidas de energía en los alimentos. Se estima que más del 10% de la energía bruta de los alimentos se pierde en forma de CH</w:t>
      </w:r>
      <w:r>
        <w:rPr>
          <w:position w:val="-2"/>
          <w:sz w:val="16"/>
        </w:rPr>
        <w:t>4 </w:t>
      </w:r>
      <w:r>
        <w:rPr/>
        <w:t>durante la digestión microbiana en el rumen (Johnson </w:t>
      </w:r>
      <w:r>
        <w:rPr>
          <w:i/>
        </w:rPr>
        <w:t>et al.</w:t>
      </w:r>
      <w:r>
        <w:rPr/>
        <w:t>, 2000).</w:t>
      </w:r>
    </w:p>
    <w:p>
      <w:pPr>
        <w:pStyle w:val="BodyText"/>
        <w:spacing w:before="5"/>
        <w:rPr>
          <w:sz w:val="34"/>
        </w:rPr>
      </w:pPr>
    </w:p>
    <w:p>
      <w:pPr>
        <w:pStyle w:val="Heading6"/>
        <w:spacing w:after="7"/>
        <w:ind w:left="2081" w:right="278" w:hanging="1218"/>
      </w:pPr>
      <w:r>
        <w:rPr/>
        <w:pict>
          <v:line style="position:absolute;mso-position-horizontal-relative:page;mso-position-vertical-relative:paragraph;z-index:-309424" from="100.072403pt,15.215859pt" to="184.792403pt,15.215859pt" stroked="true" strokeweight="2.16pt" strokecolor="#943634">
            <w10:wrap type="none"/>
          </v:line>
        </w:pict>
      </w:r>
      <w:r>
        <w:rPr>
          <w:color w:val="943634"/>
        </w:rPr>
        <w:t>Figura 5. </w:t>
      </w:r>
      <w:r>
        <w:rPr/>
        <w:t>Vaca mochilera. Desarrollada por investigadores del INTA Castelar para medir la emisión de GEI que estos animales producen.</w:t>
      </w:r>
    </w:p>
    <w:p>
      <w:pPr>
        <w:pStyle w:val="BodyText"/>
        <w:ind w:left="1452"/>
        <w:rPr>
          <w:sz w:val="20"/>
        </w:rPr>
      </w:pPr>
      <w:r>
        <w:rPr>
          <w:sz w:val="20"/>
        </w:rPr>
        <w:drawing>
          <wp:inline distT="0" distB="0" distL="0" distR="0">
            <wp:extent cx="4111208" cy="2883027"/>
            <wp:effectExtent l="0" t="0" r="0" b="0"/>
            <wp:docPr id="13" name="image24.jpeg" descr=""/>
            <wp:cNvGraphicFramePr>
              <a:graphicFrameLocks noChangeAspect="1"/>
            </wp:cNvGraphicFramePr>
            <a:graphic>
              <a:graphicData uri="http://schemas.openxmlformats.org/drawingml/2006/picture">
                <pic:pic>
                  <pic:nvPicPr>
                    <pic:cNvPr id="14" name="image24.jpeg"/>
                    <pic:cNvPicPr/>
                  </pic:nvPicPr>
                  <pic:blipFill>
                    <a:blip r:embed="rId52" cstate="print"/>
                    <a:stretch>
                      <a:fillRect/>
                    </a:stretch>
                  </pic:blipFill>
                  <pic:spPr>
                    <a:xfrm>
                      <a:off x="0" y="0"/>
                      <a:ext cx="4111208" cy="2883027"/>
                    </a:xfrm>
                    <a:prstGeom prst="rect">
                      <a:avLst/>
                    </a:prstGeom>
                  </pic:spPr>
                </pic:pic>
              </a:graphicData>
            </a:graphic>
          </wp:inline>
        </w:drawing>
      </w:r>
      <w:r>
        <w:rPr>
          <w:sz w:val="20"/>
        </w:rPr>
      </w:r>
    </w:p>
    <w:p>
      <w:pPr>
        <w:pStyle w:val="BodyText"/>
        <w:spacing w:before="10"/>
        <w:rPr>
          <w:b/>
          <w:sz w:val="9"/>
        </w:rPr>
      </w:pPr>
      <w:r>
        <w:rPr/>
        <w:pict>
          <v:line style="position:absolute;mso-position-horizontal-relative:page;mso-position-vertical-relative:paragraph;z-index:2584;mso-wrap-distance-left:0;mso-wrap-distance-right:0" from="98.392433pt,8.75pt" to="543.112403pt,8.75pt" stroked="true" strokeweight="2.16pt" strokecolor="#943634">
            <w10:wrap type="topAndBottom"/>
          </v:line>
        </w:pict>
      </w:r>
    </w:p>
    <w:p>
      <w:pPr>
        <w:spacing w:before="0"/>
        <w:ind w:left="276" w:right="72" w:firstLine="0"/>
        <w:jc w:val="left"/>
        <w:rPr>
          <w:sz w:val="19"/>
        </w:rPr>
      </w:pPr>
      <w:r>
        <w:rPr>
          <w:b/>
          <w:w w:val="105"/>
          <w:sz w:val="19"/>
        </w:rPr>
        <w:t>Fuente: </w:t>
      </w:r>
      <w:hyperlink r:id="rId53">
        <w:r>
          <w:rPr>
            <w:w w:val="105"/>
            <w:sz w:val="19"/>
          </w:rPr>
          <w:t>http://intainforma.inta.gov.ar/?p=3423#sthash.pSzvSqS9.dpuf</w:t>
        </w:r>
      </w:hyperlink>
    </w:p>
    <w:p>
      <w:pPr>
        <w:pStyle w:val="BodyText"/>
        <w:rPr>
          <w:sz w:val="20"/>
        </w:rPr>
      </w:pPr>
    </w:p>
    <w:p>
      <w:pPr>
        <w:pStyle w:val="BodyText"/>
        <w:spacing w:before="1"/>
        <w:rPr>
          <w:sz w:val="28"/>
        </w:rPr>
      </w:pPr>
    </w:p>
    <w:p>
      <w:pPr>
        <w:pStyle w:val="Heading2"/>
        <w:numPr>
          <w:ilvl w:val="1"/>
          <w:numId w:val="5"/>
        </w:numPr>
        <w:tabs>
          <w:tab w:pos="900" w:val="left" w:leader="none"/>
        </w:tabs>
        <w:spacing w:line="240" w:lineRule="auto" w:before="66" w:after="0"/>
        <w:ind w:left="899" w:right="0" w:hanging="623"/>
        <w:jc w:val="both"/>
      </w:pPr>
      <w:r>
        <w:rPr/>
        <w:t>Estequiometría  de  la</w:t>
      </w:r>
      <w:r>
        <w:rPr>
          <w:spacing w:val="-21"/>
        </w:rPr>
        <w:t> </w:t>
      </w:r>
      <w:r>
        <w:rPr/>
        <w:t>metanogénesis</w:t>
      </w:r>
    </w:p>
    <w:p>
      <w:pPr>
        <w:pStyle w:val="BodyText"/>
        <w:spacing w:before="7"/>
        <w:rPr>
          <w:b/>
          <w:sz w:val="35"/>
        </w:rPr>
      </w:pPr>
    </w:p>
    <w:p>
      <w:pPr>
        <w:pStyle w:val="BodyText"/>
        <w:spacing w:line="355" w:lineRule="auto"/>
        <w:ind w:left="276" w:right="163"/>
        <w:jc w:val="both"/>
      </w:pPr>
      <w:r>
        <w:rPr/>
        <w:t>El CH</w:t>
      </w:r>
      <w:r>
        <w:rPr>
          <w:position w:val="-2"/>
          <w:sz w:val="16"/>
        </w:rPr>
        <w:t>4 </w:t>
      </w:r>
      <w:r>
        <w:rPr/>
        <w:t>y el CO</w:t>
      </w:r>
      <w:r>
        <w:rPr>
          <w:position w:val="-2"/>
          <w:sz w:val="16"/>
        </w:rPr>
        <w:t>2 </w:t>
      </w:r>
      <w:r>
        <w:rPr/>
        <w:t>son subproductos naturales de la fermentación microbiana de los carbohidratos</w:t>
      </w:r>
      <w:r>
        <w:rPr>
          <w:spacing w:val="-13"/>
        </w:rPr>
        <w:t> </w:t>
      </w:r>
      <w:r>
        <w:rPr/>
        <w:t>y,</w:t>
      </w:r>
      <w:r>
        <w:rPr>
          <w:spacing w:val="-13"/>
        </w:rPr>
        <w:t> </w:t>
      </w:r>
      <w:r>
        <w:rPr/>
        <w:t>en</w:t>
      </w:r>
      <w:r>
        <w:rPr>
          <w:spacing w:val="-13"/>
        </w:rPr>
        <w:t> </w:t>
      </w:r>
      <w:r>
        <w:rPr/>
        <w:t>menor</w:t>
      </w:r>
      <w:r>
        <w:rPr>
          <w:spacing w:val="-13"/>
        </w:rPr>
        <w:t> </w:t>
      </w:r>
      <w:r>
        <w:rPr/>
        <w:t>medida,</w:t>
      </w:r>
      <w:r>
        <w:rPr>
          <w:spacing w:val="-13"/>
        </w:rPr>
        <w:t> </w:t>
      </w:r>
      <w:r>
        <w:rPr/>
        <w:t>de</w:t>
      </w:r>
      <w:r>
        <w:rPr>
          <w:spacing w:val="-13"/>
        </w:rPr>
        <w:t> </w:t>
      </w:r>
      <w:r>
        <w:rPr/>
        <w:t>los</w:t>
      </w:r>
      <w:r>
        <w:rPr>
          <w:spacing w:val="-13"/>
        </w:rPr>
        <w:t> </w:t>
      </w:r>
      <w:r>
        <w:rPr/>
        <w:t>aminoácidos(aa)</w:t>
      </w:r>
      <w:r>
        <w:rPr>
          <w:spacing w:val="-13"/>
        </w:rPr>
        <w:t> </w:t>
      </w:r>
      <w:r>
        <w:rPr/>
        <w:t>en</w:t>
      </w:r>
      <w:r>
        <w:rPr>
          <w:spacing w:val="-13"/>
        </w:rPr>
        <w:t> </w:t>
      </w:r>
      <w:r>
        <w:rPr/>
        <w:t>el</w:t>
      </w:r>
      <w:r>
        <w:rPr>
          <w:spacing w:val="-13"/>
        </w:rPr>
        <w:t> </w:t>
      </w:r>
      <w:r>
        <w:rPr/>
        <w:t>rumen</w:t>
      </w:r>
      <w:r>
        <w:rPr>
          <w:spacing w:val="-13"/>
        </w:rPr>
        <w:t> </w:t>
      </w:r>
      <w:r>
        <w:rPr/>
        <w:t>y</w:t>
      </w:r>
      <w:r>
        <w:rPr>
          <w:spacing w:val="-13"/>
        </w:rPr>
        <w:t> </w:t>
      </w:r>
      <w:r>
        <w:rPr/>
        <w:t>el</w:t>
      </w:r>
      <w:r>
        <w:rPr>
          <w:spacing w:val="-13"/>
        </w:rPr>
        <w:t> </w:t>
      </w:r>
      <w:r>
        <w:rPr/>
        <w:t>intestino grueso de los animales de granja. El CH</w:t>
      </w:r>
      <w:r>
        <w:rPr>
          <w:position w:val="-2"/>
          <w:sz w:val="16"/>
        </w:rPr>
        <w:t>4 </w:t>
      </w:r>
      <w:r>
        <w:rPr/>
        <w:t>se produce en condiciones estrictamente anaeróbicas</w:t>
      </w:r>
      <w:r>
        <w:rPr>
          <w:spacing w:val="-10"/>
        </w:rPr>
        <w:t> </w:t>
      </w:r>
      <w:r>
        <w:rPr/>
        <w:t>por</w:t>
      </w:r>
      <w:r>
        <w:rPr>
          <w:spacing w:val="-10"/>
        </w:rPr>
        <w:t> </w:t>
      </w:r>
      <w:r>
        <w:rPr/>
        <w:t>procariotas</w:t>
      </w:r>
      <w:r>
        <w:rPr>
          <w:spacing w:val="-10"/>
        </w:rPr>
        <w:t> </w:t>
      </w:r>
      <w:r>
        <w:rPr/>
        <w:t>metanógenas</w:t>
      </w:r>
      <w:r>
        <w:rPr>
          <w:spacing w:val="-10"/>
        </w:rPr>
        <w:t> </w:t>
      </w:r>
      <w:r>
        <w:rPr/>
        <w:t>altamente</w:t>
      </w:r>
      <w:r>
        <w:rPr>
          <w:spacing w:val="-10"/>
        </w:rPr>
        <w:t> </w:t>
      </w:r>
      <w:r>
        <w:rPr/>
        <w:t>especializados,</w:t>
      </w:r>
      <w:r>
        <w:rPr>
          <w:spacing w:val="-10"/>
        </w:rPr>
        <w:t> </w:t>
      </w:r>
      <w:r>
        <w:rPr/>
        <w:t>las</w:t>
      </w:r>
      <w:r>
        <w:rPr>
          <w:spacing w:val="-10"/>
        </w:rPr>
        <w:t> </w:t>
      </w:r>
      <w:r>
        <w:rPr/>
        <w:t>cuales</w:t>
      </w:r>
      <w:r>
        <w:rPr>
          <w:spacing w:val="-10"/>
        </w:rPr>
        <w:t> </w:t>
      </w:r>
      <w:r>
        <w:rPr/>
        <w:t>son todas arqueas. En los rumiantes, la mayor parte del CH</w:t>
      </w:r>
      <w:r>
        <w:rPr>
          <w:position w:val="-2"/>
          <w:sz w:val="16"/>
        </w:rPr>
        <w:t>4 </w:t>
      </w:r>
      <w:r>
        <w:rPr/>
        <w:t>entérico se produce en el retículo-rumen. Según Murray </w:t>
      </w:r>
      <w:r>
        <w:rPr>
          <w:i/>
        </w:rPr>
        <w:t>et al. </w:t>
      </w:r>
      <w:r>
        <w:rPr/>
        <w:t>(1976) y Muñoz </w:t>
      </w:r>
      <w:r>
        <w:rPr>
          <w:i/>
        </w:rPr>
        <w:t>et al. </w:t>
      </w:r>
      <w:r>
        <w:rPr/>
        <w:t>(2012) las emisiones rectales</w:t>
      </w:r>
      <w:r>
        <w:rPr>
          <w:spacing w:val="26"/>
        </w:rPr>
        <w:t> </w:t>
      </w:r>
      <w:r>
        <w:rPr/>
        <w:t>representan</w:t>
      </w:r>
      <w:r>
        <w:rPr>
          <w:spacing w:val="26"/>
        </w:rPr>
        <w:t> </w:t>
      </w:r>
      <w:r>
        <w:rPr/>
        <w:t>alrededor</w:t>
      </w:r>
      <w:r>
        <w:rPr>
          <w:spacing w:val="26"/>
        </w:rPr>
        <w:t> </w:t>
      </w:r>
      <w:r>
        <w:rPr/>
        <w:t>del</w:t>
      </w:r>
      <w:r>
        <w:rPr>
          <w:spacing w:val="26"/>
        </w:rPr>
        <w:t> </w:t>
      </w:r>
      <w:r>
        <w:rPr/>
        <w:t>2</w:t>
      </w:r>
      <w:r>
        <w:rPr>
          <w:spacing w:val="26"/>
        </w:rPr>
        <w:t> </w:t>
      </w:r>
      <w:r>
        <w:rPr/>
        <w:t>al</w:t>
      </w:r>
      <w:r>
        <w:rPr>
          <w:spacing w:val="26"/>
        </w:rPr>
        <w:t> </w:t>
      </w:r>
      <w:r>
        <w:rPr/>
        <w:t>3%</w:t>
      </w:r>
      <w:r>
        <w:rPr>
          <w:spacing w:val="26"/>
        </w:rPr>
        <w:t> </w:t>
      </w:r>
      <w:r>
        <w:rPr/>
        <w:t>del</w:t>
      </w:r>
      <w:r>
        <w:rPr>
          <w:spacing w:val="26"/>
        </w:rPr>
        <w:t> </w:t>
      </w:r>
      <w:r>
        <w:rPr/>
        <w:t>total</w:t>
      </w:r>
      <w:r>
        <w:rPr>
          <w:spacing w:val="26"/>
        </w:rPr>
        <w:t> </w:t>
      </w:r>
      <w:r>
        <w:rPr/>
        <w:t>de</w:t>
      </w:r>
      <w:r>
        <w:rPr>
          <w:spacing w:val="26"/>
        </w:rPr>
        <w:t> </w:t>
      </w:r>
      <w:r>
        <w:rPr/>
        <w:t>las</w:t>
      </w:r>
      <w:r>
        <w:rPr>
          <w:spacing w:val="26"/>
        </w:rPr>
        <w:t> </w:t>
      </w:r>
      <w:r>
        <w:rPr/>
        <w:t>emisiones</w:t>
      </w:r>
      <w:r>
        <w:rPr>
          <w:spacing w:val="26"/>
        </w:rPr>
        <w:t> </w:t>
      </w:r>
      <w:r>
        <w:rPr/>
        <w:t>de</w:t>
      </w:r>
      <w:r>
        <w:rPr>
          <w:spacing w:val="26"/>
        </w:rPr>
        <w:t> </w:t>
      </w:r>
      <w:r>
        <w:rPr/>
        <w:t>CH</w:t>
      </w:r>
      <w:r>
        <w:rPr>
          <w:position w:val="-2"/>
          <w:sz w:val="16"/>
        </w:rPr>
        <w:t>4 </w:t>
      </w:r>
      <w:r>
        <w:rPr>
          <w:spacing w:val="5"/>
          <w:position w:val="-2"/>
          <w:sz w:val="16"/>
        </w:rPr>
        <w:t> </w:t>
      </w:r>
      <w:r>
        <w:rPr/>
        <w:t>de</w:t>
      </w:r>
    </w:p>
    <w:p>
      <w:pPr>
        <w:spacing w:after="0" w:line="355" w:lineRule="auto"/>
        <w:jc w:val="both"/>
        <w:sectPr>
          <w:pgSz w:w="12240" w:h="15840"/>
          <w:pgMar w:header="741" w:footer="739" w:top="1220" w:bottom="920" w:left="1720" w:right="1240"/>
        </w:sectPr>
      </w:pPr>
    </w:p>
    <w:p>
      <w:pPr>
        <w:pStyle w:val="BodyText"/>
        <w:spacing w:before="4"/>
        <w:rPr>
          <w:sz w:val="11"/>
        </w:rPr>
      </w:pPr>
    </w:p>
    <w:p>
      <w:pPr>
        <w:pStyle w:val="BodyText"/>
        <w:spacing w:line="357" w:lineRule="auto" w:before="69"/>
        <w:ind w:left="276" w:right="310"/>
      </w:pPr>
      <w:r>
        <w:rPr/>
        <w:t>ovejas o vacas lecheras. Murray </w:t>
      </w:r>
      <w:r>
        <w:rPr>
          <w:i/>
        </w:rPr>
        <w:t>et al. </w:t>
      </w:r>
      <w:r>
        <w:rPr/>
        <w:t>(1976) estimaron que del 13% del CH</w:t>
      </w:r>
      <w:r>
        <w:rPr>
          <w:position w:val="-2"/>
          <w:sz w:val="16"/>
        </w:rPr>
        <w:t>4 </w:t>
      </w:r>
      <w:r>
        <w:rPr/>
        <w:t>entérico total producido en el intestino grueso de ovejas, sólo el 11% se excreta a través del ano y el 89% restante se elimina por los pulmones (Hristov </w:t>
      </w:r>
      <w:r>
        <w:rPr>
          <w:i/>
        </w:rPr>
        <w:t>et al.</w:t>
      </w:r>
      <w:r>
        <w:rPr/>
        <w:t>, 2013). En la Figura 6, se representa un esquema simplificado de las principales rutas de fermentación de los carbohidratos y la formación del producto final en el medio ambiente del rumen. La estequiometría general de las reacciones ha sido descrita por Van Soest (1994) de la siguiente manera:</w:t>
      </w:r>
    </w:p>
    <w:p>
      <w:pPr>
        <w:pStyle w:val="BodyText"/>
      </w:pPr>
    </w:p>
    <w:p>
      <w:pPr>
        <w:tabs>
          <w:tab w:pos="5101" w:val="left" w:leader="none"/>
        </w:tabs>
        <w:spacing w:before="142"/>
        <w:ind w:left="1049" w:right="310" w:firstLine="0"/>
        <w:jc w:val="left"/>
        <w:rPr>
          <w:sz w:val="24"/>
        </w:rPr>
      </w:pPr>
      <w:r>
        <w:rPr>
          <w:sz w:val="24"/>
        </w:rPr>
        <w:t>C</w:t>
      </w:r>
      <w:r>
        <w:rPr>
          <w:position w:val="-2"/>
          <w:sz w:val="16"/>
        </w:rPr>
        <w:t>6</w:t>
      </w:r>
      <w:r>
        <w:rPr>
          <w:sz w:val="24"/>
        </w:rPr>
        <w:t>H</w:t>
      </w:r>
      <w:r>
        <w:rPr>
          <w:position w:val="-2"/>
          <w:sz w:val="16"/>
        </w:rPr>
        <w:t>12</w:t>
      </w:r>
      <w:r>
        <w:rPr>
          <w:sz w:val="24"/>
        </w:rPr>
        <w:t>O</w:t>
      </w:r>
      <w:r>
        <w:rPr>
          <w:position w:val="-2"/>
          <w:sz w:val="16"/>
        </w:rPr>
        <w:t>6 </w:t>
      </w:r>
      <w:r>
        <w:rPr>
          <w:sz w:val="24"/>
        </w:rPr>
        <w:t>(glucosa)</w:t>
      </w:r>
      <w:r>
        <w:rPr>
          <w:spacing w:val="20"/>
          <w:sz w:val="24"/>
        </w:rPr>
        <w:t> </w:t>
      </w:r>
      <w:r>
        <w:rPr>
          <w:sz w:val="24"/>
        </w:rPr>
        <w:t>+</w:t>
      </w:r>
      <w:r>
        <w:rPr>
          <w:spacing w:val="-2"/>
          <w:sz w:val="24"/>
        </w:rPr>
        <w:t> </w:t>
      </w:r>
      <w:r>
        <w:rPr>
          <w:sz w:val="24"/>
        </w:rPr>
        <w:t>NH</w:t>
      </w:r>
      <w:r>
        <w:rPr>
          <w:position w:val="-2"/>
          <w:sz w:val="16"/>
        </w:rPr>
        <w:t>3</w:t>
        <w:tab/>
      </w:r>
      <w:r>
        <w:rPr>
          <w:sz w:val="24"/>
        </w:rPr>
        <w:t>microbios + CH</w:t>
      </w:r>
      <w:r>
        <w:rPr>
          <w:position w:val="-2"/>
          <w:sz w:val="16"/>
        </w:rPr>
        <w:t>4 </w:t>
      </w:r>
      <w:r>
        <w:rPr>
          <w:sz w:val="24"/>
        </w:rPr>
        <w:t>+ CO</w:t>
      </w:r>
      <w:r>
        <w:rPr>
          <w:position w:val="-2"/>
          <w:sz w:val="16"/>
        </w:rPr>
        <w:t>2 </w:t>
      </w:r>
      <w:r>
        <w:rPr>
          <w:sz w:val="24"/>
        </w:rPr>
        <w:t>+</w:t>
      </w:r>
      <w:r>
        <w:rPr>
          <w:spacing w:val="42"/>
          <w:sz w:val="24"/>
        </w:rPr>
        <w:t> </w:t>
      </w:r>
      <w:r>
        <w:rPr>
          <w:sz w:val="24"/>
        </w:rPr>
        <w:t>AGV</w:t>
      </w:r>
    </w:p>
    <w:p>
      <w:pPr>
        <w:pStyle w:val="BodyText"/>
        <w:rPr>
          <w:sz w:val="20"/>
        </w:rPr>
      </w:pPr>
    </w:p>
    <w:p>
      <w:pPr>
        <w:pStyle w:val="BodyText"/>
        <w:rPr>
          <w:sz w:val="20"/>
        </w:rPr>
      </w:pPr>
    </w:p>
    <w:p>
      <w:pPr>
        <w:pStyle w:val="BodyText"/>
        <w:spacing w:before="8"/>
        <w:rPr>
          <w:sz w:val="20"/>
        </w:rPr>
      </w:pPr>
      <w:r>
        <w:rPr/>
        <w:pict>
          <v:group style="position:absolute;margin-left:100.777405pt;margin-top:13.871617pt;width:461.1pt;height:388.15pt;mso-position-horizontal-relative:page;mso-position-vertical-relative:paragraph;z-index:3016;mso-wrap-distance-left:0;mso-wrap-distance-right:0" coordorigin="2016,277" coordsize="9222,7763">
            <v:rect style="position:absolute;left:2035;top:297;width:9182;height:7723" filled="false" stroked="true" strokeweight="1.92pt" strokecolor="#000000"/>
            <v:rect style="position:absolute;left:2225;top:1706;width:1622;height:427" filled="true" fillcolor="#c0504d" stroked="false">
              <v:fill opacity="32899f" type="solid"/>
            </v:rect>
            <v:shape style="position:absolute;left:2237;top:1785;width:1594;height:259" type="#_x0000_t75" stroked="false">
              <v:imagedata r:id="rId54" o:title=""/>
            </v:shape>
            <v:rect style="position:absolute;left:4015;top:1706;width:1622;height:427" filled="true" fillcolor="#c0504d" stroked="false">
              <v:fill opacity="32899f" type="solid"/>
            </v:rect>
            <v:shape style="position:absolute;left:4027;top:1785;width:1594;height:259" type="#_x0000_t75" stroked="false">
              <v:imagedata r:id="rId54" o:title=""/>
            </v:shape>
            <v:shape style="position:absolute;left:9413;top:1679;width:1646;height:451" type="#_x0000_t75" stroked="false">
              <v:imagedata r:id="rId55" o:title=""/>
            </v:shape>
            <v:shape style="position:absolute;left:7603;top:1679;width:1646;height:451" type="#_x0000_t75" stroked="false">
              <v:imagedata r:id="rId56" o:title=""/>
            </v:shape>
            <v:shape style="position:absolute;left:5813;top:1679;width:1646;height:451" type="#_x0000_t75" stroked="false">
              <v:imagedata r:id="rId55" o:title=""/>
            </v:shape>
            <v:shape style="position:absolute;left:5467;top:2956;width:2314;height:538" type="#_x0000_t75" stroked="false">
              <v:imagedata r:id="rId57" o:title=""/>
            </v:shape>
            <v:shape style="position:absolute;left:5645;top:4103;width:1954;height:552" type="#_x0000_t75" stroked="false">
              <v:imagedata r:id="rId58" o:title=""/>
            </v:shape>
            <v:shape style="position:absolute;left:2405;top:748;width:8419;height:355" type="#_x0000_t75" stroked="false">
              <v:imagedata r:id="rId59" o:title=""/>
            </v:shape>
            <v:shape style="position:absolute;left:3835;top:1247;width:5558;height:264" type="#_x0000_t75" stroked="false">
              <v:imagedata r:id="rId60" o:title=""/>
            </v:shape>
            <v:shape style="position:absolute;left:5649;top:5255;width:1958;height:437" type="#_x0000_t75" stroked="false">
              <v:imagedata r:id="rId61" o:title=""/>
            </v:shape>
            <v:shape style="position:absolute;left:3106;top:2140;width:2362;height:1217" coordorigin="3106,2140" coordsize="2362,1217" path="m3127,2140l3111,2140,3106,2146,3106,3303,3111,3309,5347,3309,5347,3357,5467,3297,5443,3285,3130,3285,3130,2155,3127,2155,3127,2140xm5347,3237l5347,3285,5443,3285,5347,3237xm3130,2152l3127,2155,3130,2155,3130,2152xe" filled="true" fillcolor="#000000" stroked="false">
              <v:path arrowok="t"/>
              <v:fill type="solid"/>
            </v:shape>
            <v:shape style="position:absolute;left:4913;top:2140;width:550;height:931" coordorigin="4913,2140" coordsize="550,931" path="m4913,2152l4913,3017,4918,3022,5342,3022,5342,3070,5462,3010,5438,2998,4937,2998,4937,2161,4922,2161,4913,2152xm5342,2950l5342,2998,5438,2998,5342,2950xm4932,2140l4922,2140,4922,2161,4937,2161,4937,2146,4932,2140xe" filled="true" fillcolor="#000000" stroked="false">
              <v:path arrowok="t"/>
              <v:fill type="solid"/>
            </v:shape>
            <v:shape style="position:absolute;left:7788;top:2140;width:2521;height:1211" coordorigin="7788,2140" coordsize="2521,1211" path="m7908,3230l7788,3290,7908,3350,7908,3302,10301,3302,10306,3297,10306,3278,7908,3278,7908,3230xm10309,2140l10288,2140,10282,2146,10282,3278,10306,3278,10306,2164,10309,2164,10309,2140xe" filled="true" fillcolor="#000000" stroked="false">
              <v:path arrowok="t"/>
              <v:fill type="solid"/>
            </v:shape>
            <v:shape style="position:absolute;left:7802;top:2140;width:729;height:934" coordorigin="7802,2140" coordsize="729,934" path="m7922,2954l7802,3014,7922,3074,7922,3026,8525,3026,8531,3020,8531,3002,7922,3002,7922,2954xm8522,2140l8512,2140,8507,2146,8507,3002,8531,3002,8531,2161,8522,2161,8522,2140xm8531,2152l8522,2161,8531,2161,8531,2152xe" filled="true" fillcolor="#000000" stroked="false">
              <v:path arrowok="t"/>
              <v:fill type="solid"/>
            </v:shape>
            <v:shape style="position:absolute;left:6567;top:3582;width:120;height:439" coordorigin="6567,3582" coordsize="120,439" path="m6617,3582l6615,3901,6567,3901,6626,4021,6687,3901,6639,3901,6615,3901,6639,3901,6641,3583,6617,3582xe" filled="true" fillcolor="#000000" stroked="false">
              <v:path arrowok="t"/>
              <v:fill type="solid"/>
            </v:shape>
            <v:shape style="position:absolute;left:6561;top:2128;width:120;height:716" coordorigin="6561,2128" coordsize="120,716" path="m6681,2723l6561,2723,6621,2843,6681,2723xm6633,2128l6609,2128,6609,2723,6633,2723,6633,2128xe" filled="true" fillcolor="#000000" stroked="false">
              <v:path arrowok="t"/>
              <v:fill type="solid"/>
            </v:shape>
            <v:shape style="position:absolute;left:6571;top:4744;width:120;height:431" coordorigin="6571,4744" coordsize="120,431" path="m6638,4744l6614,4744,6619,5055,6571,5055,6633,5175,6691,5054,6643,5054,6638,4744xm6691,5054l6643,5054,6691,5054,6691,5054xe" filled="true" fillcolor="#000000" stroked="false">
              <v:path arrowok="t"/>
              <v:fill type="solid"/>
            </v:shape>
            <v:shape style="position:absolute;left:6571;top:5781;width:120;height:1101" coordorigin="6571,5781" coordsize="120,1101" path="m6643,5781l6619,5781,6619,6761,6571,6761,6631,6881,6691,6761,6643,6761,6643,5781xe" filled="true" fillcolor="#000000" stroked="false">
              <v:path arrowok="t"/>
              <v:fill type="solid"/>
            </v:shape>
            <v:shape style="position:absolute;left:4370;top:5785;width:1785;height:1095" coordorigin="4370,5785" coordsize="1785,1095" path="m4441,6766l4370,6879,4504,6868,4479,6827,4513,6807,4466,6807,4441,6766xm6142,5785l4466,6807,4513,6807,6154,5806,6142,5785xe" filled="true" fillcolor="#000000" stroked="false">
              <v:path arrowok="t"/>
              <v:fill type="solid"/>
            </v:shape>
            <v:shape style="position:absolute;left:7168;top:5785;width:2247;height:1097" coordorigin="7168,5785" coordsize="2247,1097" path="m7179,5785l7168,5806,9301,6838,9280,6881,9414,6879,9366,6816,9312,6816,7179,5785xm9333,6773l9312,6816,9366,6816,9333,6773xe" filled="true" fillcolor="#000000" stroked="false">
              <v:path arrowok="t"/>
              <v:fill type="solid"/>
            </v:shape>
            <v:shape style="position:absolute;left:4370;top:4287;width:1264;height:729" coordorigin="4370,4287" coordsize="1264,729" path="m4445,4905l4370,5016,4504,5009,4480,4967,4517,4946,4468,4946,4445,4905xm5622,4287l4468,4946,4517,4946,5634,4308,5622,4287xe" filled="true" fillcolor="#000000" stroked="false">
              <v:path arrowok="t"/>
              <v:fill type="solid"/>
            </v:shape>
            <v:shape style="position:absolute;left:7609;top:4153;width:2707;height:1445" coordorigin="7609,4153" coordsize="2707,1445" path="m7621,4153l7609,4174,10204,5551,10182,5594,10316,5597,10268,5530,10216,5530,7621,4153xm10238,5488l10216,5530,10268,5530,10238,5488xe" filled="true" fillcolor="#000000" stroked="false">
              <v:path arrowok="t"/>
              <v:fill type="solid"/>
            </v:shape>
            <v:shape style="position:absolute;left:7609;top:4431;width:2167;height:1159" coordorigin="7609,4431" coordsize="2167,1159" path="m7621,4431l7609,4452,9664,5544,9642,5586,9776,5589,9728,5523,9676,5523,7621,4431xm9698,5480l9676,5523,9728,5523,9698,5480xe" filled="true" fillcolor="#000000" stroked="false">
              <v:path arrowok="t"/>
              <v:fill type="solid"/>
            </v:shape>
            <v:shape style="position:absolute;left:8693;top:5587;width:2366;height:874" type="#_x0000_t75" stroked="false">
              <v:imagedata r:id="rId62" o:title=""/>
            </v:shape>
            <v:shape style="position:absolute;left:2405;top:4670;width:1954;height:811" type="#_x0000_t75" stroked="false">
              <v:imagedata r:id="rId63" o:title=""/>
            </v:shape>
            <v:shape style="position:absolute;left:2381;top:6009;width:2006;height:437" type="#_x0000_t75" stroked="false">
              <v:imagedata r:id="rId64" o:title=""/>
            </v:shape>
            <v:shape style="position:absolute;left:7601;top:4080;width:1640;height:120" coordorigin="7601,4080" coordsize="1640,120" path="m9214,4152l9120,4152,9120,4200,9214,4152xm9119,4080l9120,4128,7601,4140,7601,4164,9214,4152,9240,4139,9119,4080xe" filled="true" fillcolor="#000000" stroked="false">
              <v:path arrowok="t"/>
              <v:fill type="solid"/>
            </v:shape>
            <v:shape style="position:absolute;left:8985;top:3820;width:1954;height:730" type="#_x0000_t75" stroked="false">
              <v:imagedata r:id="rId65" o:title=""/>
            </v:shape>
            <v:shape style="position:absolute;left:5649;top:6979;width:1954;height:557" type="#_x0000_t75" stroked="false">
              <v:imagedata r:id="rId66" o:title=""/>
            </v:shape>
            <v:shape style="position:absolute;left:8347;top:6959;width:1954;height:576" type="#_x0000_t75" stroked="false">
              <v:imagedata r:id="rId67" o:title=""/>
            </v:shape>
            <v:shape style="position:absolute;left:3197;top:6964;width:1954;height:571" type="#_x0000_t75" stroked="false">
              <v:imagedata r:id="rId68" o:title=""/>
            </v:shape>
            <v:shape style="position:absolute;left:3342;top:5579;width:120;height:406" coordorigin="3342,5579" coordsize="120,406" path="m3392,5579l3390,5864,3342,5864,3401,5984,3462,5865,3414,5864,3390,5864,3414,5864,3416,5579,3392,5579xe" filled="true" fillcolor="#000000" stroked="false">
              <v:path arrowok="t"/>
              <v:fill type="solid"/>
            </v:shape>
            <v:shape style="position:absolute;left:2217;top:7679;width:7867;height:317" type="#_x0000_t75" stroked="false">
              <v:imagedata r:id="rId69" o:title=""/>
            </v:shape>
            <v:shape style="position:absolute;left:7869;top:4148;width:1867;height:1174" type="#_x0000_t75" stroked="false">
              <v:imagedata r:id="rId70" o:title=""/>
            </v:shape>
            <v:shape style="position:absolute;left:7869;top:4355;width:1834;height:967" type="#_x0000_t75" stroked="false">
              <v:imagedata r:id="rId71" o:title=""/>
            </v:shape>
            <v:shape style="position:absolute;left:7902;top:4148;width:1834;height:967" type="#_x0000_t75" stroked="false">
              <v:imagedata r:id="rId72" o:title=""/>
            </v:shape>
            <v:shape style="position:absolute;left:8257;top:4375;width:1092;height:650" type="#_x0000_t75" stroked="false">
              <v:imagedata r:id="rId73" o:title=""/>
            </v:shape>
            <v:shape style="position:absolute;left:7770;top:4364;width:1845;height:1122" type="#_x0000_t75" stroked="false">
              <v:imagedata r:id="rId74" o:title=""/>
            </v:shape>
            <v:shape style="position:absolute;left:7770;top:4536;width:1816;height:950" type="#_x0000_t75" stroked="false">
              <v:imagedata r:id="rId75" o:title=""/>
            </v:shape>
            <v:shape style="position:absolute;left:7798;top:4364;width:1816;height:950" type="#_x0000_t75" stroked="false">
              <v:imagedata r:id="rId76" o:title=""/>
            </v:shape>
            <v:shape style="position:absolute;left:7981;top:4509;width:1399;height:807" type="#_x0000_t75" stroked="false">
              <v:imagedata r:id="rId77" o:title=""/>
            </v:shape>
            <v:shape style="position:absolute;left:3427;top:818;width:6377;height:696" type="#_x0000_t202" filled="false" stroked="false">
              <v:textbox inset="0,0,0,0">
                <w:txbxContent>
                  <w:p>
                    <w:pPr>
                      <w:spacing w:line="245" w:lineRule="exact" w:before="0"/>
                      <w:ind w:left="0" w:right="0" w:firstLine="0"/>
                      <w:jc w:val="center"/>
                      <w:rPr>
                        <w:b/>
                        <w:sz w:val="24"/>
                      </w:rPr>
                    </w:pPr>
                    <w:r>
                      <w:rPr>
                        <w:b/>
                        <w:color w:val="943634"/>
                        <w:sz w:val="24"/>
                        <w:u w:val="thick" w:color="943634"/>
                      </w:rPr>
                      <w:t>Figura 6. </w:t>
                    </w:r>
                    <w:r>
                      <w:rPr>
                        <w:b/>
                        <w:sz w:val="24"/>
                      </w:rPr>
                      <w:t>Metabolismo de los carbohidratos en el rumen</w:t>
                    </w:r>
                  </w:p>
                  <w:p>
                    <w:pPr>
                      <w:spacing w:line="271" w:lineRule="exact" w:before="180"/>
                      <w:ind w:left="1" w:right="0" w:firstLine="0"/>
                      <w:jc w:val="center"/>
                      <w:rPr>
                        <w:b/>
                        <w:sz w:val="24"/>
                      </w:rPr>
                    </w:pPr>
                    <w:r>
                      <w:rPr>
                        <w:b/>
                        <w:color w:val="C00000"/>
                        <w:sz w:val="24"/>
                      </w:rPr>
                      <w:t>Carbohidratos de la dieta</w:t>
                    </w:r>
                  </w:p>
                </w:txbxContent>
              </v:textbox>
              <w10:wrap type="none"/>
            </v:shape>
            <v:shape style="position:absolute;left:6278;top:1813;width:705;height:197" type="#_x0000_t202" filled="false" stroked="false">
              <v:textbox inset="0,0,0,0">
                <w:txbxContent>
                  <w:p>
                    <w:pPr>
                      <w:spacing w:line="197" w:lineRule="exact" w:before="0"/>
                      <w:ind w:left="0" w:right="0" w:firstLine="0"/>
                      <w:jc w:val="left"/>
                      <w:rPr>
                        <w:b/>
                        <w:sz w:val="19"/>
                      </w:rPr>
                    </w:pPr>
                    <w:r>
                      <w:rPr>
                        <w:b/>
                        <w:sz w:val="19"/>
                      </w:rPr>
                      <w:t>Pectina</w:t>
                    </w:r>
                  </w:p>
                </w:txbxContent>
              </v:textbox>
              <w10:wrap type="none"/>
            </v:shape>
            <v:shape style="position:absolute;left:8006;top:1813;width:830;height:197" type="#_x0000_t202" filled="false" stroked="false">
              <v:textbox inset="0,0,0,0">
                <w:txbxContent>
                  <w:p>
                    <w:pPr>
                      <w:spacing w:line="197" w:lineRule="exact" w:before="0"/>
                      <w:ind w:left="0" w:right="0" w:firstLine="0"/>
                      <w:jc w:val="left"/>
                      <w:rPr>
                        <w:b/>
                        <w:sz w:val="19"/>
                      </w:rPr>
                    </w:pPr>
                    <w:r>
                      <w:rPr>
                        <w:b/>
                        <w:sz w:val="19"/>
                      </w:rPr>
                      <w:t>Fructasa</w:t>
                    </w:r>
                  </w:p>
                </w:txbxContent>
              </v:textbox>
              <w10:wrap type="none"/>
            </v:shape>
            <v:shape style="position:absolute;left:9830;top:1813;width:797;height:197" type="#_x0000_t202" filled="false" stroked="false">
              <v:textbox inset="0,0,0,0">
                <w:txbxContent>
                  <w:p>
                    <w:pPr>
                      <w:spacing w:line="197" w:lineRule="exact" w:before="0"/>
                      <w:ind w:left="0" w:right="0" w:firstLine="0"/>
                      <w:jc w:val="left"/>
                      <w:rPr>
                        <w:b/>
                        <w:sz w:val="19"/>
                      </w:rPr>
                    </w:pPr>
                    <w:r>
                      <w:rPr>
                        <w:b/>
                        <w:sz w:val="19"/>
                      </w:rPr>
                      <w:t>Almidón</w:t>
                    </w:r>
                  </w:p>
                </w:txbxContent>
              </v:textbox>
              <w10:wrap type="none"/>
            </v:shape>
            <v:shape style="position:absolute;left:9360;top:3977;width:1199;height:444" type="#_x0000_t202" filled="false" stroked="false">
              <v:textbox inset="0,0,0,0">
                <w:txbxContent>
                  <w:p>
                    <w:pPr>
                      <w:spacing w:line="200" w:lineRule="exact" w:before="0"/>
                      <w:ind w:left="0" w:right="0" w:firstLine="0"/>
                      <w:jc w:val="center"/>
                      <w:rPr>
                        <w:b/>
                        <w:sz w:val="19"/>
                      </w:rPr>
                    </w:pPr>
                    <w:r>
                      <w:rPr>
                        <w:b/>
                        <w:w w:val="105"/>
                        <w:sz w:val="19"/>
                      </w:rPr>
                      <w:t>Lactato</w:t>
                    </w:r>
                  </w:p>
                  <w:p>
                    <w:pPr>
                      <w:spacing w:line="232" w:lineRule="exact" w:before="12"/>
                      <w:ind w:left="0" w:right="0" w:firstLine="0"/>
                      <w:jc w:val="center"/>
                      <w:rPr>
                        <w:b/>
                        <w:sz w:val="19"/>
                      </w:rPr>
                    </w:pPr>
                    <w:r>
                      <w:rPr>
                        <w:b/>
                        <w:w w:val="105"/>
                        <w:sz w:val="19"/>
                      </w:rPr>
                      <w:t>(2 ATP; 0</w:t>
                    </w:r>
                    <w:r>
                      <w:rPr>
                        <w:b/>
                        <w:spacing w:val="-14"/>
                        <w:w w:val="105"/>
                        <w:sz w:val="19"/>
                      </w:rPr>
                      <w:t> </w:t>
                    </w:r>
                    <w:r>
                      <w:rPr>
                        <w:b/>
                        <w:w w:val="105"/>
                        <w:sz w:val="19"/>
                      </w:rPr>
                      <w:t>H</w:t>
                    </w:r>
                    <w:r>
                      <w:rPr>
                        <w:b/>
                        <w:w w:val="105"/>
                        <w:position w:val="-2"/>
                        <w:sz w:val="13"/>
                      </w:rPr>
                      <w:t>2</w:t>
                    </w:r>
                    <w:r>
                      <w:rPr>
                        <w:b/>
                        <w:w w:val="105"/>
                        <w:sz w:val="19"/>
                      </w:rPr>
                      <w:t>)</w:t>
                    </w:r>
                  </w:p>
                </w:txbxContent>
              </v:textbox>
              <w10:wrap type="none"/>
            </v:shape>
            <v:shape style="position:absolute;left:3182;top:6127;width:390;height:231" type="#_x0000_t202" filled="false" stroked="false">
              <v:textbox inset="0,0,0,0">
                <w:txbxContent>
                  <w:p>
                    <w:pPr>
                      <w:spacing w:line="230" w:lineRule="exact" w:before="0"/>
                      <w:ind w:left="0" w:right="-12" w:firstLine="0"/>
                      <w:jc w:val="left"/>
                      <w:rPr>
                        <w:b/>
                        <w:sz w:val="14"/>
                      </w:rPr>
                    </w:pPr>
                    <w:r>
                      <w:rPr>
                        <w:b/>
                        <w:sz w:val="21"/>
                      </w:rPr>
                      <w:t>CH</w:t>
                    </w:r>
                    <w:r>
                      <w:rPr>
                        <w:b/>
                        <w:position w:val="-2"/>
                        <w:sz w:val="14"/>
                      </w:rPr>
                      <w:t>4</w:t>
                    </w:r>
                  </w:p>
                </w:txbxContent>
              </v:textbox>
              <w10:wrap type="none"/>
            </v:shape>
            <v:shape style="position:absolute;left:8918;top:5720;width:1901;height:693" type="#_x0000_t202" filled="false" stroked="false">
              <v:textbox inset="0,0,0,0">
                <w:txbxContent>
                  <w:p>
                    <w:pPr>
                      <w:spacing w:line="200" w:lineRule="exact" w:before="0"/>
                      <w:ind w:left="406" w:right="401" w:firstLine="0"/>
                      <w:jc w:val="center"/>
                      <w:rPr>
                        <w:b/>
                        <w:sz w:val="19"/>
                      </w:rPr>
                    </w:pPr>
                    <w:r>
                      <w:rPr>
                        <w:b/>
                        <w:w w:val="105"/>
                        <w:sz w:val="19"/>
                      </w:rPr>
                      <w:t>Propionato</w:t>
                    </w:r>
                  </w:p>
                  <w:p>
                    <w:pPr>
                      <w:spacing w:line="264" w:lineRule="auto" w:before="21"/>
                      <w:ind w:left="-1" w:right="0" w:firstLine="7"/>
                      <w:jc w:val="center"/>
                      <w:rPr>
                        <w:b/>
                        <w:sz w:val="13"/>
                      </w:rPr>
                    </w:pPr>
                    <w:r>
                      <w:rPr>
                        <w:b/>
                        <w:w w:val="105"/>
                        <w:sz w:val="19"/>
                      </w:rPr>
                      <w:t>(4 ATP, succionato; 2 ATP, acrilato;</w:t>
                    </w:r>
                    <w:r>
                      <w:rPr>
                        <w:b/>
                        <w:spacing w:val="-15"/>
                        <w:w w:val="105"/>
                        <w:sz w:val="19"/>
                      </w:rPr>
                      <w:t> </w:t>
                    </w:r>
                    <w:r>
                      <w:rPr>
                        <w:b/>
                        <w:w w:val="105"/>
                        <w:sz w:val="19"/>
                      </w:rPr>
                      <w:t>-2H</w:t>
                    </w:r>
                    <w:r>
                      <w:rPr>
                        <w:b/>
                        <w:w w:val="105"/>
                        <w:position w:val="-2"/>
                        <w:sz w:val="13"/>
                      </w:rPr>
                      <w:t>2</w:t>
                    </w:r>
                  </w:p>
                </w:txbxContent>
              </v:textbox>
              <w10:wrap type="none"/>
            </v:shape>
            <v:shape style="position:absolute;left:3571;top:6987;width:1199;height:444" type="#_x0000_t202" filled="false" stroked="false">
              <v:textbox inset="0,0,0,0">
                <w:txbxContent>
                  <w:p>
                    <w:pPr>
                      <w:spacing w:line="200" w:lineRule="exact" w:before="0"/>
                      <w:ind w:left="0" w:right="0" w:firstLine="0"/>
                      <w:jc w:val="center"/>
                      <w:rPr>
                        <w:b/>
                        <w:sz w:val="19"/>
                      </w:rPr>
                    </w:pPr>
                    <w:r>
                      <w:rPr>
                        <w:b/>
                        <w:w w:val="105"/>
                        <w:sz w:val="19"/>
                      </w:rPr>
                      <w:t>Lactato</w:t>
                    </w:r>
                  </w:p>
                  <w:p>
                    <w:pPr>
                      <w:spacing w:line="232" w:lineRule="exact" w:before="12"/>
                      <w:ind w:left="0" w:right="0" w:firstLine="0"/>
                      <w:jc w:val="center"/>
                      <w:rPr>
                        <w:b/>
                        <w:sz w:val="19"/>
                      </w:rPr>
                    </w:pPr>
                    <w:r>
                      <w:rPr>
                        <w:b/>
                        <w:w w:val="105"/>
                        <w:sz w:val="19"/>
                      </w:rPr>
                      <w:t>(2 ATP; 0</w:t>
                    </w:r>
                    <w:r>
                      <w:rPr>
                        <w:b/>
                        <w:spacing w:val="-14"/>
                        <w:w w:val="105"/>
                        <w:sz w:val="19"/>
                      </w:rPr>
                      <w:t> </w:t>
                    </w:r>
                    <w:r>
                      <w:rPr>
                        <w:b/>
                        <w:w w:val="105"/>
                        <w:sz w:val="19"/>
                      </w:rPr>
                      <w:t>H</w:t>
                    </w:r>
                    <w:r>
                      <w:rPr>
                        <w:b/>
                        <w:w w:val="105"/>
                        <w:position w:val="-2"/>
                        <w:sz w:val="13"/>
                      </w:rPr>
                      <w:t>2</w:t>
                    </w:r>
                    <w:r>
                      <w:rPr>
                        <w:b/>
                        <w:w w:val="105"/>
                        <w:sz w:val="19"/>
                      </w:rPr>
                      <w:t>)</w:t>
                    </w:r>
                  </w:p>
                </w:txbxContent>
              </v:textbox>
              <w10:wrap type="none"/>
            </v:shape>
            <v:shape style="position:absolute;left:6024;top:7001;width:1199;height:444" type="#_x0000_t202" filled="false" stroked="false">
              <v:textbox inset="0,0,0,0">
                <w:txbxContent>
                  <w:p>
                    <w:pPr>
                      <w:spacing w:line="200" w:lineRule="exact" w:before="0"/>
                      <w:ind w:left="3" w:right="0" w:firstLine="0"/>
                      <w:jc w:val="center"/>
                      <w:rPr>
                        <w:b/>
                        <w:sz w:val="19"/>
                      </w:rPr>
                    </w:pPr>
                    <w:r>
                      <w:rPr>
                        <w:b/>
                        <w:w w:val="105"/>
                        <w:sz w:val="19"/>
                      </w:rPr>
                      <w:t>Etanol</w:t>
                    </w:r>
                  </w:p>
                  <w:p>
                    <w:pPr>
                      <w:spacing w:line="232" w:lineRule="exact" w:before="12"/>
                      <w:ind w:left="0" w:right="0" w:firstLine="0"/>
                      <w:jc w:val="center"/>
                      <w:rPr>
                        <w:b/>
                        <w:sz w:val="19"/>
                      </w:rPr>
                    </w:pPr>
                    <w:r>
                      <w:rPr>
                        <w:b/>
                        <w:w w:val="105"/>
                        <w:sz w:val="19"/>
                      </w:rPr>
                      <w:t>(2 ATP; 0</w:t>
                    </w:r>
                    <w:r>
                      <w:rPr>
                        <w:b/>
                        <w:spacing w:val="-14"/>
                        <w:w w:val="105"/>
                        <w:sz w:val="19"/>
                      </w:rPr>
                      <w:t> </w:t>
                    </w:r>
                    <w:r>
                      <w:rPr>
                        <w:b/>
                        <w:w w:val="105"/>
                        <w:sz w:val="19"/>
                      </w:rPr>
                      <w:t>H</w:t>
                    </w:r>
                    <w:r>
                      <w:rPr>
                        <w:b/>
                        <w:w w:val="105"/>
                        <w:position w:val="-2"/>
                        <w:sz w:val="13"/>
                      </w:rPr>
                      <w:t>2</w:t>
                    </w:r>
                    <w:r>
                      <w:rPr>
                        <w:b/>
                        <w:w w:val="105"/>
                        <w:sz w:val="19"/>
                      </w:rPr>
                      <w:t>)</w:t>
                    </w:r>
                  </w:p>
                </w:txbxContent>
              </v:textbox>
              <w10:wrap type="none"/>
            </v:shape>
            <v:shape style="position:absolute;left:2225;top:1706;width:1623;height:428" type="#_x0000_t202" filled="false" stroked="true" strokeweight="1.2pt" strokecolor="#000000">
              <v:textbox inset="0,0,0,0">
                <w:txbxContent>
                  <w:p>
                    <w:pPr>
                      <w:spacing w:before="81"/>
                      <w:ind w:left="379" w:right="0" w:firstLine="0"/>
                      <w:jc w:val="left"/>
                      <w:rPr>
                        <w:b/>
                        <w:sz w:val="19"/>
                      </w:rPr>
                    </w:pPr>
                    <w:r>
                      <w:rPr>
                        <w:b/>
                        <w:w w:val="105"/>
                        <w:sz w:val="19"/>
                      </w:rPr>
                      <w:t>Celulosa</w:t>
                    </w:r>
                  </w:p>
                </w:txbxContent>
              </v:textbox>
              <w10:wrap type="none"/>
            </v:shape>
            <v:shape style="position:absolute;left:4015;top:1706;width:1623;height:428" type="#_x0000_t202" filled="false" stroked="true" strokeweight="1.2pt" strokecolor="#000000">
              <v:textbox inset="0,0,0,0">
                <w:txbxContent>
                  <w:p>
                    <w:pPr>
                      <w:spacing w:before="81"/>
                      <w:ind w:left="148" w:right="0" w:firstLine="0"/>
                      <w:jc w:val="left"/>
                      <w:rPr>
                        <w:b/>
                        <w:sz w:val="19"/>
                      </w:rPr>
                    </w:pPr>
                    <w:r>
                      <w:rPr>
                        <w:b/>
                        <w:w w:val="105"/>
                        <w:sz w:val="19"/>
                      </w:rPr>
                      <w:t>Hemicelulosa</w:t>
                    </w:r>
                  </w:p>
                </w:txbxContent>
              </v:textbox>
              <w10:wrap type="none"/>
            </v:shape>
            <v:shape style="position:absolute;left:5455;top:2872;width:2343;height:711" type="#_x0000_t202" filled="false" stroked="true" strokeweight="1.2pt" strokecolor="#000000">
              <v:textbox inset="0,0,0,0">
                <w:txbxContent>
                  <w:p>
                    <w:pPr>
                      <w:spacing w:line="247" w:lineRule="auto" w:before="114"/>
                      <w:ind w:left="657" w:right="0" w:hanging="423"/>
                      <w:jc w:val="left"/>
                      <w:rPr>
                        <w:b/>
                        <w:sz w:val="19"/>
                      </w:rPr>
                    </w:pPr>
                    <w:r>
                      <w:rPr>
                        <w:b/>
                        <w:color w:val="C00000"/>
                        <w:w w:val="105"/>
                        <w:sz w:val="19"/>
                      </w:rPr>
                      <w:t>Varias rutas para la GLUCOSA</w:t>
                    </w:r>
                  </w:p>
                </w:txbxContent>
              </v:textbox>
              <w10:wrap type="none"/>
            </v:shape>
            <v:shape style="position:absolute;left:5633;top:4019;width:1983;height:725" type="#_x0000_t202" filled="false" stroked="true" strokeweight="1.2pt" strokecolor="#000000">
              <v:textbox inset="0,0,0,0">
                <w:txbxContent>
                  <w:p>
                    <w:pPr>
                      <w:spacing w:line="252" w:lineRule="auto" w:before="76"/>
                      <w:ind w:left="652" w:right="375" w:hanging="77"/>
                      <w:jc w:val="left"/>
                      <w:rPr>
                        <w:b/>
                        <w:sz w:val="19"/>
                      </w:rPr>
                    </w:pPr>
                    <w:r>
                      <w:rPr>
                        <w:b/>
                        <w:color w:val="C00000"/>
                        <w:w w:val="105"/>
                        <w:sz w:val="19"/>
                      </w:rPr>
                      <w:t>Piruvato (+ATP)</w:t>
                    </w:r>
                  </w:p>
                </w:txbxContent>
              </v:textbox>
              <w10:wrap type="none"/>
            </v:shape>
            <v:shape style="position:absolute;left:2393;top:4591;width:1983;height:980" type="#_x0000_t202" filled="false" stroked="true" strokeweight="1.2pt" strokecolor="#000000">
              <v:textbox inset="0,0,0,0">
                <w:txbxContent>
                  <w:p>
                    <w:pPr>
                      <w:spacing w:line="252" w:lineRule="auto" w:before="71"/>
                      <w:ind w:left="479" w:right="493" w:firstLine="0"/>
                      <w:jc w:val="center"/>
                      <w:rPr>
                        <w:b/>
                        <w:sz w:val="13"/>
                      </w:rPr>
                    </w:pPr>
                    <w:r>
                      <w:rPr>
                        <w:b/>
                        <w:w w:val="105"/>
                        <w:sz w:val="19"/>
                      </w:rPr>
                      <w:t>(Formiato) CO</w:t>
                    </w:r>
                    <w:r>
                      <w:rPr>
                        <w:b/>
                        <w:w w:val="105"/>
                        <w:position w:val="-2"/>
                        <w:sz w:val="13"/>
                      </w:rPr>
                      <w:t>2</w:t>
                    </w:r>
                  </w:p>
                  <w:p>
                    <w:pPr>
                      <w:spacing w:line="219" w:lineRule="exact" w:before="0"/>
                      <w:ind w:left="479" w:right="481" w:firstLine="0"/>
                      <w:jc w:val="center"/>
                      <w:rPr>
                        <w:b/>
                        <w:sz w:val="13"/>
                      </w:rPr>
                    </w:pPr>
                    <w:r>
                      <w:rPr>
                        <w:b/>
                        <w:sz w:val="19"/>
                      </w:rPr>
                      <w:t>H</w:t>
                    </w:r>
                    <w:r>
                      <w:rPr>
                        <w:b/>
                        <w:position w:val="-2"/>
                        <w:sz w:val="13"/>
                      </w:rPr>
                      <w:t>2</w:t>
                    </w:r>
                  </w:p>
                </w:txbxContent>
              </v:textbox>
              <w10:wrap type="none"/>
            </v:shape>
            <v:shape style="position:absolute;left:5642;top:5171;width:1978;height:610" type="#_x0000_t202" filled="false" stroked="true" strokeweight="1.2pt" strokecolor="#000000">
              <v:textbox inset="0,0,0,0">
                <w:txbxContent>
                  <w:p>
                    <w:pPr>
                      <w:spacing w:line="240" w:lineRule="auto" w:before="9"/>
                      <w:rPr>
                        <w:sz w:val="15"/>
                      </w:rPr>
                    </w:pPr>
                  </w:p>
                  <w:p>
                    <w:pPr>
                      <w:spacing w:before="0"/>
                      <w:ind w:left="460" w:right="0" w:firstLine="0"/>
                      <w:jc w:val="left"/>
                      <w:rPr>
                        <w:b/>
                        <w:sz w:val="19"/>
                      </w:rPr>
                    </w:pPr>
                    <w:r>
                      <w:rPr>
                        <w:b/>
                        <w:color w:val="C00000"/>
                        <w:w w:val="105"/>
                        <w:sz w:val="19"/>
                      </w:rPr>
                      <w:t>Acetil-CoA</w:t>
                    </w:r>
                  </w:p>
                </w:txbxContent>
              </v:textbox>
              <w10:wrap type="none"/>
            </v:shape>
            <v:shape style="position:absolute;left:8335;top:6880;width:1983;height:744" type="#_x0000_t202" filled="false" stroked="true" strokeweight="1.2pt" strokecolor="#000000">
              <v:textbox inset="0,0,0,0">
                <w:txbxContent>
                  <w:p>
                    <w:pPr>
                      <w:spacing w:line="252" w:lineRule="auto" w:before="71"/>
                      <w:ind w:left="374" w:right="375" w:firstLine="216"/>
                      <w:jc w:val="left"/>
                      <w:rPr>
                        <w:b/>
                        <w:sz w:val="19"/>
                      </w:rPr>
                    </w:pPr>
                    <w:r>
                      <w:rPr>
                        <w:b/>
                        <w:w w:val="105"/>
                        <w:sz w:val="19"/>
                      </w:rPr>
                      <w:t>Butirato (3 ATP; 2 H</w:t>
                    </w:r>
                    <w:r>
                      <w:rPr>
                        <w:b/>
                        <w:w w:val="105"/>
                        <w:position w:val="-2"/>
                        <w:sz w:val="13"/>
                      </w:rPr>
                      <w:t>2</w:t>
                    </w:r>
                    <w:r>
                      <w:rPr>
                        <w:b/>
                        <w:w w:val="105"/>
                        <w:sz w:val="19"/>
                      </w:rPr>
                      <w:t>)</w:t>
                    </w:r>
                  </w:p>
                </w:txbxContent>
              </v:textbox>
              <w10:wrap type="none"/>
            </v:shape>
            <w10:wrap type="topAndBottom"/>
          </v:group>
        </w:pict>
      </w:r>
    </w:p>
    <w:p>
      <w:pPr>
        <w:spacing w:before="71"/>
        <w:ind w:left="276" w:right="310" w:firstLine="0"/>
        <w:jc w:val="left"/>
        <w:rPr>
          <w:sz w:val="19"/>
        </w:rPr>
      </w:pPr>
      <w:r>
        <w:rPr>
          <w:b/>
          <w:w w:val="105"/>
          <w:sz w:val="19"/>
        </w:rPr>
        <w:t>Fuente: </w:t>
      </w:r>
      <w:r>
        <w:rPr>
          <w:w w:val="105"/>
          <w:sz w:val="19"/>
        </w:rPr>
        <w:t>simplificado de Van Soest, 1994 y Rusell and Wallace, 1997.</w:t>
      </w:r>
    </w:p>
    <w:p>
      <w:pPr>
        <w:spacing w:after="0"/>
        <w:jc w:val="left"/>
        <w:rPr>
          <w:sz w:val="19"/>
        </w:rPr>
        <w:sectPr>
          <w:pgSz w:w="12240" w:h="15840"/>
          <w:pgMar w:header="741" w:footer="739" w:top="1220" w:bottom="920" w:left="1720" w:right="900"/>
        </w:sectPr>
      </w:pPr>
    </w:p>
    <w:p>
      <w:pPr>
        <w:pStyle w:val="BodyText"/>
        <w:spacing w:before="4"/>
        <w:rPr>
          <w:sz w:val="11"/>
        </w:rPr>
      </w:pPr>
    </w:p>
    <w:p>
      <w:pPr>
        <w:pStyle w:val="BodyText"/>
        <w:spacing w:line="352" w:lineRule="auto" w:before="69"/>
        <w:ind w:left="276" w:right="143"/>
        <w:jc w:val="both"/>
      </w:pPr>
      <w:r>
        <w:rPr/>
        <w:t>Hristov </w:t>
      </w:r>
      <w:r>
        <w:rPr>
          <w:i/>
        </w:rPr>
        <w:t>et al. </w:t>
      </w:r>
      <w:r>
        <w:rPr/>
        <w:t>(2013), señalan que los productos de la fermentación microbiana de los carbohidratos son los ácidos grasos volátiles (AGV), el CH</w:t>
      </w:r>
      <w:r>
        <w:rPr>
          <w:position w:val="-2"/>
          <w:sz w:val="16"/>
        </w:rPr>
        <w:t>4 </w:t>
      </w:r>
      <w:r>
        <w:rPr/>
        <w:t>y el CO</w:t>
      </w:r>
      <w:r>
        <w:rPr>
          <w:position w:val="-2"/>
          <w:sz w:val="16"/>
        </w:rPr>
        <w:t>2</w:t>
      </w:r>
      <w:r>
        <w:rPr/>
        <w:t>. Los alcoholes y el lactato también se forman durante este proceso, pero en general se reconoce que son de poca importante en el rumen (excepto en los casos en que el lactato se acumula causando acidosis ruminal). Como lo ha indicado Van Soest (1994),</w:t>
      </w:r>
      <w:r>
        <w:rPr>
          <w:spacing w:val="-7"/>
        </w:rPr>
        <w:t> </w:t>
      </w:r>
      <w:r>
        <w:rPr/>
        <w:t>el</w:t>
      </w:r>
      <w:r>
        <w:rPr>
          <w:spacing w:val="-7"/>
        </w:rPr>
        <w:t> </w:t>
      </w:r>
      <w:r>
        <w:rPr/>
        <w:t>problema</w:t>
      </w:r>
      <w:r>
        <w:rPr>
          <w:spacing w:val="-7"/>
        </w:rPr>
        <w:t> </w:t>
      </w:r>
      <w:r>
        <w:rPr/>
        <w:t>básico</w:t>
      </w:r>
      <w:r>
        <w:rPr>
          <w:spacing w:val="-7"/>
        </w:rPr>
        <w:t> </w:t>
      </w:r>
      <w:r>
        <w:rPr/>
        <w:t>en</w:t>
      </w:r>
      <w:r>
        <w:rPr>
          <w:spacing w:val="-7"/>
        </w:rPr>
        <w:t> </w:t>
      </w:r>
      <w:r>
        <w:rPr/>
        <w:t>el</w:t>
      </w:r>
      <w:r>
        <w:rPr>
          <w:spacing w:val="-7"/>
        </w:rPr>
        <w:t> </w:t>
      </w:r>
      <w:r>
        <w:rPr/>
        <w:t>metabolismo</w:t>
      </w:r>
      <w:r>
        <w:rPr>
          <w:spacing w:val="-7"/>
        </w:rPr>
        <w:t> </w:t>
      </w:r>
      <w:r>
        <w:rPr/>
        <w:t>anaeróbico</w:t>
      </w:r>
      <w:r>
        <w:rPr>
          <w:spacing w:val="-7"/>
        </w:rPr>
        <w:t> </w:t>
      </w:r>
      <w:r>
        <w:rPr/>
        <w:t>es</w:t>
      </w:r>
      <w:r>
        <w:rPr>
          <w:spacing w:val="-7"/>
        </w:rPr>
        <w:t> </w:t>
      </w:r>
      <w:r>
        <w:rPr/>
        <w:t>el</w:t>
      </w:r>
      <w:r>
        <w:rPr>
          <w:spacing w:val="-7"/>
        </w:rPr>
        <w:t> </w:t>
      </w:r>
      <w:r>
        <w:rPr/>
        <w:t>almacenamiento</w:t>
      </w:r>
      <w:r>
        <w:rPr>
          <w:spacing w:val="-7"/>
        </w:rPr>
        <w:t> </w:t>
      </w:r>
      <w:r>
        <w:rPr/>
        <w:t>del oxígeno</w:t>
      </w:r>
      <w:r>
        <w:rPr>
          <w:spacing w:val="-10"/>
        </w:rPr>
        <w:t> </w:t>
      </w:r>
      <w:r>
        <w:rPr/>
        <w:t>(es</w:t>
      </w:r>
      <w:r>
        <w:rPr>
          <w:spacing w:val="-10"/>
        </w:rPr>
        <w:t> </w:t>
      </w:r>
      <w:r>
        <w:rPr/>
        <w:t>decir,</w:t>
      </w:r>
      <w:r>
        <w:rPr>
          <w:spacing w:val="-10"/>
        </w:rPr>
        <w:t> </w:t>
      </w:r>
      <w:r>
        <w:rPr/>
        <w:t>como</w:t>
      </w:r>
      <w:r>
        <w:rPr>
          <w:spacing w:val="-10"/>
        </w:rPr>
        <w:t> </w:t>
      </w:r>
      <w:r>
        <w:rPr/>
        <w:t>CO</w:t>
      </w:r>
      <w:r>
        <w:rPr>
          <w:position w:val="-2"/>
          <w:sz w:val="16"/>
        </w:rPr>
        <w:t>2</w:t>
      </w:r>
      <w:r>
        <w:rPr/>
        <w:t>)</w:t>
      </w:r>
      <w:r>
        <w:rPr>
          <w:spacing w:val="-10"/>
        </w:rPr>
        <w:t> </w:t>
      </w:r>
      <w:r>
        <w:rPr/>
        <w:t>y</w:t>
      </w:r>
      <w:r>
        <w:rPr>
          <w:spacing w:val="-10"/>
        </w:rPr>
        <w:t> </w:t>
      </w:r>
      <w:r>
        <w:rPr/>
        <w:t>la</w:t>
      </w:r>
      <w:r>
        <w:rPr>
          <w:spacing w:val="-10"/>
        </w:rPr>
        <w:t> </w:t>
      </w:r>
      <w:r>
        <w:rPr/>
        <w:t>eliminación</w:t>
      </w:r>
      <w:r>
        <w:rPr>
          <w:spacing w:val="-10"/>
        </w:rPr>
        <w:t> </w:t>
      </w:r>
      <w:r>
        <w:rPr/>
        <w:t>de</w:t>
      </w:r>
      <w:r>
        <w:rPr>
          <w:spacing w:val="-10"/>
        </w:rPr>
        <w:t> </w:t>
      </w:r>
      <w:r>
        <w:rPr/>
        <w:t>los</w:t>
      </w:r>
      <w:r>
        <w:rPr>
          <w:spacing w:val="-10"/>
        </w:rPr>
        <w:t> </w:t>
      </w:r>
      <w:r>
        <w:rPr/>
        <w:t>equivalentes</w:t>
      </w:r>
      <w:r>
        <w:rPr>
          <w:spacing w:val="-10"/>
        </w:rPr>
        <w:t> </w:t>
      </w:r>
      <w:r>
        <w:rPr/>
        <w:t>de</w:t>
      </w:r>
      <w:r>
        <w:rPr>
          <w:spacing w:val="-10"/>
        </w:rPr>
        <w:t> </w:t>
      </w:r>
      <w:r>
        <w:rPr/>
        <w:t>hidrógeno</w:t>
      </w:r>
      <w:r>
        <w:rPr>
          <w:spacing w:val="-10"/>
        </w:rPr>
        <w:t> </w:t>
      </w:r>
      <w:r>
        <w:rPr/>
        <w:t>(H</w:t>
      </w:r>
      <w:r>
        <w:rPr>
          <w:position w:val="-2"/>
          <w:sz w:val="16"/>
        </w:rPr>
        <w:t>2</w:t>
      </w:r>
      <w:r>
        <w:rPr/>
        <w:t>) (es decir, como CH</w:t>
      </w:r>
      <w:r>
        <w:rPr>
          <w:position w:val="-2"/>
          <w:sz w:val="16"/>
        </w:rPr>
        <w:t>4</w:t>
      </w:r>
      <w:r>
        <w:rPr/>
        <w:t>). El CH</w:t>
      </w:r>
      <w:r>
        <w:rPr>
          <w:position w:val="-2"/>
          <w:sz w:val="16"/>
        </w:rPr>
        <w:t>4</w:t>
      </w:r>
      <w:r>
        <w:rPr/>
        <w:t>, formado a partir del CO</w:t>
      </w:r>
      <w:r>
        <w:rPr>
          <w:position w:val="-2"/>
          <w:sz w:val="16"/>
        </w:rPr>
        <w:t>2 </w:t>
      </w:r>
      <w:r>
        <w:rPr/>
        <w:t>directamente o a través del formiato, es el sumidero más importante de “2H” (el aceptor último de la reducción de los equivalentes de NADH+H</w:t>
      </w:r>
      <w:r>
        <w:rPr>
          <w:position w:val="11"/>
          <w:sz w:val="16"/>
        </w:rPr>
        <w:t>+</w:t>
      </w:r>
      <w:r>
        <w:rPr/>
        <w:t>, FADH</w:t>
      </w:r>
      <w:r>
        <w:rPr>
          <w:position w:val="-2"/>
          <w:sz w:val="16"/>
        </w:rPr>
        <w:t>2</w:t>
      </w:r>
      <w:r>
        <w:rPr/>
        <w:t>, o ferredoxina reducida, comúnmente conocida</w:t>
      </w:r>
      <w:r>
        <w:rPr>
          <w:spacing w:val="-11"/>
        </w:rPr>
        <w:t> </w:t>
      </w:r>
      <w:r>
        <w:rPr/>
        <w:t>como</w:t>
      </w:r>
      <w:r>
        <w:rPr>
          <w:spacing w:val="-11"/>
        </w:rPr>
        <w:t> </w:t>
      </w:r>
      <w:r>
        <w:rPr/>
        <w:t>2H</w:t>
      </w:r>
      <w:r>
        <w:rPr>
          <w:spacing w:val="-11"/>
        </w:rPr>
        <w:t> </w:t>
      </w:r>
      <w:r>
        <w:rPr/>
        <w:t>porque</w:t>
      </w:r>
      <w:r>
        <w:rPr>
          <w:spacing w:val="-11"/>
        </w:rPr>
        <w:t> </w:t>
      </w:r>
      <w:r>
        <w:rPr/>
        <w:t>pares</w:t>
      </w:r>
      <w:r>
        <w:rPr>
          <w:spacing w:val="-11"/>
        </w:rPr>
        <w:t> </w:t>
      </w:r>
      <w:r>
        <w:rPr/>
        <w:t>de</w:t>
      </w:r>
      <w:r>
        <w:rPr>
          <w:spacing w:val="-11"/>
        </w:rPr>
        <w:t> </w:t>
      </w:r>
      <w:r>
        <w:rPr/>
        <w:t>protones</w:t>
      </w:r>
      <w:r>
        <w:rPr>
          <w:spacing w:val="-11"/>
        </w:rPr>
        <w:t> </w:t>
      </w:r>
      <w:r>
        <w:rPr/>
        <w:t>y</w:t>
      </w:r>
      <w:r>
        <w:rPr>
          <w:spacing w:val="-11"/>
        </w:rPr>
        <w:t> </w:t>
      </w:r>
      <w:r>
        <w:rPr/>
        <w:t>electrones</w:t>
      </w:r>
      <w:r>
        <w:rPr>
          <w:spacing w:val="-11"/>
        </w:rPr>
        <w:t> </w:t>
      </w:r>
      <w:r>
        <w:rPr/>
        <w:t>son</w:t>
      </w:r>
      <w:r>
        <w:rPr>
          <w:spacing w:val="-11"/>
        </w:rPr>
        <w:t> </w:t>
      </w:r>
      <w:r>
        <w:rPr/>
        <w:t>donados</w:t>
      </w:r>
      <w:r>
        <w:rPr>
          <w:spacing w:val="-11"/>
        </w:rPr>
        <w:t> </w:t>
      </w:r>
      <w:r>
        <w:rPr/>
        <w:t>y</w:t>
      </w:r>
      <w:r>
        <w:rPr>
          <w:spacing w:val="-11"/>
        </w:rPr>
        <w:t> </w:t>
      </w:r>
      <w:r>
        <w:rPr/>
        <w:t>aceptados en las reacciones metabólicas) en el</w:t>
      </w:r>
      <w:r>
        <w:rPr>
          <w:spacing w:val="-2"/>
        </w:rPr>
        <w:t> </w:t>
      </w:r>
      <w:r>
        <w:rPr/>
        <w:t>rumen:</w:t>
      </w:r>
    </w:p>
    <w:p>
      <w:pPr>
        <w:pStyle w:val="BodyText"/>
      </w:pPr>
    </w:p>
    <w:p>
      <w:pPr>
        <w:pStyle w:val="BodyText"/>
        <w:tabs>
          <w:tab w:pos="3258" w:val="left" w:leader="none"/>
          <w:tab w:pos="6980" w:val="left" w:leader="none"/>
        </w:tabs>
        <w:spacing w:before="152"/>
        <w:ind w:left="1118"/>
      </w:pPr>
      <w:r>
        <w:rPr/>
        <w:t>HCOOH + 6H</w:t>
        <w:tab/>
        <w:t>CH</w:t>
      </w:r>
      <w:r>
        <w:rPr>
          <w:position w:val="-2"/>
          <w:sz w:val="16"/>
        </w:rPr>
        <w:t>4 </w:t>
      </w:r>
      <w:r>
        <w:rPr/>
        <w:t>+ 2H</w:t>
      </w:r>
      <w:r>
        <w:rPr>
          <w:position w:val="-2"/>
          <w:sz w:val="16"/>
        </w:rPr>
        <w:t>2</w:t>
      </w:r>
      <w:r>
        <w:rPr/>
        <w:t>O ó CO</w:t>
      </w:r>
      <w:r>
        <w:rPr>
          <w:position w:val="-2"/>
          <w:sz w:val="16"/>
        </w:rPr>
        <w:t>2</w:t>
      </w:r>
      <w:r>
        <w:rPr>
          <w:spacing w:val="43"/>
          <w:position w:val="-2"/>
          <w:sz w:val="16"/>
        </w:rPr>
        <w:t> </w:t>
      </w:r>
      <w:r>
        <w:rPr/>
        <w:t>+</w:t>
      </w:r>
      <w:r>
        <w:rPr>
          <w:spacing w:val="-1"/>
        </w:rPr>
        <w:t> </w:t>
      </w:r>
      <w:r>
        <w:rPr/>
        <w:t>8H</w:t>
        <w:tab/>
        <w:t>CH</w:t>
      </w:r>
      <w:r>
        <w:rPr>
          <w:position w:val="-2"/>
          <w:sz w:val="16"/>
        </w:rPr>
        <w:t>4 </w:t>
      </w:r>
      <w:r>
        <w:rPr/>
        <w:t>+</w:t>
      </w:r>
      <w:r>
        <w:rPr>
          <w:spacing w:val="20"/>
        </w:rPr>
        <w:t> </w:t>
      </w:r>
      <w:r>
        <w:rPr/>
        <w:t>2H</w:t>
      </w:r>
      <w:r>
        <w:rPr>
          <w:position w:val="-2"/>
          <w:sz w:val="16"/>
        </w:rPr>
        <w:t>2</w:t>
      </w:r>
      <w:r>
        <w:rPr/>
        <w:t>O</w:t>
      </w:r>
    </w:p>
    <w:p>
      <w:pPr>
        <w:pStyle w:val="BodyText"/>
      </w:pPr>
    </w:p>
    <w:p>
      <w:pPr>
        <w:pStyle w:val="BodyText"/>
        <w:spacing w:before="7"/>
        <w:rPr>
          <w:sz w:val="22"/>
        </w:rPr>
      </w:pPr>
    </w:p>
    <w:p>
      <w:pPr>
        <w:pStyle w:val="BodyText"/>
        <w:spacing w:line="355" w:lineRule="auto"/>
        <w:ind w:left="276" w:right="143"/>
        <w:jc w:val="both"/>
      </w:pPr>
      <w:r>
        <w:rPr/>
        <w:t>Aunque el CH</w:t>
      </w:r>
      <w:r>
        <w:rPr>
          <w:position w:val="-2"/>
          <w:sz w:val="16"/>
        </w:rPr>
        <w:t>4 </w:t>
      </w:r>
      <w:r>
        <w:rPr/>
        <w:t>se puede producir a partir de los AGV y existen sumideros de H</w:t>
      </w:r>
      <w:r>
        <w:rPr>
          <w:position w:val="-2"/>
          <w:sz w:val="16"/>
        </w:rPr>
        <w:t>2 </w:t>
      </w:r>
      <w:r>
        <w:rPr/>
        <w:t>en otras</w:t>
      </w:r>
      <w:r>
        <w:rPr>
          <w:spacing w:val="-9"/>
        </w:rPr>
        <w:t> </w:t>
      </w:r>
      <w:r>
        <w:rPr/>
        <w:t>rutas</w:t>
      </w:r>
      <w:r>
        <w:rPr>
          <w:spacing w:val="-9"/>
        </w:rPr>
        <w:t> </w:t>
      </w:r>
      <w:r>
        <w:rPr/>
        <w:t>metabólicas</w:t>
      </w:r>
      <w:r>
        <w:rPr>
          <w:spacing w:val="-9"/>
        </w:rPr>
        <w:t> </w:t>
      </w:r>
      <w:r>
        <w:rPr/>
        <w:t>(acetogénesis,</w:t>
      </w:r>
      <w:r>
        <w:rPr>
          <w:spacing w:val="-9"/>
        </w:rPr>
        <w:t> </w:t>
      </w:r>
      <w:r>
        <w:rPr/>
        <w:t>por</w:t>
      </w:r>
      <w:r>
        <w:rPr>
          <w:spacing w:val="-9"/>
        </w:rPr>
        <w:t> </w:t>
      </w:r>
      <w:r>
        <w:rPr/>
        <w:t>ejemplo),</w:t>
      </w:r>
      <w:r>
        <w:rPr>
          <w:spacing w:val="-9"/>
        </w:rPr>
        <w:t> </w:t>
      </w:r>
      <w:r>
        <w:rPr/>
        <w:t>estos</w:t>
      </w:r>
      <w:r>
        <w:rPr>
          <w:spacing w:val="-9"/>
        </w:rPr>
        <w:t> </w:t>
      </w:r>
      <w:r>
        <w:rPr/>
        <w:t>procesos</w:t>
      </w:r>
      <w:r>
        <w:rPr>
          <w:spacing w:val="-9"/>
        </w:rPr>
        <w:t> </w:t>
      </w:r>
      <w:r>
        <w:rPr/>
        <w:t>parecen</w:t>
      </w:r>
      <w:r>
        <w:rPr>
          <w:spacing w:val="-9"/>
        </w:rPr>
        <w:t> </w:t>
      </w:r>
      <w:r>
        <w:rPr/>
        <w:t>ser</w:t>
      </w:r>
      <w:r>
        <w:rPr>
          <w:spacing w:val="-9"/>
        </w:rPr>
        <w:t> </w:t>
      </w:r>
      <w:r>
        <w:rPr/>
        <w:t>de poca importancia en el rumen (Russell y Wallace, 1997). Como se muestra en la Figura 3, los principales AGV (acetato, propionato y butirato) producen diversas cantidades de H</w:t>
      </w:r>
      <w:r>
        <w:rPr>
          <w:position w:val="-2"/>
          <w:sz w:val="16"/>
        </w:rPr>
        <w:t>2 </w:t>
      </w:r>
      <w:r>
        <w:rPr/>
        <w:t>siendo el propionato un sumidero de 2H disminuyendo de este modo la cantidad total de 2H disponible para reducir el CO</w:t>
      </w:r>
      <w:r>
        <w:rPr>
          <w:position w:val="-2"/>
          <w:sz w:val="16"/>
        </w:rPr>
        <w:t>2 </w:t>
      </w:r>
      <w:r>
        <w:rPr/>
        <w:t>en CH</w:t>
      </w:r>
      <w:r>
        <w:rPr>
          <w:position w:val="-2"/>
          <w:sz w:val="16"/>
        </w:rPr>
        <w:t>4</w:t>
      </w:r>
      <w:r>
        <w:rPr/>
        <w:t>. El propionato se</w:t>
      </w:r>
      <w:r>
        <w:rPr>
          <w:spacing w:val="-16"/>
        </w:rPr>
        <w:t> </w:t>
      </w:r>
      <w:r>
        <w:rPr/>
        <w:t>puede</w:t>
      </w:r>
      <w:r>
        <w:rPr>
          <w:spacing w:val="-16"/>
        </w:rPr>
        <w:t> </w:t>
      </w:r>
      <w:r>
        <w:rPr/>
        <w:t>formar</w:t>
      </w:r>
      <w:r>
        <w:rPr>
          <w:spacing w:val="-16"/>
        </w:rPr>
        <w:t> </w:t>
      </w:r>
      <w:r>
        <w:rPr/>
        <w:t>por</w:t>
      </w:r>
      <w:r>
        <w:rPr>
          <w:spacing w:val="-16"/>
        </w:rPr>
        <w:t> </w:t>
      </w:r>
      <w:r>
        <w:rPr/>
        <w:t>dos</w:t>
      </w:r>
      <w:r>
        <w:rPr>
          <w:spacing w:val="-16"/>
        </w:rPr>
        <w:t> </w:t>
      </w:r>
      <w:r>
        <w:rPr/>
        <w:t>vías</w:t>
      </w:r>
      <w:r>
        <w:rPr>
          <w:spacing w:val="-16"/>
        </w:rPr>
        <w:t> </w:t>
      </w:r>
      <w:r>
        <w:rPr/>
        <w:t>diferentes,</w:t>
      </w:r>
      <w:r>
        <w:rPr>
          <w:spacing w:val="-16"/>
        </w:rPr>
        <w:t> </w:t>
      </w:r>
      <w:r>
        <w:rPr/>
        <w:t>succinato</w:t>
      </w:r>
      <w:r>
        <w:rPr>
          <w:spacing w:val="-16"/>
        </w:rPr>
        <w:t> </w:t>
      </w:r>
      <w:r>
        <w:rPr/>
        <w:t>y</w:t>
      </w:r>
      <w:r>
        <w:rPr>
          <w:spacing w:val="-16"/>
        </w:rPr>
        <w:t> </w:t>
      </w:r>
      <w:r>
        <w:rPr/>
        <w:t>acrilato,</w:t>
      </w:r>
      <w:r>
        <w:rPr>
          <w:spacing w:val="-16"/>
        </w:rPr>
        <w:t> </w:t>
      </w:r>
      <w:r>
        <w:rPr/>
        <w:t>que</w:t>
      </w:r>
      <w:r>
        <w:rPr>
          <w:spacing w:val="-16"/>
        </w:rPr>
        <w:t> </w:t>
      </w:r>
      <w:r>
        <w:rPr/>
        <w:t>implican</w:t>
      </w:r>
      <w:r>
        <w:rPr>
          <w:spacing w:val="-16"/>
        </w:rPr>
        <w:t> </w:t>
      </w:r>
      <w:r>
        <w:rPr/>
        <w:t>diferentes bacterias;</w:t>
      </w:r>
      <w:r>
        <w:rPr>
          <w:spacing w:val="-18"/>
        </w:rPr>
        <w:t> </w:t>
      </w:r>
      <w:r>
        <w:rPr/>
        <w:t>la</w:t>
      </w:r>
      <w:r>
        <w:rPr>
          <w:spacing w:val="-18"/>
        </w:rPr>
        <w:t> </w:t>
      </w:r>
      <w:r>
        <w:rPr/>
        <w:t>ruta</w:t>
      </w:r>
      <w:r>
        <w:rPr>
          <w:spacing w:val="-18"/>
        </w:rPr>
        <w:t> </w:t>
      </w:r>
      <w:r>
        <w:rPr/>
        <w:t>del</w:t>
      </w:r>
      <w:r>
        <w:rPr>
          <w:spacing w:val="-18"/>
        </w:rPr>
        <w:t> </w:t>
      </w:r>
      <w:r>
        <w:rPr/>
        <w:t>succinato</w:t>
      </w:r>
      <w:r>
        <w:rPr>
          <w:spacing w:val="-18"/>
        </w:rPr>
        <w:t> </w:t>
      </w:r>
      <w:r>
        <w:rPr/>
        <w:t>es</w:t>
      </w:r>
      <w:r>
        <w:rPr>
          <w:spacing w:val="-18"/>
        </w:rPr>
        <w:t> </w:t>
      </w:r>
      <w:r>
        <w:rPr/>
        <w:t>considerada</w:t>
      </w:r>
      <w:r>
        <w:rPr>
          <w:spacing w:val="-18"/>
        </w:rPr>
        <w:t> </w:t>
      </w:r>
      <w:r>
        <w:rPr/>
        <w:t>de</w:t>
      </w:r>
      <w:r>
        <w:rPr>
          <w:spacing w:val="-18"/>
        </w:rPr>
        <w:t> </w:t>
      </w:r>
      <w:r>
        <w:rPr/>
        <w:t>primordial</w:t>
      </w:r>
      <w:r>
        <w:rPr>
          <w:spacing w:val="-18"/>
        </w:rPr>
        <w:t> </w:t>
      </w:r>
      <w:r>
        <w:rPr/>
        <w:t>importancia</w:t>
      </w:r>
      <w:r>
        <w:rPr>
          <w:spacing w:val="-18"/>
        </w:rPr>
        <w:t> </w:t>
      </w:r>
      <w:r>
        <w:rPr/>
        <w:t>en</w:t>
      </w:r>
      <w:r>
        <w:rPr>
          <w:spacing w:val="-18"/>
        </w:rPr>
        <w:t> </w:t>
      </w:r>
      <w:r>
        <w:rPr/>
        <w:t>el</w:t>
      </w:r>
      <w:r>
        <w:rPr>
          <w:spacing w:val="-18"/>
        </w:rPr>
        <w:t> </w:t>
      </w:r>
      <w:r>
        <w:rPr/>
        <w:t>rumen (Russell y Wallace, 1997).</w:t>
      </w:r>
    </w:p>
    <w:p>
      <w:pPr>
        <w:pStyle w:val="BodyText"/>
        <w:spacing w:line="355" w:lineRule="auto" w:before="8"/>
        <w:ind w:left="276" w:right="143"/>
        <w:jc w:val="both"/>
      </w:pPr>
      <w:r>
        <w:rPr/>
        <w:t>Recientemente, se ha descrito un nuevo grupo de mentanógenos metilotróficos (el llamado rumen clúster-C) que no requiere hidrógeno como fuente de energía y que al parecer juega un papel importante en la formación de CH</w:t>
      </w:r>
      <w:r>
        <w:rPr>
          <w:position w:val="-2"/>
          <w:sz w:val="16"/>
        </w:rPr>
        <w:t>4 </w:t>
      </w:r>
      <w:r>
        <w:rPr/>
        <w:t>en los rumiantes (Poulsen </w:t>
      </w:r>
      <w:r>
        <w:rPr>
          <w:i/>
        </w:rPr>
        <w:t>et al.</w:t>
      </w:r>
      <w:r>
        <w:rPr/>
        <w:t>, 2012). La función de estas arqueas en las emisiones de CH</w:t>
      </w:r>
      <w:r>
        <w:rPr>
          <w:position w:val="-2"/>
          <w:sz w:val="16"/>
        </w:rPr>
        <w:t>4 </w:t>
      </w:r>
      <w:r>
        <w:rPr/>
        <w:t>aún está por confirmarse, pero se trata de un avance importante que podría explicar la falta de relación entre la reducción observada en la producción de CH</w:t>
      </w:r>
      <w:r>
        <w:rPr>
          <w:position w:val="-2"/>
          <w:sz w:val="16"/>
        </w:rPr>
        <w:t>4 </w:t>
      </w:r>
      <w:r>
        <w:rPr/>
        <w:t>y la abundancia de los metanógenos tradicionales hidrogenotróficos del rumen (Karnati</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i/>
        </w:rPr>
        <w:t>et</w:t>
      </w:r>
      <w:r>
        <w:rPr>
          <w:i/>
          <w:spacing w:val="-7"/>
        </w:rPr>
        <w:t> </w:t>
      </w:r>
      <w:r>
        <w:rPr>
          <w:i/>
        </w:rPr>
        <w:t>al.,</w:t>
      </w:r>
      <w:r>
        <w:rPr>
          <w:i/>
          <w:spacing w:val="-7"/>
        </w:rPr>
        <w:t> </w:t>
      </w:r>
      <w:r>
        <w:rPr/>
        <w:t>2009;</w:t>
      </w:r>
      <w:r>
        <w:rPr>
          <w:spacing w:val="-7"/>
        </w:rPr>
        <w:t> </w:t>
      </w:r>
      <w:r>
        <w:rPr/>
        <w:t>Tekippe</w:t>
      </w:r>
      <w:r>
        <w:rPr>
          <w:spacing w:val="-7"/>
        </w:rPr>
        <w:t> </w:t>
      </w:r>
      <w:r>
        <w:rPr>
          <w:i/>
        </w:rPr>
        <w:t>et</w:t>
      </w:r>
      <w:r>
        <w:rPr>
          <w:i/>
          <w:spacing w:val="-7"/>
        </w:rPr>
        <w:t> </w:t>
      </w:r>
      <w:r>
        <w:rPr>
          <w:i/>
        </w:rPr>
        <w:t>al.</w:t>
      </w:r>
      <w:r>
        <w:rPr/>
        <w:t>,</w:t>
      </w:r>
      <w:r>
        <w:rPr>
          <w:spacing w:val="-7"/>
        </w:rPr>
        <w:t> </w:t>
      </w:r>
      <w:r>
        <w:rPr/>
        <w:t>2011).</w:t>
      </w:r>
      <w:r>
        <w:rPr>
          <w:spacing w:val="-7"/>
        </w:rPr>
        <w:t> </w:t>
      </w:r>
      <w:r>
        <w:rPr/>
        <w:t>Sin</w:t>
      </w:r>
      <w:r>
        <w:rPr>
          <w:spacing w:val="-7"/>
        </w:rPr>
        <w:t> </w:t>
      </w:r>
      <w:r>
        <w:rPr/>
        <w:t>embargo,</w:t>
      </w:r>
      <w:r>
        <w:rPr>
          <w:spacing w:val="-7"/>
        </w:rPr>
        <w:t> </w:t>
      </w:r>
      <w:r>
        <w:rPr/>
        <w:t>la</w:t>
      </w:r>
      <w:r>
        <w:rPr>
          <w:spacing w:val="-7"/>
        </w:rPr>
        <w:t> </w:t>
      </w:r>
      <w:r>
        <w:rPr/>
        <w:t>importancia</w:t>
      </w:r>
      <w:r>
        <w:rPr>
          <w:spacing w:val="-7"/>
        </w:rPr>
        <w:t> </w:t>
      </w:r>
      <w:r>
        <w:rPr/>
        <w:t>relativa</w:t>
      </w:r>
      <w:r>
        <w:rPr>
          <w:spacing w:val="-7"/>
        </w:rPr>
        <w:t> </w:t>
      </w:r>
      <w:r>
        <w:rPr/>
        <w:t>de</w:t>
      </w:r>
      <w:r>
        <w:rPr>
          <w:spacing w:val="-7"/>
        </w:rPr>
        <w:t> </w:t>
      </w:r>
      <w:r>
        <w:rPr/>
        <w:t>la</w:t>
      </w:r>
      <w:r>
        <w:rPr>
          <w:spacing w:val="-7"/>
        </w:rPr>
        <w:t> </w:t>
      </w:r>
      <w:r>
        <w:rPr/>
        <w:t>ruta</w:t>
      </w:r>
      <w:r>
        <w:rPr>
          <w:spacing w:val="-7"/>
        </w:rPr>
        <w:t> </w:t>
      </w:r>
      <w:r>
        <w:rPr/>
        <w:t>del acrilato se puede aumentar en las dietas con contenido alto de concentrado. El valerato, un AGV de menor importancia resultante del metabolismo de los carbohidratos, también puede ser un sumidero neto para la reducción de equivalentes (Russell y Wallace, 1997), pero debido a su menor abundancia, esta vía solo se traduce en una ligera disminución en la producción de H</w:t>
      </w:r>
      <w:r>
        <w:rPr>
          <w:position w:val="-2"/>
          <w:sz w:val="16"/>
        </w:rPr>
        <w:t>2</w:t>
      </w:r>
      <w:r>
        <w:rPr/>
        <w:t>. Los otro dos AGV también de menor importancia en el rumen, isobutirato e isovalerato, se originan en el metabolismo de los aminoácidos de cadena ramificada (leucina y valina</w:t>
      </w:r>
      <w:r>
        <w:rPr>
          <w:spacing w:val="-16"/>
        </w:rPr>
        <w:t> </w:t>
      </w:r>
      <w:r>
        <w:rPr/>
        <w:t>respectivamente),</w:t>
      </w:r>
      <w:r>
        <w:rPr>
          <w:spacing w:val="-16"/>
        </w:rPr>
        <w:t> </w:t>
      </w:r>
      <w:r>
        <w:rPr/>
        <w:t>lo</w:t>
      </w:r>
      <w:r>
        <w:rPr>
          <w:spacing w:val="-16"/>
        </w:rPr>
        <w:t> </w:t>
      </w:r>
      <w:r>
        <w:rPr/>
        <w:t>que</w:t>
      </w:r>
      <w:r>
        <w:rPr>
          <w:spacing w:val="-16"/>
        </w:rPr>
        <w:t> </w:t>
      </w:r>
      <w:r>
        <w:rPr/>
        <w:t>genera</w:t>
      </w:r>
      <w:r>
        <w:rPr>
          <w:spacing w:val="-16"/>
        </w:rPr>
        <w:t> </w:t>
      </w:r>
      <w:r>
        <w:rPr/>
        <w:t>en</w:t>
      </w:r>
      <w:r>
        <w:rPr>
          <w:spacing w:val="-16"/>
        </w:rPr>
        <w:t> </w:t>
      </w:r>
      <w:r>
        <w:rPr/>
        <w:t>la</w:t>
      </w:r>
      <w:r>
        <w:rPr>
          <w:spacing w:val="-16"/>
        </w:rPr>
        <w:t> </w:t>
      </w:r>
      <w:r>
        <w:rPr/>
        <w:t>formación</w:t>
      </w:r>
      <w:r>
        <w:rPr>
          <w:spacing w:val="-16"/>
        </w:rPr>
        <w:t> </w:t>
      </w:r>
      <w:r>
        <w:rPr/>
        <w:t>de</w:t>
      </w:r>
      <w:r>
        <w:rPr>
          <w:spacing w:val="-16"/>
        </w:rPr>
        <w:t> </w:t>
      </w:r>
      <w:r>
        <w:rPr/>
        <w:t>CO</w:t>
      </w:r>
      <w:r>
        <w:rPr>
          <w:position w:val="-2"/>
          <w:sz w:val="16"/>
        </w:rPr>
        <w:t>2</w:t>
      </w:r>
      <w:r>
        <w:rPr>
          <w:spacing w:val="7"/>
          <w:position w:val="-2"/>
          <w:sz w:val="16"/>
        </w:rPr>
        <w:t> </w:t>
      </w:r>
      <w:r>
        <w:rPr/>
        <w:t>y</w:t>
      </w:r>
      <w:r>
        <w:rPr>
          <w:spacing w:val="-16"/>
        </w:rPr>
        <w:t> </w:t>
      </w:r>
      <w:r>
        <w:rPr/>
        <w:t>de</w:t>
      </w:r>
      <w:r>
        <w:rPr>
          <w:spacing w:val="-16"/>
        </w:rPr>
        <w:t> </w:t>
      </w:r>
      <w:r>
        <w:rPr/>
        <w:t>NH</w:t>
      </w:r>
      <w:r>
        <w:rPr>
          <w:position w:val="-2"/>
          <w:sz w:val="16"/>
        </w:rPr>
        <w:t>3</w:t>
      </w:r>
      <w:r>
        <w:rPr>
          <w:spacing w:val="7"/>
          <w:position w:val="-2"/>
          <w:sz w:val="16"/>
        </w:rPr>
        <w:t> </w:t>
      </w:r>
      <w:r>
        <w:rPr/>
        <w:t>(Van</w:t>
      </w:r>
      <w:r>
        <w:rPr>
          <w:spacing w:val="-16"/>
        </w:rPr>
        <w:t> </w:t>
      </w:r>
      <w:r>
        <w:rPr/>
        <w:t>Soest, 1994; Hristov </w:t>
      </w:r>
      <w:r>
        <w:rPr>
          <w:i/>
        </w:rPr>
        <w:t>et al.</w:t>
      </w:r>
      <w:r>
        <w:rPr/>
        <w:t>,</w:t>
      </w:r>
      <w:r>
        <w:rPr>
          <w:spacing w:val="-6"/>
        </w:rPr>
        <w:t> </w:t>
      </w:r>
      <w:r>
        <w:rPr/>
        <w:t>2013).</w:t>
      </w:r>
    </w:p>
    <w:p>
      <w:pPr>
        <w:pStyle w:val="BodyText"/>
        <w:spacing w:line="357" w:lineRule="auto" w:before="5"/>
        <w:ind w:left="276" w:right="143"/>
        <w:jc w:val="both"/>
      </w:pPr>
      <w:r>
        <w:rPr/>
        <w:t>Como fue propuesto por Wolin (1960), es posible elaborar un balance teórico de fermentación para una distribución molecular dada. En este balance, los</w:t>
      </w:r>
      <w:r>
        <w:rPr>
          <w:spacing w:val="-11"/>
        </w:rPr>
        <w:t> </w:t>
      </w:r>
      <w:r>
        <w:rPr/>
        <w:t>supuestos principales incluyen 1) que los únicos productos de la fermentación son acetato, propionato, butirato, CO</w:t>
      </w:r>
      <w:r>
        <w:rPr>
          <w:position w:val="-2"/>
          <w:sz w:val="16"/>
        </w:rPr>
        <w:t>2 </w:t>
      </w:r>
      <w:r>
        <w:rPr/>
        <w:t>y CH</w:t>
      </w:r>
      <w:r>
        <w:rPr>
          <w:position w:val="-2"/>
          <w:sz w:val="16"/>
        </w:rPr>
        <w:t>4</w:t>
      </w:r>
      <w:r>
        <w:rPr/>
        <w:t>; 2) que todos los productos de la fermentación se forman a partir de los carbohidratos de las plantas con el monómero de fórmula C</w:t>
      </w:r>
      <w:r>
        <w:rPr>
          <w:position w:val="-2"/>
          <w:sz w:val="16"/>
        </w:rPr>
        <w:t>6</w:t>
      </w:r>
      <w:r>
        <w:rPr/>
        <w:t>H</w:t>
      </w:r>
      <w:r>
        <w:rPr>
          <w:position w:val="-2"/>
          <w:sz w:val="16"/>
        </w:rPr>
        <w:t>12</w:t>
      </w:r>
      <w:r>
        <w:rPr/>
        <w:t>O</w:t>
      </w:r>
      <w:r>
        <w:rPr>
          <w:position w:val="-2"/>
          <w:sz w:val="16"/>
        </w:rPr>
        <w:t>6 </w:t>
      </w:r>
      <w:r>
        <w:rPr/>
        <w:t>(glucosa). El estado de oxidación del sustrato (el número de átomos por molécula, menos la mitad del número de átomos de H por molécula) tiene que ser igual al de los productos. Por lo tanto (en las siguientes ecuaciones todos los productos se expresan en moles):</w:t>
      </w:r>
    </w:p>
    <w:p>
      <w:pPr>
        <w:pStyle w:val="BodyText"/>
        <w:spacing w:before="5"/>
        <w:ind w:left="130"/>
        <w:jc w:val="center"/>
      </w:pPr>
      <w:r>
        <w:rPr/>
        <w:t>2 CO</w:t>
      </w:r>
      <w:r>
        <w:rPr>
          <w:position w:val="-2"/>
          <w:sz w:val="16"/>
        </w:rPr>
        <w:t>2 </w:t>
      </w:r>
      <w:r>
        <w:rPr/>
        <w:t>– 2 CH</w:t>
      </w:r>
      <w:r>
        <w:rPr>
          <w:position w:val="-2"/>
          <w:sz w:val="16"/>
        </w:rPr>
        <w:t>4 </w:t>
      </w:r>
      <w:r>
        <w:rPr/>
        <w:t>+ 0 acetato – 1 propionato – 2 butirato = 0 glucosa</w:t>
      </w:r>
    </w:p>
    <w:p>
      <w:pPr>
        <w:pStyle w:val="BodyText"/>
        <w:spacing w:line="352" w:lineRule="auto" w:before="123"/>
        <w:ind w:left="276" w:right="144"/>
        <w:jc w:val="both"/>
      </w:pPr>
      <w:r>
        <w:rPr/>
        <w:t>Como todo el CH</w:t>
      </w:r>
      <w:r>
        <w:rPr>
          <w:position w:val="-2"/>
          <w:sz w:val="16"/>
        </w:rPr>
        <w:t>4 </w:t>
      </w:r>
      <w:r>
        <w:rPr/>
        <w:t>debe surgir a expensas del CO</w:t>
      </w:r>
      <w:r>
        <w:rPr>
          <w:position w:val="-2"/>
          <w:sz w:val="16"/>
        </w:rPr>
        <w:t>2</w:t>
      </w:r>
      <w:r>
        <w:rPr/>
        <w:t>, que es un producto de la formación del acetato y del butirato:</w:t>
      </w:r>
    </w:p>
    <w:p>
      <w:pPr>
        <w:pStyle w:val="BodyText"/>
        <w:spacing w:before="11"/>
        <w:ind w:left="130"/>
        <w:jc w:val="center"/>
      </w:pPr>
      <w:r>
        <w:rPr/>
        <w:t>CH</w:t>
      </w:r>
      <w:r>
        <w:rPr>
          <w:position w:val="-2"/>
          <w:sz w:val="16"/>
        </w:rPr>
        <w:t>4 </w:t>
      </w:r>
      <w:r>
        <w:rPr/>
        <w:t>+ CO</w:t>
      </w:r>
      <w:r>
        <w:rPr>
          <w:position w:val="-2"/>
          <w:sz w:val="16"/>
        </w:rPr>
        <w:t>2 </w:t>
      </w:r>
      <w:r>
        <w:rPr/>
        <w:t>= acetato + 2 butirato</w:t>
      </w:r>
    </w:p>
    <w:p>
      <w:pPr>
        <w:pStyle w:val="BodyText"/>
        <w:spacing w:line="348" w:lineRule="auto" w:before="123"/>
        <w:ind w:left="132"/>
        <w:jc w:val="center"/>
      </w:pPr>
      <w:r>
        <w:rPr/>
        <w:t>Después de reorganizar las ecuaciones anteriores, los moles de CO</w:t>
      </w:r>
      <w:r>
        <w:rPr>
          <w:position w:val="-2"/>
          <w:sz w:val="16"/>
        </w:rPr>
        <w:t>2 </w:t>
      </w:r>
      <w:r>
        <w:rPr/>
        <w:t>y de CH</w:t>
      </w:r>
      <w:r>
        <w:rPr>
          <w:position w:val="-2"/>
          <w:sz w:val="16"/>
        </w:rPr>
        <w:t>4 </w:t>
      </w:r>
      <w:r>
        <w:rPr/>
        <w:t>son: CO</w:t>
      </w:r>
      <w:r>
        <w:rPr>
          <w:position w:val="-2"/>
          <w:sz w:val="16"/>
        </w:rPr>
        <w:t>2  </w:t>
      </w:r>
      <w:r>
        <w:rPr/>
        <w:t>= 0,5 acetato + 0,25 propionato + 1,5 butirato</w:t>
      </w:r>
    </w:p>
    <w:p>
      <w:pPr>
        <w:pStyle w:val="BodyText"/>
        <w:spacing w:line="286" w:lineRule="exact"/>
        <w:ind w:left="129"/>
        <w:jc w:val="center"/>
        <w:rPr>
          <w:sz w:val="16"/>
        </w:rPr>
      </w:pPr>
      <w:r>
        <w:rPr/>
        <w:t>CH</w:t>
      </w:r>
      <w:r>
        <w:rPr>
          <w:position w:val="-2"/>
          <w:sz w:val="16"/>
        </w:rPr>
        <w:t>4 </w:t>
      </w:r>
      <w:r>
        <w:rPr/>
        <w:t>= acetato + 2 butirato – CO</w:t>
      </w:r>
      <w:r>
        <w:rPr>
          <w:position w:val="-2"/>
          <w:sz w:val="16"/>
        </w:rPr>
        <w:t>2</w:t>
      </w:r>
    </w:p>
    <w:p>
      <w:pPr>
        <w:pStyle w:val="BodyText"/>
        <w:spacing w:line="360" w:lineRule="auto" w:before="128"/>
        <w:ind w:left="276" w:right="143"/>
        <w:jc w:val="both"/>
      </w:pPr>
      <w:r>
        <w:rPr/>
        <w:t>Estequiométricamente,</w:t>
      </w:r>
      <w:r>
        <w:rPr>
          <w:spacing w:val="-9"/>
        </w:rPr>
        <w:t> </w:t>
      </w:r>
      <w:r>
        <w:rPr/>
        <w:t>1mol</w:t>
      </w:r>
      <w:r>
        <w:rPr>
          <w:spacing w:val="-8"/>
        </w:rPr>
        <w:t> </w:t>
      </w:r>
      <w:r>
        <w:rPr/>
        <w:t>de</w:t>
      </w:r>
      <w:r>
        <w:rPr>
          <w:spacing w:val="-8"/>
        </w:rPr>
        <w:t> </w:t>
      </w:r>
      <w:r>
        <w:rPr/>
        <w:t>acetato</w:t>
      </w:r>
      <w:r>
        <w:rPr>
          <w:spacing w:val="-8"/>
        </w:rPr>
        <w:t> </w:t>
      </w:r>
      <w:r>
        <w:rPr/>
        <w:t>se</w:t>
      </w:r>
      <w:r>
        <w:rPr>
          <w:spacing w:val="-8"/>
        </w:rPr>
        <w:t> </w:t>
      </w:r>
      <w:r>
        <w:rPr/>
        <w:t>puede</w:t>
      </w:r>
      <w:r>
        <w:rPr>
          <w:spacing w:val="-8"/>
        </w:rPr>
        <w:t> </w:t>
      </w:r>
      <w:r>
        <w:rPr/>
        <w:t>originar</w:t>
      </w:r>
      <w:r>
        <w:rPr>
          <w:spacing w:val="-9"/>
        </w:rPr>
        <w:t> </w:t>
      </w:r>
      <w:r>
        <w:rPr/>
        <w:t>de</w:t>
      </w:r>
      <w:r>
        <w:rPr>
          <w:spacing w:val="-8"/>
        </w:rPr>
        <w:t> </w:t>
      </w:r>
      <w:r>
        <w:rPr/>
        <w:t>la</w:t>
      </w:r>
      <w:r>
        <w:rPr>
          <w:spacing w:val="-8"/>
        </w:rPr>
        <w:t> </w:t>
      </w:r>
      <w:r>
        <w:rPr/>
        <w:t>fermentación</w:t>
      </w:r>
      <w:r>
        <w:rPr>
          <w:spacing w:val="-8"/>
        </w:rPr>
        <w:t> </w:t>
      </w:r>
      <w:r>
        <w:rPr/>
        <w:t>de</w:t>
      </w:r>
      <w:r>
        <w:rPr>
          <w:spacing w:val="-8"/>
        </w:rPr>
        <w:t> </w:t>
      </w:r>
      <w:r>
        <w:rPr/>
        <w:t>0,5 moles de glucosa. Del mismo modo, 1 mol de propionato se puede formar a partir de</w:t>
      </w:r>
      <w:r>
        <w:rPr>
          <w:spacing w:val="-3"/>
        </w:rPr>
        <w:t> </w:t>
      </w:r>
      <w:r>
        <w:rPr/>
        <w:t>0,5</w:t>
      </w:r>
      <w:r>
        <w:rPr>
          <w:spacing w:val="-3"/>
        </w:rPr>
        <w:t> </w:t>
      </w:r>
      <w:r>
        <w:rPr/>
        <w:t>moles</w:t>
      </w:r>
      <w:r>
        <w:rPr>
          <w:spacing w:val="-3"/>
        </w:rPr>
        <w:t> </w:t>
      </w:r>
      <w:r>
        <w:rPr/>
        <w:t>de</w:t>
      </w:r>
      <w:r>
        <w:rPr>
          <w:spacing w:val="-3"/>
        </w:rPr>
        <w:t> </w:t>
      </w:r>
      <w:r>
        <w:rPr/>
        <w:t>glucosa,</w:t>
      </w:r>
      <w:r>
        <w:rPr>
          <w:spacing w:val="-3"/>
        </w:rPr>
        <w:t> </w:t>
      </w:r>
      <w:r>
        <w:rPr/>
        <w:t>mientras</w:t>
      </w:r>
      <w:r>
        <w:rPr>
          <w:spacing w:val="-3"/>
        </w:rPr>
        <w:t> </w:t>
      </w:r>
      <w:r>
        <w:rPr/>
        <w:t>que</w:t>
      </w:r>
      <w:r>
        <w:rPr>
          <w:spacing w:val="-3"/>
        </w:rPr>
        <w:t> </w:t>
      </w:r>
      <w:r>
        <w:rPr/>
        <w:t>1</w:t>
      </w:r>
      <w:r>
        <w:rPr>
          <w:spacing w:val="-3"/>
        </w:rPr>
        <w:t> </w:t>
      </w:r>
      <w:r>
        <w:rPr/>
        <w:t>mol</w:t>
      </w:r>
      <w:r>
        <w:rPr>
          <w:spacing w:val="-3"/>
        </w:rPr>
        <w:t> </w:t>
      </w:r>
      <w:r>
        <w:rPr/>
        <w:t>de</w:t>
      </w:r>
      <w:r>
        <w:rPr>
          <w:spacing w:val="-3"/>
        </w:rPr>
        <w:t> </w:t>
      </w:r>
      <w:r>
        <w:rPr/>
        <w:t>butirato</w:t>
      </w:r>
      <w:r>
        <w:rPr>
          <w:spacing w:val="-3"/>
        </w:rPr>
        <w:t> </w:t>
      </w:r>
      <w:r>
        <w:rPr/>
        <w:t>se</w:t>
      </w:r>
      <w:r>
        <w:rPr>
          <w:spacing w:val="-4"/>
        </w:rPr>
        <w:t> </w:t>
      </w:r>
      <w:r>
        <w:rPr/>
        <w:t>puede</w:t>
      </w:r>
      <w:r>
        <w:rPr>
          <w:spacing w:val="-3"/>
        </w:rPr>
        <w:t> </w:t>
      </w:r>
      <w:r>
        <w:rPr/>
        <w:t>originar</w:t>
      </w:r>
      <w:r>
        <w:rPr>
          <w:spacing w:val="-3"/>
        </w:rPr>
        <w:t> </w:t>
      </w:r>
      <w:r>
        <w:rPr/>
        <w:t>de</w:t>
      </w:r>
      <w:r>
        <w:rPr>
          <w:spacing w:val="-3"/>
        </w:rPr>
        <w:t> </w:t>
      </w:r>
      <w:r>
        <w:rPr/>
        <w:t>1</w:t>
      </w:r>
      <w:r>
        <w:rPr>
          <w:spacing w:val="-3"/>
        </w:rPr>
        <w:t> </w:t>
      </w:r>
      <w:r>
        <w:rPr/>
        <w:t>mol de glucosa. Por lo consiguiente la cantidad de glucosa (moles) fermentada</w:t>
      </w:r>
      <w:r>
        <w:rPr>
          <w:spacing w:val="-1"/>
        </w:rPr>
        <w:t> </w:t>
      </w:r>
      <w:r>
        <w:rPr/>
        <w:t>será:</w:t>
      </w:r>
    </w:p>
    <w:p>
      <w:pPr>
        <w:pStyle w:val="BodyText"/>
        <w:spacing w:before="7"/>
        <w:ind w:left="130"/>
        <w:jc w:val="center"/>
      </w:pPr>
      <w:r>
        <w:rPr/>
        <w:t>C</w:t>
      </w:r>
      <w:r>
        <w:rPr>
          <w:position w:val="-2"/>
          <w:sz w:val="16"/>
        </w:rPr>
        <w:t>6</w:t>
      </w:r>
      <w:r>
        <w:rPr/>
        <w:t>H</w:t>
      </w:r>
      <w:r>
        <w:rPr>
          <w:position w:val="-2"/>
          <w:sz w:val="16"/>
        </w:rPr>
        <w:t>12</w:t>
      </w:r>
      <w:r>
        <w:rPr/>
        <w:t>O</w:t>
      </w:r>
      <w:r>
        <w:rPr>
          <w:position w:val="-2"/>
          <w:sz w:val="16"/>
        </w:rPr>
        <w:t>6 </w:t>
      </w:r>
      <w:r>
        <w:rPr/>
        <w:t>= 0,5 acetato + 0,5 propionato + butirato</w:t>
      </w:r>
    </w:p>
    <w:p>
      <w:pPr>
        <w:spacing w:after="0"/>
        <w:jc w:val="center"/>
        <w:sectPr>
          <w:footerReference w:type="default" r:id="rId78"/>
          <w:pgSz w:w="12240" w:h="15840"/>
          <w:pgMar w:footer="739" w:header="741" w:top="1220" w:bottom="920" w:left="1720" w:right="1260"/>
        </w:sectPr>
      </w:pPr>
    </w:p>
    <w:p>
      <w:pPr>
        <w:pStyle w:val="BodyText"/>
        <w:spacing w:before="4"/>
        <w:rPr>
          <w:sz w:val="11"/>
        </w:rPr>
      </w:pPr>
    </w:p>
    <w:p>
      <w:pPr>
        <w:pStyle w:val="BodyText"/>
        <w:spacing w:line="357" w:lineRule="auto" w:before="69"/>
        <w:ind w:left="276" w:right="143"/>
        <w:jc w:val="both"/>
      </w:pPr>
      <w:r>
        <w:rPr/>
        <w:t>Asumiendo unas proporciones moleculares de AGV de 0,65 (acetato), 0,20 (propionato) y 0,15 (butirato), sobre la base de las ecuaciones anteriores 1 mol de AGV</w:t>
      </w:r>
      <w:r>
        <w:rPr>
          <w:spacing w:val="-6"/>
        </w:rPr>
        <w:t> </w:t>
      </w:r>
      <w:r>
        <w:rPr/>
        <w:t>total</w:t>
      </w:r>
      <w:r>
        <w:rPr>
          <w:spacing w:val="-6"/>
        </w:rPr>
        <w:t> </w:t>
      </w:r>
      <w:r>
        <w:rPr/>
        <w:t>surge</w:t>
      </w:r>
      <w:r>
        <w:rPr>
          <w:spacing w:val="-6"/>
        </w:rPr>
        <w:t> </w:t>
      </w:r>
      <w:r>
        <w:rPr/>
        <w:t>de</w:t>
      </w:r>
      <w:r>
        <w:rPr>
          <w:spacing w:val="-6"/>
        </w:rPr>
        <w:t> </w:t>
      </w:r>
      <w:r>
        <w:rPr/>
        <w:t>la</w:t>
      </w:r>
      <w:r>
        <w:rPr>
          <w:spacing w:val="-6"/>
        </w:rPr>
        <w:t> </w:t>
      </w:r>
      <w:r>
        <w:rPr/>
        <w:t>fermentación</w:t>
      </w:r>
      <w:r>
        <w:rPr>
          <w:spacing w:val="-6"/>
        </w:rPr>
        <w:t> </w:t>
      </w:r>
      <w:r>
        <w:rPr/>
        <w:t>de</w:t>
      </w:r>
      <w:r>
        <w:rPr>
          <w:spacing w:val="-6"/>
        </w:rPr>
        <w:t> </w:t>
      </w:r>
      <w:r>
        <w:rPr/>
        <w:t>0,575</w:t>
      </w:r>
      <w:r>
        <w:rPr>
          <w:spacing w:val="-6"/>
        </w:rPr>
        <w:t> </w:t>
      </w:r>
      <w:r>
        <w:rPr/>
        <w:t>moles</w:t>
      </w:r>
      <w:r>
        <w:rPr>
          <w:spacing w:val="-6"/>
        </w:rPr>
        <w:t> </w:t>
      </w:r>
      <w:r>
        <w:rPr/>
        <w:t>de</w:t>
      </w:r>
      <w:r>
        <w:rPr>
          <w:spacing w:val="-6"/>
        </w:rPr>
        <w:t> </w:t>
      </w:r>
      <w:r>
        <w:rPr/>
        <w:t>glucosa</w:t>
      </w:r>
      <w:r>
        <w:rPr>
          <w:spacing w:val="-6"/>
        </w:rPr>
        <w:t> </w:t>
      </w:r>
      <w:r>
        <w:rPr/>
        <w:t>y</w:t>
      </w:r>
      <w:r>
        <w:rPr>
          <w:spacing w:val="-6"/>
        </w:rPr>
        <w:t> </w:t>
      </w:r>
      <w:r>
        <w:rPr/>
        <w:t>se</w:t>
      </w:r>
      <w:r>
        <w:rPr>
          <w:spacing w:val="-6"/>
        </w:rPr>
        <w:t> </w:t>
      </w:r>
      <w:r>
        <w:rPr/>
        <w:t>asocia</w:t>
      </w:r>
      <w:r>
        <w:rPr>
          <w:spacing w:val="-6"/>
        </w:rPr>
        <w:t> </w:t>
      </w:r>
      <w:r>
        <w:rPr/>
        <w:t>con</w:t>
      </w:r>
      <w:r>
        <w:rPr>
          <w:spacing w:val="-6"/>
        </w:rPr>
        <w:t> </w:t>
      </w:r>
      <w:r>
        <w:rPr/>
        <w:t>0,60 moles de CO</w:t>
      </w:r>
      <w:r>
        <w:rPr>
          <w:position w:val="-2"/>
          <w:sz w:val="16"/>
        </w:rPr>
        <w:t>2 </w:t>
      </w:r>
      <w:r>
        <w:rPr/>
        <w:t>y 0,35 moles of CH</w:t>
      </w:r>
      <w:r>
        <w:rPr>
          <w:position w:val="-2"/>
          <w:sz w:val="16"/>
        </w:rPr>
        <w:t>4</w:t>
      </w:r>
      <w:r>
        <w:rPr/>
        <w:t>. En otras palabras, en este ejemplo, 1 mol de glucosa produce 0,61moles de CH</w:t>
      </w:r>
      <w:r>
        <w:rPr>
          <w:position w:val="-2"/>
          <w:sz w:val="16"/>
        </w:rPr>
        <w:t>4 </w:t>
      </w:r>
      <w:r>
        <w:rPr/>
        <w:t>(Hristov </w:t>
      </w:r>
      <w:r>
        <w:rPr>
          <w:i/>
        </w:rPr>
        <w:t>et al.</w:t>
      </w:r>
      <w:r>
        <w:rPr/>
        <w:t>,</w:t>
      </w:r>
      <w:r>
        <w:rPr>
          <w:spacing w:val="14"/>
        </w:rPr>
        <w:t> </w:t>
      </w:r>
      <w:r>
        <w:rPr/>
        <w:t>2013).</w:t>
      </w:r>
    </w:p>
    <w:p>
      <w:pPr>
        <w:pStyle w:val="BodyText"/>
        <w:spacing w:line="355" w:lineRule="auto"/>
        <w:ind w:left="276" w:right="143"/>
        <w:jc w:val="both"/>
      </w:pPr>
      <w:r>
        <w:rPr/>
        <w:t>Es importante señalar que el balance estequiométrico anterior es válido sólo bajo dos supuestos generales (parafraseando a Van Soest, 1994 y con base en Wolin, 1960):</w:t>
      </w:r>
      <w:r>
        <w:rPr>
          <w:spacing w:val="-12"/>
        </w:rPr>
        <w:t> </w:t>
      </w:r>
      <w:r>
        <w:rPr/>
        <w:t>1)</w:t>
      </w:r>
      <w:r>
        <w:rPr>
          <w:spacing w:val="-12"/>
        </w:rPr>
        <w:t> </w:t>
      </w:r>
      <w:r>
        <w:rPr/>
        <w:t>que</w:t>
      </w:r>
      <w:r>
        <w:rPr>
          <w:spacing w:val="-12"/>
        </w:rPr>
        <w:t> </w:t>
      </w:r>
      <w:r>
        <w:rPr/>
        <w:t>todo</w:t>
      </w:r>
      <w:r>
        <w:rPr>
          <w:spacing w:val="-12"/>
        </w:rPr>
        <w:t> </w:t>
      </w:r>
      <w:r>
        <w:rPr/>
        <w:t>el</w:t>
      </w:r>
      <w:r>
        <w:rPr>
          <w:spacing w:val="-12"/>
        </w:rPr>
        <w:t> </w:t>
      </w:r>
      <w:r>
        <w:rPr/>
        <w:t>exceso</w:t>
      </w:r>
      <w:r>
        <w:rPr>
          <w:spacing w:val="-12"/>
        </w:rPr>
        <w:t> </w:t>
      </w:r>
      <w:r>
        <w:rPr/>
        <w:t>de</w:t>
      </w:r>
      <w:r>
        <w:rPr>
          <w:spacing w:val="-12"/>
        </w:rPr>
        <w:t> </w:t>
      </w:r>
      <w:r>
        <w:rPr/>
        <w:t>H</w:t>
      </w:r>
      <w:r>
        <w:rPr>
          <w:position w:val="-2"/>
          <w:sz w:val="16"/>
        </w:rPr>
        <w:t>2</w:t>
      </w:r>
      <w:r>
        <w:rPr>
          <w:spacing w:val="11"/>
          <w:position w:val="-2"/>
          <w:sz w:val="16"/>
        </w:rPr>
        <w:t> </w:t>
      </w:r>
      <w:r>
        <w:rPr/>
        <w:t>se</w:t>
      </w:r>
      <w:r>
        <w:rPr>
          <w:spacing w:val="-12"/>
        </w:rPr>
        <w:t> </w:t>
      </w:r>
      <w:r>
        <w:rPr/>
        <w:t>acumula</w:t>
      </w:r>
      <w:r>
        <w:rPr>
          <w:spacing w:val="-12"/>
        </w:rPr>
        <w:t> </w:t>
      </w:r>
      <w:r>
        <w:rPr/>
        <w:t>como</w:t>
      </w:r>
      <w:r>
        <w:rPr>
          <w:spacing w:val="-12"/>
        </w:rPr>
        <w:t> </w:t>
      </w:r>
      <w:r>
        <w:rPr/>
        <w:t>CH</w:t>
      </w:r>
      <w:r>
        <w:rPr>
          <w:position w:val="-2"/>
          <w:sz w:val="16"/>
        </w:rPr>
        <w:t>4</w:t>
      </w:r>
      <w:r>
        <w:rPr/>
        <w:t>,</w:t>
      </w:r>
      <w:r>
        <w:rPr>
          <w:spacing w:val="-12"/>
        </w:rPr>
        <w:t> </w:t>
      </w:r>
      <w:r>
        <w:rPr/>
        <w:t>lo</w:t>
      </w:r>
      <w:r>
        <w:rPr>
          <w:spacing w:val="-12"/>
        </w:rPr>
        <w:t> </w:t>
      </w:r>
      <w:r>
        <w:rPr/>
        <w:t>que</w:t>
      </w:r>
      <w:r>
        <w:rPr>
          <w:spacing w:val="-12"/>
        </w:rPr>
        <w:t> </w:t>
      </w:r>
      <w:r>
        <w:rPr/>
        <w:t>excluye</w:t>
      </w:r>
      <w:r>
        <w:rPr>
          <w:spacing w:val="-12"/>
        </w:rPr>
        <w:t> </w:t>
      </w:r>
      <w:r>
        <w:rPr/>
        <w:t>sumideros alternativos contenidos naturalmente en los alimentos o añadidos en la dieta con propósitos de mitigación y que el H</w:t>
      </w:r>
      <w:r>
        <w:rPr>
          <w:position w:val="-2"/>
          <w:sz w:val="16"/>
        </w:rPr>
        <w:t>2 </w:t>
      </w:r>
      <w:r>
        <w:rPr/>
        <w:t>no se acumula y es espirado; 2) que no se considera el crecimiento microbiano, que puede proporcionar un sumidero alternativo de H</w:t>
      </w:r>
      <w:r>
        <w:rPr>
          <w:position w:val="-2"/>
          <w:sz w:val="16"/>
        </w:rPr>
        <w:t>2 </w:t>
      </w:r>
      <w:r>
        <w:rPr/>
        <w:t>en la proteína y en los lípidos microbianos (Hristov </w:t>
      </w:r>
      <w:r>
        <w:rPr>
          <w:i/>
        </w:rPr>
        <w:t>et al.</w:t>
      </w:r>
      <w:r>
        <w:rPr/>
        <w:t>,</w:t>
      </w:r>
      <w:r>
        <w:rPr>
          <w:spacing w:val="11"/>
        </w:rPr>
        <w:t> </w:t>
      </w:r>
      <w:r>
        <w:rPr/>
        <w:t>2013).</w:t>
      </w:r>
    </w:p>
    <w:p>
      <w:pPr>
        <w:pStyle w:val="BodyText"/>
        <w:spacing w:line="350" w:lineRule="auto"/>
        <w:ind w:left="276" w:right="143"/>
        <w:jc w:val="both"/>
      </w:pPr>
      <w:r>
        <w:rPr/>
        <w:t>Janssen (2010) estimó que la cantidad de CH</w:t>
      </w:r>
      <w:r>
        <w:rPr>
          <w:position w:val="-2"/>
          <w:sz w:val="16"/>
        </w:rPr>
        <w:t>4 </w:t>
      </w:r>
      <w:r>
        <w:rPr/>
        <w:t>formada a partir de la fermentación de</w:t>
      </w:r>
      <w:r>
        <w:rPr>
          <w:spacing w:val="-17"/>
        </w:rPr>
        <w:t> </w:t>
      </w:r>
      <w:r>
        <w:rPr/>
        <w:t>la</w:t>
      </w:r>
      <w:r>
        <w:rPr>
          <w:spacing w:val="-17"/>
        </w:rPr>
        <w:t> </w:t>
      </w:r>
      <w:r>
        <w:rPr/>
        <w:t>glucosa</w:t>
      </w:r>
      <w:r>
        <w:rPr>
          <w:spacing w:val="-17"/>
        </w:rPr>
        <w:t> </w:t>
      </w:r>
      <w:r>
        <w:rPr/>
        <w:t>en</w:t>
      </w:r>
      <w:r>
        <w:rPr>
          <w:spacing w:val="-17"/>
        </w:rPr>
        <w:t> </w:t>
      </w:r>
      <w:r>
        <w:rPr/>
        <w:t>el</w:t>
      </w:r>
      <w:r>
        <w:rPr>
          <w:spacing w:val="-17"/>
        </w:rPr>
        <w:t> </w:t>
      </w:r>
      <w:r>
        <w:rPr/>
        <w:t>rumen</w:t>
      </w:r>
      <w:r>
        <w:rPr>
          <w:spacing w:val="-17"/>
        </w:rPr>
        <w:t> </w:t>
      </w:r>
      <w:r>
        <w:rPr/>
        <w:t>puede</w:t>
      </w:r>
      <w:r>
        <w:rPr>
          <w:spacing w:val="-17"/>
        </w:rPr>
        <w:t> </w:t>
      </w:r>
      <w:r>
        <w:rPr/>
        <w:t>variar</w:t>
      </w:r>
      <w:r>
        <w:rPr>
          <w:spacing w:val="-17"/>
        </w:rPr>
        <w:t> </w:t>
      </w:r>
      <w:r>
        <w:rPr/>
        <w:t>de</w:t>
      </w:r>
      <w:r>
        <w:rPr>
          <w:spacing w:val="-17"/>
        </w:rPr>
        <w:t> </w:t>
      </w:r>
      <w:r>
        <w:rPr/>
        <w:t>0</w:t>
      </w:r>
      <w:r>
        <w:rPr>
          <w:spacing w:val="-17"/>
        </w:rPr>
        <w:t> </w:t>
      </w:r>
      <w:r>
        <w:rPr/>
        <w:t>(0,67</w:t>
      </w:r>
      <w:r>
        <w:rPr>
          <w:spacing w:val="-17"/>
        </w:rPr>
        <w:t> </w:t>
      </w:r>
      <w:r>
        <w:rPr/>
        <w:t>acetato</w:t>
      </w:r>
      <w:r>
        <w:rPr>
          <w:spacing w:val="-17"/>
        </w:rPr>
        <w:t> </w:t>
      </w:r>
      <w:r>
        <w:rPr/>
        <w:t>+</w:t>
      </w:r>
      <w:r>
        <w:rPr>
          <w:spacing w:val="-17"/>
        </w:rPr>
        <w:t> </w:t>
      </w:r>
      <w:r>
        <w:rPr/>
        <w:t>1,33</w:t>
      </w:r>
      <w:r>
        <w:rPr>
          <w:spacing w:val="-17"/>
        </w:rPr>
        <w:t> </w:t>
      </w:r>
      <w:r>
        <w:rPr/>
        <w:t>propionato;</w:t>
      </w:r>
      <w:r>
        <w:rPr>
          <w:spacing w:val="-17"/>
        </w:rPr>
        <w:t> </w:t>
      </w:r>
      <w:r>
        <w:rPr/>
        <w:t>ninguna producción neta de H</w:t>
      </w:r>
      <w:r>
        <w:rPr>
          <w:position w:val="-2"/>
          <w:sz w:val="16"/>
        </w:rPr>
        <w:t>2</w:t>
      </w:r>
      <w:r>
        <w:rPr/>
        <w:t>) a 1 (2 acetato + 4H</w:t>
      </w:r>
      <w:r>
        <w:rPr>
          <w:position w:val="-2"/>
          <w:sz w:val="16"/>
        </w:rPr>
        <w:t>2</w:t>
      </w:r>
      <w:r>
        <w:rPr/>
        <w:t>) mol CH</w:t>
      </w:r>
      <w:r>
        <w:rPr>
          <w:position w:val="-2"/>
          <w:sz w:val="16"/>
        </w:rPr>
        <w:t>4</w:t>
      </w:r>
      <w:r>
        <w:rPr/>
        <w:t>/mol glucosa, y concluyó también que la producción de CH</w:t>
      </w:r>
      <w:r>
        <w:rPr>
          <w:position w:val="-2"/>
          <w:sz w:val="16"/>
        </w:rPr>
        <w:t>4 </w:t>
      </w:r>
      <w:r>
        <w:rPr/>
        <w:t>en el rumen depende de la cantidad de H</w:t>
      </w:r>
      <w:r>
        <w:rPr>
          <w:position w:val="-2"/>
          <w:sz w:val="16"/>
        </w:rPr>
        <w:t>2 </w:t>
      </w:r>
      <w:r>
        <w:rPr/>
        <w:t>formado</w:t>
      </w:r>
      <w:r>
        <w:rPr>
          <w:spacing w:val="-4"/>
        </w:rPr>
        <w:t> </w:t>
      </w:r>
      <w:r>
        <w:rPr/>
        <w:t>y</w:t>
      </w:r>
      <w:r>
        <w:rPr>
          <w:spacing w:val="-4"/>
        </w:rPr>
        <w:t> </w:t>
      </w:r>
      <w:r>
        <w:rPr/>
        <w:t>por</w:t>
      </w:r>
      <w:r>
        <w:rPr>
          <w:spacing w:val="-4"/>
        </w:rPr>
        <w:t> </w:t>
      </w:r>
      <w:r>
        <w:rPr/>
        <w:t>lo</w:t>
      </w:r>
      <w:r>
        <w:rPr>
          <w:spacing w:val="-4"/>
        </w:rPr>
        <w:t> </w:t>
      </w:r>
      <w:r>
        <w:rPr/>
        <w:t>tanto</w:t>
      </w:r>
      <w:r>
        <w:rPr>
          <w:spacing w:val="-4"/>
        </w:rPr>
        <w:t> </w:t>
      </w:r>
      <w:r>
        <w:rPr/>
        <w:t>de</w:t>
      </w:r>
      <w:r>
        <w:rPr>
          <w:spacing w:val="-4"/>
        </w:rPr>
        <w:t> </w:t>
      </w:r>
      <w:r>
        <w:rPr/>
        <w:t>la</w:t>
      </w:r>
      <w:r>
        <w:rPr>
          <w:spacing w:val="-4"/>
        </w:rPr>
        <w:t> </w:t>
      </w:r>
      <w:r>
        <w:rPr/>
        <w:t>actividad</w:t>
      </w:r>
      <w:r>
        <w:rPr>
          <w:spacing w:val="-4"/>
        </w:rPr>
        <w:t> </w:t>
      </w:r>
      <w:r>
        <w:rPr/>
        <w:t>relativa</w:t>
      </w:r>
      <w:r>
        <w:rPr>
          <w:spacing w:val="-4"/>
        </w:rPr>
        <w:t> </w:t>
      </w:r>
      <w:r>
        <w:rPr/>
        <w:t>de</w:t>
      </w:r>
      <w:r>
        <w:rPr>
          <w:spacing w:val="-4"/>
        </w:rPr>
        <w:t> </w:t>
      </w:r>
      <w:r>
        <w:rPr/>
        <w:t>las</w:t>
      </w:r>
      <w:r>
        <w:rPr>
          <w:spacing w:val="-4"/>
        </w:rPr>
        <w:t> </w:t>
      </w:r>
      <w:r>
        <w:rPr/>
        <w:t>diversas</w:t>
      </w:r>
      <w:r>
        <w:rPr>
          <w:spacing w:val="-4"/>
        </w:rPr>
        <w:t> </w:t>
      </w:r>
      <w:r>
        <w:rPr/>
        <w:t>especies</w:t>
      </w:r>
      <w:r>
        <w:rPr>
          <w:spacing w:val="-4"/>
        </w:rPr>
        <w:t> </w:t>
      </w:r>
      <w:r>
        <w:rPr/>
        <w:t>microbianas, que participan en las rutas de fermentación responsables de la producción de H</w:t>
      </w:r>
      <w:r>
        <w:rPr>
          <w:position w:val="-2"/>
          <w:sz w:val="16"/>
        </w:rPr>
        <w:t>2</w:t>
      </w:r>
      <w:r>
        <w:rPr/>
        <w:t>. Según este autor, la concentración de H</w:t>
      </w:r>
      <w:r>
        <w:rPr>
          <w:position w:val="-2"/>
          <w:sz w:val="16"/>
        </w:rPr>
        <w:t>2 </w:t>
      </w:r>
      <w:r>
        <w:rPr/>
        <w:t>en el rumen puede tener influencia sobre las rutas que están activas, posicionando así el H</w:t>
      </w:r>
      <w:r>
        <w:rPr>
          <w:position w:val="-2"/>
          <w:sz w:val="16"/>
        </w:rPr>
        <w:t>2 </w:t>
      </w:r>
      <w:r>
        <w:rPr/>
        <w:t>como un regulador central de la selección de las vías en el rumen (Hristov </w:t>
      </w:r>
      <w:r>
        <w:rPr>
          <w:i/>
        </w:rPr>
        <w:t>et al.</w:t>
      </w:r>
      <w:r>
        <w:rPr/>
        <w:t>,</w:t>
      </w:r>
      <w:r>
        <w:rPr>
          <w:spacing w:val="-6"/>
        </w:rPr>
        <w:t> </w:t>
      </w:r>
      <w:r>
        <w:rPr/>
        <w:t>2013).</w:t>
      </w:r>
    </w:p>
    <w:p>
      <w:pPr>
        <w:pStyle w:val="BodyText"/>
        <w:spacing w:line="350" w:lineRule="auto" w:before="18"/>
        <w:ind w:left="276" w:right="143"/>
        <w:jc w:val="both"/>
      </w:pPr>
      <w:r>
        <w:rPr/>
        <w:pict>
          <v:shape style="position:absolute;margin-left:229.810501pt;margin-top:62.968884pt;width:6.15pt;height:8.4pt;mso-position-horizontal-relative:page;mso-position-vertical-relative:paragraph;z-index:-308992" type="#_x0000_t202" filled="false" stroked="false">
            <v:textbox inset="0,0,0,0">
              <w:txbxContent>
                <w:p>
                  <w:pPr>
                    <w:spacing w:line="168" w:lineRule="exact" w:before="0"/>
                    <w:ind w:left="0" w:right="0" w:firstLine="0"/>
                    <w:jc w:val="left"/>
                    <w:rPr>
                      <w:rFonts w:ascii="Cambria Math"/>
                      <w:sz w:val="16"/>
                    </w:rPr>
                  </w:pPr>
                  <w:r>
                    <w:rPr>
                      <w:rFonts w:ascii="Cambria Math"/>
                      <w:w w:val="322"/>
                      <w:sz w:val="16"/>
                    </w:rPr>
                    <w:t>'</w:t>
                  </w:r>
                </w:p>
              </w:txbxContent>
            </v:textbox>
            <w10:wrap type="none"/>
          </v:shape>
        </w:pict>
      </w:r>
      <w:r>
        <w:rPr/>
        <w:pict>
          <v:shape style="position:absolute;margin-left:186.452103pt;margin-top:146.248886pt;width:6.15pt;height:8.4pt;mso-position-horizontal-relative:page;mso-position-vertical-relative:paragraph;z-index:-308968" type="#_x0000_t202" filled="false" stroked="false">
            <v:textbox inset="0,0,0,0">
              <w:txbxContent>
                <w:p>
                  <w:pPr>
                    <w:spacing w:line="168" w:lineRule="exact" w:before="0"/>
                    <w:ind w:left="0" w:right="0" w:firstLine="0"/>
                    <w:jc w:val="left"/>
                    <w:rPr>
                      <w:rFonts w:ascii="Cambria Math"/>
                      <w:sz w:val="16"/>
                    </w:rPr>
                  </w:pPr>
                  <w:r>
                    <w:rPr>
                      <w:rFonts w:ascii="Cambria Math"/>
                      <w:w w:val="322"/>
                      <w:sz w:val="16"/>
                    </w:rPr>
                    <w:t>'</w:t>
                  </w:r>
                </w:p>
              </w:txbxContent>
            </v:textbox>
            <w10:wrap type="none"/>
          </v:shape>
        </w:pict>
      </w:r>
      <w:r>
        <w:rPr/>
        <w:t>El</w:t>
      </w:r>
      <w:r>
        <w:rPr>
          <w:spacing w:val="-7"/>
        </w:rPr>
        <w:t> </w:t>
      </w:r>
      <w:r>
        <w:rPr/>
        <w:t>modelo</w:t>
      </w:r>
      <w:r>
        <w:rPr>
          <w:spacing w:val="-7"/>
        </w:rPr>
        <w:t> </w:t>
      </w:r>
      <w:r>
        <w:rPr/>
        <w:t>propuesto</w:t>
      </w:r>
      <w:r>
        <w:rPr>
          <w:spacing w:val="-7"/>
        </w:rPr>
        <w:t> </w:t>
      </w:r>
      <w:r>
        <w:rPr/>
        <w:t>por</w:t>
      </w:r>
      <w:r>
        <w:rPr>
          <w:spacing w:val="-7"/>
        </w:rPr>
        <w:t> </w:t>
      </w:r>
      <w:r>
        <w:rPr/>
        <w:t>Jansen</w:t>
      </w:r>
      <w:r>
        <w:rPr>
          <w:spacing w:val="-7"/>
        </w:rPr>
        <w:t> </w:t>
      </w:r>
      <w:r>
        <w:rPr/>
        <w:t>(2010),</w:t>
      </w:r>
      <w:r>
        <w:rPr>
          <w:spacing w:val="-7"/>
        </w:rPr>
        <w:t> </w:t>
      </w:r>
      <w:r>
        <w:rPr/>
        <w:t>se</w:t>
      </w:r>
      <w:r>
        <w:rPr>
          <w:spacing w:val="-7"/>
        </w:rPr>
        <w:t> </w:t>
      </w:r>
      <w:r>
        <w:rPr/>
        <w:t>debe</w:t>
      </w:r>
      <w:r>
        <w:rPr>
          <w:spacing w:val="-7"/>
        </w:rPr>
        <w:t> </w:t>
      </w:r>
      <w:r>
        <w:rPr/>
        <w:t>ampliar</w:t>
      </w:r>
      <w:r>
        <w:rPr>
          <w:spacing w:val="-7"/>
        </w:rPr>
        <w:t> </w:t>
      </w:r>
      <w:r>
        <w:rPr/>
        <w:t>cuando</w:t>
      </w:r>
      <w:r>
        <w:rPr>
          <w:spacing w:val="-7"/>
        </w:rPr>
        <w:t> </w:t>
      </w:r>
      <w:r>
        <w:rPr/>
        <w:t>se</w:t>
      </w:r>
      <w:r>
        <w:rPr>
          <w:spacing w:val="-7"/>
        </w:rPr>
        <w:t> </w:t>
      </w:r>
      <w:r>
        <w:rPr/>
        <w:t>utilizan</w:t>
      </w:r>
      <w:r>
        <w:rPr>
          <w:spacing w:val="-7"/>
        </w:rPr>
        <w:t> </w:t>
      </w:r>
      <w:r>
        <w:rPr/>
        <w:t>nitratos u</w:t>
      </w:r>
      <w:r>
        <w:rPr>
          <w:spacing w:val="-11"/>
        </w:rPr>
        <w:t> </w:t>
      </w:r>
      <w:r>
        <w:rPr/>
        <w:t>otros</w:t>
      </w:r>
      <w:r>
        <w:rPr>
          <w:spacing w:val="-11"/>
        </w:rPr>
        <w:t> </w:t>
      </w:r>
      <w:r>
        <w:rPr/>
        <w:t>compuestos</w:t>
      </w:r>
      <w:r>
        <w:rPr>
          <w:spacing w:val="-11"/>
        </w:rPr>
        <w:t> </w:t>
      </w:r>
      <w:r>
        <w:rPr/>
        <w:t>que</w:t>
      </w:r>
      <w:r>
        <w:rPr>
          <w:spacing w:val="-11"/>
        </w:rPr>
        <w:t> </w:t>
      </w:r>
      <w:r>
        <w:rPr/>
        <w:t>compiten</w:t>
      </w:r>
      <w:r>
        <w:rPr>
          <w:spacing w:val="-11"/>
        </w:rPr>
        <w:t> </w:t>
      </w:r>
      <w:r>
        <w:rPr/>
        <w:t>por</w:t>
      </w:r>
      <w:r>
        <w:rPr>
          <w:spacing w:val="-11"/>
        </w:rPr>
        <w:t> </w:t>
      </w:r>
      <w:r>
        <w:rPr/>
        <w:t>electrones.</w:t>
      </w:r>
      <w:r>
        <w:rPr>
          <w:spacing w:val="-11"/>
        </w:rPr>
        <w:t> </w:t>
      </w:r>
      <w:r>
        <w:rPr/>
        <w:t>Puesto</w:t>
      </w:r>
      <w:r>
        <w:rPr>
          <w:spacing w:val="-11"/>
        </w:rPr>
        <w:t> </w:t>
      </w:r>
      <w:r>
        <w:rPr/>
        <w:t>que</w:t>
      </w:r>
      <w:r>
        <w:rPr>
          <w:spacing w:val="-11"/>
        </w:rPr>
        <w:t> </w:t>
      </w:r>
      <w:r>
        <w:rPr/>
        <w:t>los</w:t>
      </w:r>
      <w:r>
        <w:rPr>
          <w:spacing w:val="-11"/>
        </w:rPr>
        <w:t> </w:t>
      </w:r>
      <w:r>
        <w:rPr/>
        <w:t>sulfatos</w:t>
      </w:r>
      <w:r>
        <w:rPr>
          <w:spacing w:val="-11"/>
        </w:rPr>
        <w:t> </w:t>
      </w:r>
      <w:r>
        <w:rPr/>
        <w:t>presentan potenciales problemas con la producción de ácido sulfhídrico (H</w:t>
      </w:r>
      <w:r>
        <w:rPr>
          <w:position w:val="-2"/>
          <w:sz w:val="16"/>
        </w:rPr>
        <w:t>2</w:t>
      </w:r>
      <w:r>
        <w:rPr/>
        <w:t>S) (Uwituze </w:t>
      </w:r>
      <w:r>
        <w:rPr>
          <w:i/>
        </w:rPr>
        <w:t>et al., </w:t>
      </w:r>
      <w:r>
        <w:rPr/>
        <w:t>2011), los nitratos ( </w:t>
      </w:r>
      <w:r>
        <w:rPr>
          <w:rFonts w:ascii="Cambria Math" w:hAnsi="Cambria Math"/>
        </w:rPr>
        <w:t>NO</w:t>
      </w:r>
      <w:r>
        <w:rPr>
          <w:rFonts w:ascii="Cambria Math" w:hAnsi="Cambria Math"/>
          <w:position w:val="-4"/>
          <w:sz w:val="16"/>
        </w:rPr>
        <w:t>&amp; </w:t>
      </w:r>
      <w:r>
        <w:rPr/>
        <w:t>) se perfilan como el aditivo más prometedor. En un experimento realizado por Van Zijderveld </w:t>
      </w:r>
      <w:r>
        <w:rPr>
          <w:i/>
        </w:rPr>
        <w:t>et al. </w:t>
      </w:r>
      <w:r>
        <w:rPr/>
        <w:t>(2011), se pusieron vacas en cámaras</w:t>
      </w:r>
      <w:r>
        <w:rPr>
          <w:spacing w:val="-9"/>
        </w:rPr>
        <w:t> </w:t>
      </w:r>
      <w:r>
        <w:rPr/>
        <w:t>de</w:t>
      </w:r>
      <w:r>
        <w:rPr>
          <w:spacing w:val="-9"/>
        </w:rPr>
        <w:t> </w:t>
      </w:r>
      <w:r>
        <w:rPr/>
        <w:t>respiración</w:t>
      </w:r>
      <w:r>
        <w:rPr>
          <w:spacing w:val="-9"/>
        </w:rPr>
        <w:t> </w:t>
      </w:r>
      <w:r>
        <w:rPr/>
        <w:t>para</w:t>
      </w:r>
      <w:r>
        <w:rPr>
          <w:spacing w:val="-9"/>
        </w:rPr>
        <w:t> </w:t>
      </w:r>
      <w:r>
        <w:rPr/>
        <w:t>medir</w:t>
      </w:r>
      <w:r>
        <w:rPr>
          <w:spacing w:val="-9"/>
        </w:rPr>
        <w:t> </w:t>
      </w:r>
      <w:r>
        <w:rPr/>
        <w:t>la</w:t>
      </w:r>
      <w:r>
        <w:rPr>
          <w:spacing w:val="-9"/>
        </w:rPr>
        <w:t> </w:t>
      </w:r>
      <w:r>
        <w:rPr/>
        <w:t>producción</w:t>
      </w:r>
      <w:r>
        <w:rPr>
          <w:spacing w:val="-9"/>
        </w:rPr>
        <w:t> </w:t>
      </w:r>
      <w:r>
        <w:rPr/>
        <w:t>de</w:t>
      </w:r>
      <w:r>
        <w:rPr>
          <w:spacing w:val="-9"/>
        </w:rPr>
        <w:t> </w:t>
      </w:r>
      <w:r>
        <w:rPr/>
        <w:t>gas</w:t>
      </w:r>
      <w:r>
        <w:rPr>
          <w:spacing w:val="-9"/>
        </w:rPr>
        <w:t> </w:t>
      </w:r>
      <w:r>
        <w:rPr/>
        <w:t>en</w:t>
      </w:r>
      <w:r>
        <w:rPr>
          <w:spacing w:val="-9"/>
        </w:rPr>
        <w:t> </w:t>
      </w:r>
      <w:r>
        <w:rPr/>
        <w:t>tiempo</w:t>
      </w:r>
      <w:r>
        <w:rPr>
          <w:spacing w:val="-9"/>
        </w:rPr>
        <w:t> </w:t>
      </w:r>
      <w:r>
        <w:rPr/>
        <w:t>real,</w:t>
      </w:r>
      <w:r>
        <w:rPr>
          <w:spacing w:val="-9"/>
        </w:rPr>
        <w:t> </w:t>
      </w:r>
      <w:r>
        <w:rPr/>
        <w:t>después</w:t>
      </w:r>
      <w:r>
        <w:rPr>
          <w:spacing w:val="-9"/>
        </w:rPr>
        <w:t> </w:t>
      </w:r>
      <w:r>
        <w:rPr/>
        <w:t>de un</w:t>
      </w:r>
      <w:r>
        <w:rPr>
          <w:spacing w:val="-16"/>
        </w:rPr>
        <w:t> </w:t>
      </w:r>
      <w:r>
        <w:rPr/>
        <w:t>período</w:t>
      </w:r>
      <w:r>
        <w:rPr>
          <w:spacing w:val="-16"/>
        </w:rPr>
        <w:t> </w:t>
      </w:r>
      <w:r>
        <w:rPr/>
        <w:t>de</w:t>
      </w:r>
      <w:r>
        <w:rPr>
          <w:spacing w:val="-16"/>
        </w:rPr>
        <w:t> </w:t>
      </w:r>
      <w:r>
        <w:rPr/>
        <w:t>adaptación</w:t>
      </w:r>
      <w:r>
        <w:rPr>
          <w:spacing w:val="-16"/>
        </w:rPr>
        <w:t> </w:t>
      </w:r>
      <w:r>
        <w:rPr/>
        <w:t>de</w:t>
      </w:r>
      <w:r>
        <w:rPr>
          <w:spacing w:val="-16"/>
        </w:rPr>
        <w:t> </w:t>
      </w:r>
      <w:r>
        <w:rPr/>
        <w:t>los</w:t>
      </w:r>
      <w:r>
        <w:rPr>
          <w:spacing w:val="-16"/>
        </w:rPr>
        <w:t> </w:t>
      </w:r>
      <w:r>
        <w:rPr/>
        <w:t>animales</w:t>
      </w:r>
      <w:r>
        <w:rPr>
          <w:spacing w:val="-16"/>
        </w:rPr>
        <w:t> </w:t>
      </w:r>
      <w:r>
        <w:rPr/>
        <w:t>a</w:t>
      </w:r>
      <w:r>
        <w:rPr>
          <w:spacing w:val="-16"/>
        </w:rPr>
        <w:t> </w:t>
      </w:r>
      <w:r>
        <w:rPr/>
        <w:t>los</w:t>
      </w:r>
      <w:r>
        <w:rPr>
          <w:spacing w:val="-16"/>
        </w:rPr>
        <w:t> </w:t>
      </w:r>
      <w:r>
        <w:rPr/>
        <w:t>nitratos</w:t>
      </w:r>
      <w:r>
        <w:rPr>
          <w:spacing w:val="-16"/>
        </w:rPr>
        <w:t> </w:t>
      </w:r>
      <w:r>
        <w:rPr/>
        <w:t>para</w:t>
      </w:r>
      <w:r>
        <w:rPr>
          <w:spacing w:val="-16"/>
        </w:rPr>
        <w:t> </w:t>
      </w:r>
      <w:r>
        <w:rPr/>
        <w:t>prevenir</w:t>
      </w:r>
      <w:r>
        <w:rPr>
          <w:spacing w:val="-16"/>
        </w:rPr>
        <w:t> </w:t>
      </w:r>
      <w:r>
        <w:rPr/>
        <w:t>la</w:t>
      </w:r>
      <w:r>
        <w:rPr>
          <w:spacing w:val="-16"/>
        </w:rPr>
        <w:t> </w:t>
      </w:r>
      <w:r>
        <w:rPr/>
        <w:t>acumulación de nitritos ( </w:t>
      </w:r>
      <w:r>
        <w:rPr>
          <w:rFonts w:ascii="Cambria Math" w:hAnsi="Cambria Math"/>
        </w:rPr>
        <w:t>NO</w:t>
      </w:r>
      <w:r>
        <w:rPr>
          <w:rFonts w:ascii="Cambria Math" w:hAnsi="Cambria Math"/>
          <w:position w:val="-4"/>
          <w:sz w:val="16"/>
        </w:rPr>
        <w:t>( </w:t>
      </w:r>
      <w:r>
        <w:rPr/>
        <w:t>). La primera medición, efectuada una hora después de la alimentación, ya mostró una producción mucho mayor de H</w:t>
      </w:r>
      <w:r>
        <w:rPr>
          <w:position w:val="-2"/>
          <w:sz w:val="16"/>
        </w:rPr>
        <w:t>2 </w:t>
      </w:r>
      <w:r>
        <w:rPr/>
        <w:t>en las vacas a las</w:t>
      </w:r>
      <w:r>
        <w:rPr>
          <w:spacing w:val="-21"/>
        </w:rPr>
        <w:t> </w:t>
      </w:r>
      <w:r>
        <w:rPr/>
        <w:t>que se</w:t>
      </w:r>
      <w:r>
        <w:rPr>
          <w:spacing w:val="-12"/>
        </w:rPr>
        <w:t> </w:t>
      </w:r>
      <w:r>
        <w:rPr/>
        <w:t>les</w:t>
      </w:r>
      <w:r>
        <w:rPr>
          <w:spacing w:val="-12"/>
        </w:rPr>
        <w:t> </w:t>
      </w:r>
      <w:r>
        <w:rPr/>
        <w:t>suministró</w:t>
      </w:r>
      <w:r>
        <w:rPr>
          <w:spacing w:val="-12"/>
        </w:rPr>
        <w:t> </w:t>
      </w:r>
      <w:r>
        <w:rPr/>
        <w:t>nitrato</w:t>
      </w:r>
      <w:r>
        <w:rPr>
          <w:spacing w:val="-12"/>
        </w:rPr>
        <w:t> </w:t>
      </w:r>
      <w:r>
        <w:rPr/>
        <w:t>en</w:t>
      </w:r>
      <w:r>
        <w:rPr>
          <w:spacing w:val="-12"/>
        </w:rPr>
        <w:t> </w:t>
      </w:r>
      <w:r>
        <w:rPr/>
        <w:t>relación</w:t>
      </w:r>
      <w:r>
        <w:rPr>
          <w:spacing w:val="-12"/>
        </w:rPr>
        <w:t> </w:t>
      </w:r>
      <w:r>
        <w:rPr/>
        <w:t>con</w:t>
      </w:r>
      <w:r>
        <w:rPr>
          <w:spacing w:val="-12"/>
        </w:rPr>
        <w:t> </w:t>
      </w:r>
      <w:r>
        <w:rPr/>
        <w:t>aquellas</w:t>
      </w:r>
      <w:r>
        <w:rPr>
          <w:spacing w:val="-12"/>
        </w:rPr>
        <w:t> </w:t>
      </w:r>
      <w:r>
        <w:rPr/>
        <w:t>que</w:t>
      </w:r>
      <w:r>
        <w:rPr>
          <w:spacing w:val="-12"/>
        </w:rPr>
        <w:t> </w:t>
      </w:r>
      <w:r>
        <w:rPr/>
        <w:t>recibieron</w:t>
      </w:r>
      <w:r>
        <w:rPr>
          <w:spacing w:val="-12"/>
        </w:rPr>
        <w:t> </w:t>
      </w:r>
      <w:r>
        <w:rPr/>
        <w:t>urea</w:t>
      </w:r>
      <w:r>
        <w:rPr>
          <w:spacing w:val="-12"/>
        </w:rPr>
        <w:t> </w:t>
      </w:r>
      <w:r>
        <w:rPr/>
        <w:t>suplementaria.</w:t>
      </w:r>
    </w:p>
    <w:p>
      <w:pPr>
        <w:spacing w:after="0" w:line="350" w:lineRule="auto"/>
        <w:jc w:val="both"/>
        <w:sectPr>
          <w:footerReference w:type="default" r:id="rId79"/>
          <w:pgSz w:w="12240" w:h="15840"/>
          <w:pgMar w:footer="739" w:header="741" w:top="1220" w:bottom="920" w:left="1720" w:right="1260"/>
          <w:pgNumType w:start="41"/>
        </w:sectPr>
      </w:pPr>
    </w:p>
    <w:p>
      <w:pPr>
        <w:pStyle w:val="BodyText"/>
        <w:spacing w:before="4"/>
        <w:rPr>
          <w:sz w:val="11"/>
        </w:rPr>
      </w:pPr>
    </w:p>
    <w:p>
      <w:pPr>
        <w:pStyle w:val="BodyText"/>
        <w:spacing w:line="350" w:lineRule="auto" w:before="69"/>
        <w:ind w:left="276" w:right="144"/>
        <w:jc w:val="both"/>
      </w:pPr>
      <w:r>
        <w:rPr/>
        <w:t>La producción de H</w:t>
      </w:r>
      <w:r>
        <w:rPr>
          <w:position w:val="-2"/>
          <w:sz w:val="16"/>
        </w:rPr>
        <w:t>2 </w:t>
      </w:r>
      <w:r>
        <w:rPr/>
        <w:t>fue más baja la siguiente hora y luego comenzó a subir para reflejar</w:t>
      </w:r>
      <w:r>
        <w:rPr>
          <w:spacing w:val="-4"/>
        </w:rPr>
        <w:t> </w:t>
      </w:r>
      <w:r>
        <w:rPr/>
        <w:t>la</w:t>
      </w:r>
      <w:r>
        <w:rPr>
          <w:spacing w:val="-4"/>
        </w:rPr>
        <w:t> </w:t>
      </w:r>
      <w:r>
        <w:rPr/>
        <w:t>producción</w:t>
      </w:r>
      <w:r>
        <w:rPr>
          <w:spacing w:val="-4"/>
        </w:rPr>
        <w:t> </w:t>
      </w:r>
      <w:r>
        <w:rPr/>
        <w:t>de</w:t>
      </w:r>
      <w:r>
        <w:rPr>
          <w:spacing w:val="-4"/>
        </w:rPr>
        <w:t> </w:t>
      </w:r>
      <w:r>
        <w:rPr/>
        <w:t>CH</w:t>
      </w:r>
      <w:r>
        <w:rPr>
          <w:position w:val="-2"/>
          <w:sz w:val="16"/>
        </w:rPr>
        <w:t>4</w:t>
      </w:r>
      <w:r>
        <w:rPr/>
        <w:t>,</w:t>
      </w:r>
      <w:r>
        <w:rPr>
          <w:spacing w:val="-4"/>
        </w:rPr>
        <w:t> </w:t>
      </w:r>
      <w:r>
        <w:rPr/>
        <w:t>que</w:t>
      </w:r>
      <w:r>
        <w:rPr>
          <w:spacing w:val="-4"/>
        </w:rPr>
        <w:t> </w:t>
      </w:r>
      <w:r>
        <w:rPr/>
        <w:t>entre</w:t>
      </w:r>
      <w:r>
        <w:rPr>
          <w:spacing w:val="-4"/>
        </w:rPr>
        <w:t> </w:t>
      </w:r>
      <w:r>
        <w:rPr/>
        <w:t>las</w:t>
      </w:r>
      <w:r>
        <w:rPr>
          <w:spacing w:val="-4"/>
        </w:rPr>
        <w:t> </w:t>
      </w:r>
      <w:r>
        <w:rPr/>
        <w:t>seis</w:t>
      </w:r>
      <w:r>
        <w:rPr>
          <w:spacing w:val="-4"/>
        </w:rPr>
        <w:t> </w:t>
      </w:r>
      <w:r>
        <w:rPr/>
        <w:t>y</w:t>
      </w:r>
      <w:r>
        <w:rPr>
          <w:spacing w:val="-4"/>
        </w:rPr>
        <w:t> </w:t>
      </w:r>
      <w:r>
        <w:rPr/>
        <w:t>las</w:t>
      </w:r>
      <w:r>
        <w:rPr>
          <w:spacing w:val="-4"/>
        </w:rPr>
        <w:t> </w:t>
      </w:r>
      <w:r>
        <w:rPr/>
        <w:t>ocho</w:t>
      </w:r>
      <w:r>
        <w:rPr>
          <w:spacing w:val="-4"/>
        </w:rPr>
        <w:t> </w:t>
      </w:r>
      <w:r>
        <w:rPr/>
        <w:t>horas,</w:t>
      </w:r>
      <w:r>
        <w:rPr>
          <w:spacing w:val="-4"/>
        </w:rPr>
        <w:t> </w:t>
      </w:r>
      <w:r>
        <w:rPr/>
        <w:t>alcanzó</w:t>
      </w:r>
      <w:r>
        <w:rPr>
          <w:spacing w:val="-4"/>
        </w:rPr>
        <w:t> </w:t>
      </w:r>
      <w:r>
        <w:rPr/>
        <w:t>la</w:t>
      </w:r>
      <w:r>
        <w:rPr>
          <w:spacing w:val="-4"/>
        </w:rPr>
        <w:t> </w:t>
      </w:r>
      <w:r>
        <w:rPr/>
        <w:t>misma cantidad que en las vacas complementadas con urea (Hristov </w:t>
      </w:r>
      <w:r>
        <w:rPr>
          <w:i/>
        </w:rPr>
        <w:t>et al.</w:t>
      </w:r>
      <w:r>
        <w:rPr/>
        <w:t>,</w:t>
      </w:r>
      <w:r>
        <w:rPr>
          <w:spacing w:val="-9"/>
        </w:rPr>
        <w:t> </w:t>
      </w:r>
      <w:r>
        <w:rPr/>
        <w:t>2013).</w:t>
      </w:r>
    </w:p>
    <w:p>
      <w:pPr>
        <w:pStyle w:val="BodyText"/>
        <w:spacing w:line="355" w:lineRule="auto" w:before="13"/>
        <w:ind w:left="276" w:right="143"/>
        <w:jc w:val="both"/>
      </w:pPr>
      <w:r>
        <w:rPr/>
        <w:t>La bacteria </w:t>
      </w:r>
      <w:r>
        <w:rPr>
          <w:i/>
        </w:rPr>
        <w:t>Wollinella succinogenes </w:t>
      </w:r>
      <w:r>
        <w:rPr/>
        <w:t>y otras bacterias emplean nitrato en la respiración anaeróbica usando el H</w:t>
      </w:r>
      <w:r>
        <w:rPr>
          <w:position w:val="-2"/>
          <w:sz w:val="16"/>
        </w:rPr>
        <w:t>2 </w:t>
      </w:r>
      <w:r>
        <w:rPr/>
        <w:t>en condiciones termodinámicas más favorables que las metanógenas (Morgavi </w:t>
      </w:r>
      <w:r>
        <w:rPr>
          <w:i/>
        </w:rPr>
        <w:t>et al.</w:t>
      </w:r>
      <w:r>
        <w:rPr/>
        <w:t>, 2010). Es de suponer que estas bacterias consumirían concentraciones de H</w:t>
      </w:r>
      <w:r>
        <w:rPr>
          <w:position w:val="-2"/>
          <w:sz w:val="16"/>
        </w:rPr>
        <w:t>2 </w:t>
      </w:r>
      <w:r>
        <w:rPr/>
        <w:t>en fase acuosa ([H</w:t>
      </w:r>
      <w:r>
        <w:rPr>
          <w:position w:val="-2"/>
          <w:sz w:val="16"/>
        </w:rPr>
        <w:t>2</w:t>
      </w:r>
      <w:r>
        <w:rPr/>
        <w:t>] (aq)) en competencia con las metanógenas para desviarlo de la metanogénesis hasta que el nitrato se agote. Sin embargo, </w:t>
      </w:r>
      <w:r>
        <w:rPr>
          <w:i/>
        </w:rPr>
        <w:t>W. succinogenes </w:t>
      </w:r>
      <w:r>
        <w:rPr/>
        <w:t>aparentemente tiene un K</w:t>
      </w:r>
      <w:r>
        <w:rPr>
          <w:position w:val="-2"/>
          <w:sz w:val="16"/>
        </w:rPr>
        <w:t>m </w:t>
      </w:r>
      <w:r>
        <w:rPr/>
        <w:t>(constante de Michaelis-Menten) para el H</w:t>
      </w:r>
      <w:r>
        <w:rPr>
          <w:position w:val="-2"/>
          <w:sz w:val="16"/>
        </w:rPr>
        <w:t>2 </w:t>
      </w:r>
      <w:r>
        <w:rPr/>
        <w:t>de dos a cuatro veces más alto que las metanógenas (Asanuma </w:t>
      </w:r>
      <w:r>
        <w:rPr>
          <w:i/>
        </w:rPr>
        <w:t>et al., </w:t>
      </w:r>
      <w:r>
        <w:rPr/>
        <w:t>1999). Por consiguiente, se debe añadir el nitrato suficiente para superar la desventaja de afinidad. El H</w:t>
      </w:r>
      <w:r>
        <w:rPr>
          <w:position w:val="-2"/>
          <w:sz w:val="16"/>
        </w:rPr>
        <w:t>2 </w:t>
      </w:r>
      <w:r>
        <w:rPr/>
        <w:t>disuelto sería removido por metanógenas</w:t>
      </w:r>
      <w:r>
        <w:rPr>
          <w:spacing w:val="-13"/>
        </w:rPr>
        <w:t> </w:t>
      </w:r>
      <w:r>
        <w:rPr/>
        <w:t>o</w:t>
      </w:r>
      <w:r>
        <w:rPr>
          <w:spacing w:val="-13"/>
        </w:rPr>
        <w:t> </w:t>
      </w:r>
      <w:r>
        <w:rPr/>
        <w:t>por</w:t>
      </w:r>
      <w:r>
        <w:rPr>
          <w:spacing w:val="-13"/>
        </w:rPr>
        <w:t> </w:t>
      </w:r>
      <w:r>
        <w:rPr/>
        <w:t>reductores</w:t>
      </w:r>
      <w:r>
        <w:rPr>
          <w:spacing w:val="-13"/>
        </w:rPr>
        <w:t> </w:t>
      </w:r>
      <w:r>
        <w:rPr/>
        <w:t>de</w:t>
      </w:r>
      <w:r>
        <w:rPr>
          <w:spacing w:val="-13"/>
        </w:rPr>
        <w:t> </w:t>
      </w:r>
      <w:r>
        <w:rPr/>
        <w:t>nitrato</w:t>
      </w:r>
      <w:r>
        <w:rPr>
          <w:spacing w:val="-13"/>
        </w:rPr>
        <w:t> </w:t>
      </w:r>
      <w:r>
        <w:rPr/>
        <w:t>y</w:t>
      </w:r>
      <w:r>
        <w:rPr>
          <w:spacing w:val="-13"/>
        </w:rPr>
        <w:t> </w:t>
      </w:r>
      <w:r>
        <w:rPr/>
        <w:t>es</w:t>
      </w:r>
      <w:r>
        <w:rPr>
          <w:spacing w:val="-13"/>
        </w:rPr>
        <w:t> </w:t>
      </w:r>
      <w:r>
        <w:rPr/>
        <w:t>probable</w:t>
      </w:r>
      <w:r>
        <w:rPr>
          <w:spacing w:val="-13"/>
        </w:rPr>
        <w:t> </w:t>
      </w:r>
      <w:r>
        <w:rPr/>
        <w:t>que</w:t>
      </w:r>
      <w:r>
        <w:rPr>
          <w:spacing w:val="-13"/>
        </w:rPr>
        <w:t> </w:t>
      </w:r>
      <w:r>
        <w:rPr/>
        <w:t>la</w:t>
      </w:r>
      <w:r>
        <w:rPr>
          <w:spacing w:val="-13"/>
        </w:rPr>
        <w:t> </w:t>
      </w:r>
      <w:r>
        <w:rPr/>
        <w:t>producción</w:t>
      </w:r>
      <w:r>
        <w:rPr>
          <w:spacing w:val="-13"/>
        </w:rPr>
        <w:t> </w:t>
      </w:r>
      <w:r>
        <w:rPr/>
        <w:t>de</w:t>
      </w:r>
      <w:r>
        <w:rPr>
          <w:spacing w:val="-13"/>
        </w:rPr>
        <w:t> </w:t>
      </w:r>
      <w:r>
        <w:rPr/>
        <w:t>acetato se pueda mantener incluso cuando se reduce la metanogénesis. Por lo tanto, la observación de la termodinámica de la producción de acetato frente a la de propionato, o la medición de la acumulación de H</w:t>
      </w:r>
      <w:r>
        <w:rPr>
          <w:position w:val="-2"/>
          <w:sz w:val="16"/>
        </w:rPr>
        <w:t>2 </w:t>
      </w:r>
      <w:r>
        <w:rPr/>
        <w:t>(van Zijderveld </w:t>
      </w:r>
      <w:r>
        <w:rPr>
          <w:i/>
        </w:rPr>
        <w:t>et al.</w:t>
      </w:r>
      <w:r>
        <w:rPr/>
        <w:t>, 2011), probablemente no explicarían la estequiometría de los AGV de la misma manera que si se hubiera medido el [H</w:t>
      </w:r>
      <w:r>
        <w:rPr>
          <w:position w:val="-2"/>
          <w:sz w:val="16"/>
        </w:rPr>
        <w:t>2</w:t>
      </w:r>
      <w:r>
        <w:rPr/>
        <w:t>] (aq). Puesto que la entrada de H</w:t>
      </w:r>
      <w:r>
        <w:rPr>
          <w:position w:val="-2"/>
          <w:sz w:val="16"/>
        </w:rPr>
        <w:t>2 </w:t>
      </w:r>
      <w:r>
        <w:rPr/>
        <w:t>en los microorganismos fermentativos es limitada, a menos que se adicionen ácidos dicarboxílicos (Martin, 1998), la producción de propionato no ofrece directa competencia</w:t>
      </w:r>
      <w:r>
        <w:rPr>
          <w:spacing w:val="-15"/>
        </w:rPr>
        <w:t> </w:t>
      </w:r>
      <w:r>
        <w:rPr/>
        <w:t>por</w:t>
      </w:r>
      <w:r>
        <w:rPr>
          <w:spacing w:val="-15"/>
        </w:rPr>
        <w:t> </w:t>
      </w:r>
      <w:r>
        <w:rPr/>
        <w:t>el</w:t>
      </w:r>
      <w:r>
        <w:rPr>
          <w:spacing w:val="-15"/>
        </w:rPr>
        <w:t> </w:t>
      </w:r>
      <w:r>
        <w:rPr/>
        <w:t>H</w:t>
      </w:r>
      <w:r>
        <w:rPr>
          <w:position w:val="-2"/>
          <w:sz w:val="16"/>
        </w:rPr>
        <w:t>2</w:t>
      </w:r>
      <w:r>
        <w:rPr>
          <w:spacing w:val="8"/>
          <w:position w:val="-2"/>
          <w:sz w:val="16"/>
        </w:rPr>
        <w:t> </w:t>
      </w:r>
      <w:r>
        <w:rPr/>
        <w:t>ya</w:t>
      </w:r>
      <w:r>
        <w:rPr>
          <w:spacing w:val="-15"/>
        </w:rPr>
        <w:t> </w:t>
      </w:r>
      <w:r>
        <w:rPr/>
        <w:t>presente</w:t>
      </w:r>
      <w:r>
        <w:rPr>
          <w:spacing w:val="-15"/>
        </w:rPr>
        <w:t> </w:t>
      </w:r>
      <w:r>
        <w:rPr/>
        <w:t>en</w:t>
      </w:r>
      <w:r>
        <w:rPr>
          <w:spacing w:val="-15"/>
        </w:rPr>
        <w:t> </w:t>
      </w:r>
      <w:r>
        <w:rPr/>
        <w:t>la</w:t>
      </w:r>
      <w:r>
        <w:rPr>
          <w:spacing w:val="-15"/>
        </w:rPr>
        <w:t> </w:t>
      </w:r>
      <w:r>
        <w:rPr/>
        <w:t>fase</w:t>
      </w:r>
      <w:r>
        <w:rPr>
          <w:spacing w:val="-15"/>
        </w:rPr>
        <w:t> </w:t>
      </w:r>
      <w:r>
        <w:rPr/>
        <w:t>líquida</w:t>
      </w:r>
      <w:r>
        <w:rPr>
          <w:spacing w:val="-15"/>
        </w:rPr>
        <w:t> </w:t>
      </w:r>
      <w:r>
        <w:rPr/>
        <w:t>(Janssen,</w:t>
      </w:r>
      <w:r>
        <w:rPr>
          <w:spacing w:val="-15"/>
        </w:rPr>
        <w:t> </w:t>
      </w:r>
      <w:r>
        <w:rPr/>
        <w:t>2010).</w:t>
      </w:r>
      <w:r>
        <w:rPr>
          <w:spacing w:val="-15"/>
        </w:rPr>
        <w:t> </w:t>
      </w:r>
      <w:r>
        <w:rPr/>
        <w:t>Van</w:t>
      </w:r>
      <w:r>
        <w:rPr>
          <w:spacing w:val="-15"/>
        </w:rPr>
        <w:t> </w:t>
      </w:r>
      <w:r>
        <w:rPr/>
        <w:t>Zijderveld </w:t>
      </w:r>
      <w:r>
        <w:rPr>
          <w:i/>
        </w:rPr>
        <w:t>et al. </w:t>
      </w:r>
      <w:r>
        <w:rPr/>
        <w:t>(2011) demostraron que la energía adicional perdida en la producción de H</w:t>
      </w:r>
      <w:r>
        <w:rPr>
          <w:position w:val="-2"/>
          <w:sz w:val="16"/>
        </w:rPr>
        <w:t>2 </w:t>
      </w:r>
      <w:r>
        <w:rPr/>
        <w:t>en la dieta con nitrato fue inferior y representó solo el 3.6% de la disminución observada en el CH</w:t>
      </w:r>
      <w:r>
        <w:rPr>
          <w:position w:val="-2"/>
          <w:sz w:val="16"/>
        </w:rPr>
        <w:t>4</w:t>
      </w:r>
      <w:r>
        <w:rPr/>
        <w:t>. En general, el modelo de Janssen (2010) necesita mayor desarrollo en la representación de las dinámicas de la producción y en la</w:t>
      </w:r>
      <w:r>
        <w:rPr>
          <w:spacing w:val="-39"/>
        </w:rPr>
        <w:t> </w:t>
      </w:r>
      <w:r>
        <w:rPr/>
        <w:t>utilización del H</w:t>
      </w:r>
      <w:r>
        <w:rPr>
          <w:position w:val="-2"/>
          <w:sz w:val="16"/>
        </w:rPr>
        <w:t>2 </w:t>
      </w:r>
      <w:r>
        <w:rPr/>
        <w:t>y del CH</w:t>
      </w:r>
      <w:r>
        <w:rPr>
          <w:position w:val="-2"/>
          <w:sz w:val="16"/>
        </w:rPr>
        <w:t>4 </w:t>
      </w:r>
      <w:r>
        <w:rPr/>
        <w:t>cuando se aplican aceptores de electrones como el nitrato</w:t>
      </w:r>
      <w:r>
        <w:rPr>
          <w:spacing w:val="-15"/>
        </w:rPr>
        <w:t> </w:t>
      </w:r>
      <w:r>
        <w:rPr/>
        <w:t>(Hristov </w:t>
      </w:r>
      <w:r>
        <w:rPr>
          <w:i/>
        </w:rPr>
        <w:t>et al.</w:t>
      </w:r>
      <w:r>
        <w:rPr/>
        <w:t>,</w:t>
      </w:r>
      <w:r>
        <w:rPr>
          <w:spacing w:val="-6"/>
        </w:rPr>
        <w:t> </w:t>
      </w:r>
      <w:r>
        <w:rPr/>
        <w:t>2013).</w:t>
      </w:r>
    </w:p>
    <w:p>
      <w:pPr>
        <w:spacing w:after="0" w:line="355" w:lineRule="auto"/>
        <w:jc w:val="both"/>
        <w:sectPr>
          <w:pgSz w:w="12240" w:h="15840"/>
          <w:pgMar w:header="741" w:footer="739" w:top="1220" w:bottom="920" w:left="1720" w:right="1260"/>
        </w:sectPr>
      </w:pPr>
    </w:p>
    <w:p>
      <w:pPr>
        <w:pStyle w:val="BodyText"/>
        <w:rPr>
          <w:sz w:val="13"/>
        </w:rPr>
      </w:pPr>
    </w:p>
    <w:p>
      <w:pPr>
        <w:pStyle w:val="Heading2"/>
        <w:numPr>
          <w:ilvl w:val="1"/>
          <w:numId w:val="5"/>
        </w:numPr>
        <w:tabs>
          <w:tab w:pos="900" w:val="left" w:leader="none"/>
        </w:tabs>
        <w:spacing w:line="240" w:lineRule="auto" w:before="66" w:after="0"/>
        <w:ind w:left="899" w:right="0" w:hanging="623"/>
        <w:jc w:val="both"/>
      </w:pPr>
      <w:bookmarkStart w:name="_TOC_250014" w:id="16"/>
      <w:r>
        <w:rPr/>
        <w:t>El factor de conversión en metano </w:t>
      </w:r>
      <w:r>
        <w:rPr>
          <w:spacing w:val="82"/>
        </w:rPr>
        <w:t> </w:t>
      </w:r>
      <w:bookmarkEnd w:id="16"/>
      <w:r>
        <w:rPr/>
        <w:t>(Ym)</w:t>
      </w:r>
    </w:p>
    <w:p>
      <w:pPr>
        <w:pStyle w:val="BodyText"/>
        <w:rPr>
          <w:b/>
          <w:sz w:val="36"/>
        </w:rPr>
      </w:pPr>
    </w:p>
    <w:p>
      <w:pPr>
        <w:pStyle w:val="BodyText"/>
        <w:spacing w:line="350" w:lineRule="auto" w:before="1"/>
        <w:ind w:left="276" w:right="143"/>
        <w:jc w:val="both"/>
      </w:pPr>
      <w:r>
        <w:rPr/>
        <w:t>De acuerdo a las directrices del IPCC (2006), en el capítulo referente a las emisiones de la ganadería, el CH</w:t>
      </w:r>
      <w:r>
        <w:rPr>
          <w:position w:val="-2"/>
          <w:sz w:val="16"/>
        </w:rPr>
        <w:t>4 </w:t>
      </w:r>
      <w:r>
        <w:rPr/>
        <w:t>procedente de la fermentación entérica de los rumiantes</w:t>
      </w:r>
      <w:r>
        <w:rPr>
          <w:spacing w:val="-8"/>
        </w:rPr>
        <w:t> </w:t>
      </w:r>
      <w:r>
        <w:rPr/>
        <w:t>se</w:t>
      </w:r>
      <w:r>
        <w:rPr>
          <w:spacing w:val="-8"/>
        </w:rPr>
        <w:t> </w:t>
      </w:r>
      <w:r>
        <w:rPr/>
        <w:t>calcula</w:t>
      </w:r>
      <w:r>
        <w:rPr>
          <w:spacing w:val="-8"/>
        </w:rPr>
        <w:t> </w:t>
      </w:r>
      <w:r>
        <w:rPr/>
        <w:t>multiplicando</w:t>
      </w:r>
      <w:r>
        <w:rPr>
          <w:spacing w:val="-8"/>
        </w:rPr>
        <w:t> </w:t>
      </w:r>
      <w:r>
        <w:rPr/>
        <w:t>el</w:t>
      </w:r>
      <w:r>
        <w:rPr>
          <w:spacing w:val="-8"/>
        </w:rPr>
        <w:t> </w:t>
      </w:r>
      <w:r>
        <w:rPr/>
        <w:t>número</w:t>
      </w:r>
      <w:r>
        <w:rPr>
          <w:spacing w:val="-8"/>
        </w:rPr>
        <w:t> </w:t>
      </w:r>
      <w:r>
        <w:rPr/>
        <w:t>de</w:t>
      </w:r>
      <w:r>
        <w:rPr>
          <w:spacing w:val="-8"/>
        </w:rPr>
        <w:t> </w:t>
      </w:r>
      <w:r>
        <w:rPr/>
        <w:t>animales</w:t>
      </w:r>
      <w:r>
        <w:rPr>
          <w:spacing w:val="-8"/>
        </w:rPr>
        <w:t> </w:t>
      </w:r>
      <w:r>
        <w:rPr/>
        <w:t>que</w:t>
      </w:r>
      <w:r>
        <w:rPr>
          <w:spacing w:val="-8"/>
        </w:rPr>
        <w:t> </w:t>
      </w:r>
      <w:r>
        <w:rPr/>
        <w:t>emiten</w:t>
      </w:r>
      <w:r>
        <w:rPr>
          <w:spacing w:val="-8"/>
        </w:rPr>
        <w:t> </w:t>
      </w:r>
      <w:r>
        <w:rPr/>
        <w:t>dicho</w:t>
      </w:r>
      <w:r>
        <w:rPr>
          <w:spacing w:val="-8"/>
        </w:rPr>
        <w:t> </w:t>
      </w:r>
      <w:r>
        <w:rPr/>
        <w:t>gas</w:t>
      </w:r>
      <w:r>
        <w:rPr>
          <w:spacing w:val="-8"/>
        </w:rPr>
        <w:t> </w:t>
      </w:r>
      <w:r>
        <w:rPr/>
        <w:t>por un</w:t>
      </w:r>
      <w:r>
        <w:rPr>
          <w:spacing w:val="-13"/>
        </w:rPr>
        <w:t> </w:t>
      </w:r>
      <w:r>
        <w:rPr/>
        <w:t>factor</w:t>
      </w:r>
      <w:r>
        <w:rPr>
          <w:spacing w:val="-13"/>
        </w:rPr>
        <w:t> </w:t>
      </w:r>
      <w:r>
        <w:rPr/>
        <w:t>de</w:t>
      </w:r>
      <w:r>
        <w:rPr>
          <w:spacing w:val="-13"/>
        </w:rPr>
        <w:t> </w:t>
      </w:r>
      <w:r>
        <w:rPr/>
        <w:t>emisión</w:t>
      </w:r>
      <w:r>
        <w:rPr>
          <w:spacing w:val="-13"/>
        </w:rPr>
        <w:t> </w:t>
      </w:r>
      <w:r>
        <w:rPr/>
        <w:t>(FE</w:t>
      </w:r>
      <w:r>
        <w:rPr>
          <w:position w:val="11"/>
          <w:sz w:val="16"/>
        </w:rPr>
        <w:t>5</w:t>
      </w:r>
      <w:r>
        <w:rPr/>
        <w:t>)</w:t>
      </w:r>
      <w:r>
        <w:rPr>
          <w:spacing w:val="-13"/>
        </w:rPr>
        <w:t> </w:t>
      </w:r>
      <w:r>
        <w:rPr/>
        <w:t>anual</w:t>
      </w:r>
      <w:r>
        <w:rPr>
          <w:spacing w:val="-13"/>
        </w:rPr>
        <w:t> </w:t>
      </w:r>
      <w:r>
        <w:rPr/>
        <w:t>para</w:t>
      </w:r>
      <w:r>
        <w:rPr>
          <w:spacing w:val="-13"/>
        </w:rPr>
        <w:t> </w:t>
      </w:r>
      <w:r>
        <w:rPr/>
        <w:t>el</w:t>
      </w:r>
      <w:r>
        <w:rPr>
          <w:spacing w:val="-13"/>
        </w:rPr>
        <w:t> </w:t>
      </w:r>
      <w:r>
        <w:rPr/>
        <w:t>ganado</w:t>
      </w:r>
      <w:r>
        <w:rPr>
          <w:spacing w:val="-13"/>
        </w:rPr>
        <w:t> </w:t>
      </w:r>
      <w:r>
        <w:rPr/>
        <w:t>bovino.</w:t>
      </w:r>
      <w:r>
        <w:rPr>
          <w:spacing w:val="-13"/>
        </w:rPr>
        <w:t> </w:t>
      </w:r>
      <w:r>
        <w:rPr/>
        <w:t>Este</w:t>
      </w:r>
      <w:r>
        <w:rPr>
          <w:spacing w:val="-13"/>
        </w:rPr>
        <w:t> </w:t>
      </w:r>
      <w:r>
        <w:rPr/>
        <w:t>FE,</w:t>
      </w:r>
      <w:r>
        <w:rPr>
          <w:spacing w:val="-13"/>
        </w:rPr>
        <w:t> </w:t>
      </w:r>
      <w:r>
        <w:rPr/>
        <w:t>expresado</w:t>
      </w:r>
      <w:r>
        <w:rPr>
          <w:spacing w:val="-13"/>
        </w:rPr>
        <w:t> </w:t>
      </w:r>
      <w:r>
        <w:rPr/>
        <w:t>en</w:t>
      </w:r>
      <w:r>
        <w:rPr>
          <w:spacing w:val="-13"/>
        </w:rPr>
        <w:t> </w:t>
      </w:r>
      <w:r>
        <w:rPr/>
        <w:t>kilos de</w:t>
      </w:r>
      <w:r>
        <w:rPr>
          <w:spacing w:val="-10"/>
        </w:rPr>
        <w:t> </w:t>
      </w:r>
      <w:r>
        <w:rPr/>
        <w:t>CH</w:t>
      </w:r>
      <w:r>
        <w:rPr>
          <w:position w:val="-2"/>
          <w:sz w:val="16"/>
        </w:rPr>
        <w:t>4</w:t>
      </w:r>
      <w:r>
        <w:rPr>
          <w:spacing w:val="13"/>
          <w:position w:val="-2"/>
          <w:sz w:val="16"/>
        </w:rPr>
        <w:t> </w:t>
      </w:r>
      <w:r>
        <w:rPr/>
        <w:t>por</w:t>
      </w:r>
      <w:r>
        <w:rPr>
          <w:spacing w:val="-10"/>
        </w:rPr>
        <w:t> </w:t>
      </w:r>
      <w:r>
        <w:rPr/>
        <w:t>cabeza</w:t>
      </w:r>
      <w:r>
        <w:rPr>
          <w:spacing w:val="-10"/>
        </w:rPr>
        <w:t> </w:t>
      </w:r>
      <w:r>
        <w:rPr/>
        <w:t>y</w:t>
      </w:r>
      <w:r>
        <w:rPr>
          <w:spacing w:val="-10"/>
        </w:rPr>
        <w:t> </w:t>
      </w:r>
      <w:r>
        <w:rPr/>
        <w:t>año,</w:t>
      </w:r>
      <w:r>
        <w:rPr>
          <w:spacing w:val="-10"/>
        </w:rPr>
        <w:t> </w:t>
      </w:r>
      <w:r>
        <w:rPr/>
        <w:t>depende</w:t>
      </w:r>
      <w:r>
        <w:rPr>
          <w:spacing w:val="-10"/>
        </w:rPr>
        <w:t> </w:t>
      </w:r>
      <w:r>
        <w:rPr/>
        <w:t>de</w:t>
      </w:r>
      <w:r>
        <w:rPr>
          <w:spacing w:val="-10"/>
        </w:rPr>
        <w:t> </w:t>
      </w:r>
      <w:r>
        <w:rPr/>
        <w:t>la</w:t>
      </w:r>
      <w:r>
        <w:rPr>
          <w:spacing w:val="-10"/>
        </w:rPr>
        <w:t> </w:t>
      </w:r>
      <w:r>
        <w:rPr/>
        <w:t>ingestión</w:t>
      </w:r>
      <w:r>
        <w:rPr>
          <w:spacing w:val="-10"/>
        </w:rPr>
        <w:t> </w:t>
      </w:r>
      <w:r>
        <w:rPr/>
        <w:t>de</w:t>
      </w:r>
      <w:r>
        <w:rPr>
          <w:spacing w:val="-10"/>
        </w:rPr>
        <w:t> </w:t>
      </w:r>
      <w:r>
        <w:rPr/>
        <w:t>energía</w:t>
      </w:r>
      <w:r>
        <w:rPr>
          <w:spacing w:val="-10"/>
        </w:rPr>
        <w:t> </w:t>
      </w:r>
      <w:r>
        <w:rPr/>
        <w:t>bruta</w:t>
      </w:r>
      <w:r>
        <w:rPr>
          <w:spacing w:val="-10"/>
        </w:rPr>
        <w:t> </w:t>
      </w:r>
      <w:r>
        <w:rPr/>
        <w:t>(EB)</w:t>
      </w:r>
      <w:r>
        <w:rPr>
          <w:spacing w:val="-10"/>
        </w:rPr>
        <w:t> </w:t>
      </w:r>
      <w:r>
        <w:rPr/>
        <w:t>y</w:t>
      </w:r>
      <w:r>
        <w:rPr>
          <w:spacing w:val="-10"/>
        </w:rPr>
        <w:t> </w:t>
      </w:r>
      <w:r>
        <w:rPr/>
        <w:t>del</w:t>
      </w:r>
      <w:r>
        <w:rPr>
          <w:spacing w:val="-10"/>
        </w:rPr>
        <w:t> </w:t>
      </w:r>
      <w:r>
        <w:rPr/>
        <w:t>factor de conversión de CH</w:t>
      </w:r>
      <w:r>
        <w:rPr>
          <w:position w:val="-2"/>
          <w:sz w:val="16"/>
        </w:rPr>
        <w:t>4  </w:t>
      </w:r>
      <w:r>
        <w:rPr/>
        <w:t>(Ym) como se muestra en la siguiente</w:t>
      </w:r>
      <w:r>
        <w:rPr>
          <w:spacing w:val="-25"/>
        </w:rPr>
        <w:t> </w:t>
      </w:r>
      <w:r>
        <w:rPr/>
        <w:t>ecuación:</w:t>
      </w:r>
    </w:p>
    <w:p>
      <w:pPr>
        <w:pStyle w:val="BodyText"/>
        <w:spacing w:before="2"/>
        <w:rPr>
          <w:sz w:val="28"/>
        </w:rPr>
      </w:pPr>
    </w:p>
    <w:p>
      <w:pPr>
        <w:spacing w:after="0"/>
        <w:rPr>
          <w:sz w:val="28"/>
        </w:rPr>
        <w:sectPr>
          <w:pgSz w:w="12240" w:h="15840"/>
          <w:pgMar w:header="741" w:footer="739" w:top="1220" w:bottom="920" w:left="1720" w:right="1260"/>
        </w:sectPr>
      </w:pPr>
    </w:p>
    <w:p>
      <w:pPr>
        <w:pStyle w:val="BodyText"/>
      </w:pPr>
    </w:p>
    <w:p>
      <w:pPr>
        <w:pStyle w:val="BodyText"/>
      </w:pPr>
    </w:p>
    <w:p>
      <w:pPr>
        <w:pStyle w:val="BodyText"/>
        <w:spacing w:before="6"/>
        <w:rPr>
          <w:sz w:val="23"/>
        </w:rPr>
      </w:pPr>
    </w:p>
    <w:p>
      <w:pPr>
        <w:pStyle w:val="BodyText"/>
        <w:ind w:left="276" w:right="-19"/>
      </w:pPr>
      <w:r>
        <w:rPr/>
        <w:pict>
          <v:line style="position:absolute;mso-position-horizontal-relative:page;mso-position-vertical-relative:paragraph;z-index:-308920" from="261.832397pt,-20.784126pt" to="413.752397pt,-20.784126pt" stroked="true" strokeweight=".72pt" strokecolor="#000000">
            <w10:wrap type="none"/>
          </v:line>
        </w:pict>
      </w:r>
      <w:r>
        <w:rPr/>
        <w:t>Dónde:</w:t>
      </w:r>
    </w:p>
    <w:p>
      <w:pPr>
        <w:pStyle w:val="BodyText"/>
        <w:spacing w:before="6"/>
        <w:rPr>
          <w:sz w:val="21"/>
        </w:rPr>
      </w:pPr>
      <w:r>
        <w:rPr/>
        <w:br w:type="column"/>
      </w:r>
      <w:r>
        <w:rPr>
          <w:sz w:val="21"/>
        </w:rPr>
      </w:r>
    </w:p>
    <w:p>
      <w:pPr>
        <w:pStyle w:val="BodyText"/>
        <w:spacing w:before="1"/>
        <w:ind w:left="276" w:right="-18"/>
        <w:rPr>
          <w:rFonts w:ascii="Cambria Math"/>
        </w:rPr>
      </w:pPr>
      <w:r>
        <w:rPr>
          <w:rFonts w:ascii="Cambria Math"/>
          <w:w w:val="135"/>
        </w:rPr>
        <w:t>)*</w:t>
      </w:r>
      <w:r>
        <w:rPr>
          <w:rFonts w:ascii="Cambria Math"/>
          <w:spacing w:val="-4"/>
          <w:w w:val="135"/>
        </w:rPr>
        <w:t> </w:t>
      </w:r>
      <w:r>
        <w:rPr>
          <w:rFonts w:ascii="Cambria Math"/>
          <w:w w:val="120"/>
        </w:rPr>
        <w:t>=</w:t>
      </w:r>
    </w:p>
    <w:p>
      <w:pPr>
        <w:pStyle w:val="BodyText"/>
        <w:spacing w:line="292" w:lineRule="auto" w:before="66"/>
        <w:ind w:left="429" w:right="2687" w:hanging="350"/>
        <w:rPr>
          <w:rFonts w:ascii="Cambria Math" w:hAnsi="Cambria Math"/>
          <w:sz w:val="17"/>
        </w:rPr>
      </w:pPr>
      <w:r>
        <w:rPr/>
        <w:br w:type="column"/>
      </w:r>
      <w:r>
        <w:rPr>
          <w:rFonts w:ascii="Cambria Math" w:hAnsi="Cambria Math"/>
          <w:w w:val="181"/>
        </w:rPr>
        <w:t>*-</w:t>
      </w:r>
      <w:r>
        <w:rPr>
          <w:rFonts w:ascii="Cambria Math" w:hAnsi="Cambria Math"/>
        </w:rPr>
        <w:t>  ×  </w:t>
      </w:r>
      <w:r>
        <w:rPr>
          <w:rFonts w:ascii="Cambria Math" w:hAnsi="Cambria Math"/>
          <w:w w:val="149"/>
        </w:rPr>
        <w:t>/0</w:t>
      </w:r>
      <w:r>
        <w:rPr>
          <w:rFonts w:ascii="Cambria Math" w:hAnsi="Cambria Math"/>
        </w:rPr>
        <w:t>  ×  </w:t>
      </w:r>
      <w:r>
        <w:rPr>
          <w:rFonts w:ascii="Cambria Math" w:hAnsi="Cambria Math"/>
          <w:w w:val="108"/>
        </w:rPr>
        <w:t>123</w:t>
      </w:r>
      <w:r>
        <w:rPr>
          <w:rFonts w:ascii="Cambria Math" w:hAnsi="Cambria Math"/>
        </w:rPr>
        <w:t> </w:t>
      </w:r>
      <w:r>
        <w:rPr>
          <w:rFonts w:ascii="Cambria Math" w:hAnsi="Cambria Math"/>
          <w:w w:val="116"/>
        </w:rPr>
        <w:t>4</w:t>
      </w:r>
      <w:r>
        <w:rPr>
          <w:rFonts w:ascii="Cambria Math" w:hAnsi="Cambria Math"/>
        </w:rPr>
        <w:t>í</w:t>
      </w:r>
      <w:r>
        <w:rPr>
          <w:rFonts w:ascii="Cambria Math" w:hAnsi="Cambria Math"/>
          <w:w w:val="101"/>
        </w:rPr>
        <w:t>67</w:t>
      </w:r>
      <w:r>
        <w:rPr>
          <w:rFonts w:ascii="Cambria Math" w:hAnsi="Cambria Math"/>
        </w:rPr>
        <w:t>/ </w:t>
      </w:r>
      <w:r>
        <w:rPr>
          <w:rFonts w:ascii="Cambria Math" w:hAnsi="Cambria Math"/>
          <w:w w:val="112"/>
        </w:rPr>
        <w:t>6</w:t>
      </w:r>
      <w:r>
        <w:rPr>
          <w:rFonts w:ascii="Cambria Math" w:hAnsi="Cambria Math"/>
        </w:rPr>
        <w:t>ñ</w:t>
      </w:r>
      <w:r>
        <w:rPr>
          <w:rFonts w:ascii="Cambria Math" w:hAnsi="Cambria Math"/>
          <w:w w:val="218"/>
        </w:rPr>
        <w:t>: </w:t>
      </w:r>
      <w:r>
        <w:rPr>
          <w:rFonts w:ascii="Cambria Math" w:hAnsi="Cambria Math"/>
          <w:w w:val="105"/>
        </w:rPr>
        <w:t>33. 23 &lt;= / &gt;? @A</w:t>
      </w:r>
      <w:r>
        <w:rPr>
          <w:rFonts w:ascii="Cambria Math" w:hAnsi="Cambria Math"/>
          <w:w w:val="105"/>
          <w:position w:val="-4"/>
          <w:sz w:val="17"/>
        </w:rPr>
        <w:t>B</w:t>
      </w:r>
    </w:p>
    <w:p>
      <w:pPr>
        <w:spacing w:after="0" w:line="292" w:lineRule="auto"/>
        <w:rPr>
          <w:rFonts w:ascii="Cambria Math" w:hAnsi="Cambria Math"/>
          <w:sz w:val="17"/>
        </w:rPr>
        <w:sectPr>
          <w:type w:val="continuous"/>
          <w:pgSz w:w="12240" w:h="15840"/>
          <w:pgMar w:top="1420" w:bottom="280" w:left="1720" w:right="1260"/>
          <w:cols w:num="3" w:equalWidth="0">
            <w:col w:w="1051" w:space="1511"/>
            <w:col w:w="834" w:space="40"/>
            <w:col w:w="5824"/>
          </w:cols>
        </w:sectPr>
      </w:pPr>
    </w:p>
    <w:p>
      <w:pPr>
        <w:pStyle w:val="BodyText"/>
        <w:spacing w:before="141"/>
        <w:ind w:left="276"/>
        <w:jc w:val="both"/>
      </w:pPr>
      <w:r>
        <w:rPr>
          <w:b/>
          <w:i/>
        </w:rPr>
        <w:t>FE </w:t>
      </w:r>
      <w:r>
        <w:rPr/>
        <w:t>= Factor de emisión de CH</w:t>
      </w:r>
      <w:r>
        <w:rPr>
          <w:position w:val="-2"/>
          <w:sz w:val="16"/>
        </w:rPr>
        <w:t>4 </w:t>
      </w:r>
      <w:r>
        <w:rPr/>
        <w:t>(kg CH</w:t>
      </w:r>
      <w:r>
        <w:rPr>
          <w:position w:val="-2"/>
          <w:sz w:val="16"/>
        </w:rPr>
        <w:t>4</w:t>
      </w:r>
      <w:r>
        <w:rPr/>
        <w:t>/cabeza/año).</w:t>
      </w:r>
    </w:p>
    <w:p>
      <w:pPr>
        <w:pStyle w:val="BodyText"/>
        <w:spacing w:before="123"/>
        <w:ind w:left="276"/>
        <w:jc w:val="both"/>
      </w:pPr>
      <w:r>
        <w:rPr>
          <w:b/>
          <w:i/>
        </w:rPr>
        <w:t>EB </w:t>
      </w:r>
      <w:r>
        <w:rPr/>
        <w:t>= Energía bruta ingerida (MJ/Cabeza).</w:t>
      </w:r>
    </w:p>
    <w:p>
      <w:pPr>
        <w:pStyle w:val="BodyText"/>
        <w:spacing w:line="348" w:lineRule="auto" w:before="137"/>
        <w:ind w:left="878" w:hanging="602"/>
      </w:pPr>
      <w:r>
        <w:rPr>
          <w:b/>
          <w:i/>
        </w:rPr>
        <w:t>Ym </w:t>
      </w:r>
      <w:r>
        <w:rPr/>
        <w:t>= Factor de conversión de CH</w:t>
      </w:r>
      <w:r>
        <w:rPr>
          <w:position w:val="-2"/>
          <w:sz w:val="16"/>
        </w:rPr>
        <w:t>4</w:t>
      </w:r>
      <w:r>
        <w:rPr/>
        <w:t>, expresado como la fracción de la </w:t>
      </w:r>
      <w:r>
        <w:rPr>
          <w:b/>
          <w:i/>
        </w:rPr>
        <w:t>EB </w:t>
      </w:r>
      <w:r>
        <w:rPr/>
        <w:t>del alimento que se transforma.</w:t>
      </w:r>
    </w:p>
    <w:p>
      <w:pPr>
        <w:pStyle w:val="BodyText"/>
        <w:spacing w:line="357" w:lineRule="auto" w:before="21"/>
        <w:ind w:left="276" w:right="143"/>
        <w:jc w:val="both"/>
      </w:pPr>
      <w:r>
        <w:rPr/>
        <w:t>La ecuación anterior, refleja la importancia de los dos parámetros clave implicados en el cálculo del CH</w:t>
      </w:r>
      <w:r>
        <w:rPr>
          <w:position w:val="-2"/>
          <w:sz w:val="16"/>
        </w:rPr>
        <w:t>4 </w:t>
      </w:r>
      <w:r>
        <w:rPr/>
        <w:t>procedente de la fermentación entérica, que son la EB de la ingesta y el Ym. En las guías del IPCC (2006), se encuentran las distintas metodologías</w:t>
      </w:r>
      <w:r>
        <w:rPr>
          <w:spacing w:val="-5"/>
        </w:rPr>
        <w:t> </w:t>
      </w:r>
      <w:r>
        <w:rPr/>
        <w:t>de</w:t>
      </w:r>
      <w:r>
        <w:rPr>
          <w:spacing w:val="-5"/>
        </w:rPr>
        <w:t> </w:t>
      </w:r>
      <w:r>
        <w:rPr/>
        <w:t>cálculo</w:t>
      </w:r>
      <w:r>
        <w:rPr>
          <w:spacing w:val="-5"/>
        </w:rPr>
        <w:t> </w:t>
      </w:r>
      <w:r>
        <w:rPr/>
        <w:t>de</w:t>
      </w:r>
      <w:r>
        <w:rPr>
          <w:spacing w:val="-5"/>
        </w:rPr>
        <w:t> </w:t>
      </w:r>
      <w:r>
        <w:rPr/>
        <w:t>cada</w:t>
      </w:r>
      <w:r>
        <w:rPr>
          <w:spacing w:val="-5"/>
        </w:rPr>
        <w:t> </w:t>
      </w:r>
      <w:r>
        <w:rPr/>
        <w:t>uno</w:t>
      </w:r>
      <w:r>
        <w:rPr>
          <w:spacing w:val="-5"/>
        </w:rPr>
        <w:t> </w:t>
      </w:r>
      <w:r>
        <w:rPr/>
        <w:t>de</w:t>
      </w:r>
      <w:r>
        <w:rPr>
          <w:spacing w:val="-5"/>
        </w:rPr>
        <w:t> </w:t>
      </w:r>
      <w:r>
        <w:rPr/>
        <w:t>estos</w:t>
      </w:r>
      <w:r>
        <w:rPr>
          <w:spacing w:val="-5"/>
        </w:rPr>
        <w:t> </w:t>
      </w:r>
      <w:r>
        <w:rPr/>
        <w:t>parámetros.</w:t>
      </w:r>
      <w:r>
        <w:rPr>
          <w:spacing w:val="-5"/>
        </w:rPr>
        <w:t> </w:t>
      </w:r>
      <w:r>
        <w:rPr/>
        <w:t>En</w:t>
      </w:r>
      <w:r>
        <w:rPr>
          <w:spacing w:val="-5"/>
        </w:rPr>
        <w:t> </w:t>
      </w:r>
      <w:r>
        <w:rPr/>
        <w:t>el</w:t>
      </w:r>
      <w:r>
        <w:rPr>
          <w:spacing w:val="-5"/>
        </w:rPr>
        <w:t> </w:t>
      </w:r>
      <w:r>
        <w:rPr/>
        <w:t>caso</w:t>
      </w:r>
      <w:r>
        <w:rPr>
          <w:spacing w:val="-5"/>
        </w:rPr>
        <w:t> </w:t>
      </w:r>
      <w:r>
        <w:rPr/>
        <w:t>de</w:t>
      </w:r>
      <w:r>
        <w:rPr>
          <w:spacing w:val="-5"/>
        </w:rPr>
        <w:t> </w:t>
      </w:r>
      <w:r>
        <w:rPr/>
        <w:t>la</w:t>
      </w:r>
      <w:r>
        <w:rPr>
          <w:spacing w:val="-5"/>
        </w:rPr>
        <w:t> </w:t>
      </w:r>
      <w:r>
        <w:rPr/>
        <w:t>EB,</w:t>
      </w:r>
      <w:r>
        <w:rPr>
          <w:spacing w:val="-5"/>
        </w:rPr>
        <w:t> </w:t>
      </w:r>
      <w:r>
        <w:rPr/>
        <w:t>los pasos a seguir son claros y se calcula a partir de la energía neta para mantenimiento, actividad y diferentes tipos de producción. En este cálculo intervienen factores específicos, como el peso de los animales, la producción de leche</w:t>
      </w:r>
      <w:r>
        <w:rPr>
          <w:spacing w:val="-6"/>
        </w:rPr>
        <w:t> </w:t>
      </w:r>
      <w:r>
        <w:rPr/>
        <w:t>o</w:t>
      </w:r>
      <w:r>
        <w:rPr>
          <w:spacing w:val="-6"/>
        </w:rPr>
        <w:t> </w:t>
      </w:r>
      <w:r>
        <w:rPr/>
        <w:t>lana</w:t>
      </w:r>
      <w:r>
        <w:rPr>
          <w:spacing w:val="-6"/>
        </w:rPr>
        <w:t> </w:t>
      </w:r>
      <w:r>
        <w:rPr/>
        <w:t>y</w:t>
      </w:r>
      <w:r>
        <w:rPr>
          <w:spacing w:val="-6"/>
        </w:rPr>
        <w:t> </w:t>
      </w:r>
      <w:r>
        <w:rPr/>
        <w:t>la</w:t>
      </w:r>
      <w:r>
        <w:rPr>
          <w:spacing w:val="-6"/>
        </w:rPr>
        <w:t> </w:t>
      </w:r>
      <w:r>
        <w:rPr/>
        <w:t>digestibilidad</w:t>
      </w:r>
      <w:r>
        <w:rPr>
          <w:spacing w:val="-6"/>
        </w:rPr>
        <w:t> </w:t>
      </w:r>
      <w:r>
        <w:rPr/>
        <w:t>de</w:t>
      </w:r>
      <w:r>
        <w:rPr>
          <w:spacing w:val="-6"/>
        </w:rPr>
        <w:t> </w:t>
      </w:r>
      <w:r>
        <w:rPr/>
        <w:t>las</w:t>
      </w:r>
      <w:r>
        <w:rPr>
          <w:spacing w:val="-6"/>
        </w:rPr>
        <w:t> </w:t>
      </w:r>
      <w:r>
        <w:rPr/>
        <w:t>dietas</w:t>
      </w:r>
      <w:r>
        <w:rPr>
          <w:spacing w:val="-6"/>
        </w:rPr>
        <w:t> </w:t>
      </w:r>
      <w:r>
        <w:rPr/>
        <w:t>(Cambra-López</w:t>
      </w:r>
      <w:r>
        <w:rPr>
          <w:spacing w:val="-6"/>
        </w:rPr>
        <w:t> </w:t>
      </w:r>
      <w:r>
        <w:rPr>
          <w:i/>
        </w:rPr>
        <w:t>et</w:t>
      </w:r>
      <w:r>
        <w:rPr>
          <w:i/>
          <w:spacing w:val="-6"/>
        </w:rPr>
        <w:t> </w:t>
      </w:r>
      <w:r>
        <w:rPr>
          <w:i/>
        </w:rPr>
        <w:t>al.</w:t>
      </w:r>
      <w:r>
        <w:rPr/>
        <w:t>,</w:t>
      </w:r>
      <w:r>
        <w:rPr>
          <w:spacing w:val="-6"/>
        </w:rPr>
        <w:t> </w:t>
      </w:r>
      <w:r>
        <w:rPr/>
        <w:t>2008),</w:t>
      </w:r>
      <w:r>
        <w:rPr>
          <w:spacing w:val="-6"/>
        </w:rPr>
        <w:t> </w:t>
      </w:r>
      <w:r>
        <w:rPr/>
        <w:t>en</w:t>
      </w:r>
      <w:r>
        <w:rPr>
          <w:spacing w:val="-6"/>
        </w:rPr>
        <w:t> </w:t>
      </w:r>
      <w:r>
        <w:rPr/>
        <w:t>el</w:t>
      </w:r>
      <w:r>
        <w:rPr>
          <w:spacing w:val="-6"/>
        </w:rPr>
        <w:t> </w:t>
      </w:r>
      <w:r>
        <w:rPr/>
        <w:t>caso de</w:t>
      </w:r>
      <w:r>
        <w:rPr>
          <w:spacing w:val="-5"/>
        </w:rPr>
        <w:t> </w:t>
      </w:r>
      <w:r>
        <w:rPr/>
        <w:t>México,</w:t>
      </w:r>
      <w:r>
        <w:rPr>
          <w:spacing w:val="-5"/>
        </w:rPr>
        <w:t> </w:t>
      </w:r>
      <w:r>
        <w:rPr/>
        <w:t>no</w:t>
      </w:r>
      <w:r>
        <w:rPr>
          <w:spacing w:val="-5"/>
        </w:rPr>
        <w:t> </w:t>
      </w:r>
      <w:r>
        <w:rPr/>
        <w:t>siempre</w:t>
      </w:r>
      <w:r>
        <w:rPr>
          <w:spacing w:val="-5"/>
        </w:rPr>
        <w:t> </w:t>
      </w:r>
      <w:r>
        <w:rPr/>
        <w:t>están</w:t>
      </w:r>
      <w:r>
        <w:rPr>
          <w:spacing w:val="-5"/>
        </w:rPr>
        <w:t> </w:t>
      </w:r>
      <w:r>
        <w:rPr/>
        <w:t>disponibles</w:t>
      </w:r>
      <w:r>
        <w:rPr>
          <w:spacing w:val="-5"/>
        </w:rPr>
        <w:t> </w:t>
      </w:r>
      <w:r>
        <w:rPr/>
        <w:t>en</w:t>
      </w:r>
      <w:r>
        <w:rPr>
          <w:spacing w:val="-6"/>
        </w:rPr>
        <w:t> </w:t>
      </w:r>
      <w:r>
        <w:rPr/>
        <w:t>bases</w:t>
      </w:r>
      <w:r>
        <w:rPr>
          <w:spacing w:val="-5"/>
        </w:rPr>
        <w:t> </w:t>
      </w:r>
      <w:r>
        <w:rPr/>
        <w:t>de</w:t>
      </w:r>
      <w:r>
        <w:rPr>
          <w:spacing w:val="-5"/>
        </w:rPr>
        <w:t> </w:t>
      </w:r>
      <w:r>
        <w:rPr/>
        <w:t>datos,</w:t>
      </w:r>
      <w:r>
        <w:rPr>
          <w:spacing w:val="-6"/>
        </w:rPr>
        <w:t> </w:t>
      </w:r>
      <w:r>
        <w:rPr/>
        <w:t>estadísticas</w:t>
      </w:r>
      <w:r>
        <w:rPr>
          <w:spacing w:val="-5"/>
        </w:rPr>
        <w:t> </w:t>
      </w:r>
      <w:r>
        <w:rPr/>
        <w:t>oficiales</w:t>
      </w:r>
      <w:r>
        <w:rPr>
          <w:spacing w:val="-5"/>
        </w:rPr>
        <w:t> </w:t>
      </w:r>
      <w:r>
        <w:rPr/>
        <w:t>y documentación</w:t>
      </w:r>
      <w:r>
        <w:rPr>
          <w:spacing w:val="-1"/>
        </w:rPr>
        <w:t> </w:t>
      </w:r>
      <w:r>
        <w:rPr/>
        <w:t>bibliográfica.</w:t>
      </w:r>
    </w:p>
    <w:p>
      <w:pPr>
        <w:pStyle w:val="BodyText"/>
        <w:spacing w:line="360" w:lineRule="auto" w:before="5"/>
        <w:ind w:left="276" w:right="143"/>
        <w:jc w:val="both"/>
      </w:pPr>
      <w:r>
        <w:rPr/>
        <w:t>Sin embargo, para el Ym el cálculo es más complicado. Estas mismas guías establecen unos rangos de Ym aplicables por defecto, cuando no existen valores propios del país. Estos rangos están basados principalmente en la digestibilidad</w:t>
      </w:r>
      <w:r>
        <w:rPr>
          <w:spacing w:val="-22"/>
        </w:rPr>
        <w:t> </w:t>
      </w:r>
      <w:r>
        <w:rPr/>
        <w:t>de</w:t>
      </w:r>
    </w:p>
    <w:p>
      <w:pPr>
        <w:pStyle w:val="BodyText"/>
        <w:spacing w:before="3"/>
        <w:rPr>
          <w:sz w:val="19"/>
        </w:rPr>
      </w:pPr>
      <w:r>
        <w:rPr/>
        <w:pict>
          <v:line style="position:absolute;mso-position-horizontal-relative:page;mso-position-vertical-relative:paragraph;z-index:3088;mso-wrap-distance-left:0;mso-wrap-distance-right:0" from="99.832428pt,13.313909pt" to="243.832398pt,13.313909pt" stroked="true" strokeweight=".48pt" strokecolor="#000000">
            <w10:wrap type="topAndBottom"/>
          </v:line>
        </w:pict>
      </w:r>
    </w:p>
    <w:p>
      <w:pPr>
        <w:pStyle w:val="BodyText"/>
        <w:spacing w:before="10"/>
        <w:rPr>
          <w:sz w:val="20"/>
        </w:rPr>
      </w:pPr>
    </w:p>
    <w:p>
      <w:pPr>
        <w:spacing w:line="254" w:lineRule="auto" w:before="78"/>
        <w:ind w:left="276" w:right="0" w:firstLine="0"/>
        <w:jc w:val="left"/>
        <w:rPr>
          <w:rFonts w:ascii="Calibri" w:hAnsi="Calibri"/>
          <w:sz w:val="19"/>
        </w:rPr>
      </w:pPr>
      <w:r>
        <w:rPr>
          <w:rFonts w:ascii="Calibri" w:hAnsi="Calibri"/>
          <w:w w:val="105"/>
          <w:position w:val="10"/>
          <w:sz w:val="13"/>
        </w:rPr>
        <w:t>5 </w:t>
      </w:r>
      <w:r>
        <w:rPr>
          <w:rFonts w:ascii="Calibri" w:hAnsi="Calibri"/>
          <w:w w:val="105"/>
          <w:sz w:val="19"/>
        </w:rPr>
        <w:t>Cantidad de contaminantes de la atmósfera que son vertidos por un foco contaminador a la atmósfera exterior, por unidad de producción.</w:t>
      </w:r>
    </w:p>
    <w:p>
      <w:pPr>
        <w:spacing w:after="0" w:line="254" w:lineRule="auto"/>
        <w:jc w:val="left"/>
        <w:rPr>
          <w:rFonts w:ascii="Calibri" w:hAnsi="Calibri"/>
          <w:sz w:val="19"/>
        </w:rPr>
        <w:sectPr>
          <w:type w:val="continuous"/>
          <w:pgSz w:w="12240" w:h="15840"/>
          <w:pgMar w:top="1420" w:bottom="280" w:left="1720" w:right="1260"/>
        </w:sectPr>
      </w:pPr>
    </w:p>
    <w:p>
      <w:pPr>
        <w:pStyle w:val="BodyText"/>
        <w:spacing w:before="8"/>
        <w:rPr>
          <w:rFonts w:ascii="Calibri"/>
          <w:sz w:val="10"/>
        </w:rPr>
      </w:pPr>
    </w:p>
    <w:p>
      <w:pPr>
        <w:pStyle w:val="BodyText"/>
        <w:spacing w:line="360" w:lineRule="auto" w:before="70"/>
        <w:ind w:left="276" w:right="143"/>
        <w:jc w:val="both"/>
      </w:pPr>
      <w:r>
        <w:rPr/>
        <w:t>las</w:t>
      </w:r>
      <w:r>
        <w:rPr>
          <w:spacing w:val="-8"/>
        </w:rPr>
        <w:t> </w:t>
      </w:r>
      <w:r>
        <w:rPr/>
        <w:t>raciones,</w:t>
      </w:r>
      <w:r>
        <w:rPr>
          <w:spacing w:val="-8"/>
        </w:rPr>
        <w:t> </w:t>
      </w:r>
      <w:r>
        <w:rPr/>
        <w:t>y</w:t>
      </w:r>
      <w:r>
        <w:rPr>
          <w:spacing w:val="-8"/>
        </w:rPr>
        <w:t> </w:t>
      </w:r>
      <w:r>
        <w:rPr/>
        <w:t>su</w:t>
      </w:r>
      <w:r>
        <w:rPr>
          <w:spacing w:val="-8"/>
        </w:rPr>
        <w:t> </w:t>
      </w:r>
      <w:r>
        <w:rPr/>
        <w:t>relación</w:t>
      </w:r>
      <w:r>
        <w:rPr>
          <w:spacing w:val="-8"/>
        </w:rPr>
        <w:t> </w:t>
      </w:r>
      <w:r>
        <w:rPr/>
        <w:t>negativa</w:t>
      </w:r>
      <w:r>
        <w:rPr>
          <w:spacing w:val="-8"/>
        </w:rPr>
        <w:t> </w:t>
      </w:r>
      <w:r>
        <w:rPr/>
        <w:t>con</w:t>
      </w:r>
      <w:r>
        <w:rPr>
          <w:spacing w:val="-8"/>
        </w:rPr>
        <w:t> </w:t>
      </w:r>
      <w:r>
        <w:rPr/>
        <w:t>el</w:t>
      </w:r>
      <w:r>
        <w:rPr>
          <w:spacing w:val="-8"/>
        </w:rPr>
        <w:t> </w:t>
      </w:r>
      <w:r>
        <w:rPr/>
        <w:t>Ym.</w:t>
      </w:r>
      <w:r>
        <w:rPr>
          <w:spacing w:val="-8"/>
        </w:rPr>
        <w:t> </w:t>
      </w:r>
      <w:r>
        <w:rPr/>
        <w:t>Esta</w:t>
      </w:r>
      <w:r>
        <w:rPr>
          <w:spacing w:val="-8"/>
        </w:rPr>
        <w:t> </w:t>
      </w:r>
      <w:r>
        <w:rPr/>
        <w:t>relación</w:t>
      </w:r>
      <w:r>
        <w:rPr>
          <w:spacing w:val="-8"/>
        </w:rPr>
        <w:t> </w:t>
      </w:r>
      <w:r>
        <w:rPr/>
        <w:t>supone</w:t>
      </w:r>
      <w:r>
        <w:rPr>
          <w:spacing w:val="-8"/>
        </w:rPr>
        <w:t> </w:t>
      </w:r>
      <w:r>
        <w:rPr/>
        <w:t>implícitamente, que con raciones de buena calidad, alta digestibilidad y valor energético, se han</w:t>
      </w:r>
      <w:r>
        <w:rPr>
          <w:spacing w:val="-13"/>
        </w:rPr>
        <w:t> </w:t>
      </w:r>
      <w:r>
        <w:rPr/>
        <w:t>de utilizar los valores de Ym más bajos del rango. En el caso contrario, cuando se utilizan raciones más pobres, con digestibilidades bajas, los rangos superiores se consideran más apropiados (IPCC, 2006).</w:t>
      </w:r>
    </w:p>
    <w:p>
      <w:pPr>
        <w:pStyle w:val="BodyText"/>
        <w:spacing w:line="355" w:lineRule="auto" w:before="7"/>
        <w:ind w:left="276" w:right="143"/>
        <w:jc w:val="both"/>
      </w:pPr>
      <w:r>
        <w:rPr/>
        <w:t>Dado que el Ym es una variable que afecta directamente al cálculo del FE, es importante tratar de refinar el valor de este parámetro. La mejor opción es obtener experimentalmente valores de Ym mediante medición directa de la emisión de CH</w:t>
      </w:r>
      <w:r>
        <w:rPr>
          <w:position w:val="-2"/>
          <w:sz w:val="16"/>
        </w:rPr>
        <w:t>4 </w:t>
      </w:r>
      <w:r>
        <w:rPr/>
        <w:t>y de la digestibilidad de las distintas dietas (Cambra-López </w:t>
      </w:r>
      <w:r>
        <w:rPr>
          <w:i/>
        </w:rPr>
        <w:t>et al.</w:t>
      </w:r>
      <w:r>
        <w:rPr/>
        <w:t>, 2008).</w:t>
      </w:r>
    </w:p>
    <w:p>
      <w:pPr>
        <w:pStyle w:val="BodyText"/>
        <w:spacing w:line="357" w:lineRule="auto" w:before="13"/>
        <w:ind w:left="276" w:right="143"/>
        <w:jc w:val="both"/>
      </w:pPr>
      <w:r>
        <w:rPr/>
        <w:t>Las pérdidas de CH</w:t>
      </w:r>
      <w:r>
        <w:rPr>
          <w:position w:val="-2"/>
          <w:sz w:val="16"/>
        </w:rPr>
        <w:t>4 </w:t>
      </w:r>
      <w:r>
        <w:rPr/>
        <w:t>se expresan normalmente como fracción de la EB, y a éste término se le conoce como Ym. Como se indica en las guías del IPCC (IPCC</w:t>
      </w:r>
      <w:r>
        <w:rPr>
          <w:spacing w:val="-30"/>
        </w:rPr>
        <w:t> </w:t>
      </w:r>
      <w:r>
        <w:rPr/>
        <w:t>1996; IPCC</w:t>
      </w:r>
      <w:r>
        <w:rPr>
          <w:spacing w:val="-4"/>
        </w:rPr>
        <w:t> </w:t>
      </w:r>
      <w:r>
        <w:rPr/>
        <w:t>2006),</w:t>
      </w:r>
      <w:r>
        <w:rPr>
          <w:spacing w:val="-4"/>
        </w:rPr>
        <w:t> </w:t>
      </w:r>
      <w:r>
        <w:rPr/>
        <w:t>el</w:t>
      </w:r>
      <w:r>
        <w:rPr>
          <w:spacing w:val="-4"/>
        </w:rPr>
        <w:t> </w:t>
      </w:r>
      <w:r>
        <w:rPr/>
        <w:t>valor</w:t>
      </w:r>
      <w:r>
        <w:rPr>
          <w:spacing w:val="-4"/>
        </w:rPr>
        <w:t> </w:t>
      </w:r>
      <w:r>
        <w:rPr/>
        <w:t>de</w:t>
      </w:r>
      <w:r>
        <w:rPr>
          <w:spacing w:val="-4"/>
        </w:rPr>
        <w:t> </w:t>
      </w:r>
      <w:r>
        <w:rPr/>
        <w:t>Ym</w:t>
      </w:r>
      <w:r>
        <w:rPr>
          <w:spacing w:val="-4"/>
        </w:rPr>
        <w:t> </w:t>
      </w:r>
      <w:r>
        <w:rPr/>
        <w:t>depende</w:t>
      </w:r>
      <w:r>
        <w:rPr>
          <w:spacing w:val="-4"/>
        </w:rPr>
        <w:t> </w:t>
      </w:r>
      <w:r>
        <w:rPr/>
        <w:t>de</w:t>
      </w:r>
      <w:r>
        <w:rPr>
          <w:spacing w:val="-4"/>
        </w:rPr>
        <w:t> </w:t>
      </w:r>
      <w:r>
        <w:rPr/>
        <w:t>la</w:t>
      </w:r>
      <w:r>
        <w:rPr>
          <w:spacing w:val="-4"/>
        </w:rPr>
        <w:t> </w:t>
      </w:r>
      <w:r>
        <w:rPr/>
        <w:t>calidad</w:t>
      </w:r>
      <w:r>
        <w:rPr>
          <w:spacing w:val="-4"/>
        </w:rPr>
        <w:t> </w:t>
      </w:r>
      <w:r>
        <w:rPr/>
        <w:t>y</w:t>
      </w:r>
      <w:r>
        <w:rPr>
          <w:spacing w:val="-4"/>
        </w:rPr>
        <w:t> </w:t>
      </w:r>
      <w:r>
        <w:rPr/>
        <w:t>la</w:t>
      </w:r>
      <w:r>
        <w:rPr>
          <w:spacing w:val="-4"/>
        </w:rPr>
        <w:t> </w:t>
      </w:r>
      <w:r>
        <w:rPr/>
        <w:t>digestibilidad</w:t>
      </w:r>
      <w:r>
        <w:rPr>
          <w:spacing w:val="-4"/>
        </w:rPr>
        <w:t> </w:t>
      </w:r>
      <w:r>
        <w:rPr/>
        <w:t>de</w:t>
      </w:r>
      <w:r>
        <w:rPr>
          <w:spacing w:val="-4"/>
        </w:rPr>
        <w:t> </w:t>
      </w:r>
      <w:r>
        <w:rPr/>
        <w:t>las</w:t>
      </w:r>
      <w:r>
        <w:rPr>
          <w:spacing w:val="-4"/>
        </w:rPr>
        <w:t> </w:t>
      </w:r>
      <w:r>
        <w:rPr/>
        <w:t>distintas dietas.</w:t>
      </w:r>
      <w:r>
        <w:rPr>
          <w:spacing w:val="-13"/>
        </w:rPr>
        <w:t> </w:t>
      </w:r>
      <w:r>
        <w:rPr>
          <w:i/>
        </w:rPr>
        <w:t>Dada</w:t>
      </w:r>
      <w:r>
        <w:rPr>
          <w:i/>
          <w:spacing w:val="-12"/>
        </w:rPr>
        <w:t> </w:t>
      </w:r>
      <w:r>
        <w:rPr>
          <w:i/>
        </w:rPr>
        <w:t>la</w:t>
      </w:r>
      <w:r>
        <w:rPr>
          <w:i/>
          <w:spacing w:val="-12"/>
        </w:rPr>
        <w:t> </w:t>
      </w:r>
      <w:r>
        <w:rPr>
          <w:i/>
        </w:rPr>
        <w:t>relación</w:t>
      </w:r>
      <w:r>
        <w:rPr>
          <w:i/>
          <w:spacing w:val="-12"/>
        </w:rPr>
        <w:t> </w:t>
      </w:r>
      <w:r>
        <w:rPr>
          <w:i/>
        </w:rPr>
        <w:t>negativa</w:t>
      </w:r>
      <w:r>
        <w:rPr>
          <w:i/>
          <w:spacing w:val="-12"/>
        </w:rPr>
        <w:t> </w:t>
      </w:r>
      <w:r>
        <w:rPr>
          <w:i/>
        </w:rPr>
        <w:t>que</w:t>
      </w:r>
      <w:r>
        <w:rPr>
          <w:i/>
          <w:spacing w:val="-12"/>
        </w:rPr>
        <w:t> </w:t>
      </w:r>
      <w:r>
        <w:rPr>
          <w:i/>
        </w:rPr>
        <w:t>existe</w:t>
      </w:r>
      <w:r>
        <w:rPr>
          <w:i/>
          <w:spacing w:val="-12"/>
        </w:rPr>
        <w:t> </w:t>
      </w:r>
      <w:r>
        <w:rPr>
          <w:i/>
        </w:rPr>
        <w:t>entre</w:t>
      </w:r>
      <w:r>
        <w:rPr>
          <w:i/>
          <w:spacing w:val="-12"/>
        </w:rPr>
        <w:t> </w:t>
      </w:r>
      <w:r>
        <w:rPr>
          <w:i/>
        </w:rPr>
        <w:t>el</w:t>
      </w:r>
      <w:r>
        <w:rPr>
          <w:i/>
          <w:spacing w:val="-12"/>
        </w:rPr>
        <w:t> </w:t>
      </w:r>
      <w:r>
        <w:rPr>
          <w:i/>
        </w:rPr>
        <w:t>Ym</w:t>
      </w:r>
      <w:r>
        <w:rPr>
          <w:i/>
          <w:spacing w:val="-12"/>
        </w:rPr>
        <w:t> </w:t>
      </w:r>
      <w:r>
        <w:rPr>
          <w:i/>
        </w:rPr>
        <w:t>y</w:t>
      </w:r>
      <w:r>
        <w:rPr>
          <w:i/>
          <w:spacing w:val="-12"/>
        </w:rPr>
        <w:t> </w:t>
      </w:r>
      <w:r>
        <w:rPr>
          <w:i/>
        </w:rPr>
        <w:t>la</w:t>
      </w:r>
      <w:r>
        <w:rPr>
          <w:i/>
          <w:spacing w:val="-12"/>
        </w:rPr>
        <w:t> </w:t>
      </w:r>
      <w:r>
        <w:rPr>
          <w:i/>
        </w:rPr>
        <w:t>digestibilidad,</w:t>
      </w:r>
      <w:r>
        <w:rPr>
          <w:i/>
          <w:spacing w:val="-12"/>
        </w:rPr>
        <w:t> </w:t>
      </w:r>
      <w:r>
        <w:rPr>
          <w:i/>
        </w:rPr>
        <w:t>se</w:t>
      </w:r>
      <w:r>
        <w:rPr>
          <w:i/>
          <w:spacing w:val="-12"/>
        </w:rPr>
        <w:t> </w:t>
      </w:r>
      <w:r>
        <w:rPr>
          <w:i/>
        </w:rPr>
        <w:t>asume </w:t>
      </w:r>
      <w:r>
        <w:rPr>
          <w:i/>
        </w:rPr>
        <w:t>que a medida que aumenta la digestibilidad disminuye el Ym</w:t>
      </w:r>
      <w:r>
        <w:rPr/>
        <w:t>. Los valores de Ym que se encuentran en la bibliografía varían entre el 2% y el 12% de la energía ingerida para distintas dietas (Johnson y Ward, 1995), si bien los valores extremos corresponden a situaciones no usuales en la práctica. El IPCC (2006), propone valores de Ym para el ganado bovino que se encuentran entre el 2 y el 7,5%, correspondientes a digestibilidades entre 45 y 85%, dependiendo del tipo de alimento, lo que se resuelve planteando distintos tramos de digestibilidad para los forrajes (45-55%) los pastos (55-75%) y los alimentos concentrados</w:t>
      </w:r>
      <w:r>
        <w:rPr>
          <w:spacing w:val="-3"/>
        </w:rPr>
        <w:t> </w:t>
      </w:r>
      <w:r>
        <w:rPr/>
        <w:t>(75-85%).</w:t>
      </w:r>
    </w:p>
    <w:p>
      <w:pPr>
        <w:pStyle w:val="BodyText"/>
        <w:spacing w:line="357" w:lineRule="auto" w:before="10"/>
        <w:ind w:left="276" w:right="143"/>
        <w:jc w:val="both"/>
      </w:pPr>
      <w:r>
        <w:rPr/>
        <w:t>Johnson </w:t>
      </w:r>
      <w:r>
        <w:rPr>
          <w:i/>
        </w:rPr>
        <w:t>et al. </w:t>
      </w:r>
      <w:r>
        <w:rPr/>
        <w:t>(2000), también establecieron que, en general, con dietas de alto contenido en concentrado (superior al 80%) administradas a niveles superiores al de mantenimiento, las pérdidas de CH</w:t>
      </w:r>
      <w:r>
        <w:rPr>
          <w:position w:val="-2"/>
          <w:sz w:val="16"/>
        </w:rPr>
        <w:t>4 </w:t>
      </w:r>
      <w:r>
        <w:rPr/>
        <w:t>se encuentran por debajo del 5%. Esto puede</w:t>
      </w:r>
      <w:r>
        <w:rPr>
          <w:spacing w:val="-14"/>
        </w:rPr>
        <w:t> </w:t>
      </w:r>
      <w:r>
        <w:rPr/>
        <w:t>deberse</w:t>
      </w:r>
      <w:r>
        <w:rPr>
          <w:spacing w:val="-14"/>
        </w:rPr>
        <w:t> </w:t>
      </w:r>
      <w:r>
        <w:rPr/>
        <w:t>fundamentalmente</w:t>
      </w:r>
      <w:r>
        <w:rPr>
          <w:spacing w:val="-14"/>
        </w:rPr>
        <w:t> </w:t>
      </w:r>
      <w:r>
        <w:rPr/>
        <w:t>a</w:t>
      </w:r>
      <w:r>
        <w:rPr>
          <w:spacing w:val="-14"/>
        </w:rPr>
        <w:t> </w:t>
      </w:r>
      <w:r>
        <w:rPr/>
        <w:t>factores</w:t>
      </w:r>
      <w:r>
        <w:rPr>
          <w:spacing w:val="-14"/>
        </w:rPr>
        <w:t> </w:t>
      </w:r>
      <w:r>
        <w:rPr/>
        <w:t>de</w:t>
      </w:r>
      <w:r>
        <w:rPr>
          <w:spacing w:val="-14"/>
        </w:rPr>
        <w:t> </w:t>
      </w:r>
      <w:r>
        <w:rPr/>
        <w:t>la</w:t>
      </w:r>
      <w:r>
        <w:rPr>
          <w:spacing w:val="-14"/>
        </w:rPr>
        <w:t> </w:t>
      </w:r>
      <w:r>
        <w:rPr/>
        <w:t>dieta</w:t>
      </w:r>
      <w:r>
        <w:rPr>
          <w:spacing w:val="-14"/>
        </w:rPr>
        <w:t> </w:t>
      </w:r>
      <w:r>
        <w:rPr/>
        <w:t>que</w:t>
      </w:r>
      <w:r>
        <w:rPr>
          <w:spacing w:val="-14"/>
        </w:rPr>
        <w:t> </w:t>
      </w:r>
      <w:r>
        <w:rPr/>
        <w:t>crean</w:t>
      </w:r>
      <w:r>
        <w:rPr>
          <w:spacing w:val="-14"/>
        </w:rPr>
        <w:t> </w:t>
      </w:r>
      <w:r>
        <w:rPr/>
        <w:t>un</w:t>
      </w:r>
      <w:r>
        <w:rPr>
          <w:spacing w:val="-14"/>
        </w:rPr>
        <w:t> </w:t>
      </w:r>
      <w:r>
        <w:rPr/>
        <w:t>ambiente</w:t>
      </w:r>
      <w:r>
        <w:rPr>
          <w:spacing w:val="-14"/>
        </w:rPr>
        <w:t> </w:t>
      </w:r>
      <w:r>
        <w:rPr/>
        <w:t>más hostil para la flora microbiana metanogénica y las poblaciones de protozoos ruminales, tales como una rápida tasa de digestión y un descenso del pH ruminal que</w:t>
      </w:r>
      <w:r>
        <w:rPr>
          <w:spacing w:val="-8"/>
        </w:rPr>
        <w:t> </w:t>
      </w:r>
      <w:r>
        <w:rPr/>
        <w:t>se</w:t>
      </w:r>
      <w:r>
        <w:rPr>
          <w:spacing w:val="-8"/>
        </w:rPr>
        <w:t> </w:t>
      </w:r>
      <w:r>
        <w:rPr/>
        <w:t>reflejan</w:t>
      </w:r>
      <w:r>
        <w:rPr>
          <w:spacing w:val="-8"/>
        </w:rPr>
        <w:t> </w:t>
      </w:r>
      <w:r>
        <w:rPr/>
        <w:t>en</w:t>
      </w:r>
      <w:r>
        <w:rPr>
          <w:spacing w:val="-8"/>
        </w:rPr>
        <w:t> </w:t>
      </w:r>
      <w:r>
        <w:rPr/>
        <w:t>una</w:t>
      </w:r>
      <w:r>
        <w:rPr>
          <w:spacing w:val="-8"/>
        </w:rPr>
        <w:t> </w:t>
      </w:r>
      <w:r>
        <w:rPr/>
        <w:t>mayor</w:t>
      </w:r>
      <w:r>
        <w:rPr>
          <w:spacing w:val="-8"/>
        </w:rPr>
        <w:t> </w:t>
      </w:r>
      <w:r>
        <w:rPr/>
        <w:t>concentración</w:t>
      </w:r>
      <w:r>
        <w:rPr>
          <w:spacing w:val="-8"/>
        </w:rPr>
        <w:t> </w:t>
      </w:r>
      <w:r>
        <w:rPr/>
        <w:t>relativa</w:t>
      </w:r>
      <w:r>
        <w:rPr>
          <w:spacing w:val="-8"/>
        </w:rPr>
        <w:t> </w:t>
      </w:r>
      <w:r>
        <w:rPr/>
        <w:t>de</w:t>
      </w:r>
      <w:r>
        <w:rPr>
          <w:spacing w:val="-8"/>
        </w:rPr>
        <w:t> </w:t>
      </w:r>
      <w:r>
        <w:rPr/>
        <w:t>ácido</w:t>
      </w:r>
      <w:r>
        <w:rPr>
          <w:spacing w:val="-8"/>
        </w:rPr>
        <w:t> </w:t>
      </w:r>
      <w:r>
        <w:rPr/>
        <w:t>propiónico.</w:t>
      </w:r>
      <w:r>
        <w:rPr>
          <w:spacing w:val="-8"/>
        </w:rPr>
        <w:t> </w:t>
      </w:r>
      <w:r>
        <w:rPr/>
        <w:t>Es</w:t>
      </w:r>
      <w:r>
        <w:rPr>
          <w:spacing w:val="-8"/>
        </w:rPr>
        <w:t> </w:t>
      </w:r>
      <w:r>
        <w:rPr/>
        <w:t>por</w:t>
      </w:r>
      <w:r>
        <w:rPr>
          <w:spacing w:val="-8"/>
        </w:rPr>
        <w:t> </w:t>
      </w:r>
      <w:r>
        <w:rPr/>
        <w:t>ello que,</w:t>
      </w:r>
      <w:r>
        <w:rPr>
          <w:spacing w:val="-13"/>
        </w:rPr>
        <w:t> </w:t>
      </w:r>
      <w:r>
        <w:rPr/>
        <w:t>presumiblemente,</w:t>
      </w:r>
      <w:r>
        <w:rPr>
          <w:spacing w:val="-13"/>
        </w:rPr>
        <w:t> </w:t>
      </w:r>
      <w:r>
        <w:rPr/>
        <w:t>los</w:t>
      </w:r>
      <w:r>
        <w:rPr>
          <w:spacing w:val="-13"/>
        </w:rPr>
        <w:t> </w:t>
      </w:r>
      <w:r>
        <w:rPr/>
        <w:t>factores</w:t>
      </w:r>
      <w:r>
        <w:rPr>
          <w:spacing w:val="-13"/>
        </w:rPr>
        <w:t> </w:t>
      </w:r>
      <w:r>
        <w:rPr/>
        <w:t>de</w:t>
      </w:r>
      <w:r>
        <w:rPr>
          <w:spacing w:val="-13"/>
        </w:rPr>
        <w:t> </w:t>
      </w:r>
      <w:r>
        <w:rPr/>
        <w:t>conversión</w:t>
      </w:r>
      <w:r>
        <w:rPr>
          <w:spacing w:val="-13"/>
        </w:rPr>
        <w:t> </w:t>
      </w:r>
      <w:r>
        <w:rPr/>
        <w:t>de</w:t>
      </w:r>
      <w:r>
        <w:rPr>
          <w:spacing w:val="-13"/>
        </w:rPr>
        <w:t> </w:t>
      </w:r>
      <w:r>
        <w:rPr/>
        <w:t>CH</w:t>
      </w:r>
      <w:r>
        <w:rPr>
          <w:position w:val="-2"/>
          <w:sz w:val="16"/>
        </w:rPr>
        <w:t>4</w:t>
      </w:r>
      <w:r>
        <w:rPr>
          <w:spacing w:val="10"/>
          <w:position w:val="-2"/>
          <w:sz w:val="16"/>
        </w:rPr>
        <w:t> </w:t>
      </w:r>
      <w:r>
        <w:rPr/>
        <w:t>en</w:t>
      </w:r>
      <w:r>
        <w:rPr>
          <w:spacing w:val="-13"/>
        </w:rPr>
        <w:t> </w:t>
      </w:r>
      <w:r>
        <w:rPr/>
        <w:t>estas</w:t>
      </w:r>
      <w:r>
        <w:rPr>
          <w:spacing w:val="-13"/>
        </w:rPr>
        <w:t> </w:t>
      </w:r>
      <w:r>
        <w:rPr/>
        <w:t>situaciones</w:t>
      </w:r>
      <w:r>
        <w:rPr>
          <w:spacing w:val="-13"/>
        </w:rPr>
        <w:t> </w:t>
      </w:r>
      <w:r>
        <w:rPr/>
        <w:t>sean inferiores a los rangos propuesto por IPCC (2006).</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El IPCC (2006), indica que el grado en el que la energía de los alimentos se convierte en CH</w:t>
      </w:r>
      <w:r>
        <w:rPr>
          <w:position w:val="-2"/>
          <w:sz w:val="16"/>
        </w:rPr>
        <w:t>4 </w:t>
      </w:r>
      <w:r>
        <w:rPr/>
        <w:t>depende de varios factores alimentarios y animales interrelacionados. Si no se dispone de factores de conversión de CH</w:t>
      </w:r>
      <w:r>
        <w:rPr>
          <w:position w:val="-2"/>
          <w:sz w:val="16"/>
        </w:rPr>
        <w:t>4 </w:t>
      </w:r>
      <w:r>
        <w:rPr/>
        <w:t>a partir de trabajos de investigación específicos del país, se pueden utilizar los valores suministrados</w:t>
      </w:r>
      <w:r>
        <w:rPr>
          <w:spacing w:val="-17"/>
        </w:rPr>
        <w:t> </w:t>
      </w:r>
      <w:r>
        <w:rPr/>
        <w:t>en</w:t>
      </w:r>
      <w:r>
        <w:rPr>
          <w:spacing w:val="-17"/>
        </w:rPr>
        <w:t> </w:t>
      </w:r>
      <w:r>
        <w:rPr/>
        <w:t>el</w:t>
      </w:r>
      <w:r>
        <w:rPr>
          <w:spacing w:val="-17"/>
        </w:rPr>
        <w:t> </w:t>
      </w:r>
      <w:r>
        <w:rPr/>
        <w:t>Cuadro</w:t>
      </w:r>
      <w:r>
        <w:rPr>
          <w:spacing w:val="-17"/>
        </w:rPr>
        <w:t> </w:t>
      </w:r>
      <w:r>
        <w:rPr/>
        <w:t>2,</w:t>
      </w:r>
      <w:r>
        <w:rPr>
          <w:spacing w:val="-17"/>
        </w:rPr>
        <w:t> </w:t>
      </w:r>
      <w:r>
        <w:rPr/>
        <w:t>factores</w:t>
      </w:r>
      <w:r>
        <w:rPr>
          <w:spacing w:val="-17"/>
        </w:rPr>
        <w:t> </w:t>
      </w:r>
      <w:r>
        <w:rPr/>
        <w:t>de</w:t>
      </w:r>
      <w:r>
        <w:rPr>
          <w:spacing w:val="-17"/>
        </w:rPr>
        <w:t> </w:t>
      </w:r>
      <w:r>
        <w:rPr/>
        <w:t>conversión</w:t>
      </w:r>
      <w:r>
        <w:rPr>
          <w:spacing w:val="-17"/>
        </w:rPr>
        <w:t> </w:t>
      </w:r>
      <w:r>
        <w:rPr/>
        <w:t>de</w:t>
      </w:r>
      <w:r>
        <w:rPr>
          <w:spacing w:val="-17"/>
        </w:rPr>
        <w:t> </w:t>
      </w:r>
      <w:r>
        <w:rPr/>
        <w:t>CH</w:t>
      </w:r>
      <w:r>
        <w:rPr>
          <w:position w:val="-2"/>
          <w:sz w:val="16"/>
        </w:rPr>
        <w:t>4</w:t>
      </w:r>
      <w:r>
        <w:rPr>
          <w:spacing w:val="6"/>
          <w:position w:val="-2"/>
          <w:sz w:val="16"/>
        </w:rPr>
        <w:t> </w:t>
      </w:r>
      <w:r>
        <w:rPr/>
        <w:t>para</w:t>
      </w:r>
      <w:r>
        <w:rPr>
          <w:spacing w:val="-17"/>
        </w:rPr>
        <w:t> </w:t>
      </w:r>
      <w:r>
        <w:rPr/>
        <w:t>vacunos</w:t>
      </w:r>
      <w:r>
        <w:rPr>
          <w:spacing w:val="-17"/>
        </w:rPr>
        <w:t> </w:t>
      </w:r>
      <w:r>
        <w:rPr/>
        <w:t>y</w:t>
      </w:r>
      <w:r>
        <w:rPr>
          <w:spacing w:val="-17"/>
        </w:rPr>
        <w:t> </w:t>
      </w:r>
      <w:r>
        <w:rPr/>
        <w:t>búfalos para estas subcategorías. Estas estimaciones generales sirven como una orientación aproximada respecto a las características de la alimentación y las prácticas de producción en general que se encuentran en muchos países desarrollados y en desarrollo. Cuando se dispone de buena alimentación (es decir, con alta digestibilidad y altos valores de energía), se recomienda utilizar los límites inferiores.</w:t>
      </w:r>
      <w:r>
        <w:rPr>
          <w:spacing w:val="-7"/>
        </w:rPr>
        <w:t> </w:t>
      </w:r>
      <w:r>
        <w:rPr/>
        <w:t>Cuando</w:t>
      </w:r>
      <w:r>
        <w:rPr>
          <w:spacing w:val="-7"/>
        </w:rPr>
        <w:t> </w:t>
      </w:r>
      <w:r>
        <w:rPr/>
        <w:t>se</w:t>
      </w:r>
      <w:r>
        <w:rPr>
          <w:spacing w:val="-7"/>
        </w:rPr>
        <w:t> </w:t>
      </w:r>
      <w:r>
        <w:rPr/>
        <w:t>dispone</w:t>
      </w:r>
      <w:r>
        <w:rPr>
          <w:spacing w:val="-7"/>
        </w:rPr>
        <w:t> </w:t>
      </w:r>
      <w:r>
        <w:rPr/>
        <w:t>de</w:t>
      </w:r>
      <w:r>
        <w:rPr>
          <w:spacing w:val="-7"/>
        </w:rPr>
        <w:t> </w:t>
      </w:r>
      <w:r>
        <w:rPr/>
        <w:t>alimentación</w:t>
      </w:r>
      <w:r>
        <w:rPr>
          <w:spacing w:val="-7"/>
        </w:rPr>
        <w:t> </w:t>
      </w:r>
      <w:r>
        <w:rPr/>
        <w:t>más</w:t>
      </w:r>
      <w:r>
        <w:rPr>
          <w:spacing w:val="-7"/>
        </w:rPr>
        <w:t> </w:t>
      </w:r>
      <w:r>
        <w:rPr/>
        <w:t>pobre,</w:t>
      </w:r>
      <w:r>
        <w:rPr>
          <w:spacing w:val="-7"/>
        </w:rPr>
        <w:t> </w:t>
      </w:r>
      <w:r>
        <w:rPr/>
        <w:t>resultan</w:t>
      </w:r>
      <w:r>
        <w:rPr>
          <w:spacing w:val="-7"/>
        </w:rPr>
        <w:t> </w:t>
      </w:r>
      <w:r>
        <w:rPr/>
        <w:t>más</w:t>
      </w:r>
      <w:r>
        <w:rPr>
          <w:spacing w:val="-7"/>
        </w:rPr>
        <w:t> </w:t>
      </w:r>
      <w:r>
        <w:rPr/>
        <w:t>apropiados los</w:t>
      </w:r>
      <w:r>
        <w:rPr>
          <w:spacing w:val="-6"/>
        </w:rPr>
        <w:t> </w:t>
      </w:r>
      <w:r>
        <w:rPr/>
        <w:t>límites</w:t>
      </w:r>
      <w:r>
        <w:rPr>
          <w:spacing w:val="-6"/>
        </w:rPr>
        <w:t> </w:t>
      </w:r>
      <w:r>
        <w:rPr/>
        <w:t>superiores.</w:t>
      </w:r>
      <w:r>
        <w:rPr>
          <w:spacing w:val="-6"/>
        </w:rPr>
        <w:t> </w:t>
      </w:r>
      <w:r>
        <w:rPr/>
        <w:t>Se</w:t>
      </w:r>
      <w:r>
        <w:rPr>
          <w:spacing w:val="-6"/>
        </w:rPr>
        <w:t> </w:t>
      </w:r>
      <w:r>
        <w:rPr/>
        <w:t>supone</w:t>
      </w:r>
      <w:r>
        <w:rPr>
          <w:spacing w:val="-6"/>
        </w:rPr>
        <w:t> </w:t>
      </w:r>
      <w:r>
        <w:rPr/>
        <w:t>que</w:t>
      </w:r>
      <w:r>
        <w:rPr>
          <w:spacing w:val="-6"/>
        </w:rPr>
        <w:t> </w:t>
      </w:r>
      <w:r>
        <w:rPr/>
        <w:t>el</w:t>
      </w:r>
      <w:r>
        <w:rPr>
          <w:spacing w:val="-6"/>
        </w:rPr>
        <w:t> </w:t>
      </w:r>
      <w:r>
        <w:rPr/>
        <w:t>factor</w:t>
      </w:r>
      <w:r>
        <w:rPr>
          <w:spacing w:val="-6"/>
        </w:rPr>
        <w:t> </w:t>
      </w:r>
      <w:r>
        <w:rPr/>
        <w:t>de</w:t>
      </w:r>
      <w:r>
        <w:rPr>
          <w:spacing w:val="-6"/>
        </w:rPr>
        <w:t> </w:t>
      </w:r>
      <w:r>
        <w:rPr/>
        <w:t>conversión</w:t>
      </w:r>
      <w:r>
        <w:rPr>
          <w:spacing w:val="-6"/>
        </w:rPr>
        <w:t> </w:t>
      </w:r>
      <w:r>
        <w:rPr/>
        <w:t>de</w:t>
      </w:r>
      <w:r>
        <w:rPr>
          <w:spacing w:val="-6"/>
        </w:rPr>
        <w:t> </w:t>
      </w:r>
      <w:r>
        <w:rPr/>
        <w:t>CH</w:t>
      </w:r>
      <w:r>
        <w:rPr>
          <w:position w:val="-2"/>
          <w:sz w:val="16"/>
        </w:rPr>
        <w:t>4</w:t>
      </w:r>
      <w:r>
        <w:rPr>
          <w:spacing w:val="18"/>
          <w:position w:val="-2"/>
          <w:sz w:val="16"/>
        </w:rPr>
        <w:t> </w:t>
      </w:r>
      <w:r>
        <w:rPr/>
        <w:t>para</w:t>
      </w:r>
      <w:r>
        <w:rPr>
          <w:spacing w:val="-6"/>
        </w:rPr>
        <w:t> </w:t>
      </w:r>
      <w:r>
        <w:rPr/>
        <w:t>todos</w:t>
      </w:r>
      <w:r>
        <w:rPr>
          <w:spacing w:val="-6"/>
        </w:rPr>
        <w:t> </w:t>
      </w:r>
      <w:r>
        <w:rPr/>
        <w:t>los animales que sólo consumen leche (es decir, corderos y terneros alimentados a leche) equivale a cero (IPCC,</w:t>
      </w:r>
      <w:r>
        <w:rPr>
          <w:spacing w:val="-2"/>
        </w:rPr>
        <w:t> </w:t>
      </w:r>
      <w:r>
        <w:rPr/>
        <w:t>2006).</w:t>
      </w:r>
    </w:p>
    <w:p>
      <w:pPr>
        <w:pStyle w:val="BodyText"/>
        <w:spacing w:line="360" w:lineRule="auto" w:before="5"/>
        <w:ind w:left="276" w:right="143"/>
        <w:jc w:val="both"/>
      </w:pPr>
      <w:r>
        <w:rPr/>
        <w:t>El</w:t>
      </w:r>
      <w:r>
        <w:rPr>
          <w:spacing w:val="-13"/>
        </w:rPr>
        <w:t> </w:t>
      </w:r>
      <w:r>
        <w:rPr/>
        <w:t>IPCC</w:t>
      </w:r>
      <w:r>
        <w:rPr>
          <w:spacing w:val="-13"/>
        </w:rPr>
        <w:t> </w:t>
      </w:r>
      <w:r>
        <w:rPr/>
        <w:t>(2006),</w:t>
      </w:r>
      <w:r>
        <w:rPr>
          <w:spacing w:val="-13"/>
        </w:rPr>
        <w:t> </w:t>
      </w:r>
      <w:r>
        <w:rPr/>
        <w:t>indica</w:t>
      </w:r>
      <w:r>
        <w:rPr>
          <w:spacing w:val="-13"/>
        </w:rPr>
        <w:t> </w:t>
      </w:r>
      <w:r>
        <w:rPr/>
        <w:t>que</w:t>
      </w:r>
      <w:r>
        <w:rPr>
          <w:spacing w:val="-13"/>
        </w:rPr>
        <w:t> </w:t>
      </w:r>
      <w:r>
        <w:rPr/>
        <w:t>dada</w:t>
      </w:r>
      <w:r>
        <w:rPr>
          <w:spacing w:val="-14"/>
        </w:rPr>
        <w:t> </w:t>
      </w:r>
      <w:r>
        <w:rPr/>
        <w:t>la</w:t>
      </w:r>
      <w:r>
        <w:rPr>
          <w:spacing w:val="-13"/>
        </w:rPr>
        <w:t> </w:t>
      </w:r>
      <w:r>
        <w:rPr/>
        <w:t>importancia</w:t>
      </w:r>
      <w:r>
        <w:rPr>
          <w:spacing w:val="-13"/>
        </w:rPr>
        <w:t> </w:t>
      </w:r>
      <w:r>
        <w:rPr/>
        <w:t>del</w:t>
      </w:r>
      <w:r>
        <w:rPr>
          <w:spacing w:val="-13"/>
        </w:rPr>
        <w:t> </w:t>
      </w:r>
      <w:r>
        <w:rPr/>
        <w:t>Ym</w:t>
      </w:r>
      <w:r>
        <w:rPr>
          <w:spacing w:val="-13"/>
        </w:rPr>
        <w:t> </w:t>
      </w:r>
      <w:r>
        <w:rPr/>
        <w:t>como</w:t>
      </w:r>
      <w:r>
        <w:rPr>
          <w:spacing w:val="-13"/>
        </w:rPr>
        <w:t> </w:t>
      </w:r>
      <w:r>
        <w:rPr/>
        <w:t>impulsor</w:t>
      </w:r>
      <w:r>
        <w:rPr>
          <w:spacing w:val="-13"/>
        </w:rPr>
        <w:t> </w:t>
      </w:r>
      <w:r>
        <w:rPr/>
        <w:t>de</w:t>
      </w:r>
      <w:r>
        <w:rPr>
          <w:spacing w:val="-13"/>
        </w:rPr>
        <w:t> </w:t>
      </w:r>
      <w:r>
        <w:rPr/>
        <w:t>emisiones, una</w:t>
      </w:r>
      <w:r>
        <w:rPr>
          <w:spacing w:val="-14"/>
        </w:rPr>
        <w:t> </w:t>
      </w:r>
      <w:r>
        <w:rPr/>
        <w:t>parte</w:t>
      </w:r>
      <w:r>
        <w:rPr>
          <w:spacing w:val="-14"/>
        </w:rPr>
        <w:t> </w:t>
      </w:r>
      <w:r>
        <w:rPr/>
        <w:t>sustancial</w:t>
      </w:r>
      <w:r>
        <w:rPr>
          <w:spacing w:val="-14"/>
        </w:rPr>
        <w:t> </w:t>
      </w:r>
      <w:r>
        <w:rPr/>
        <w:t>de</w:t>
      </w:r>
      <w:r>
        <w:rPr>
          <w:spacing w:val="-14"/>
        </w:rPr>
        <w:t> </w:t>
      </w:r>
      <w:r>
        <w:rPr/>
        <w:t>las</w:t>
      </w:r>
      <w:r>
        <w:rPr>
          <w:spacing w:val="-14"/>
        </w:rPr>
        <w:t> </w:t>
      </w:r>
      <w:r>
        <w:rPr/>
        <w:t>investigaciones</w:t>
      </w:r>
      <w:r>
        <w:rPr>
          <w:spacing w:val="-14"/>
        </w:rPr>
        <w:t> </w:t>
      </w:r>
      <w:r>
        <w:rPr/>
        <w:t>que</w:t>
      </w:r>
      <w:r>
        <w:rPr>
          <w:spacing w:val="-14"/>
        </w:rPr>
        <w:t> </w:t>
      </w:r>
      <w:r>
        <w:rPr/>
        <w:t>se</w:t>
      </w:r>
      <w:r>
        <w:rPr>
          <w:spacing w:val="-14"/>
        </w:rPr>
        <w:t> </w:t>
      </w:r>
      <w:r>
        <w:rPr/>
        <w:t>realicen,</w:t>
      </w:r>
      <w:r>
        <w:rPr>
          <w:spacing w:val="-14"/>
        </w:rPr>
        <w:t> </w:t>
      </w:r>
      <w:r>
        <w:rPr/>
        <w:t>deberán</w:t>
      </w:r>
      <w:r>
        <w:rPr>
          <w:spacing w:val="-14"/>
        </w:rPr>
        <w:t> </w:t>
      </w:r>
      <w:r>
        <w:rPr/>
        <w:t>estar</w:t>
      </w:r>
      <w:r>
        <w:rPr>
          <w:spacing w:val="-14"/>
        </w:rPr>
        <w:t> </w:t>
      </w:r>
      <w:r>
        <w:rPr/>
        <w:t>destinada a mejorar las estimaciones de Ym para diferentes combinaciones de ganado y alimentos.</w:t>
      </w:r>
      <w:r>
        <w:rPr>
          <w:spacing w:val="-8"/>
        </w:rPr>
        <w:t> </w:t>
      </w:r>
      <w:r>
        <w:rPr/>
        <w:t>La</w:t>
      </w:r>
      <w:r>
        <w:rPr>
          <w:spacing w:val="-8"/>
        </w:rPr>
        <w:t> </w:t>
      </w:r>
      <w:r>
        <w:rPr/>
        <w:t>necesidad</w:t>
      </w:r>
      <w:r>
        <w:rPr>
          <w:spacing w:val="-8"/>
        </w:rPr>
        <w:t> </w:t>
      </w:r>
      <w:r>
        <w:rPr/>
        <w:t>de</w:t>
      </w:r>
      <w:r>
        <w:rPr>
          <w:spacing w:val="-8"/>
        </w:rPr>
        <w:t> </w:t>
      </w:r>
      <w:r>
        <w:rPr/>
        <w:t>mejorar</w:t>
      </w:r>
      <w:r>
        <w:rPr>
          <w:spacing w:val="-8"/>
        </w:rPr>
        <w:t> </w:t>
      </w:r>
      <w:r>
        <w:rPr/>
        <w:t>este</w:t>
      </w:r>
      <w:r>
        <w:rPr>
          <w:spacing w:val="-8"/>
        </w:rPr>
        <w:t> </w:t>
      </w:r>
      <w:r>
        <w:rPr/>
        <w:t>aspecto</w:t>
      </w:r>
      <w:r>
        <w:rPr>
          <w:spacing w:val="-8"/>
        </w:rPr>
        <w:t> </w:t>
      </w:r>
      <w:r>
        <w:rPr/>
        <w:t>es</w:t>
      </w:r>
      <w:r>
        <w:rPr>
          <w:spacing w:val="-8"/>
        </w:rPr>
        <w:t> </w:t>
      </w:r>
      <w:r>
        <w:rPr/>
        <w:t>esencial</w:t>
      </w:r>
      <w:r>
        <w:rPr>
          <w:spacing w:val="-8"/>
        </w:rPr>
        <w:t> </w:t>
      </w:r>
      <w:r>
        <w:rPr/>
        <w:t>para</w:t>
      </w:r>
      <w:r>
        <w:rPr>
          <w:spacing w:val="-8"/>
        </w:rPr>
        <w:t> </w:t>
      </w:r>
      <w:r>
        <w:rPr/>
        <w:t>animales</w:t>
      </w:r>
      <w:r>
        <w:rPr>
          <w:spacing w:val="-8"/>
        </w:rPr>
        <w:t> </w:t>
      </w:r>
      <w:r>
        <w:rPr/>
        <w:t>criados en las pasturas tropicales, ya que los datos disponibles son escasos. En un</w:t>
      </w:r>
      <w:r>
        <w:rPr>
          <w:spacing w:val="-40"/>
        </w:rPr>
        <w:t> </w:t>
      </w:r>
      <w:r>
        <w:rPr/>
        <w:t>estudio reciente</w:t>
      </w:r>
      <w:r>
        <w:rPr>
          <w:spacing w:val="-4"/>
        </w:rPr>
        <w:t> </w:t>
      </w:r>
      <w:r>
        <w:rPr/>
        <w:t>(Kurihara</w:t>
      </w:r>
      <w:r>
        <w:rPr>
          <w:spacing w:val="-4"/>
        </w:rPr>
        <w:t> </w:t>
      </w:r>
      <w:r>
        <w:rPr>
          <w:i/>
        </w:rPr>
        <w:t>et</w:t>
      </w:r>
      <w:r>
        <w:rPr>
          <w:i/>
          <w:spacing w:val="-4"/>
        </w:rPr>
        <w:t> </w:t>
      </w:r>
      <w:r>
        <w:rPr>
          <w:i/>
        </w:rPr>
        <w:t>al.</w:t>
      </w:r>
      <w:r>
        <w:rPr/>
        <w:t>,</w:t>
      </w:r>
      <w:r>
        <w:rPr>
          <w:spacing w:val="-4"/>
        </w:rPr>
        <w:t> </w:t>
      </w:r>
      <w:r>
        <w:rPr/>
        <w:t>1999)</w:t>
      </w:r>
      <w:r>
        <w:rPr>
          <w:spacing w:val="-4"/>
        </w:rPr>
        <w:t> </w:t>
      </w:r>
      <w:r>
        <w:rPr/>
        <w:t>se</w:t>
      </w:r>
      <w:r>
        <w:rPr>
          <w:spacing w:val="-4"/>
        </w:rPr>
        <w:t> </w:t>
      </w:r>
      <w:r>
        <w:rPr/>
        <w:t>observaron</w:t>
      </w:r>
      <w:r>
        <w:rPr>
          <w:spacing w:val="-4"/>
        </w:rPr>
        <w:t> </w:t>
      </w:r>
      <w:r>
        <w:rPr/>
        <w:t>valores</w:t>
      </w:r>
      <w:r>
        <w:rPr>
          <w:spacing w:val="-4"/>
        </w:rPr>
        <w:t> </w:t>
      </w:r>
      <w:r>
        <w:rPr/>
        <w:t>de</w:t>
      </w:r>
      <w:r>
        <w:rPr>
          <w:spacing w:val="-4"/>
        </w:rPr>
        <w:t> </w:t>
      </w:r>
      <w:r>
        <w:rPr/>
        <w:t>Ym</w:t>
      </w:r>
      <w:r>
        <w:rPr>
          <w:spacing w:val="-4"/>
        </w:rPr>
        <w:t> </w:t>
      </w:r>
      <w:r>
        <w:rPr/>
        <w:t>que</w:t>
      </w:r>
      <w:r>
        <w:rPr>
          <w:spacing w:val="-4"/>
        </w:rPr>
        <w:t> </w:t>
      </w:r>
      <w:r>
        <w:rPr/>
        <w:t>están</w:t>
      </w:r>
      <w:r>
        <w:rPr>
          <w:spacing w:val="-4"/>
        </w:rPr>
        <w:t> </w:t>
      </w:r>
      <w:r>
        <w:rPr/>
        <w:t>fuera</w:t>
      </w:r>
      <w:r>
        <w:rPr>
          <w:spacing w:val="-4"/>
        </w:rPr>
        <w:t> </w:t>
      </w:r>
      <w:r>
        <w:rPr/>
        <w:t>de</w:t>
      </w:r>
      <w:r>
        <w:rPr>
          <w:spacing w:val="-4"/>
        </w:rPr>
        <w:t> </w:t>
      </w:r>
      <w:r>
        <w:rPr/>
        <w:t>los rangos descritos en el Cuadro 2.</w:t>
      </w:r>
    </w:p>
    <w:p>
      <w:pPr>
        <w:pStyle w:val="BodyText"/>
        <w:rPr>
          <w:sz w:val="20"/>
        </w:rPr>
      </w:pPr>
    </w:p>
    <w:p>
      <w:pPr>
        <w:pStyle w:val="BodyText"/>
        <w:spacing w:before="10"/>
        <w:rPr>
          <w:sz w:val="16"/>
        </w:rPr>
      </w:pPr>
    </w:p>
    <w:tbl>
      <w:tblPr>
        <w:tblW w:w="0" w:type="auto"/>
        <w:jc w:val="left"/>
        <w:tblInd w:w="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92"/>
        <w:gridCol w:w="1680"/>
      </w:tblGrid>
      <w:tr>
        <w:trPr>
          <w:trHeight w:val="509" w:hRule="exact"/>
        </w:trPr>
        <w:tc>
          <w:tcPr>
            <w:tcW w:w="8472" w:type="dxa"/>
            <w:gridSpan w:val="2"/>
            <w:tcBorders>
              <w:bottom w:val="single" w:sz="15" w:space="0" w:color="000000"/>
            </w:tcBorders>
            <w:shd w:val="clear" w:color="auto" w:fill="632423"/>
          </w:tcPr>
          <w:p>
            <w:pPr>
              <w:pStyle w:val="TableParagraph"/>
              <w:spacing w:before="124"/>
              <w:ind w:left="100"/>
              <w:rPr>
                <w:rFonts w:ascii="Arial" w:hAnsi="Arial"/>
                <w:b/>
                <w:sz w:val="21"/>
              </w:rPr>
            </w:pPr>
            <w:r>
              <w:rPr>
                <w:rFonts w:ascii="Arial" w:hAnsi="Arial"/>
                <w:b/>
                <w:color w:val="FFFFFF"/>
                <w:w w:val="105"/>
                <w:sz w:val="21"/>
              </w:rPr>
              <w:t>Cuadro 2.  Factores de Conversión de CH</w:t>
            </w:r>
            <w:r>
              <w:rPr>
                <w:rFonts w:ascii="Arial" w:hAnsi="Arial"/>
                <w:b/>
                <w:color w:val="FFFFFF"/>
                <w:w w:val="105"/>
                <w:position w:val="-2"/>
                <w:sz w:val="14"/>
              </w:rPr>
              <w:t>4 </w:t>
            </w:r>
            <w:r>
              <w:rPr>
                <w:rFonts w:ascii="Arial" w:hAnsi="Arial"/>
                <w:b/>
                <w:color w:val="FFFFFF"/>
                <w:w w:val="105"/>
                <w:sz w:val="21"/>
              </w:rPr>
              <w:t>para vacunos y búfalos (Ym)</w:t>
            </w:r>
          </w:p>
        </w:tc>
      </w:tr>
      <w:tr>
        <w:trPr>
          <w:trHeight w:val="278" w:hRule="exact"/>
        </w:trPr>
        <w:tc>
          <w:tcPr>
            <w:tcW w:w="6792" w:type="dxa"/>
            <w:tcBorders>
              <w:top w:val="single" w:sz="15" w:space="0" w:color="000000"/>
            </w:tcBorders>
          </w:tcPr>
          <w:p>
            <w:pPr>
              <w:pStyle w:val="TableParagraph"/>
              <w:spacing w:before="9"/>
              <w:ind w:left="2279" w:right="2282"/>
              <w:jc w:val="center"/>
              <w:rPr>
                <w:rFonts w:ascii="Arial" w:hAnsi="Arial"/>
                <w:b/>
                <w:sz w:val="21"/>
              </w:rPr>
            </w:pPr>
            <w:r>
              <w:rPr>
                <w:rFonts w:ascii="Arial" w:hAnsi="Arial"/>
                <w:b/>
                <w:w w:val="105"/>
                <w:sz w:val="21"/>
              </w:rPr>
              <w:t>Categoría de ganado</w:t>
            </w:r>
          </w:p>
        </w:tc>
        <w:tc>
          <w:tcPr>
            <w:tcW w:w="1680" w:type="dxa"/>
            <w:tcBorders>
              <w:top w:val="single" w:sz="15" w:space="0" w:color="000000"/>
            </w:tcBorders>
          </w:tcPr>
          <w:p>
            <w:pPr>
              <w:pStyle w:val="TableParagraph"/>
              <w:spacing w:line="251" w:lineRule="exact"/>
              <w:ind w:left="607" w:right="611"/>
              <w:jc w:val="center"/>
              <w:rPr>
                <w:rFonts w:ascii="Arial"/>
                <w:b/>
                <w:sz w:val="14"/>
              </w:rPr>
            </w:pPr>
            <w:r>
              <w:rPr>
                <w:rFonts w:ascii="Arial"/>
                <w:b/>
                <w:sz w:val="21"/>
              </w:rPr>
              <w:t>Ym</w:t>
            </w:r>
            <w:r>
              <w:rPr>
                <w:rFonts w:ascii="Arial"/>
                <w:b/>
                <w:position w:val="10"/>
                <w:sz w:val="14"/>
              </w:rPr>
              <w:t>b</w:t>
            </w:r>
          </w:p>
        </w:tc>
      </w:tr>
      <w:tr>
        <w:trPr>
          <w:trHeight w:val="264" w:hRule="exact"/>
        </w:trPr>
        <w:tc>
          <w:tcPr>
            <w:tcW w:w="6792" w:type="dxa"/>
          </w:tcPr>
          <w:p>
            <w:pPr>
              <w:pStyle w:val="TableParagraph"/>
              <w:spacing w:line="246" w:lineRule="exact"/>
              <w:ind w:left="100"/>
              <w:rPr>
                <w:rFonts w:ascii="Arial"/>
                <w:sz w:val="14"/>
              </w:rPr>
            </w:pPr>
            <w:r>
              <w:rPr>
                <w:rFonts w:ascii="Arial"/>
                <w:w w:val="105"/>
                <w:sz w:val="21"/>
              </w:rPr>
              <w:t>Vacunos alimentados a corral</w:t>
            </w:r>
            <w:r>
              <w:rPr>
                <w:rFonts w:ascii="Arial"/>
                <w:w w:val="105"/>
                <w:position w:val="10"/>
                <w:sz w:val="14"/>
              </w:rPr>
              <w:t>a</w:t>
            </w:r>
          </w:p>
        </w:tc>
        <w:tc>
          <w:tcPr>
            <w:tcW w:w="1680" w:type="dxa"/>
          </w:tcPr>
          <w:p>
            <w:pPr>
              <w:pStyle w:val="TableParagraph"/>
              <w:spacing w:before="4"/>
              <w:ind w:left="100"/>
              <w:rPr>
                <w:rFonts w:ascii="Arial" w:hAnsi="Arial"/>
                <w:sz w:val="21"/>
              </w:rPr>
            </w:pPr>
            <w:r>
              <w:rPr>
                <w:rFonts w:ascii="Arial" w:hAnsi="Arial"/>
                <w:w w:val="105"/>
                <w:sz w:val="21"/>
              </w:rPr>
              <w:t>3.0% ± 1.0%</w:t>
            </w:r>
          </w:p>
        </w:tc>
      </w:tr>
      <w:tr>
        <w:trPr>
          <w:trHeight w:val="264" w:hRule="exact"/>
        </w:trPr>
        <w:tc>
          <w:tcPr>
            <w:tcW w:w="6792" w:type="dxa"/>
          </w:tcPr>
          <w:p>
            <w:pPr>
              <w:pStyle w:val="TableParagraph"/>
              <w:spacing w:before="4"/>
              <w:ind w:left="100"/>
              <w:rPr>
                <w:rFonts w:ascii="Arial" w:hAnsi="Arial"/>
                <w:sz w:val="21"/>
              </w:rPr>
            </w:pPr>
            <w:r>
              <w:rPr>
                <w:rFonts w:ascii="Arial" w:hAnsi="Arial"/>
                <w:w w:val="105"/>
                <w:sz w:val="21"/>
              </w:rPr>
              <w:t>Lecheras (vacunos y búfalos) y su progenie</w:t>
            </w:r>
          </w:p>
        </w:tc>
        <w:tc>
          <w:tcPr>
            <w:tcW w:w="1680" w:type="dxa"/>
          </w:tcPr>
          <w:p>
            <w:pPr>
              <w:pStyle w:val="TableParagraph"/>
              <w:spacing w:before="4"/>
              <w:ind w:left="100"/>
              <w:rPr>
                <w:rFonts w:ascii="Arial" w:hAnsi="Arial"/>
                <w:sz w:val="21"/>
              </w:rPr>
            </w:pPr>
            <w:r>
              <w:rPr>
                <w:rFonts w:ascii="Arial" w:hAnsi="Arial"/>
                <w:w w:val="105"/>
                <w:sz w:val="21"/>
              </w:rPr>
              <w:t>6.5% ± 1.0%</w:t>
            </w:r>
          </w:p>
        </w:tc>
      </w:tr>
      <w:tr>
        <w:trPr>
          <w:trHeight w:val="514" w:hRule="exact"/>
        </w:trPr>
        <w:tc>
          <w:tcPr>
            <w:tcW w:w="6792" w:type="dxa"/>
          </w:tcPr>
          <w:p>
            <w:pPr>
              <w:pStyle w:val="TableParagraph"/>
              <w:spacing w:line="252" w:lineRule="auto" w:before="4"/>
              <w:ind w:left="100"/>
              <w:rPr>
                <w:rFonts w:ascii="Arial" w:hAnsi="Arial"/>
                <w:sz w:val="21"/>
              </w:rPr>
            </w:pPr>
            <w:r>
              <w:rPr>
                <w:rFonts w:ascii="Arial" w:hAnsi="Arial"/>
                <w:w w:val="105"/>
                <w:sz w:val="21"/>
              </w:rPr>
              <w:t>Otros vacunos y búfalos que se alimentan fundamentalmente con desechos y subproductos agrícolas de baja calidad</w:t>
            </w:r>
          </w:p>
        </w:tc>
        <w:tc>
          <w:tcPr>
            <w:tcW w:w="1680" w:type="dxa"/>
          </w:tcPr>
          <w:p>
            <w:pPr>
              <w:pStyle w:val="TableParagraph"/>
              <w:spacing w:before="129"/>
              <w:ind w:left="100"/>
              <w:rPr>
                <w:rFonts w:ascii="Arial" w:hAnsi="Arial"/>
                <w:sz w:val="21"/>
              </w:rPr>
            </w:pPr>
            <w:r>
              <w:rPr>
                <w:rFonts w:ascii="Arial" w:hAnsi="Arial"/>
                <w:w w:val="105"/>
                <w:sz w:val="21"/>
              </w:rPr>
              <w:t>6.5% ± 1.0%</w:t>
            </w:r>
          </w:p>
        </w:tc>
      </w:tr>
      <w:tr>
        <w:trPr>
          <w:trHeight w:val="264" w:hRule="exact"/>
        </w:trPr>
        <w:tc>
          <w:tcPr>
            <w:tcW w:w="6792" w:type="dxa"/>
          </w:tcPr>
          <w:p>
            <w:pPr>
              <w:pStyle w:val="TableParagraph"/>
              <w:spacing w:before="4"/>
              <w:ind w:left="100"/>
              <w:rPr>
                <w:rFonts w:ascii="Arial" w:hAnsi="Arial"/>
                <w:sz w:val="21"/>
              </w:rPr>
            </w:pPr>
            <w:r>
              <w:rPr>
                <w:rFonts w:ascii="Arial" w:hAnsi="Arial"/>
                <w:w w:val="105"/>
                <w:sz w:val="21"/>
              </w:rPr>
              <w:t>Otros vacunos o búfalos – en pastoreo</w:t>
            </w:r>
          </w:p>
        </w:tc>
        <w:tc>
          <w:tcPr>
            <w:tcW w:w="1680" w:type="dxa"/>
          </w:tcPr>
          <w:p>
            <w:pPr>
              <w:pStyle w:val="TableParagraph"/>
              <w:spacing w:before="4"/>
              <w:ind w:left="100"/>
              <w:rPr>
                <w:rFonts w:ascii="Arial" w:hAnsi="Arial"/>
                <w:sz w:val="21"/>
              </w:rPr>
            </w:pPr>
            <w:r>
              <w:rPr>
                <w:rFonts w:ascii="Arial" w:hAnsi="Arial"/>
                <w:w w:val="105"/>
                <w:sz w:val="21"/>
              </w:rPr>
              <w:t>6.5% ± 1.0%</w:t>
            </w:r>
          </w:p>
        </w:tc>
      </w:tr>
      <w:tr>
        <w:trPr>
          <w:trHeight w:val="821" w:hRule="exact"/>
        </w:trPr>
        <w:tc>
          <w:tcPr>
            <w:tcW w:w="8472" w:type="dxa"/>
            <w:gridSpan w:val="2"/>
          </w:tcPr>
          <w:p>
            <w:pPr>
              <w:pStyle w:val="TableParagraph"/>
              <w:numPr>
                <w:ilvl w:val="0"/>
                <w:numId w:val="6"/>
              </w:numPr>
              <w:tabs>
                <w:tab w:pos="321" w:val="left" w:leader="none"/>
              </w:tabs>
              <w:spacing w:line="262" w:lineRule="exact" w:before="0" w:after="0"/>
              <w:ind w:left="320" w:right="0" w:hanging="220"/>
              <w:jc w:val="left"/>
              <w:rPr>
                <w:rFonts w:ascii="Arial" w:hAnsi="Arial"/>
                <w:sz w:val="21"/>
              </w:rPr>
            </w:pPr>
            <w:r>
              <w:rPr>
                <w:rFonts w:ascii="Arial" w:hAnsi="Arial"/>
                <w:w w:val="105"/>
                <w:position w:val="10"/>
                <w:sz w:val="14"/>
              </w:rPr>
              <w:t>a</w:t>
            </w:r>
            <w:r>
              <w:rPr>
                <w:rFonts w:ascii="Arial" w:hAnsi="Arial"/>
                <w:w w:val="105"/>
                <w:sz w:val="21"/>
              </w:rPr>
              <w:t>Cuando</w:t>
            </w:r>
            <w:r>
              <w:rPr>
                <w:rFonts w:ascii="Arial" w:hAnsi="Arial"/>
                <w:spacing w:val="-5"/>
                <w:w w:val="105"/>
                <w:sz w:val="21"/>
              </w:rPr>
              <w:t> </w:t>
            </w:r>
            <w:r>
              <w:rPr>
                <w:rFonts w:ascii="Arial" w:hAnsi="Arial"/>
                <w:w w:val="105"/>
                <w:sz w:val="21"/>
              </w:rPr>
              <w:t>los</w:t>
            </w:r>
            <w:r>
              <w:rPr>
                <w:rFonts w:ascii="Arial" w:hAnsi="Arial"/>
                <w:spacing w:val="-5"/>
                <w:w w:val="105"/>
                <w:sz w:val="21"/>
              </w:rPr>
              <w:t> </w:t>
            </w:r>
            <w:r>
              <w:rPr>
                <w:rFonts w:ascii="Arial" w:hAnsi="Arial"/>
                <w:w w:val="105"/>
                <w:sz w:val="21"/>
              </w:rPr>
              <w:t>alimentos</w:t>
            </w:r>
            <w:r>
              <w:rPr>
                <w:rFonts w:ascii="Arial" w:hAnsi="Arial"/>
                <w:spacing w:val="-5"/>
                <w:w w:val="105"/>
                <w:sz w:val="21"/>
              </w:rPr>
              <w:t> </w:t>
            </w:r>
            <w:r>
              <w:rPr>
                <w:rFonts w:ascii="Arial" w:hAnsi="Arial"/>
                <w:w w:val="105"/>
                <w:sz w:val="21"/>
              </w:rPr>
              <w:t>utilizados</w:t>
            </w:r>
            <w:r>
              <w:rPr>
                <w:rFonts w:ascii="Arial" w:hAnsi="Arial"/>
                <w:spacing w:val="-5"/>
                <w:w w:val="105"/>
                <w:sz w:val="21"/>
              </w:rPr>
              <w:t> </w:t>
            </w:r>
            <w:r>
              <w:rPr>
                <w:rFonts w:ascii="Arial" w:hAnsi="Arial"/>
                <w:w w:val="105"/>
                <w:sz w:val="21"/>
              </w:rPr>
              <w:t>contienen</w:t>
            </w:r>
            <w:r>
              <w:rPr>
                <w:rFonts w:ascii="Arial" w:hAnsi="Arial"/>
                <w:spacing w:val="-5"/>
                <w:w w:val="105"/>
                <w:sz w:val="21"/>
              </w:rPr>
              <w:t> </w:t>
            </w:r>
            <w:r>
              <w:rPr>
                <w:rFonts w:ascii="Arial" w:hAnsi="Arial"/>
                <w:w w:val="105"/>
                <w:sz w:val="21"/>
              </w:rPr>
              <w:t>un</w:t>
            </w:r>
            <w:r>
              <w:rPr>
                <w:rFonts w:ascii="Arial" w:hAnsi="Arial"/>
                <w:spacing w:val="-5"/>
                <w:w w:val="105"/>
                <w:sz w:val="21"/>
              </w:rPr>
              <w:t> </w:t>
            </w:r>
            <w:r>
              <w:rPr>
                <w:rFonts w:ascii="Arial" w:hAnsi="Arial"/>
                <w:w w:val="105"/>
                <w:sz w:val="21"/>
              </w:rPr>
              <w:t>90%</w:t>
            </w:r>
            <w:r>
              <w:rPr>
                <w:rFonts w:ascii="Arial" w:hAnsi="Arial"/>
                <w:spacing w:val="-3"/>
                <w:w w:val="105"/>
                <w:sz w:val="21"/>
              </w:rPr>
              <w:t> </w:t>
            </w:r>
            <w:r>
              <w:rPr>
                <w:rFonts w:ascii="Arial" w:hAnsi="Arial"/>
                <w:w w:val="105"/>
                <w:sz w:val="21"/>
              </w:rPr>
              <w:t>o</w:t>
            </w:r>
            <w:r>
              <w:rPr>
                <w:rFonts w:ascii="Arial" w:hAnsi="Arial"/>
                <w:spacing w:val="-5"/>
                <w:w w:val="105"/>
                <w:sz w:val="21"/>
              </w:rPr>
              <w:t> </w:t>
            </w:r>
            <w:r>
              <w:rPr>
                <w:rFonts w:ascii="Arial" w:hAnsi="Arial"/>
                <w:w w:val="105"/>
                <w:sz w:val="21"/>
              </w:rPr>
              <w:t>más</w:t>
            </w:r>
            <w:r>
              <w:rPr>
                <w:rFonts w:ascii="Arial" w:hAnsi="Arial"/>
                <w:spacing w:val="-5"/>
                <w:w w:val="105"/>
                <w:sz w:val="21"/>
              </w:rPr>
              <w:t> </w:t>
            </w:r>
            <w:r>
              <w:rPr>
                <w:rFonts w:ascii="Arial" w:hAnsi="Arial"/>
                <w:w w:val="105"/>
                <w:sz w:val="21"/>
              </w:rPr>
              <w:t>de</w:t>
            </w:r>
            <w:r>
              <w:rPr>
                <w:rFonts w:ascii="Arial" w:hAnsi="Arial"/>
                <w:spacing w:val="-4"/>
                <w:w w:val="105"/>
                <w:sz w:val="21"/>
              </w:rPr>
              <w:t> </w:t>
            </w:r>
            <w:r>
              <w:rPr>
                <w:rFonts w:ascii="Arial" w:hAnsi="Arial"/>
                <w:w w:val="105"/>
                <w:sz w:val="21"/>
              </w:rPr>
              <w:t>concentrados.</w:t>
            </w:r>
          </w:p>
          <w:p>
            <w:pPr>
              <w:pStyle w:val="TableParagraph"/>
              <w:numPr>
                <w:ilvl w:val="0"/>
                <w:numId w:val="6"/>
              </w:numPr>
              <w:tabs>
                <w:tab w:pos="321" w:val="left" w:leader="none"/>
              </w:tabs>
              <w:spacing w:line="240" w:lineRule="auto" w:before="29" w:after="0"/>
              <w:ind w:left="320" w:right="0" w:hanging="220"/>
              <w:jc w:val="left"/>
              <w:rPr>
                <w:rFonts w:ascii="Arial" w:hAnsi="Arial"/>
                <w:sz w:val="21"/>
              </w:rPr>
            </w:pPr>
            <w:r>
              <w:rPr>
                <w:rFonts w:ascii="Arial" w:hAnsi="Arial"/>
                <w:w w:val="105"/>
                <w:position w:val="10"/>
                <w:sz w:val="14"/>
              </w:rPr>
              <w:t>b</w:t>
            </w:r>
            <w:r>
              <w:rPr>
                <w:rFonts w:ascii="Arial" w:hAnsi="Arial"/>
                <w:w w:val="105"/>
                <w:sz w:val="21"/>
              </w:rPr>
              <w:t>Los valores ± representan el</w:t>
            </w:r>
            <w:r>
              <w:rPr>
                <w:rFonts w:ascii="Arial" w:hAnsi="Arial"/>
                <w:spacing w:val="-22"/>
                <w:w w:val="105"/>
                <w:sz w:val="21"/>
              </w:rPr>
              <w:t> </w:t>
            </w:r>
            <w:r>
              <w:rPr>
                <w:rFonts w:ascii="Arial" w:hAnsi="Arial"/>
                <w:w w:val="105"/>
                <w:sz w:val="21"/>
              </w:rPr>
              <w:t>rango.</w:t>
            </w:r>
          </w:p>
        </w:tc>
      </w:tr>
    </w:tbl>
    <w:p>
      <w:pPr>
        <w:spacing w:before="4"/>
        <w:ind w:left="276" w:right="0" w:firstLine="0"/>
        <w:jc w:val="left"/>
        <w:rPr>
          <w:sz w:val="19"/>
        </w:rPr>
      </w:pPr>
      <w:r>
        <w:rPr>
          <w:b/>
          <w:w w:val="105"/>
          <w:sz w:val="19"/>
        </w:rPr>
        <w:t>Fuente: </w:t>
      </w:r>
      <w:r>
        <w:rPr>
          <w:w w:val="105"/>
          <w:sz w:val="19"/>
        </w:rPr>
        <w:t>IPCC (2006).</w:t>
      </w:r>
    </w:p>
    <w:p>
      <w:pPr>
        <w:spacing w:after="0"/>
        <w:jc w:val="left"/>
        <w:rPr>
          <w:sz w:val="19"/>
        </w:rPr>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31"/>
      </w:pPr>
      <w:r>
        <w:rPr/>
        <w:t>Las estimaciones regionales, nacionales y mundiales de la generación de CH</w:t>
      </w:r>
      <w:r>
        <w:rPr>
          <w:position w:val="-2"/>
          <w:sz w:val="16"/>
        </w:rPr>
        <w:t>4 </w:t>
      </w:r>
      <w:r>
        <w:rPr/>
        <w:t>entérico se basan en determinaciones a pequeña escala de Ym y de la influencia de las propiedades de los alimentos y de los animales sobre el Ym. Los métodos tradicionales</w:t>
      </w:r>
      <w:r>
        <w:rPr>
          <w:spacing w:val="-10"/>
        </w:rPr>
        <w:t> </w:t>
      </w:r>
      <w:r>
        <w:rPr/>
        <w:t>para</w:t>
      </w:r>
      <w:r>
        <w:rPr>
          <w:spacing w:val="-10"/>
        </w:rPr>
        <w:t> </w:t>
      </w:r>
      <w:r>
        <w:rPr/>
        <w:t>medir</w:t>
      </w:r>
      <w:r>
        <w:rPr>
          <w:spacing w:val="-10"/>
        </w:rPr>
        <w:t> </w:t>
      </w:r>
      <w:r>
        <w:rPr/>
        <w:t>el</w:t>
      </w:r>
      <w:r>
        <w:rPr>
          <w:spacing w:val="-10"/>
        </w:rPr>
        <w:t> </w:t>
      </w:r>
      <w:r>
        <w:rPr/>
        <w:t>Ym</w:t>
      </w:r>
      <w:r>
        <w:rPr>
          <w:spacing w:val="-10"/>
        </w:rPr>
        <w:t> </w:t>
      </w:r>
      <w:r>
        <w:rPr/>
        <w:t>incluyen</w:t>
      </w:r>
      <w:r>
        <w:rPr>
          <w:spacing w:val="-10"/>
        </w:rPr>
        <w:t> </w:t>
      </w:r>
      <w:r>
        <w:rPr/>
        <w:t>el</w:t>
      </w:r>
      <w:r>
        <w:rPr>
          <w:spacing w:val="-10"/>
        </w:rPr>
        <w:t> </w:t>
      </w:r>
      <w:r>
        <w:rPr/>
        <w:t>uso</w:t>
      </w:r>
      <w:r>
        <w:rPr>
          <w:spacing w:val="-10"/>
        </w:rPr>
        <w:t> </w:t>
      </w:r>
      <w:r>
        <w:rPr/>
        <w:t>de</w:t>
      </w:r>
      <w:r>
        <w:rPr>
          <w:spacing w:val="-10"/>
        </w:rPr>
        <w:t> </w:t>
      </w:r>
      <w:r>
        <w:rPr/>
        <w:t>cámaras</w:t>
      </w:r>
      <w:r>
        <w:rPr>
          <w:spacing w:val="-10"/>
        </w:rPr>
        <w:t> </w:t>
      </w:r>
      <w:r>
        <w:rPr/>
        <w:t>de</w:t>
      </w:r>
      <w:r>
        <w:rPr>
          <w:spacing w:val="-10"/>
        </w:rPr>
        <w:t> </w:t>
      </w:r>
      <w:r>
        <w:rPr/>
        <w:t>respiración</w:t>
      </w:r>
      <w:r>
        <w:rPr>
          <w:spacing w:val="-10"/>
        </w:rPr>
        <w:t> </w:t>
      </w:r>
      <w:r>
        <w:rPr/>
        <w:t>en</w:t>
      </w:r>
      <w:r>
        <w:rPr>
          <w:spacing w:val="-10"/>
        </w:rPr>
        <w:t> </w:t>
      </w:r>
      <w:r>
        <w:rPr/>
        <w:t>las</w:t>
      </w:r>
      <w:r>
        <w:rPr>
          <w:spacing w:val="-10"/>
        </w:rPr>
        <w:t> </w:t>
      </w:r>
      <w:r>
        <w:rPr/>
        <w:t>que se</w:t>
      </w:r>
      <w:r>
        <w:rPr>
          <w:spacing w:val="-6"/>
        </w:rPr>
        <w:t> </w:t>
      </w:r>
      <w:r>
        <w:rPr/>
        <w:t>alberga</w:t>
      </w:r>
      <w:r>
        <w:rPr>
          <w:spacing w:val="-6"/>
        </w:rPr>
        <w:t> </w:t>
      </w:r>
      <w:r>
        <w:rPr/>
        <w:t>ejemplares</w:t>
      </w:r>
      <w:r>
        <w:rPr>
          <w:spacing w:val="-6"/>
        </w:rPr>
        <w:t> </w:t>
      </w:r>
      <w:r>
        <w:rPr/>
        <w:t>animales</w:t>
      </w:r>
      <w:r>
        <w:rPr>
          <w:spacing w:val="-6"/>
        </w:rPr>
        <w:t> </w:t>
      </w:r>
      <w:r>
        <w:rPr/>
        <w:t>(Johnson</w:t>
      </w:r>
      <w:r>
        <w:rPr>
          <w:spacing w:val="-6"/>
        </w:rPr>
        <w:t> </w:t>
      </w:r>
      <w:r>
        <w:rPr/>
        <w:t>y</w:t>
      </w:r>
      <w:r>
        <w:rPr>
          <w:spacing w:val="-6"/>
        </w:rPr>
        <w:t> </w:t>
      </w:r>
      <w:r>
        <w:rPr/>
        <w:t>Johnson,</w:t>
      </w:r>
      <w:r>
        <w:rPr>
          <w:spacing w:val="-6"/>
        </w:rPr>
        <w:t> </w:t>
      </w:r>
      <w:r>
        <w:rPr/>
        <w:t>1995).</w:t>
      </w:r>
      <w:r>
        <w:rPr>
          <w:spacing w:val="-6"/>
        </w:rPr>
        <w:t> </w:t>
      </w:r>
      <w:r>
        <w:rPr/>
        <w:t>Una</w:t>
      </w:r>
      <w:r>
        <w:rPr>
          <w:spacing w:val="-6"/>
        </w:rPr>
        <w:t> </w:t>
      </w:r>
      <w:r>
        <w:rPr/>
        <w:t>técnica</w:t>
      </w:r>
      <w:r>
        <w:rPr>
          <w:spacing w:val="-6"/>
        </w:rPr>
        <w:t> </w:t>
      </w:r>
      <w:r>
        <w:rPr/>
        <w:t>de</w:t>
      </w:r>
      <w:r>
        <w:rPr>
          <w:spacing w:val="-6"/>
        </w:rPr>
        <w:t> </w:t>
      </w:r>
      <w:r>
        <w:rPr/>
        <w:t>rastreo que emplea hexafloruro de azúfre (SF</w:t>
      </w:r>
      <w:r>
        <w:rPr>
          <w:position w:val="-2"/>
          <w:sz w:val="16"/>
        </w:rPr>
        <w:t>6</w:t>
      </w:r>
      <w:r>
        <w:rPr/>
        <w:t>) permite estimar las emisiones de CH</w:t>
      </w:r>
      <w:r>
        <w:rPr>
          <w:position w:val="-2"/>
          <w:sz w:val="16"/>
        </w:rPr>
        <w:t>4 </w:t>
      </w:r>
      <w:r>
        <w:rPr/>
        <w:t>bajo condiciones de encierro y de pastoreo (Johnson </w:t>
      </w:r>
      <w:r>
        <w:rPr>
          <w:i/>
        </w:rPr>
        <w:t>et al.</w:t>
      </w:r>
      <w:r>
        <w:rPr/>
        <w:t>, 1994). Los resultados de mediciones recientes han sido analizados por Lassey (2007), quien también examinó la “extensión” de esas mediciones a inventarios nacionales y mundiales. También es importante estudiar las influencias de las propiedades de los</w:t>
      </w:r>
      <w:r>
        <w:rPr>
          <w:spacing w:val="-12"/>
        </w:rPr>
        <w:t> </w:t>
      </w:r>
      <w:r>
        <w:rPr/>
        <w:t>alimentos y de los atributos de los animales sobre el Ym. Esas influencias son importantes para comprender mejor los mecanismos microbiológicos que participan en la metanogénesis, con miras a diseñar estrategias de reducción de emisiones, así como identificar deferentes valores para Ym según las prácticas de cría de los animales. Hasta el momento, la búsqueda de tales influencias es equívoca y, por ende, hay poca variabilidad evidente tanto en los valores declarados en el “Cuadro 2” como en los basados en el reciente estudio de las mediciones de Ym que aparecen en la bibliografía (IPCC, 2006; Lassey,</w:t>
      </w:r>
      <w:r>
        <w:rPr>
          <w:spacing w:val="-3"/>
        </w:rPr>
        <w:t> </w:t>
      </w:r>
      <w:r>
        <w:rPr/>
        <w:t>2007).</w:t>
      </w:r>
    </w:p>
    <w:p>
      <w:pPr>
        <w:pStyle w:val="BodyText"/>
        <w:spacing w:line="360" w:lineRule="auto" w:before="2"/>
        <w:ind w:left="276" w:right="143"/>
        <w:jc w:val="both"/>
      </w:pPr>
      <w:r>
        <w:rPr/>
        <w:t>Cambra-López </w:t>
      </w:r>
      <w:r>
        <w:rPr>
          <w:i/>
        </w:rPr>
        <w:t>et al. </w:t>
      </w:r>
      <w:r>
        <w:rPr/>
        <w:t>(2008), indica que existen numerosos trabajos e intentos realizados para estimar las emisiones de CH</w:t>
      </w:r>
      <w:r>
        <w:rPr>
          <w:position w:val="-2"/>
          <w:sz w:val="16"/>
        </w:rPr>
        <w:t>4 </w:t>
      </w:r>
      <w:r>
        <w:rPr/>
        <w:t>procedentes de la fermentación entérica en rumiantes y su relación con diferentes tipos de sistemas de producción y de alimentación del ganado. Algunos autores han establecido modelos que relacionan la composición de la dieta consumida con valores de Ym, basados fundamentalmente en estudios realizados en campo mediante técnicas de gases traza o cámaras respiratorias. El método más habitual es la cámara respiratoria (Johnson </w:t>
      </w:r>
      <w:r>
        <w:rPr>
          <w:i/>
        </w:rPr>
        <w:t>et al., </w:t>
      </w:r>
      <w:r>
        <w:rPr/>
        <w:t>2000), con el que tradicionalmente se han medido estas emisiones y se han elaborado los modelos y ecuaciones de predicción más habituales en ganado bovino (Blaxter y Clapperton, 1965; Moe y Tyrrell, 1979; Benchaar </w:t>
      </w:r>
      <w:r>
        <w:rPr>
          <w:i/>
        </w:rPr>
        <w:t>et al., </w:t>
      </w:r>
      <w:r>
        <w:rPr/>
        <w:t>1998;</w:t>
      </w:r>
      <w:r>
        <w:rPr>
          <w:spacing w:val="-5"/>
        </w:rPr>
        <w:t> </w:t>
      </w:r>
      <w:r>
        <w:rPr/>
        <w:t>Mills</w:t>
      </w:r>
      <w:r>
        <w:rPr>
          <w:spacing w:val="-5"/>
        </w:rPr>
        <w:t> </w:t>
      </w:r>
      <w:r>
        <w:rPr>
          <w:i/>
        </w:rPr>
        <w:t>et</w:t>
      </w:r>
      <w:r>
        <w:rPr>
          <w:i/>
          <w:spacing w:val="-5"/>
        </w:rPr>
        <w:t> </w:t>
      </w:r>
      <w:r>
        <w:rPr>
          <w:i/>
        </w:rPr>
        <w:t>al.</w:t>
      </w:r>
      <w:r>
        <w:rPr/>
        <w:t>,</w:t>
      </w:r>
      <w:r>
        <w:rPr>
          <w:spacing w:val="-5"/>
        </w:rPr>
        <w:t> </w:t>
      </w:r>
      <w:r>
        <w:rPr/>
        <w:t>2001)</w:t>
      </w:r>
      <w:r>
        <w:rPr>
          <w:spacing w:val="-5"/>
        </w:rPr>
        <w:t> </w:t>
      </w:r>
      <w:r>
        <w:rPr/>
        <w:t>además</w:t>
      </w:r>
      <w:r>
        <w:rPr>
          <w:spacing w:val="-5"/>
        </w:rPr>
        <w:t> </w:t>
      </w:r>
      <w:r>
        <w:rPr/>
        <w:t>de</w:t>
      </w:r>
      <w:r>
        <w:rPr>
          <w:spacing w:val="-5"/>
        </w:rPr>
        <w:t> </w:t>
      </w:r>
      <w:r>
        <w:rPr/>
        <w:t>otras</w:t>
      </w:r>
      <w:r>
        <w:rPr>
          <w:spacing w:val="-5"/>
        </w:rPr>
        <w:t> </w:t>
      </w:r>
      <w:r>
        <w:rPr/>
        <w:t>que</w:t>
      </w:r>
      <w:r>
        <w:rPr>
          <w:spacing w:val="-5"/>
        </w:rPr>
        <w:t> </w:t>
      </w:r>
      <w:r>
        <w:rPr/>
        <w:t>datan</w:t>
      </w:r>
      <w:r>
        <w:rPr>
          <w:spacing w:val="-5"/>
        </w:rPr>
        <w:t> </w:t>
      </w:r>
      <w:r>
        <w:rPr/>
        <w:t>de</w:t>
      </w:r>
      <w:r>
        <w:rPr>
          <w:spacing w:val="-5"/>
        </w:rPr>
        <w:t> </w:t>
      </w:r>
      <w:r>
        <w:rPr/>
        <w:t>hace</w:t>
      </w:r>
      <w:r>
        <w:rPr>
          <w:spacing w:val="-5"/>
        </w:rPr>
        <w:t> </w:t>
      </w:r>
      <w:r>
        <w:rPr/>
        <w:t>más</w:t>
      </w:r>
      <w:r>
        <w:rPr>
          <w:spacing w:val="-5"/>
        </w:rPr>
        <w:t> </w:t>
      </w:r>
      <w:r>
        <w:rPr/>
        <w:t>tiempo.</w:t>
      </w:r>
      <w:r>
        <w:rPr>
          <w:spacing w:val="-5"/>
        </w:rPr>
        <w:t> </w:t>
      </w:r>
      <w:r>
        <w:rPr/>
        <w:t>Wilkerson </w:t>
      </w:r>
      <w:r>
        <w:rPr>
          <w:i/>
        </w:rPr>
        <w:t>et</w:t>
      </w:r>
      <w:r>
        <w:rPr>
          <w:i/>
          <w:spacing w:val="-15"/>
        </w:rPr>
        <w:t> </w:t>
      </w:r>
      <w:r>
        <w:rPr>
          <w:i/>
        </w:rPr>
        <w:t>al.</w:t>
      </w:r>
      <w:r>
        <w:rPr>
          <w:i/>
          <w:spacing w:val="-16"/>
        </w:rPr>
        <w:t> </w:t>
      </w:r>
      <w:r>
        <w:rPr/>
        <w:t>(1995)</w:t>
      </w:r>
      <w:r>
        <w:rPr>
          <w:spacing w:val="-16"/>
        </w:rPr>
        <w:t> </w:t>
      </w:r>
      <w:r>
        <w:rPr/>
        <w:t>evaluaron</w:t>
      </w:r>
      <w:r>
        <w:rPr>
          <w:spacing w:val="-15"/>
        </w:rPr>
        <w:t> </w:t>
      </w:r>
      <w:r>
        <w:rPr/>
        <w:t>la</w:t>
      </w:r>
      <w:r>
        <w:rPr>
          <w:spacing w:val="-15"/>
        </w:rPr>
        <w:t> </w:t>
      </w:r>
      <w:r>
        <w:rPr/>
        <w:t>capacidad</w:t>
      </w:r>
      <w:r>
        <w:rPr>
          <w:spacing w:val="-15"/>
        </w:rPr>
        <w:t> </w:t>
      </w:r>
      <w:r>
        <w:rPr/>
        <w:t>de</w:t>
      </w:r>
      <w:r>
        <w:rPr>
          <w:spacing w:val="-15"/>
        </w:rPr>
        <w:t> </w:t>
      </w:r>
      <w:r>
        <w:rPr/>
        <w:t>predicción</w:t>
      </w:r>
      <w:r>
        <w:rPr>
          <w:spacing w:val="-15"/>
        </w:rPr>
        <w:t> </w:t>
      </w:r>
      <w:r>
        <w:rPr/>
        <w:t>de</w:t>
      </w:r>
      <w:r>
        <w:rPr>
          <w:spacing w:val="-15"/>
        </w:rPr>
        <w:t> </w:t>
      </w:r>
      <w:r>
        <w:rPr/>
        <w:t>una</w:t>
      </w:r>
      <w:r>
        <w:rPr>
          <w:spacing w:val="-15"/>
        </w:rPr>
        <w:t> </w:t>
      </w:r>
      <w:r>
        <w:rPr/>
        <w:t>serie</w:t>
      </w:r>
      <w:r>
        <w:rPr>
          <w:spacing w:val="-15"/>
        </w:rPr>
        <w:t> </w:t>
      </w:r>
      <w:r>
        <w:rPr/>
        <w:t>de</w:t>
      </w:r>
      <w:r>
        <w:rPr>
          <w:spacing w:val="-15"/>
        </w:rPr>
        <w:t> </w:t>
      </w:r>
      <w:r>
        <w:rPr/>
        <w:t>estas</w:t>
      </w:r>
      <w:r>
        <w:rPr>
          <w:spacing w:val="-16"/>
        </w:rPr>
        <w:t> </w:t>
      </w:r>
      <w:r>
        <w:rPr/>
        <w:t>ecuaciones, concluyendo</w:t>
      </w:r>
      <w:r>
        <w:rPr>
          <w:spacing w:val="-12"/>
        </w:rPr>
        <w:t> </w:t>
      </w:r>
      <w:r>
        <w:rPr/>
        <w:t>que</w:t>
      </w:r>
      <w:r>
        <w:rPr>
          <w:spacing w:val="-12"/>
        </w:rPr>
        <w:t> </w:t>
      </w:r>
      <w:r>
        <w:rPr/>
        <w:t>la</w:t>
      </w:r>
      <w:r>
        <w:rPr>
          <w:spacing w:val="-12"/>
        </w:rPr>
        <w:t> </w:t>
      </w:r>
      <w:r>
        <w:rPr/>
        <w:t>ecuación</w:t>
      </w:r>
      <w:r>
        <w:rPr>
          <w:spacing w:val="-12"/>
        </w:rPr>
        <w:t> </w:t>
      </w:r>
      <w:r>
        <w:rPr/>
        <w:t>de</w:t>
      </w:r>
      <w:r>
        <w:rPr>
          <w:spacing w:val="-12"/>
        </w:rPr>
        <w:t> </w:t>
      </w:r>
      <w:r>
        <w:rPr/>
        <w:t>Moe</w:t>
      </w:r>
      <w:r>
        <w:rPr>
          <w:spacing w:val="-12"/>
        </w:rPr>
        <w:t> </w:t>
      </w:r>
      <w:r>
        <w:rPr/>
        <w:t>y</w:t>
      </w:r>
      <w:r>
        <w:rPr>
          <w:spacing w:val="-12"/>
        </w:rPr>
        <w:t> </w:t>
      </w:r>
      <w:r>
        <w:rPr/>
        <w:t>Tyrrell</w:t>
      </w:r>
      <w:r>
        <w:rPr>
          <w:spacing w:val="-12"/>
        </w:rPr>
        <w:t> </w:t>
      </w:r>
      <w:r>
        <w:rPr/>
        <w:t>(1979)</w:t>
      </w:r>
      <w:r>
        <w:rPr>
          <w:spacing w:val="-12"/>
        </w:rPr>
        <w:t> </w:t>
      </w:r>
      <w:r>
        <w:rPr/>
        <w:t>resultaba</w:t>
      </w:r>
      <w:r>
        <w:rPr>
          <w:spacing w:val="-13"/>
        </w:rPr>
        <w:t> </w:t>
      </w:r>
      <w:r>
        <w:rPr/>
        <w:t>ser</w:t>
      </w:r>
      <w:r>
        <w:rPr>
          <w:spacing w:val="-12"/>
        </w:rPr>
        <w:t> </w:t>
      </w:r>
      <w:r>
        <w:rPr/>
        <w:t>la</w:t>
      </w:r>
      <w:r>
        <w:rPr>
          <w:spacing w:val="-12"/>
        </w:rPr>
        <w:t> </w:t>
      </w:r>
      <w:r>
        <w:rPr/>
        <w:t>de</w:t>
      </w:r>
      <w:r>
        <w:rPr>
          <w:spacing w:val="-12"/>
        </w:rPr>
        <w:t> </w:t>
      </w:r>
      <w:r>
        <w:rPr/>
        <w:t>menor</w:t>
      </w:r>
      <w:r>
        <w:rPr>
          <w:spacing w:val="-12"/>
        </w:rPr>
        <w:t> </w:t>
      </w:r>
      <w:r>
        <w:rPr/>
        <w:t>error</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en la predicción. La ecuación propuesta por Moe y Tyrrell (1979) para bovino relaciona otros parámetros con las pérdidas de CH</w:t>
      </w:r>
      <w:r>
        <w:rPr>
          <w:position w:val="-2"/>
          <w:sz w:val="16"/>
        </w:rPr>
        <w:t>4 </w:t>
      </w:r>
      <w:r>
        <w:rPr/>
        <w:t>como la celulosa,</w:t>
      </w:r>
      <w:r>
        <w:rPr>
          <w:spacing w:val="-45"/>
        </w:rPr>
        <w:t> </w:t>
      </w:r>
      <w:r>
        <w:rPr/>
        <w:t>hemicelulosa y</w:t>
      </w:r>
      <w:r>
        <w:rPr>
          <w:spacing w:val="-7"/>
        </w:rPr>
        <w:t> </w:t>
      </w:r>
      <w:r>
        <w:rPr/>
        <w:t>los</w:t>
      </w:r>
      <w:r>
        <w:rPr>
          <w:spacing w:val="-7"/>
        </w:rPr>
        <w:t> </w:t>
      </w:r>
      <w:r>
        <w:rPr/>
        <w:t>residuos</w:t>
      </w:r>
      <w:r>
        <w:rPr>
          <w:spacing w:val="-7"/>
        </w:rPr>
        <w:t> </w:t>
      </w:r>
      <w:r>
        <w:rPr/>
        <w:t>solubles</w:t>
      </w:r>
      <w:r>
        <w:rPr>
          <w:spacing w:val="-7"/>
        </w:rPr>
        <w:t> </w:t>
      </w:r>
      <w:r>
        <w:rPr/>
        <w:t>de</w:t>
      </w:r>
      <w:r>
        <w:rPr>
          <w:spacing w:val="-7"/>
        </w:rPr>
        <w:t> </w:t>
      </w:r>
      <w:r>
        <w:rPr/>
        <w:t>las</w:t>
      </w:r>
      <w:r>
        <w:rPr>
          <w:spacing w:val="-7"/>
        </w:rPr>
        <w:t> </w:t>
      </w:r>
      <w:r>
        <w:rPr/>
        <w:t>dietas.</w:t>
      </w:r>
      <w:r>
        <w:rPr>
          <w:spacing w:val="-7"/>
        </w:rPr>
        <w:t> </w:t>
      </w:r>
      <w:r>
        <w:rPr/>
        <w:t>Más</w:t>
      </w:r>
      <w:r>
        <w:rPr>
          <w:spacing w:val="-7"/>
        </w:rPr>
        <w:t> </w:t>
      </w:r>
      <w:r>
        <w:rPr/>
        <w:t>recientemente</w:t>
      </w:r>
      <w:r>
        <w:rPr>
          <w:spacing w:val="-7"/>
        </w:rPr>
        <w:t> </w:t>
      </w:r>
      <w:r>
        <w:rPr/>
        <w:t>Ellis</w:t>
      </w:r>
      <w:r>
        <w:rPr>
          <w:spacing w:val="-7"/>
        </w:rPr>
        <w:t> </w:t>
      </w:r>
      <w:r>
        <w:rPr>
          <w:i/>
        </w:rPr>
        <w:t>et</w:t>
      </w:r>
      <w:r>
        <w:rPr>
          <w:i/>
          <w:spacing w:val="-7"/>
        </w:rPr>
        <w:t> </w:t>
      </w:r>
      <w:r>
        <w:rPr>
          <w:i/>
        </w:rPr>
        <w:t>al.</w:t>
      </w:r>
      <w:r>
        <w:rPr>
          <w:i/>
          <w:spacing w:val="-7"/>
        </w:rPr>
        <w:t> </w:t>
      </w:r>
      <w:r>
        <w:rPr/>
        <w:t>(2007)</w:t>
      </w:r>
      <w:r>
        <w:rPr>
          <w:spacing w:val="-7"/>
        </w:rPr>
        <w:t> </w:t>
      </w:r>
      <w:r>
        <w:rPr/>
        <w:t>revisaron una serie de ecuaciones de predicción y obtuvieron también regresiones propias para estimar metano a partir de distintos componentes de las raciones. A pesar de esto, son muy escasos los trabajos que han relacionado mediante ecuaciones la digestibilidad de la dieta con las pérdidas de CH</w:t>
      </w:r>
      <w:r>
        <w:rPr>
          <w:position w:val="-2"/>
          <w:sz w:val="16"/>
        </w:rPr>
        <w:t>4 </w:t>
      </w:r>
      <w:r>
        <w:rPr/>
        <w:t>(Cambra-López </w:t>
      </w:r>
      <w:r>
        <w:rPr>
          <w:i/>
        </w:rPr>
        <w:t>et al.</w:t>
      </w:r>
      <w:r>
        <w:rPr/>
        <w:t>,</w:t>
      </w:r>
      <w:r>
        <w:rPr>
          <w:spacing w:val="16"/>
        </w:rPr>
        <w:t> </w:t>
      </w:r>
      <w:r>
        <w:rPr/>
        <w:t>2008).</w:t>
      </w:r>
    </w:p>
    <w:p>
      <w:pPr>
        <w:spacing w:line="355" w:lineRule="auto" w:before="0"/>
        <w:ind w:left="276" w:right="143" w:firstLine="0"/>
        <w:jc w:val="both"/>
        <w:rPr>
          <w:sz w:val="24"/>
        </w:rPr>
      </w:pPr>
      <w:r>
        <w:rPr>
          <w:sz w:val="24"/>
        </w:rPr>
        <w:t>Para estimar las emisiones de CH</w:t>
      </w:r>
      <w:r>
        <w:rPr>
          <w:position w:val="-2"/>
          <w:sz w:val="16"/>
        </w:rPr>
        <w:t>4 </w:t>
      </w:r>
      <w:r>
        <w:rPr>
          <w:sz w:val="24"/>
        </w:rPr>
        <w:t>por parte de los rumiantes, tradicionalmente se ha utilizado la ecuación de regresión establecida por Blaxter y Clapperton (1965) a partir</w:t>
      </w:r>
      <w:r>
        <w:rPr>
          <w:spacing w:val="-12"/>
          <w:sz w:val="24"/>
        </w:rPr>
        <w:t> </w:t>
      </w:r>
      <w:r>
        <w:rPr>
          <w:sz w:val="24"/>
        </w:rPr>
        <w:t>de</w:t>
      </w:r>
      <w:r>
        <w:rPr>
          <w:spacing w:val="-12"/>
          <w:sz w:val="24"/>
        </w:rPr>
        <w:t> </w:t>
      </w:r>
      <w:r>
        <w:rPr>
          <w:sz w:val="24"/>
        </w:rPr>
        <w:t>la</w:t>
      </w:r>
      <w:r>
        <w:rPr>
          <w:spacing w:val="-12"/>
          <w:sz w:val="24"/>
        </w:rPr>
        <w:t> </w:t>
      </w:r>
      <w:r>
        <w:rPr>
          <w:sz w:val="24"/>
        </w:rPr>
        <w:t>digestibilidad</w:t>
      </w:r>
      <w:r>
        <w:rPr>
          <w:spacing w:val="-12"/>
          <w:sz w:val="24"/>
        </w:rPr>
        <w:t> </w:t>
      </w:r>
      <w:r>
        <w:rPr>
          <w:sz w:val="24"/>
        </w:rPr>
        <w:t>de</w:t>
      </w:r>
      <w:r>
        <w:rPr>
          <w:spacing w:val="-12"/>
          <w:sz w:val="24"/>
        </w:rPr>
        <w:t> </w:t>
      </w:r>
      <w:r>
        <w:rPr>
          <w:sz w:val="24"/>
        </w:rPr>
        <w:t>la</w:t>
      </w:r>
      <w:r>
        <w:rPr>
          <w:spacing w:val="-12"/>
          <w:sz w:val="24"/>
        </w:rPr>
        <w:t> </w:t>
      </w:r>
      <w:r>
        <w:rPr>
          <w:sz w:val="24"/>
        </w:rPr>
        <w:t>EB</w:t>
      </w:r>
      <w:r>
        <w:rPr>
          <w:spacing w:val="-12"/>
          <w:sz w:val="24"/>
        </w:rPr>
        <w:t> </w:t>
      </w:r>
      <w:r>
        <w:rPr>
          <w:sz w:val="24"/>
        </w:rPr>
        <w:t>de</w:t>
      </w:r>
      <w:r>
        <w:rPr>
          <w:spacing w:val="-12"/>
          <w:sz w:val="24"/>
        </w:rPr>
        <w:t> </w:t>
      </w:r>
      <w:r>
        <w:rPr>
          <w:sz w:val="24"/>
        </w:rPr>
        <w:t>la</w:t>
      </w:r>
      <w:r>
        <w:rPr>
          <w:spacing w:val="-12"/>
          <w:sz w:val="24"/>
        </w:rPr>
        <w:t> </w:t>
      </w:r>
      <w:r>
        <w:rPr>
          <w:sz w:val="24"/>
        </w:rPr>
        <w:t>dieta</w:t>
      </w:r>
      <w:r>
        <w:rPr>
          <w:spacing w:val="-12"/>
          <w:sz w:val="24"/>
        </w:rPr>
        <w:t> </w:t>
      </w:r>
      <w:r>
        <w:rPr>
          <w:sz w:val="24"/>
        </w:rPr>
        <w:t>administrada</w:t>
      </w:r>
      <w:r>
        <w:rPr>
          <w:spacing w:val="-12"/>
          <w:sz w:val="24"/>
        </w:rPr>
        <w:t> </w:t>
      </w:r>
      <w:r>
        <w:rPr>
          <w:sz w:val="24"/>
        </w:rPr>
        <w:t>a</w:t>
      </w:r>
      <w:r>
        <w:rPr>
          <w:spacing w:val="-12"/>
          <w:sz w:val="24"/>
        </w:rPr>
        <w:t> </w:t>
      </w:r>
      <w:r>
        <w:rPr>
          <w:sz w:val="24"/>
        </w:rPr>
        <w:t>nivel</w:t>
      </w:r>
      <w:r>
        <w:rPr>
          <w:spacing w:val="-12"/>
          <w:sz w:val="24"/>
        </w:rPr>
        <w:t> </w:t>
      </w:r>
      <w:r>
        <w:rPr>
          <w:sz w:val="24"/>
        </w:rPr>
        <w:t>de</w:t>
      </w:r>
      <w:r>
        <w:rPr>
          <w:spacing w:val="-12"/>
          <w:sz w:val="24"/>
        </w:rPr>
        <w:t> </w:t>
      </w:r>
      <w:r>
        <w:rPr>
          <w:sz w:val="24"/>
        </w:rPr>
        <w:t>mantenimiento. Estos autores analizaron distintas producciones de CH</w:t>
      </w:r>
      <w:r>
        <w:rPr>
          <w:position w:val="-2"/>
          <w:sz w:val="16"/>
        </w:rPr>
        <w:t>4 </w:t>
      </w:r>
      <w:r>
        <w:rPr>
          <w:sz w:val="24"/>
        </w:rPr>
        <w:t>en ganado bovino e identificaron la relación entre la producción de CH</w:t>
      </w:r>
      <w:r>
        <w:rPr>
          <w:position w:val="-2"/>
          <w:sz w:val="16"/>
        </w:rPr>
        <w:t>4</w:t>
      </w:r>
      <w:r>
        <w:rPr>
          <w:sz w:val="24"/>
        </w:rPr>
        <w:t>, la ingesta y la digestibilidad al nivel</w:t>
      </w:r>
      <w:r>
        <w:rPr>
          <w:spacing w:val="-7"/>
          <w:sz w:val="24"/>
        </w:rPr>
        <w:t> </w:t>
      </w:r>
      <w:r>
        <w:rPr>
          <w:sz w:val="24"/>
        </w:rPr>
        <w:t>de</w:t>
      </w:r>
      <w:r>
        <w:rPr>
          <w:spacing w:val="-7"/>
          <w:sz w:val="24"/>
        </w:rPr>
        <w:t> </w:t>
      </w:r>
      <w:r>
        <w:rPr>
          <w:sz w:val="24"/>
        </w:rPr>
        <w:t>mantenimiento.</w:t>
      </w:r>
      <w:r>
        <w:rPr>
          <w:spacing w:val="-7"/>
          <w:sz w:val="24"/>
        </w:rPr>
        <w:t> </w:t>
      </w:r>
      <w:r>
        <w:rPr>
          <w:sz w:val="24"/>
        </w:rPr>
        <w:t>A</w:t>
      </w:r>
      <w:r>
        <w:rPr>
          <w:spacing w:val="-7"/>
          <w:sz w:val="24"/>
        </w:rPr>
        <w:t> </w:t>
      </w:r>
      <w:r>
        <w:rPr>
          <w:sz w:val="24"/>
        </w:rPr>
        <w:t>este</w:t>
      </w:r>
      <w:r>
        <w:rPr>
          <w:spacing w:val="-7"/>
          <w:sz w:val="24"/>
        </w:rPr>
        <w:t> </w:t>
      </w:r>
      <w:r>
        <w:rPr>
          <w:sz w:val="24"/>
        </w:rPr>
        <w:t>nivel,</w:t>
      </w:r>
      <w:r>
        <w:rPr>
          <w:spacing w:val="-7"/>
          <w:sz w:val="24"/>
        </w:rPr>
        <w:t> </w:t>
      </w:r>
      <w:r>
        <w:rPr>
          <w:sz w:val="24"/>
        </w:rPr>
        <w:t>el</w:t>
      </w:r>
      <w:r>
        <w:rPr>
          <w:spacing w:val="-7"/>
          <w:sz w:val="24"/>
        </w:rPr>
        <w:t> </w:t>
      </w:r>
      <w:r>
        <w:rPr>
          <w:i/>
          <w:sz w:val="24"/>
        </w:rPr>
        <w:t>Ym</w:t>
      </w:r>
      <w:r>
        <w:rPr>
          <w:i/>
          <w:spacing w:val="-7"/>
          <w:sz w:val="24"/>
        </w:rPr>
        <w:t> </w:t>
      </w:r>
      <w:r>
        <w:rPr>
          <w:i/>
          <w:sz w:val="24"/>
        </w:rPr>
        <w:t>aumentaba</w:t>
      </w:r>
      <w:r>
        <w:rPr>
          <w:i/>
          <w:spacing w:val="-7"/>
          <w:sz w:val="24"/>
        </w:rPr>
        <w:t> </w:t>
      </w:r>
      <w:r>
        <w:rPr>
          <w:i/>
          <w:sz w:val="24"/>
        </w:rPr>
        <w:t>al</w:t>
      </w:r>
      <w:r>
        <w:rPr>
          <w:i/>
          <w:spacing w:val="-7"/>
          <w:sz w:val="24"/>
        </w:rPr>
        <w:t> </w:t>
      </w:r>
      <w:r>
        <w:rPr>
          <w:i/>
          <w:sz w:val="24"/>
        </w:rPr>
        <w:t>aumentar</w:t>
      </w:r>
      <w:r>
        <w:rPr>
          <w:i/>
          <w:spacing w:val="-7"/>
          <w:sz w:val="24"/>
        </w:rPr>
        <w:t> </w:t>
      </w:r>
      <w:r>
        <w:rPr>
          <w:i/>
          <w:sz w:val="24"/>
        </w:rPr>
        <w:t>la</w:t>
      </w:r>
      <w:r>
        <w:rPr>
          <w:i/>
          <w:spacing w:val="-7"/>
          <w:sz w:val="24"/>
        </w:rPr>
        <w:t> </w:t>
      </w:r>
      <w:r>
        <w:rPr>
          <w:i/>
          <w:sz w:val="24"/>
        </w:rPr>
        <w:t>digestibilidad </w:t>
      </w:r>
      <w:r>
        <w:rPr>
          <w:i/>
          <w:sz w:val="24"/>
        </w:rPr>
        <w:t>de la dieta</w:t>
      </w:r>
      <w:r>
        <w:rPr>
          <w:sz w:val="24"/>
        </w:rPr>
        <w:t>. </w:t>
      </w:r>
      <w:r>
        <w:rPr>
          <w:i/>
          <w:sz w:val="24"/>
        </w:rPr>
        <w:t>No obstante, a niveles de alimentación equivalente al triple de </w:t>
      </w:r>
      <w:r>
        <w:rPr>
          <w:i/>
          <w:sz w:val="24"/>
        </w:rPr>
        <w:t>mantenimiento, el Ym disminuía de un 6 a un 5% al aumentar la digestibilidad del 60 al 90% </w:t>
      </w:r>
      <w:r>
        <w:rPr>
          <w:sz w:val="24"/>
        </w:rPr>
        <w:t>(Cambra-López </w:t>
      </w:r>
      <w:r>
        <w:rPr>
          <w:i/>
          <w:sz w:val="24"/>
        </w:rPr>
        <w:t>et al.</w:t>
      </w:r>
      <w:r>
        <w:rPr>
          <w:sz w:val="24"/>
        </w:rPr>
        <w:t>,</w:t>
      </w:r>
      <w:r>
        <w:rPr>
          <w:spacing w:val="-9"/>
          <w:sz w:val="24"/>
        </w:rPr>
        <w:t> </w:t>
      </w:r>
      <w:r>
        <w:rPr>
          <w:sz w:val="24"/>
        </w:rPr>
        <w:t>2008).</w:t>
      </w:r>
    </w:p>
    <w:p>
      <w:pPr>
        <w:pStyle w:val="BodyText"/>
      </w:pPr>
    </w:p>
    <w:p>
      <w:pPr>
        <w:pStyle w:val="BodyText"/>
        <w:spacing w:before="6"/>
        <w:rPr>
          <w:sz w:val="23"/>
        </w:rPr>
      </w:pPr>
    </w:p>
    <w:p>
      <w:pPr>
        <w:pStyle w:val="Heading4"/>
        <w:numPr>
          <w:ilvl w:val="2"/>
          <w:numId w:val="5"/>
        </w:numPr>
        <w:tabs>
          <w:tab w:pos="1048" w:val="left" w:leader="none"/>
        </w:tabs>
        <w:spacing w:line="240" w:lineRule="auto" w:before="0" w:after="0"/>
        <w:ind w:left="1047" w:right="0" w:hanging="771"/>
        <w:jc w:val="both"/>
      </w:pPr>
      <w:r>
        <w:rPr/>
        <w:t>Estimación</w:t>
      </w:r>
      <w:r>
        <w:rPr>
          <w:spacing w:val="-11"/>
        </w:rPr>
        <w:t> </w:t>
      </w:r>
      <w:r>
        <w:rPr/>
        <w:t>del</w:t>
      </w:r>
      <w:r>
        <w:rPr>
          <w:spacing w:val="-11"/>
        </w:rPr>
        <w:t> </w:t>
      </w:r>
      <w:r>
        <w:rPr/>
        <w:t>Ym</w:t>
      </w:r>
      <w:r>
        <w:rPr>
          <w:spacing w:val="-10"/>
        </w:rPr>
        <w:t> </w:t>
      </w:r>
      <w:r>
        <w:rPr/>
        <w:t>para</w:t>
      </w:r>
      <w:r>
        <w:rPr>
          <w:spacing w:val="-11"/>
        </w:rPr>
        <w:t> </w:t>
      </w:r>
      <w:r>
        <w:rPr/>
        <w:t>los</w:t>
      </w:r>
      <w:r>
        <w:rPr>
          <w:spacing w:val="-11"/>
        </w:rPr>
        <w:t> </w:t>
      </w:r>
      <w:r>
        <w:rPr/>
        <w:t>inventario</w:t>
      </w:r>
      <w:r>
        <w:rPr>
          <w:spacing w:val="-11"/>
        </w:rPr>
        <w:t> </w:t>
      </w:r>
      <w:r>
        <w:rPr/>
        <w:t>nacional</w:t>
      </w:r>
      <w:r>
        <w:rPr>
          <w:spacing w:val="-11"/>
        </w:rPr>
        <w:t> </w:t>
      </w:r>
      <w:r>
        <w:rPr/>
        <w:t>de</w:t>
      </w:r>
      <w:r>
        <w:rPr>
          <w:spacing w:val="-11"/>
        </w:rPr>
        <w:t> </w:t>
      </w:r>
      <w:r>
        <w:rPr/>
        <w:t>emisiones</w:t>
      </w:r>
    </w:p>
    <w:p>
      <w:pPr>
        <w:pStyle w:val="BodyText"/>
        <w:spacing w:before="1"/>
        <w:rPr>
          <w:b/>
        </w:rPr>
      </w:pPr>
    </w:p>
    <w:p>
      <w:pPr>
        <w:pStyle w:val="BodyText"/>
        <w:spacing w:line="357" w:lineRule="auto"/>
        <w:ind w:left="276" w:right="143"/>
        <w:jc w:val="both"/>
      </w:pPr>
      <w:r>
        <w:rPr/>
        <w:t>Dada la falta de datos sobre rangos de Ym en diferentes países y para conseguir una</w:t>
      </w:r>
      <w:r>
        <w:rPr>
          <w:spacing w:val="-11"/>
        </w:rPr>
        <w:t> </w:t>
      </w:r>
      <w:r>
        <w:rPr/>
        <w:t>propuesta</w:t>
      </w:r>
      <w:r>
        <w:rPr>
          <w:spacing w:val="-11"/>
        </w:rPr>
        <w:t> </w:t>
      </w:r>
      <w:r>
        <w:rPr/>
        <w:t>justificada</w:t>
      </w:r>
      <w:r>
        <w:rPr>
          <w:spacing w:val="-11"/>
        </w:rPr>
        <w:t> </w:t>
      </w:r>
      <w:r>
        <w:rPr/>
        <w:t>para</w:t>
      </w:r>
      <w:r>
        <w:rPr>
          <w:spacing w:val="-11"/>
        </w:rPr>
        <w:t> </w:t>
      </w:r>
      <w:r>
        <w:rPr/>
        <w:t>el</w:t>
      </w:r>
      <w:r>
        <w:rPr>
          <w:spacing w:val="-11"/>
        </w:rPr>
        <w:t> </w:t>
      </w:r>
      <w:r>
        <w:rPr/>
        <w:t>cálculo</w:t>
      </w:r>
      <w:r>
        <w:rPr>
          <w:spacing w:val="-11"/>
        </w:rPr>
        <w:t> </w:t>
      </w:r>
      <w:r>
        <w:rPr/>
        <w:t>de</w:t>
      </w:r>
      <w:r>
        <w:rPr>
          <w:spacing w:val="-11"/>
        </w:rPr>
        <w:t> </w:t>
      </w:r>
      <w:r>
        <w:rPr/>
        <w:t>las</w:t>
      </w:r>
      <w:r>
        <w:rPr>
          <w:spacing w:val="-11"/>
        </w:rPr>
        <w:t> </w:t>
      </w:r>
      <w:r>
        <w:rPr/>
        <w:t>emisiones</w:t>
      </w:r>
      <w:r>
        <w:rPr>
          <w:spacing w:val="-11"/>
        </w:rPr>
        <w:t> </w:t>
      </w:r>
      <w:r>
        <w:rPr/>
        <w:t>de</w:t>
      </w:r>
      <w:r>
        <w:rPr>
          <w:spacing w:val="-11"/>
        </w:rPr>
        <w:t> </w:t>
      </w:r>
      <w:r>
        <w:rPr/>
        <w:t>CH</w:t>
      </w:r>
      <w:r>
        <w:rPr>
          <w:position w:val="-2"/>
          <w:sz w:val="16"/>
        </w:rPr>
        <w:t>4</w:t>
      </w:r>
      <w:r>
        <w:rPr>
          <w:spacing w:val="12"/>
          <w:position w:val="-2"/>
          <w:sz w:val="16"/>
        </w:rPr>
        <w:t> </w:t>
      </w:r>
      <w:r>
        <w:rPr/>
        <w:t>de</w:t>
      </w:r>
      <w:r>
        <w:rPr>
          <w:spacing w:val="-11"/>
        </w:rPr>
        <w:t> </w:t>
      </w:r>
      <w:r>
        <w:rPr/>
        <w:t>origen</w:t>
      </w:r>
      <w:r>
        <w:rPr>
          <w:spacing w:val="-11"/>
        </w:rPr>
        <w:t> </w:t>
      </w:r>
      <w:r>
        <w:rPr/>
        <w:t>entérico en el Inventario de Emisiones de Gases de Efecto Invernadero, Cambra-López </w:t>
      </w:r>
      <w:r>
        <w:rPr>
          <w:i/>
        </w:rPr>
        <w:t>et </w:t>
      </w:r>
      <w:r>
        <w:rPr>
          <w:i/>
        </w:rPr>
        <w:t>al. </w:t>
      </w:r>
      <w:r>
        <w:rPr/>
        <w:t>(2008), realizaron una revisión de los trabajos publicados que aportan datos sobre digestibilidad y producción de CH</w:t>
      </w:r>
      <w:r>
        <w:rPr>
          <w:position w:val="-2"/>
          <w:sz w:val="16"/>
        </w:rPr>
        <w:t>4</w:t>
      </w:r>
      <w:r>
        <w:rPr/>
        <w:t>, en el ganado bovino. A partir de estos datos, se han realizado regresiones de distinto tipo para cada especie animal</w:t>
      </w:r>
      <w:r>
        <w:rPr>
          <w:spacing w:val="-37"/>
        </w:rPr>
        <w:t> </w:t>
      </w:r>
      <w:r>
        <w:rPr/>
        <w:t>hasta obtener el mejor ajuste a los datos</w:t>
      </w:r>
      <w:r>
        <w:rPr>
          <w:spacing w:val="-2"/>
        </w:rPr>
        <w:t> </w:t>
      </w:r>
      <w:r>
        <w:rPr/>
        <w:t>disponibles.</w:t>
      </w:r>
    </w:p>
    <w:p>
      <w:pPr>
        <w:pStyle w:val="BodyText"/>
        <w:spacing w:line="360" w:lineRule="auto" w:before="5"/>
        <w:ind w:left="276" w:right="144"/>
        <w:jc w:val="both"/>
      </w:pPr>
      <w:r>
        <w:rPr/>
        <w:t>Cambra-López </w:t>
      </w:r>
      <w:r>
        <w:rPr>
          <w:i/>
        </w:rPr>
        <w:t>et al. </w:t>
      </w:r>
      <w:r>
        <w:rPr/>
        <w:t>(2008), utilizaron para el ganado bovino pares de datos de digestibilidad vs. Ym que presentan Lassey </w:t>
      </w:r>
      <w:r>
        <w:rPr>
          <w:i/>
        </w:rPr>
        <w:t>et al. </w:t>
      </w:r>
      <w:r>
        <w:rPr/>
        <w:t>(1997), McCaughey </w:t>
      </w:r>
      <w:r>
        <w:rPr>
          <w:i/>
        </w:rPr>
        <w:t>et al. </w:t>
      </w:r>
      <w:r>
        <w:rPr/>
        <w:t>(1997), Harper </w:t>
      </w:r>
      <w:r>
        <w:rPr>
          <w:i/>
        </w:rPr>
        <w:t>et al. </w:t>
      </w:r>
      <w:r>
        <w:rPr/>
        <w:t>(1999), McCaughey </w:t>
      </w:r>
      <w:r>
        <w:rPr>
          <w:i/>
        </w:rPr>
        <w:t>et al. </w:t>
      </w:r>
      <w:r>
        <w:rPr/>
        <w:t>(1999), Ullyat </w:t>
      </w:r>
      <w:r>
        <w:rPr>
          <w:i/>
        </w:rPr>
        <w:t>et al. </w:t>
      </w:r>
      <w:r>
        <w:rPr/>
        <w:t>(2002a); Ullyat </w:t>
      </w:r>
      <w:r>
        <w:rPr>
          <w:i/>
        </w:rPr>
        <w:t>et al. </w:t>
      </w:r>
      <w:r>
        <w:rPr/>
        <w:t>(2002b),</w:t>
      </w:r>
      <w:r>
        <w:rPr>
          <w:spacing w:val="-8"/>
        </w:rPr>
        <w:t> </w:t>
      </w:r>
      <w:r>
        <w:rPr/>
        <w:t>Pinares-</w:t>
      </w:r>
      <w:r>
        <w:rPr>
          <w:spacing w:val="-14"/>
        </w:rPr>
        <w:t> </w:t>
      </w:r>
      <w:r>
        <w:rPr/>
        <w:t>Patino</w:t>
      </w:r>
      <w:r>
        <w:rPr>
          <w:spacing w:val="-8"/>
        </w:rPr>
        <w:t> </w:t>
      </w:r>
      <w:r>
        <w:rPr>
          <w:i/>
        </w:rPr>
        <w:t>et</w:t>
      </w:r>
      <w:r>
        <w:rPr>
          <w:i/>
          <w:spacing w:val="-8"/>
        </w:rPr>
        <w:t> </w:t>
      </w:r>
      <w:r>
        <w:rPr>
          <w:i/>
        </w:rPr>
        <w:t>al.</w:t>
      </w:r>
      <w:r>
        <w:rPr>
          <w:i/>
          <w:spacing w:val="-8"/>
        </w:rPr>
        <w:t> </w:t>
      </w:r>
      <w:r>
        <w:rPr/>
        <w:t>(2003);</w:t>
      </w:r>
      <w:r>
        <w:rPr>
          <w:spacing w:val="-8"/>
        </w:rPr>
        <w:t> </w:t>
      </w:r>
      <w:r>
        <w:rPr/>
        <w:t>McGinn</w:t>
      </w:r>
      <w:r>
        <w:rPr>
          <w:spacing w:val="-8"/>
        </w:rPr>
        <w:t> </w:t>
      </w:r>
      <w:r>
        <w:rPr>
          <w:i/>
        </w:rPr>
        <w:t>et</w:t>
      </w:r>
      <w:r>
        <w:rPr>
          <w:i/>
          <w:spacing w:val="-8"/>
        </w:rPr>
        <w:t> </w:t>
      </w:r>
      <w:r>
        <w:rPr>
          <w:i/>
        </w:rPr>
        <w:t>al.</w:t>
      </w:r>
      <w:r>
        <w:rPr>
          <w:i/>
          <w:spacing w:val="-8"/>
        </w:rPr>
        <w:t> </w:t>
      </w:r>
      <w:r>
        <w:rPr/>
        <w:t>(2004)</w:t>
      </w:r>
      <w:r>
        <w:rPr>
          <w:spacing w:val="-8"/>
        </w:rPr>
        <w:t> </w:t>
      </w:r>
      <w:r>
        <w:rPr/>
        <w:t>y</w:t>
      </w:r>
      <w:r>
        <w:rPr>
          <w:spacing w:val="-8"/>
        </w:rPr>
        <w:t> </w:t>
      </w:r>
      <w:r>
        <w:rPr/>
        <w:t>Beauchemin</w:t>
      </w:r>
      <w:r>
        <w:rPr>
          <w:spacing w:val="-8"/>
        </w:rPr>
        <w:t> </w:t>
      </w:r>
      <w:r>
        <w:rPr/>
        <w:t>y</w:t>
      </w:r>
      <w:r>
        <w:rPr>
          <w:spacing w:val="-8"/>
        </w:rPr>
        <w:t> </w:t>
      </w:r>
      <w:r>
        <w:rPr/>
        <w:t>McGinn (2005), así como las últimas directrices del IPCC (IPCC,</w:t>
      </w:r>
      <w:r>
        <w:rPr>
          <w:spacing w:val="-2"/>
        </w:rPr>
        <w:t> </w:t>
      </w:r>
      <w:r>
        <w:rPr/>
        <w:t>2006).</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before="69"/>
        <w:ind w:left="276"/>
        <w:jc w:val="both"/>
      </w:pPr>
      <w:r>
        <w:rPr/>
        <w:t>Los</w:t>
      </w:r>
      <w:r>
        <w:rPr>
          <w:spacing w:val="-14"/>
        </w:rPr>
        <w:t> </w:t>
      </w:r>
      <w:r>
        <w:rPr/>
        <w:t>datos</w:t>
      </w:r>
      <w:r>
        <w:rPr>
          <w:spacing w:val="-14"/>
        </w:rPr>
        <w:t> </w:t>
      </w:r>
      <w:r>
        <w:rPr/>
        <w:t>revisados</w:t>
      </w:r>
      <w:r>
        <w:rPr>
          <w:spacing w:val="-15"/>
        </w:rPr>
        <w:t> </w:t>
      </w:r>
      <w:r>
        <w:rPr/>
        <w:t>para</w:t>
      </w:r>
      <w:r>
        <w:rPr>
          <w:spacing w:val="-14"/>
        </w:rPr>
        <w:t> </w:t>
      </w:r>
      <w:r>
        <w:rPr/>
        <w:t>el</w:t>
      </w:r>
      <w:r>
        <w:rPr>
          <w:spacing w:val="-15"/>
        </w:rPr>
        <w:t> </w:t>
      </w:r>
      <w:r>
        <w:rPr/>
        <w:t>ganado</w:t>
      </w:r>
      <w:r>
        <w:rPr>
          <w:spacing w:val="-14"/>
        </w:rPr>
        <w:t> </w:t>
      </w:r>
      <w:r>
        <w:rPr/>
        <w:t>bovino,</w:t>
      </w:r>
      <w:r>
        <w:rPr>
          <w:spacing w:val="-14"/>
        </w:rPr>
        <w:t> </w:t>
      </w:r>
      <w:r>
        <w:rPr/>
        <w:t>presentan</w:t>
      </w:r>
      <w:r>
        <w:rPr>
          <w:spacing w:val="-14"/>
        </w:rPr>
        <w:t> </w:t>
      </w:r>
      <w:r>
        <w:rPr/>
        <w:t>un</w:t>
      </w:r>
      <w:r>
        <w:rPr>
          <w:spacing w:val="-14"/>
        </w:rPr>
        <w:t> </w:t>
      </w:r>
      <w:r>
        <w:rPr/>
        <w:t>rango</w:t>
      </w:r>
      <w:r>
        <w:rPr>
          <w:spacing w:val="-14"/>
        </w:rPr>
        <w:t> </w:t>
      </w:r>
      <w:r>
        <w:rPr/>
        <w:t>de</w:t>
      </w:r>
      <w:r>
        <w:rPr>
          <w:spacing w:val="-14"/>
        </w:rPr>
        <w:t> </w:t>
      </w:r>
      <w:r>
        <w:rPr/>
        <w:t>valores</w:t>
      </w:r>
      <w:r>
        <w:rPr>
          <w:spacing w:val="-14"/>
        </w:rPr>
        <w:t> </w:t>
      </w:r>
      <w:r>
        <w:rPr/>
        <w:t>Ym</w:t>
      </w:r>
      <w:r>
        <w:rPr>
          <w:spacing w:val="-14"/>
        </w:rPr>
        <w:t> </w:t>
      </w:r>
      <w:r>
        <w:rPr/>
        <w:t>entre</w:t>
      </w:r>
    </w:p>
    <w:p>
      <w:pPr>
        <w:pStyle w:val="BodyText"/>
        <w:spacing w:line="360" w:lineRule="auto" w:before="141"/>
        <w:ind w:left="276" w:right="144"/>
        <w:jc w:val="both"/>
      </w:pPr>
      <w:r>
        <w:rPr/>
        <w:t>1.9 y 7.5%, para digestibilidades entre 45 y 85% (Figura 7). Si bien en la Figura 4, se</w:t>
      </w:r>
      <w:r>
        <w:rPr>
          <w:spacing w:val="-16"/>
        </w:rPr>
        <w:t> </w:t>
      </w:r>
      <w:r>
        <w:rPr/>
        <w:t>expresa</w:t>
      </w:r>
      <w:r>
        <w:rPr>
          <w:spacing w:val="-16"/>
        </w:rPr>
        <w:t> </w:t>
      </w:r>
      <w:r>
        <w:rPr/>
        <w:t>la</w:t>
      </w:r>
      <w:r>
        <w:rPr>
          <w:spacing w:val="-16"/>
        </w:rPr>
        <w:t> </w:t>
      </w:r>
      <w:r>
        <w:rPr/>
        <w:t>digestibilidad</w:t>
      </w:r>
      <w:r>
        <w:rPr>
          <w:spacing w:val="-16"/>
        </w:rPr>
        <w:t> </w:t>
      </w:r>
      <w:r>
        <w:rPr/>
        <w:t>como</w:t>
      </w:r>
      <w:r>
        <w:rPr>
          <w:spacing w:val="-16"/>
        </w:rPr>
        <w:t> </w:t>
      </w:r>
      <w:r>
        <w:rPr/>
        <w:t>coeficientes</w:t>
      </w:r>
      <w:r>
        <w:rPr>
          <w:spacing w:val="-16"/>
        </w:rPr>
        <w:t> </w:t>
      </w:r>
      <w:r>
        <w:rPr/>
        <w:t>de</w:t>
      </w:r>
      <w:r>
        <w:rPr>
          <w:spacing w:val="-16"/>
        </w:rPr>
        <w:t> </w:t>
      </w:r>
      <w:r>
        <w:rPr/>
        <w:t>digestibilidad</w:t>
      </w:r>
      <w:r>
        <w:rPr>
          <w:spacing w:val="-16"/>
        </w:rPr>
        <w:t> </w:t>
      </w:r>
      <w:r>
        <w:rPr/>
        <w:t>de</w:t>
      </w:r>
      <w:r>
        <w:rPr>
          <w:spacing w:val="-16"/>
        </w:rPr>
        <w:t> </w:t>
      </w:r>
      <w:r>
        <w:rPr/>
        <w:t>la</w:t>
      </w:r>
      <w:r>
        <w:rPr>
          <w:spacing w:val="-16"/>
        </w:rPr>
        <w:t> </w:t>
      </w:r>
      <w:r>
        <w:rPr/>
        <w:t>energía</w:t>
      </w:r>
      <w:r>
        <w:rPr>
          <w:spacing w:val="-16"/>
        </w:rPr>
        <w:t> </w:t>
      </w:r>
      <w:r>
        <w:rPr/>
        <w:t>(ED/EB</w:t>
      </w:r>
    </w:p>
    <w:p>
      <w:pPr>
        <w:pStyle w:val="BodyText"/>
        <w:spacing w:line="360" w:lineRule="auto" w:before="2"/>
        <w:ind w:left="276" w:right="143"/>
        <w:jc w:val="both"/>
      </w:pPr>
      <w:r>
        <w:rPr/>
        <w:t>× 100), algunas de las digestibilidades utilizadas en el cálculo se refieren a la digestibilidad de la materia seca (prácticamente equivalente); y en otros casos los valores de digestibilidad corresponden a coeficientes de digestibilidad de la</w:t>
      </w:r>
      <w:r>
        <w:rPr>
          <w:spacing w:val="-42"/>
        </w:rPr>
        <w:t> </w:t>
      </w:r>
      <w:r>
        <w:rPr/>
        <w:t>materia seca </w:t>
      </w:r>
      <w:r>
        <w:rPr>
          <w:i/>
        </w:rPr>
        <w:t>in vitro</w:t>
      </w:r>
      <w:r>
        <w:rPr/>
        <w:t>. Se trata de un rango bastante amplio, comparable al presentado por Johnson y Johnson (1995), y más amplio que aquellos presentados por Crutzen </w:t>
      </w:r>
      <w:r>
        <w:rPr>
          <w:i/>
        </w:rPr>
        <w:t>et </w:t>
      </w:r>
      <w:r>
        <w:rPr>
          <w:i/>
        </w:rPr>
        <w:t>al. </w:t>
      </w:r>
      <w:r>
        <w:rPr/>
        <w:t>(1986) situado entre 4.4 y 9% o por Lassey (2007), que realiza una revisión comparable dentro de un rango entre 4 y 10%. En cualquier caso, más amplio que el propuesto por Blaxter y Clapperton (1965). De este modo, el conjunto de datos seleccionado por Cambra-López </w:t>
      </w:r>
      <w:r>
        <w:rPr>
          <w:i/>
        </w:rPr>
        <w:t>et al. </w:t>
      </w:r>
      <w:r>
        <w:rPr/>
        <w:t>(2008), parece lo suficientemente amplio como</w:t>
      </w:r>
      <w:r>
        <w:rPr>
          <w:spacing w:val="-12"/>
        </w:rPr>
        <w:t> </w:t>
      </w:r>
      <w:r>
        <w:rPr/>
        <w:t>para</w:t>
      </w:r>
      <w:r>
        <w:rPr>
          <w:spacing w:val="-12"/>
        </w:rPr>
        <w:t> </w:t>
      </w:r>
      <w:r>
        <w:rPr/>
        <w:t>albergar</w:t>
      </w:r>
      <w:r>
        <w:rPr>
          <w:spacing w:val="-12"/>
        </w:rPr>
        <w:t> </w:t>
      </w:r>
      <w:r>
        <w:rPr/>
        <w:t>las</w:t>
      </w:r>
      <w:r>
        <w:rPr>
          <w:spacing w:val="-12"/>
        </w:rPr>
        <w:t> </w:t>
      </w:r>
      <w:r>
        <w:rPr/>
        <w:t>posibles</w:t>
      </w:r>
      <w:r>
        <w:rPr>
          <w:spacing w:val="-12"/>
        </w:rPr>
        <w:t> </w:t>
      </w:r>
      <w:r>
        <w:rPr/>
        <w:t>diferencias</w:t>
      </w:r>
      <w:r>
        <w:rPr>
          <w:spacing w:val="-12"/>
        </w:rPr>
        <w:t> </w:t>
      </w:r>
      <w:r>
        <w:rPr/>
        <w:t>y</w:t>
      </w:r>
      <w:r>
        <w:rPr>
          <w:spacing w:val="-12"/>
        </w:rPr>
        <w:t> </w:t>
      </w:r>
      <w:r>
        <w:rPr/>
        <w:t>relaciones</w:t>
      </w:r>
      <w:r>
        <w:rPr>
          <w:spacing w:val="-12"/>
        </w:rPr>
        <w:t> </w:t>
      </w:r>
      <w:r>
        <w:rPr/>
        <w:t>entre</w:t>
      </w:r>
      <w:r>
        <w:rPr>
          <w:spacing w:val="-12"/>
        </w:rPr>
        <w:t> </w:t>
      </w:r>
      <w:r>
        <w:rPr/>
        <w:t>digestibilidad</w:t>
      </w:r>
      <w:r>
        <w:rPr>
          <w:spacing w:val="-13"/>
        </w:rPr>
        <w:t> </w:t>
      </w:r>
      <w:r>
        <w:rPr/>
        <w:t>y</w:t>
      </w:r>
      <w:r>
        <w:rPr>
          <w:spacing w:val="-12"/>
        </w:rPr>
        <w:t> </w:t>
      </w:r>
      <w:r>
        <w:rPr/>
        <w:t>el</w:t>
      </w:r>
      <w:r>
        <w:rPr>
          <w:spacing w:val="-12"/>
        </w:rPr>
        <w:t> </w:t>
      </w:r>
      <w:r>
        <w:rPr/>
        <w:t>Ym. De las regresiones tanto lineal como polinómica realizadas con estos datos, se aprecia una clara correlación negativa entre ambas variables. Los datos los ajustaron a una regresión polinómica, cuya ecuación para bovino es la</w:t>
      </w:r>
      <w:r>
        <w:rPr>
          <w:spacing w:val="-3"/>
        </w:rPr>
        <w:t> </w:t>
      </w:r>
      <w:r>
        <w:rPr/>
        <w:t>siguiente:</w:t>
      </w:r>
    </w:p>
    <w:p>
      <w:pPr>
        <w:pStyle w:val="BodyText"/>
        <w:spacing w:before="5"/>
        <w:rPr>
          <w:sz w:val="33"/>
        </w:rPr>
      </w:pPr>
    </w:p>
    <w:p>
      <w:pPr>
        <w:pStyle w:val="BodyText"/>
        <w:spacing w:before="1"/>
        <w:ind w:left="130"/>
        <w:jc w:val="center"/>
      </w:pPr>
      <w:r>
        <w:rPr>
          <w:b/>
        </w:rPr>
        <w:t>Ym </w:t>
      </w:r>
      <w:r>
        <w:rPr/>
        <w:t>= −0.0038× DE</w:t>
      </w:r>
      <w:r>
        <w:rPr>
          <w:position w:val="11"/>
          <w:sz w:val="16"/>
        </w:rPr>
        <w:t>2 </w:t>
      </w:r>
      <w:r>
        <w:rPr/>
        <w:t>+ 0.3501× DE – 0.8111</w:t>
      </w:r>
    </w:p>
    <w:p>
      <w:pPr>
        <w:pStyle w:val="BodyText"/>
        <w:rPr>
          <w:sz w:val="28"/>
        </w:rPr>
      </w:pPr>
    </w:p>
    <w:p>
      <w:pPr>
        <w:pStyle w:val="Heading6"/>
        <w:spacing w:before="227"/>
      </w:pPr>
      <w:r>
        <w:rPr/>
        <w:t>Donde:</w:t>
      </w:r>
    </w:p>
    <w:p>
      <w:pPr>
        <w:pStyle w:val="BodyText"/>
        <w:spacing w:line="352" w:lineRule="auto" w:before="137"/>
        <w:ind w:left="985" w:hanging="709"/>
      </w:pPr>
      <w:r>
        <w:rPr>
          <w:b/>
        </w:rPr>
        <w:t>Ym </w:t>
      </w:r>
      <w:r>
        <w:rPr/>
        <w:t>= Factor de conversión de CH</w:t>
      </w:r>
      <w:r>
        <w:rPr>
          <w:position w:val="-2"/>
          <w:sz w:val="16"/>
        </w:rPr>
        <w:t>4</w:t>
      </w:r>
      <w:r>
        <w:rPr/>
        <w:t>, expresado como la fracción de la EB del alimento que se transforma en CH</w:t>
      </w:r>
      <w:r>
        <w:rPr>
          <w:position w:val="-2"/>
          <w:sz w:val="16"/>
        </w:rPr>
        <w:t>4</w:t>
      </w:r>
      <w:r>
        <w:rPr/>
        <w:t>.</w:t>
      </w:r>
    </w:p>
    <w:p>
      <w:pPr>
        <w:pStyle w:val="BodyText"/>
        <w:spacing w:line="268" w:lineRule="exact"/>
        <w:ind w:left="276"/>
        <w:jc w:val="both"/>
      </w:pPr>
      <w:r>
        <w:rPr>
          <w:b/>
        </w:rPr>
        <w:t>DE </w:t>
      </w:r>
      <w:r>
        <w:rPr/>
        <w:t>= Digestibilidad de la energía (%EB).</w:t>
      </w:r>
    </w:p>
    <w:p>
      <w:pPr>
        <w:pStyle w:val="BodyText"/>
        <w:spacing w:line="360" w:lineRule="auto" w:before="102"/>
        <w:ind w:left="276" w:right="144"/>
        <w:jc w:val="both"/>
      </w:pPr>
      <w:r>
        <w:rPr/>
        <w:t>Dicha regresión presenta un coeficiente de determinación (R</w:t>
      </w:r>
      <w:r>
        <w:rPr>
          <w:position w:val="11"/>
          <w:sz w:val="16"/>
        </w:rPr>
        <w:t>2</w:t>
      </w:r>
      <w:r>
        <w:rPr/>
        <w:t>) igual a 0.87, de lo que</w:t>
      </w:r>
      <w:r>
        <w:rPr>
          <w:spacing w:val="-7"/>
        </w:rPr>
        <w:t> </w:t>
      </w:r>
      <w:r>
        <w:rPr/>
        <w:t>se</w:t>
      </w:r>
      <w:r>
        <w:rPr>
          <w:spacing w:val="-7"/>
        </w:rPr>
        <w:t> </w:t>
      </w:r>
      <w:r>
        <w:rPr/>
        <w:t>desprende</w:t>
      </w:r>
      <w:r>
        <w:rPr>
          <w:spacing w:val="-7"/>
        </w:rPr>
        <w:t> </w:t>
      </w:r>
      <w:r>
        <w:rPr/>
        <w:t>que</w:t>
      </w:r>
      <w:r>
        <w:rPr>
          <w:spacing w:val="-7"/>
        </w:rPr>
        <w:t> </w:t>
      </w:r>
      <w:r>
        <w:rPr/>
        <w:t>en</w:t>
      </w:r>
      <w:r>
        <w:rPr>
          <w:spacing w:val="-7"/>
        </w:rPr>
        <w:t> </w:t>
      </w:r>
      <w:r>
        <w:rPr/>
        <w:t>ganado</w:t>
      </w:r>
      <w:r>
        <w:rPr>
          <w:spacing w:val="-7"/>
        </w:rPr>
        <w:t> </w:t>
      </w:r>
      <w:r>
        <w:rPr/>
        <w:t>bovino</w:t>
      </w:r>
      <w:r>
        <w:rPr>
          <w:spacing w:val="-7"/>
        </w:rPr>
        <w:t> </w:t>
      </w:r>
      <w:r>
        <w:rPr/>
        <w:t>la</w:t>
      </w:r>
      <w:r>
        <w:rPr>
          <w:spacing w:val="-7"/>
        </w:rPr>
        <w:t> </w:t>
      </w:r>
      <w:r>
        <w:rPr/>
        <w:t>digestibilidad</w:t>
      </w:r>
      <w:r>
        <w:rPr>
          <w:spacing w:val="-7"/>
        </w:rPr>
        <w:t> </w:t>
      </w:r>
      <w:r>
        <w:rPr/>
        <w:t>es</w:t>
      </w:r>
      <w:r>
        <w:rPr>
          <w:spacing w:val="-7"/>
        </w:rPr>
        <w:t> </w:t>
      </w:r>
      <w:r>
        <w:rPr/>
        <w:t>un</w:t>
      </w:r>
      <w:r>
        <w:rPr>
          <w:spacing w:val="-7"/>
        </w:rPr>
        <w:t> </w:t>
      </w:r>
      <w:r>
        <w:rPr/>
        <w:t>buen</w:t>
      </w:r>
      <w:r>
        <w:rPr>
          <w:spacing w:val="-7"/>
        </w:rPr>
        <w:t> </w:t>
      </w:r>
      <w:r>
        <w:rPr/>
        <w:t>predictor</w:t>
      </w:r>
      <w:r>
        <w:rPr>
          <w:spacing w:val="-7"/>
        </w:rPr>
        <w:t> </w:t>
      </w:r>
      <w:r>
        <w:rPr/>
        <w:t>de</w:t>
      </w:r>
      <w:r>
        <w:rPr>
          <w:spacing w:val="-7"/>
        </w:rPr>
        <w:t> </w:t>
      </w:r>
      <w:r>
        <w:rPr/>
        <w:t>la producción de metano, explicando el 87% de la variación en</w:t>
      </w:r>
      <w:r>
        <w:rPr>
          <w:spacing w:val="-1"/>
        </w:rPr>
        <w:t> </w:t>
      </w:r>
      <w:r>
        <w:rPr/>
        <w:t>Ym.</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Heading6"/>
        <w:spacing w:line="235" w:lineRule="auto" w:before="74" w:after="22"/>
        <w:ind w:left="2081" w:right="278" w:hanging="1218"/>
      </w:pPr>
      <w:r>
        <w:rPr/>
        <w:pict>
          <v:line style="position:absolute;mso-position-horizontal-relative:page;mso-position-vertical-relative:paragraph;z-index:-308848" from="100.072403pt,18.690763pt" to="184.792403pt,18.690763pt" stroked="true" strokeweight="2.16pt" strokecolor="#943634">
            <w10:wrap type="none"/>
          </v:line>
        </w:pict>
      </w:r>
      <w:r>
        <w:rPr>
          <w:color w:val="943634"/>
        </w:rPr>
        <w:t>Figura 7. </w:t>
      </w:r>
      <w:r>
        <w:rPr/>
        <w:t>Resultado de la revisión del factor de conversión de CH</w:t>
      </w:r>
      <w:r>
        <w:rPr>
          <w:position w:val="-2"/>
          <w:sz w:val="16"/>
        </w:rPr>
        <w:t>4 </w:t>
      </w:r>
      <w:r>
        <w:rPr/>
        <w:t>(Ym) vs. digestibilidad (%) para ganado bovino y ecuaciones de regresión (lineal y polinómica).</w:t>
      </w:r>
    </w:p>
    <w:p>
      <w:pPr>
        <w:pStyle w:val="BodyText"/>
        <w:ind w:left="291"/>
        <w:rPr>
          <w:sz w:val="20"/>
        </w:rPr>
      </w:pPr>
      <w:r>
        <w:rPr>
          <w:sz w:val="20"/>
        </w:rPr>
        <w:pict>
          <v:group style="width:443.55pt;height:281.3pt;mso-position-horizontal-relative:char;mso-position-vertical-relative:line" coordorigin="0,0" coordsize="8871,5626">
            <v:shape style="position:absolute;left:24;top:24;width:8822;height:5578" type="#_x0000_t75" stroked="false">
              <v:imagedata r:id="rId80" o:title=""/>
            </v:shape>
            <v:rect style="position:absolute;left:12;top:12;width:8846;height:5602" filled="false" stroked="true" strokeweight="1.2pt" strokecolor="#000000"/>
          </v:group>
        </w:pict>
      </w:r>
      <w:r>
        <w:rPr>
          <w:sz w:val="20"/>
        </w:rPr>
      </w:r>
    </w:p>
    <w:p>
      <w:pPr>
        <w:spacing w:before="119"/>
        <w:ind w:left="276" w:right="0" w:firstLine="0"/>
        <w:jc w:val="both"/>
        <w:rPr>
          <w:sz w:val="20"/>
        </w:rPr>
      </w:pPr>
      <w:r>
        <w:rPr>
          <w:b/>
          <w:w w:val="105"/>
          <w:sz w:val="20"/>
        </w:rPr>
        <w:t>Fuente: </w:t>
      </w:r>
      <w:r>
        <w:rPr>
          <w:w w:val="105"/>
          <w:sz w:val="20"/>
        </w:rPr>
        <w:t>Cambra-López </w:t>
      </w:r>
      <w:r>
        <w:rPr>
          <w:i/>
          <w:w w:val="105"/>
          <w:sz w:val="20"/>
        </w:rPr>
        <w:t>et al., </w:t>
      </w:r>
      <w:r>
        <w:rPr>
          <w:w w:val="105"/>
          <w:sz w:val="20"/>
        </w:rPr>
        <w:t>(2008).</w:t>
      </w:r>
    </w:p>
    <w:p>
      <w:pPr>
        <w:pStyle w:val="BodyText"/>
        <w:rPr>
          <w:sz w:val="20"/>
        </w:rPr>
      </w:pPr>
    </w:p>
    <w:p>
      <w:pPr>
        <w:pStyle w:val="BodyText"/>
        <w:rPr>
          <w:sz w:val="20"/>
        </w:rPr>
      </w:pPr>
    </w:p>
    <w:p>
      <w:pPr>
        <w:pStyle w:val="BodyText"/>
        <w:rPr>
          <w:sz w:val="20"/>
        </w:rPr>
      </w:pPr>
    </w:p>
    <w:p>
      <w:pPr>
        <w:pStyle w:val="BodyText"/>
        <w:rPr>
          <w:sz w:val="20"/>
        </w:rPr>
      </w:pPr>
    </w:p>
    <w:p>
      <w:pPr>
        <w:pStyle w:val="Heading4"/>
        <w:numPr>
          <w:ilvl w:val="2"/>
          <w:numId w:val="5"/>
        </w:numPr>
        <w:tabs>
          <w:tab w:pos="1055" w:val="left" w:leader="none"/>
        </w:tabs>
        <w:spacing w:line="240" w:lineRule="auto" w:before="140" w:after="0"/>
        <w:ind w:left="1055" w:right="0" w:hanging="779"/>
        <w:jc w:val="both"/>
        <w:rPr>
          <w:sz w:val="17"/>
        </w:rPr>
      </w:pPr>
      <w:r>
        <w:rPr/>
        <w:t>Alimentos y gestión de la</w:t>
      </w:r>
      <w:r>
        <w:rPr>
          <w:spacing w:val="-17"/>
        </w:rPr>
        <w:t> </w:t>
      </w:r>
      <w:r>
        <w:rPr/>
        <w:t>alimentación</w:t>
      </w:r>
      <w:r>
        <w:rPr>
          <w:position w:val="13"/>
          <w:sz w:val="17"/>
        </w:rPr>
        <w:t>6</w:t>
      </w:r>
    </w:p>
    <w:p>
      <w:pPr>
        <w:pStyle w:val="BodyText"/>
        <w:spacing w:before="10"/>
        <w:rPr>
          <w:b/>
          <w:sz w:val="34"/>
        </w:rPr>
      </w:pPr>
    </w:p>
    <w:p>
      <w:pPr>
        <w:pStyle w:val="BodyText"/>
        <w:spacing w:line="357" w:lineRule="auto" w:before="1"/>
        <w:ind w:left="276" w:right="163"/>
        <w:jc w:val="both"/>
      </w:pPr>
      <w:r>
        <w:rPr/>
        <w:t>Es clara la relación entre la digestibilidad de la materia orgánica (MO) de los alimentos, el consumo de concentrados o almidón y los patrones de fermentación ruminal.</w:t>
      </w:r>
      <w:r>
        <w:rPr>
          <w:spacing w:val="-12"/>
        </w:rPr>
        <w:t> </w:t>
      </w:r>
      <w:r>
        <w:rPr/>
        <w:t>Como</w:t>
      </w:r>
      <w:r>
        <w:rPr>
          <w:spacing w:val="-12"/>
        </w:rPr>
        <w:t> </w:t>
      </w:r>
      <w:r>
        <w:rPr/>
        <w:t>lo</w:t>
      </w:r>
      <w:r>
        <w:rPr>
          <w:spacing w:val="-12"/>
        </w:rPr>
        <w:t> </w:t>
      </w:r>
      <w:r>
        <w:rPr/>
        <w:t>expuso</w:t>
      </w:r>
      <w:r>
        <w:rPr>
          <w:spacing w:val="-12"/>
        </w:rPr>
        <w:t> </w:t>
      </w:r>
      <w:r>
        <w:rPr/>
        <w:t>Wolin</w:t>
      </w:r>
      <w:r>
        <w:rPr>
          <w:spacing w:val="-12"/>
        </w:rPr>
        <w:t> </w:t>
      </w:r>
      <w:r>
        <w:rPr/>
        <w:t>(1960),</w:t>
      </w:r>
      <w:r>
        <w:rPr>
          <w:spacing w:val="-12"/>
        </w:rPr>
        <w:t> </w:t>
      </w:r>
      <w:r>
        <w:rPr/>
        <w:t>la</w:t>
      </w:r>
      <w:r>
        <w:rPr>
          <w:spacing w:val="-12"/>
        </w:rPr>
        <w:t> </w:t>
      </w:r>
      <w:r>
        <w:rPr/>
        <w:t>estequiometría</w:t>
      </w:r>
      <w:r>
        <w:rPr>
          <w:spacing w:val="-12"/>
        </w:rPr>
        <w:t> </w:t>
      </w:r>
      <w:r>
        <w:rPr/>
        <w:t>de</w:t>
      </w:r>
      <w:r>
        <w:rPr>
          <w:spacing w:val="-12"/>
        </w:rPr>
        <w:t> </w:t>
      </w:r>
      <w:r>
        <w:rPr/>
        <w:t>la</w:t>
      </w:r>
      <w:r>
        <w:rPr>
          <w:spacing w:val="-12"/>
        </w:rPr>
        <w:t> </w:t>
      </w:r>
      <w:r>
        <w:rPr/>
        <w:t>fermentación</w:t>
      </w:r>
      <w:r>
        <w:rPr>
          <w:spacing w:val="-12"/>
        </w:rPr>
        <w:t> </w:t>
      </w:r>
      <w:r>
        <w:rPr/>
        <w:t>ruminal indica</w:t>
      </w:r>
      <w:r>
        <w:rPr>
          <w:spacing w:val="-4"/>
        </w:rPr>
        <w:t> </w:t>
      </w:r>
      <w:r>
        <w:rPr/>
        <w:t>que</w:t>
      </w:r>
      <w:r>
        <w:rPr>
          <w:spacing w:val="-4"/>
        </w:rPr>
        <w:t> </w:t>
      </w:r>
      <w:r>
        <w:rPr/>
        <w:t>se</w:t>
      </w:r>
      <w:r>
        <w:rPr>
          <w:spacing w:val="-4"/>
        </w:rPr>
        <w:t> </w:t>
      </w:r>
      <w:r>
        <w:rPr/>
        <w:t>producirá</w:t>
      </w:r>
      <w:r>
        <w:rPr>
          <w:spacing w:val="-4"/>
        </w:rPr>
        <w:t> </w:t>
      </w:r>
      <w:r>
        <w:rPr/>
        <w:t>más</w:t>
      </w:r>
      <w:r>
        <w:rPr>
          <w:spacing w:val="-4"/>
        </w:rPr>
        <w:t> </w:t>
      </w:r>
      <w:r>
        <w:rPr/>
        <w:t>H</w:t>
      </w:r>
      <w:r>
        <w:rPr>
          <w:position w:val="-2"/>
          <w:sz w:val="16"/>
        </w:rPr>
        <w:t>2</w:t>
      </w:r>
      <w:r>
        <w:rPr/>
        <w:t>,</w:t>
      </w:r>
      <w:r>
        <w:rPr>
          <w:spacing w:val="-4"/>
        </w:rPr>
        <w:t> </w:t>
      </w:r>
      <w:r>
        <w:rPr/>
        <w:t>y</w:t>
      </w:r>
      <w:r>
        <w:rPr>
          <w:spacing w:val="-4"/>
        </w:rPr>
        <w:t> </w:t>
      </w:r>
      <w:r>
        <w:rPr/>
        <w:t>por</w:t>
      </w:r>
      <w:r>
        <w:rPr>
          <w:spacing w:val="-4"/>
        </w:rPr>
        <w:t> </w:t>
      </w:r>
      <w:r>
        <w:rPr/>
        <w:t>consiguiente</w:t>
      </w:r>
      <w:r>
        <w:rPr>
          <w:spacing w:val="-4"/>
        </w:rPr>
        <w:t> </w:t>
      </w:r>
      <w:r>
        <w:rPr/>
        <w:t>más</w:t>
      </w:r>
      <w:r>
        <w:rPr>
          <w:spacing w:val="-4"/>
        </w:rPr>
        <w:t> </w:t>
      </w:r>
      <w:r>
        <w:rPr/>
        <w:t>CH</w:t>
      </w:r>
      <w:r>
        <w:rPr>
          <w:position w:val="-2"/>
          <w:sz w:val="16"/>
        </w:rPr>
        <w:t>4</w:t>
      </w:r>
      <w:r>
        <w:rPr/>
        <w:t>,</w:t>
      </w:r>
      <w:r>
        <w:rPr>
          <w:spacing w:val="-4"/>
        </w:rPr>
        <w:t> </w:t>
      </w:r>
      <w:r>
        <w:rPr/>
        <w:t>en</w:t>
      </w:r>
      <w:r>
        <w:rPr>
          <w:spacing w:val="-4"/>
        </w:rPr>
        <w:t> </w:t>
      </w:r>
      <w:r>
        <w:rPr/>
        <w:t>la</w:t>
      </w:r>
      <w:r>
        <w:rPr>
          <w:spacing w:val="-4"/>
        </w:rPr>
        <w:t> </w:t>
      </w:r>
      <w:r>
        <w:rPr/>
        <w:t>fermentación</w:t>
      </w:r>
      <w:r>
        <w:rPr>
          <w:spacing w:val="-4"/>
        </w:rPr>
        <w:t> </w:t>
      </w:r>
      <w:r>
        <w:rPr/>
        <w:t>de la fibra que en la del almidón (en este último caso los equivalentes de reducción se usan para la síntesis de propionato). Noziere </w:t>
      </w:r>
      <w:r>
        <w:rPr>
          <w:i/>
        </w:rPr>
        <w:t>et al. </w:t>
      </w:r>
      <w:r>
        <w:rPr/>
        <w:t>(2010), por ejemplo, calcularon que  las  proporciones  moleculares  de  los  AGV  (acetato  propionato,    </w:t>
      </w:r>
      <w:r>
        <w:rPr>
          <w:spacing w:val="15"/>
        </w:rPr>
        <w:t> </w:t>
      </w:r>
      <w:r>
        <w:rPr/>
        <w:t>butirato)</w:t>
      </w:r>
    </w:p>
    <w:p>
      <w:pPr>
        <w:pStyle w:val="BodyText"/>
        <w:rPr>
          <w:sz w:val="20"/>
        </w:rPr>
      </w:pPr>
    </w:p>
    <w:p>
      <w:pPr>
        <w:pStyle w:val="BodyText"/>
        <w:spacing w:before="8"/>
        <w:rPr>
          <w:sz w:val="26"/>
        </w:rPr>
      </w:pPr>
      <w:r>
        <w:rPr/>
        <w:pict>
          <v:line style="position:absolute;mso-position-horizontal-relative:page;mso-position-vertical-relative:paragraph;z-index:3160;mso-wrap-distance-left:0;mso-wrap-distance-right:0" from="99.832428pt,17.548939pt" to="243.832398pt,17.548939pt" stroked="true" strokeweight=".48pt" strokecolor="#000000">
            <w10:wrap type="topAndBottom"/>
          </v:line>
        </w:pict>
      </w:r>
    </w:p>
    <w:p>
      <w:pPr>
        <w:pStyle w:val="BodyText"/>
        <w:spacing w:before="10"/>
        <w:rPr>
          <w:sz w:val="20"/>
        </w:rPr>
      </w:pPr>
    </w:p>
    <w:p>
      <w:pPr>
        <w:spacing w:before="78"/>
        <w:ind w:left="276" w:right="0" w:firstLine="0"/>
        <w:jc w:val="left"/>
        <w:rPr>
          <w:rFonts w:ascii="Calibri" w:hAnsi="Calibri"/>
          <w:sz w:val="19"/>
        </w:rPr>
      </w:pPr>
      <w:r>
        <w:rPr>
          <w:rFonts w:ascii="Calibri" w:hAnsi="Calibri"/>
          <w:w w:val="105"/>
          <w:position w:val="10"/>
          <w:sz w:val="13"/>
        </w:rPr>
        <w:t>6 </w:t>
      </w:r>
      <w:r>
        <w:rPr>
          <w:rFonts w:ascii="Calibri" w:hAnsi="Calibri"/>
          <w:w w:val="105"/>
          <w:sz w:val="19"/>
        </w:rPr>
        <w:t>La información de este subtema se incluye como un extracto fiel del documento No. 177 de la FAO de Hristov</w:t>
      </w:r>
    </w:p>
    <w:p>
      <w:pPr>
        <w:spacing w:before="13"/>
        <w:ind w:left="276" w:right="72" w:firstLine="0"/>
        <w:jc w:val="left"/>
        <w:rPr>
          <w:rFonts w:ascii="Calibri" w:hAnsi="Calibri"/>
          <w:sz w:val="19"/>
        </w:rPr>
      </w:pPr>
      <w:r>
        <w:rPr>
          <w:rFonts w:ascii="Calibri" w:hAnsi="Calibri"/>
          <w:i/>
          <w:w w:val="105"/>
          <w:sz w:val="19"/>
        </w:rPr>
        <w:t>et al. </w:t>
      </w:r>
      <w:r>
        <w:rPr>
          <w:rFonts w:ascii="Calibri" w:hAnsi="Calibri"/>
          <w:w w:val="105"/>
          <w:sz w:val="19"/>
        </w:rPr>
        <w:t>(2013), debido a la importancia de la información utilizada.</w:t>
      </w:r>
    </w:p>
    <w:p>
      <w:pPr>
        <w:spacing w:after="0"/>
        <w:jc w:val="left"/>
        <w:rPr>
          <w:rFonts w:ascii="Calibri" w:hAnsi="Calibri"/>
          <w:sz w:val="19"/>
        </w:rPr>
        <w:sectPr>
          <w:pgSz w:w="12240" w:h="15840"/>
          <w:pgMar w:header="741" w:footer="739" w:top="1220" w:bottom="920" w:left="1720" w:right="1240"/>
        </w:sectPr>
      </w:pPr>
    </w:p>
    <w:p>
      <w:pPr>
        <w:pStyle w:val="BodyText"/>
        <w:spacing w:before="8"/>
        <w:rPr>
          <w:rFonts w:ascii="Calibri"/>
          <w:sz w:val="10"/>
        </w:rPr>
      </w:pPr>
    </w:p>
    <w:p>
      <w:pPr>
        <w:pStyle w:val="BodyText"/>
        <w:spacing w:line="360" w:lineRule="auto" w:before="70"/>
        <w:ind w:left="276" w:right="144"/>
        <w:jc w:val="both"/>
      </w:pPr>
      <w:r>
        <w:rPr/>
        <w:t>promediarían respectivamente, 66, 17 y 14 mol/100 mol para la fibra detergente neutro (FDN) y 41, 44 y 12 mol/100 mol para el almidón. De hecho, una dieta para vacas lecheras lactantes con un contenido de concentrado del 72%, al compararse con una ración con el 52%, produjo un incremento del 59% en la concentración del propionato ruminal y una caída del 44% en la relación Ac:Pr, además de una disminución en la grasa de la leche, 3.20 frente al 4.20, respectivamente (Agle </w:t>
      </w:r>
      <w:r>
        <w:rPr>
          <w:i/>
        </w:rPr>
        <w:t>et </w:t>
      </w:r>
      <w:r>
        <w:rPr>
          <w:i/>
        </w:rPr>
        <w:t>al.</w:t>
      </w:r>
      <w:r>
        <w:rPr/>
        <w:t>, 2010).</w:t>
      </w:r>
    </w:p>
    <w:p>
      <w:pPr>
        <w:pStyle w:val="BodyText"/>
        <w:spacing w:line="360" w:lineRule="auto" w:before="2"/>
        <w:ind w:left="276" w:right="145"/>
        <w:jc w:val="both"/>
      </w:pPr>
      <w:r>
        <w:rPr/>
        <w:t>En un metaanálisis, Bannink </w:t>
      </w:r>
      <w:r>
        <w:rPr>
          <w:i/>
        </w:rPr>
        <w:t>et al. </w:t>
      </w:r>
      <w:r>
        <w:rPr/>
        <w:t>(2008) mostraron que la fermentación de los azúcares y del almidón cambiará la fermentación en el rumen hacia la producción de propionato cuando disminuye el pH ruminal. Sauvant </w:t>
      </w:r>
      <w:r>
        <w:rPr>
          <w:i/>
        </w:rPr>
        <w:t>et al. </w:t>
      </w:r>
      <w:r>
        <w:rPr/>
        <w:t>(2011) propusieron una relación cuadrática entre Ym y Ac: Pr en el fluido ruminal </w:t>
      </w:r>
      <w:r>
        <w:rPr>
          <w:b/>
        </w:rPr>
        <w:t>Ym = – 1,89 + 4,61 × Ac:Pr – 0,59 × Ac:Pr2</w:t>
      </w:r>
      <w:r>
        <w:rPr/>
        <w:t>; n = 23 experimentos. Estos autores también encontraron varias relaciones entre Ac: Pr y el consumo de materia seca (CMS) en la dieta, la inclusión de concentrado y los ácidos grasos de la leche.</w:t>
      </w:r>
    </w:p>
    <w:p>
      <w:pPr>
        <w:pStyle w:val="BodyText"/>
        <w:spacing w:line="357" w:lineRule="auto" w:before="2"/>
        <w:ind w:left="276" w:right="143"/>
        <w:jc w:val="both"/>
      </w:pPr>
      <w:r>
        <w:rPr/>
        <w:t>De este modo, generalmente se cree que una inclusión más alta de granos (o la alimentación con forrajes con un contenido de almidón más alto, como el ensilado de</w:t>
      </w:r>
      <w:r>
        <w:rPr>
          <w:spacing w:val="-13"/>
        </w:rPr>
        <w:t> </w:t>
      </w:r>
      <w:r>
        <w:rPr/>
        <w:t>la</w:t>
      </w:r>
      <w:r>
        <w:rPr>
          <w:spacing w:val="-13"/>
        </w:rPr>
        <w:t> </w:t>
      </w:r>
      <w:r>
        <w:rPr/>
        <w:t>planta</w:t>
      </w:r>
      <w:r>
        <w:rPr>
          <w:spacing w:val="-13"/>
        </w:rPr>
        <w:t> </w:t>
      </w:r>
      <w:r>
        <w:rPr/>
        <w:t>entera</w:t>
      </w:r>
      <w:r>
        <w:rPr>
          <w:spacing w:val="-13"/>
        </w:rPr>
        <w:t> </w:t>
      </w:r>
      <w:r>
        <w:rPr/>
        <w:t>de</w:t>
      </w:r>
      <w:r>
        <w:rPr>
          <w:spacing w:val="-13"/>
        </w:rPr>
        <w:t> </w:t>
      </w:r>
      <w:r>
        <w:rPr/>
        <w:t>cereales)</w:t>
      </w:r>
      <w:r>
        <w:rPr>
          <w:spacing w:val="-13"/>
        </w:rPr>
        <w:t> </w:t>
      </w:r>
      <w:r>
        <w:rPr/>
        <w:t>en</w:t>
      </w:r>
      <w:r>
        <w:rPr>
          <w:spacing w:val="-13"/>
        </w:rPr>
        <w:t> </w:t>
      </w:r>
      <w:r>
        <w:rPr/>
        <w:t>la</w:t>
      </w:r>
      <w:r>
        <w:rPr>
          <w:spacing w:val="-13"/>
        </w:rPr>
        <w:t> </w:t>
      </w:r>
      <w:r>
        <w:rPr/>
        <w:t>dieta</w:t>
      </w:r>
      <w:r>
        <w:rPr>
          <w:spacing w:val="-13"/>
        </w:rPr>
        <w:t> </w:t>
      </w:r>
      <w:r>
        <w:rPr/>
        <w:t>de</w:t>
      </w:r>
      <w:r>
        <w:rPr>
          <w:spacing w:val="-13"/>
        </w:rPr>
        <w:t> </w:t>
      </w:r>
      <w:r>
        <w:rPr/>
        <w:t>los</w:t>
      </w:r>
      <w:r>
        <w:rPr>
          <w:spacing w:val="-13"/>
        </w:rPr>
        <w:t> </w:t>
      </w:r>
      <w:r>
        <w:rPr/>
        <w:t>rumiantes</w:t>
      </w:r>
      <w:r>
        <w:rPr>
          <w:spacing w:val="-13"/>
        </w:rPr>
        <w:t> </w:t>
      </w:r>
      <w:r>
        <w:rPr/>
        <w:t>disminuye</w:t>
      </w:r>
      <w:r>
        <w:rPr>
          <w:spacing w:val="-13"/>
        </w:rPr>
        <w:t> </w:t>
      </w:r>
      <w:r>
        <w:rPr/>
        <w:t>la</w:t>
      </w:r>
      <w:r>
        <w:rPr>
          <w:spacing w:val="-13"/>
        </w:rPr>
        <w:t> </w:t>
      </w:r>
      <w:r>
        <w:rPr/>
        <w:t>producción de CH</w:t>
      </w:r>
      <w:r>
        <w:rPr>
          <w:position w:val="-2"/>
          <w:sz w:val="16"/>
        </w:rPr>
        <w:t>4 </w:t>
      </w:r>
      <w:r>
        <w:rPr/>
        <w:t>entérico. Beauchemin </w:t>
      </w:r>
      <w:r>
        <w:rPr>
          <w:i/>
        </w:rPr>
        <w:t>et al. </w:t>
      </w:r>
      <w:r>
        <w:rPr/>
        <w:t>(2011) calcularon que alimentar bovinos de carne en crecimiento con forrajes en sistemas extensivos aumentaría considerablemente la intensidad de los GEI (aumento del 6.5%). Igualmente, Pelletier </w:t>
      </w:r>
      <w:r>
        <w:rPr>
          <w:i/>
        </w:rPr>
        <w:t>et al. </w:t>
      </w:r>
      <w:r>
        <w:rPr/>
        <w:t>(2010) observaron que las emisiones totales de los GEI de bovinos de carne en fase de finalización en sistemas de pastoreo extensivo fueron un 30% más altas que aquellas del ganado consumiendo raciones a base de cereales en corrales de engorde.</w:t>
      </w:r>
    </w:p>
    <w:p>
      <w:pPr>
        <w:pStyle w:val="BodyText"/>
      </w:pPr>
    </w:p>
    <w:p>
      <w:pPr>
        <w:pStyle w:val="BodyText"/>
        <w:spacing w:before="10"/>
        <w:rPr>
          <w:sz w:val="22"/>
        </w:rPr>
      </w:pPr>
    </w:p>
    <w:p>
      <w:pPr>
        <w:pStyle w:val="Heading4"/>
        <w:numPr>
          <w:ilvl w:val="2"/>
          <w:numId w:val="5"/>
        </w:numPr>
        <w:tabs>
          <w:tab w:pos="1055" w:val="left" w:leader="none"/>
        </w:tabs>
        <w:spacing w:line="240" w:lineRule="auto" w:before="0" w:after="0"/>
        <w:ind w:left="1055" w:right="0" w:hanging="779"/>
        <w:jc w:val="both"/>
      </w:pPr>
      <w:bookmarkStart w:name="_TOC_250013" w:id="17"/>
      <w:r>
        <w:rPr/>
        <w:t>Efecto del consumo de</w:t>
      </w:r>
      <w:r>
        <w:rPr>
          <w:spacing w:val="-12"/>
        </w:rPr>
        <w:t> </w:t>
      </w:r>
      <w:bookmarkEnd w:id="17"/>
      <w:r>
        <w:rPr/>
        <w:t>alimento</w:t>
      </w:r>
    </w:p>
    <w:p>
      <w:pPr>
        <w:pStyle w:val="BodyText"/>
        <w:spacing w:before="5"/>
        <w:rPr>
          <w:b/>
        </w:rPr>
      </w:pPr>
    </w:p>
    <w:p>
      <w:pPr>
        <w:pStyle w:val="BodyText"/>
        <w:spacing w:line="357" w:lineRule="auto" w:before="1"/>
        <w:ind w:left="276" w:right="143"/>
        <w:jc w:val="both"/>
      </w:pPr>
      <w:r>
        <w:rPr/>
        <w:t>El consumo de alimento es una variable importante en la predicción de las emisiones de CH</w:t>
      </w:r>
      <w:r>
        <w:rPr>
          <w:position w:val="-2"/>
          <w:sz w:val="16"/>
        </w:rPr>
        <w:t>4</w:t>
      </w:r>
      <w:r>
        <w:rPr/>
        <w:t>. Johnson y Johnson (1995) afirmaron que a medida que crece</w:t>
      </w:r>
      <w:r>
        <w:rPr>
          <w:spacing w:val="-29"/>
        </w:rPr>
        <w:t> </w:t>
      </w:r>
      <w:r>
        <w:rPr/>
        <w:t>el consumo de alimento, disminuye la tasa Ym en aproximadamente 1.6% unidades por cada nivel de consumo por encima de las necesidades de mantenimiento. No obstante, estos autores también anotaron que no se pudo establecer una </w:t>
      </w:r>
      <w:r>
        <w:rPr>
          <w:spacing w:val="64"/>
        </w:rPr>
        <w:t> </w:t>
      </w:r>
      <w:r>
        <w:rPr/>
        <w:t>relación</w:t>
      </w:r>
    </w:p>
    <w:p>
      <w:pPr>
        <w:spacing w:after="0" w:line="357" w:lineRule="auto"/>
        <w:jc w:val="both"/>
        <w:sectPr>
          <w:footerReference w:type="default" r:id="rId81"/>
          <w:pgSz w:w="12240" w:h="15840"/>
          <w:pgMar w:footer="739" w:header="741" w:top="1220" w:bottom="920" w:left="1720" w:right="1260"/>
        </w:sectPr>
      </w:pPr>
    </w:p>
    <w:p>
      <w:pPr>
        <w:pStyle w:val="BodyText"/>
        <w:spacing w:before="4"/>
        <w:rPr>
          <w:sz w:val="11"/>
        </w:rPr>
      </w:pPr>
    </w:p>
    <w:p>
      <w:pPr>
        <w:pStyle w:val="BodyText"/>
        <w:spacing w:line="355" w:lineRule="auto" w:before="69"/>
        <w:ind w:left="276" w:right="143"/>
        <w:jc w:val="both"/>
      </w:pPr>
      <w:r>
        <w:rPr/>
        <w:t>estrecha entre la digestibilidad de la dieta, el consumo y la producción de CH</w:t>
      </w:r>
      <w:r>
        <w:rPr>
          <w:position w:val="-2"/>
          <w:sz w:val="16"/>
        </w:rPr>
        <w:t>4</w:t>
      </w:r>
      <w:r>
        <w:rPr/>
        <w:t>.</w:t>
      </w:r>
      <w:r>
        <w:rPr>
          <w:spacing w:val="-16"/>
        </w:rPr>
        <w:t> </w:t>
      </w:r>
      <w:r>
        <w:rPr/>
        <w:t>Sus datos (Figura 6 en Johnson y Johnson, 1995) sugieren que no hay relación entre</w:t>
      </w:r>
      <w:r>
        <w:rPr>
          <w:spacing w:val="-14"/>
        </w:rPr>
        <w:t> </w:t>
      </w:r>
      <w:r>
        <w:rPr/>
        <w:t>la digestibilidad</w:t>
      </w:r>
      <w:r>
        <w:rPr>
          <w:spacing w:val="-13"/>
        </w:rPr>
        <w:t> </w:t>
      </w:r>
      <w:r>
        <w:rPr/>
        <w:t>de</w:t>
      </w:r>
      <w:r>
        <w:rPr>
          <w:spacing w:val="-13"/>
        </w:rPr>
        <w:t> </w:t>
      </w:r>
      <w:r>
        <w:rPr/>
        <w:t>la</w:t>
      </w:r>
      <w:r>
        <w:rPr>
          <w:spacing w:val="-13"/>
        </w:rPr>
        <w:t> </w:t>
      </w:r>
      <w:r>
        <w:rPr/>
        <w:t>energía</w:t>
      </w:r>
      <w:r>
        <w:rPr>
          <w:spacing w:val="-13"/>
        </w:rPr>
        <w:t> </w:t>
      </w:r>
      <w:r>
        <w:rPr/>
        <w:t>bruta</w:t>
      </w:r>
      <w:r>
        <w:rPr>
          <w:spacing w:val="-13"/>
        </w:rPr>
        <w:t> </w:t>
      </w:r>
      <w:r>
        <w:rPr/>
        <w:t>(EB)</w:t>
      </w:r>
      <w:r>
        <w:rPr>
          <w:spacing w:val="-13"/>
        </w:rPr>
        <w:t> </w:t>
      </w:r>
      <w:r>
        <w:rPr/>
        <w:t>de</w:t>
      </w:r>
      <w:r>
        <w:rPr>
          <w:spacing w:val="-13"/>
        </w:rPr>
        <w:t> </w:t>
      </w:r>
      <w:r>
        <w:rPr/>
        <w:t>la</w:t>
      </w:r>
      <w:r>
        <w:rPr>
          <w:spacing w:val="-13"/>
        </w:rPr>
        <w:t> </w:t>
      </w:r>
      <w:r>
        <w:rPr/>
        <w:t>dieta</w:t>
      </w:r>
      <w:r>
        <w:rPr>
          <w:spacing w:val="-13"/>
        </w:rPr>
        <w:t> </w:t>
      </w:r>
      <w:r>
        <w:rPr/>
        <w:t>y</w:t>
      </w:r>
      <w:r>
        <w:rPr>
          <w:spacing w:val="-13"/>
        </w:rPr>
        <w:t> </w:t>
      </w:r>
      <w:r>
        <w:rPr/>
        <w:t>la</w:t>
      </w:r>
      <w:r>
        <w:rPr>
          <w:spacing w:val="-13"/>
        </w:rPr>
        <w:t> </w:t>
      </w:r>
      <w:r>
        <w:rPr/>
        <w:t>proporción</w:t>
      </w:r>
      <w:r>
        <w:rPr>
          <w:spacing w:val="-13"/>
        </w:rPr>
        <w:t> </w:t>
      </w:r>
      <w:r>
        <w:rPr/>
        <w:t>de</w:t>
      </w:r>
      <w:r>
        <w:rPr>
          <w:spacing w:val="-13"/>
        </w:rPr>
        <w:t> </w:t>
      </w:r>
      <w:r>
        <w:rPr/>
        <w:t>los</w:t>
      </w:r>
      <w:r>
        <w:rPr>
          <w:spacing w:val="-13"/>
        </w:rPr>
        <w:t> </w:t>
      </w:r>
      <w:r>
        <w:rPr/>
        <w:t>GEI</w:t>
      </w:r>
      <w:r>
        <w:rPr>
          <w:spacing w:val="-13"/>
        </w:rPr>
        <w:t> </w:t>
      </w:r>
      <w:r>
        <w:rPr/>
        <w:t>perdidos como CH</w:t>
      </w:r>
      <w:r>
        <w:rPr>
          <w:position w:val="-2"/>
          <w:sz w:val="16"/>
        </w:rPr>
        <w:t>4</w:t>
      </w:r>
      <w:r>
        <w:rPr/>
        <w:t>. El aumento del consumo aumenta la tasa fraccional de pasaje y disminuye la digestibilidad. La disminución de la digestibilidad dependerá de la calidad de la dieta (Hristov </w:t>
      </w:r>
      <w:r>
        <w:rPr>
          <w:i/>
        </w:rPr>
        <w:t>et al.</w:t>
      </w:r>
      <w:r>
        <w:rPr/>
        <w:t>,</w:t>
      </w:r>
      <w:r>
        <w:rPr>
          <w:spacing w:val="-7"/>
        </w:rPr>
        <w:t> </w:t>
      </w:r>
      <w:r>
        <w:rPr/>
        <w:t>2013).</w:t>
      </w:r>
    </w:p>
    <w:p>
      <w:pPr>
        <w:pStyle w:val="BodyText"/>
        <w:spacing w:line="357" w:lineRule="auto" w:before="8"/>
        <w:ind w:left="276" w:right="143"/>
        <w:jc w:val="both"/>
      </w:pPr>
      <w:r>
        <w:rPr/>
        <w:t>El modelo del NRC (2001), por ejemplo, asume que la disminución en la digestibilidad expresada como nutrientes digeribles totales (NDT), con el nivel de alimentación es una función de la digestibilidad de la dieta al nivel de consumo de mantenimiento (unidad porcentual de disminución NDT = 0.18 × </w:t>
      </w:r>
      <w:r>
        <w:rPr>
          <w:position w:val="-2"/>
          <w:sz w:val="16"/>
        </w:rPr>
        <w:t>NDTal mantenimiento </w:t>
      </w:r>
      <w:r>
        <w:rPr/>
        <w:t>– 10.3). Sauvant y Giger-Reverdin (2009) concluyeron de su metaanálisis que la digestibilidad de la MO disminuye linealmente con el aumento del consumo de alimento (digestibilidad MO, por ciento = 76.0 – 2.75 × nivel de consumo de alimento, porcentaje de peso vivo (PV)). Igualmente estos autores reportaron una disminución lineal en la tasa Ym con un aumento en el consumo de alimento.</w:t>
      </w:r>
    </w:p>
    <w:p>
      <w:pPr>
        <w:pStyle w:val="BodyText"/>
        <w:spacing w:line="357" w:lineRule="auto" w:before="5"/>
        <w:ind w:left="276" w:right="143"/>
        <w:jc w:val="both"/>
      </w:pPr>
      <w:r>
        <w:rPr/>
        <w:t>En un metaanálisis de datos provenientes de estudios en los que bovinos de leche (n</w:t>
      </w:r>
      <w:r>
        <w:rPr>
          <w:spacing w:val="-8"/>
        </w:rPr>
        <w:t> </w:t>
      </w:r>
      <w:r>
        <w:rPr/>
        <w:t>=</w:t>
      </w:r>
      <w:r>
        <w:rPr>
          <w:spacing w:val="-8"/>
        </w:rPr>
        <w:t> </w:t>
      </w:r>
      <w:r>
        <w:rPr/>
        <w:t>247)</w:t>
      </w:r>
      <w:r>
        <w:rPr>
          <w:spacing w:val="-9"/>
        </w:rPr>
        <w:t> </w:t>
      </w:r>
      <w:r>
        <w:rPr/>
        <w:t>y</w:t>
      </w:r>
      <w:r>
        <w:rPr>
          <w:spacing w:val="-9"/>
        </w:rPr>
        <w:t> </w:t>
      </w:r>
      <w:r>
        <w:rPr/>
        <w:t>carne</w:t>
      </w:r>
      <w:r>
        <w:rPr>
          <w:spacing w:val="-8"/>
        </w:rPr>
        <w:t> </w:t>
      </w:r>
      <w:r>
        <w:rPr/>
        <w:t>(n</w:t>
      </w:r>
      <w:r>
        <w:rPr>
          <w:spacing w:val="-9"/>
        </w:rPr>
        <w:t> </w:t>
      </w:r>
      <w:r>
        <w:rPr/>
        <w:t>=</w:t>
      </w:r>
      <w:r>
        <w:rPr>
          <w:spacing w:val="-8"/>
        </w:rPr>
        <w:t> </w:t>
      </w:r>
      <w:r>
        <w:rPr/>
        <w:t>75)</w:t>
      </w:r>
      <w:r>
        <w:rPr>
          <w:spacing w:val="-9"/>
        </w:rPr>
        <w:t> </w:t>
      </w:r>
      <w:r>
        <w:rPr/>
        <w:t>se</w:t>
      </w:r>
      <w:r>
        <w:rPr>
          <w:spacing w:val="-8"/>
        </w:rPr>
        <w:t> </w:t>
      </w:r>
      <w:r>
        <w:rPr/>
        <w:t>alimentaron</w:t>
      </w:r>
      <w:r>
        <w:rPr>
          <w:spacing w:val="-8"/>
        </w:rPr>
        <w:t> </w:t>
      </w:r>
      <w:r>
        <w:rPr/>
        <w:t>con</w:t>
      </w:r>
      <w:r>
        <w:rPr>
          <w:spacing w:val="-9"/>
        </w:rPr>
        <w:t> </w:t>
      </w:r>
      <w:r>
        <w:rPr/>
        <w:t>dietas</w:t>
      </w:r>
      <w:r>
        <w:rPr>
          <w:spacing w:val="-9"/>
        </w:rPr>
        <w:t> </w:t>
      </w:r>
      <w:r>
        <w:rPr/>
        <w:t>basadas</w:t>
      </w:r>
      <w:r>
        <w:rPr>
          <w:spacing w:val="-9"/>
        </w:rPr>
        <w:t> </w:t>
      </w:r>
      <w:r>
        <w:rPr/>
        <w:t>en</w:t>
      </w:r>
      <w:r>
        <w:rPr>
          <w:spacing w:val="-9"/>
        </w:rPr>
        <w:t> </w:t>
      </w:r>
      <w:r>
        <w:rPr/>
        <w:t>ensilado</w:t>
      </w:r>
      <w:r>
        <w:rPr>
          <w:spacing w:val="-8"/>
        </w:rPr>
        <w:t> </w:t>
      </w:r>
      <w:r>
        <w:rPr/>
        <w:t>de</w:t>
      </w:r>
      <w:r>
        <w:rPr>
          <w:spacing w:val="-9"/>
        </w:rPr>
        <w:t> </w:t>
      </w:r>
      <w:r>
        <w:rPr/>
        <w:t>pastos, Yan</w:t>
      </w:r>
      <w:r>
        <w:rPr>
          <w:spacing w:val="-10"/>
        </w:rPr>
        <w:t> </w:t>
      </w:r>
      <w:r>
        <w:rPr>
          <w:i/>
        </w:rPr>
        <w:t>et</w:t>
      </w:r>
      <w:r>
        <w:rPr>
          <w:i/>
          <w:spacing w:val="-10"/>
        </w:rPr>
        <w:t> </w:t>
      </w:r>
      <w:r>
        <w:rPr>
          <w:i/>
        </w:rPr>
        <w:t>al.</w:t>
      </w:r>
      <w:r>
        <w:rPr>
          <w:i/>
          <w:spacing w:val="-10"/>
        </w:rPr>
        <w:t> </w:t>
      </w:r>
      <w:r>
        <w:rPr/>
        <w:t>(2000)</w:t>
      </w:r>
      <w:r>
        <w:rPr>
          <w:spacing w:val="-10"/>
        </w:rPr>
        <w:t> </w:t>
      </w:r>
      <w:r>
        <w:rPr/>
        <w:t>elaboraron</w:t>
      </w:r>
      <w:r>
        <w:rPr>
          <w:spacing w:val="-10"/>
        </w:rPr>
        <w:t> </w:t>
      </w:r>
      <w:r>
        <w:rPr/>
        <w:t>modelos</w:t>
      </w:r>
      <w:r>
        <w:rPr>
          <w:spacing w:val="-10"/>
        </w:rPr>
        <w:t> </w:t>
      </w:r>
      <w:r>
        <w:rPr/>
        <w:t>de</w:t>
      </w:r>
      <w:r>
        <w:rPr>
          <w:spacing w:val="-10"/>
        </w:rPr>
        <w:t> </w:t>
      </w:r>
      <w:r>
        <w:rPr/>
        <w:t>predicción</w:t>
      </w:r>
      <w:r>
        <w:rPr>
          <w:spacing w:val="-10"/>
        </w:rPr>
        <w:t> </w:t>
      </w:r>
      <w:r>
        <w:rPr/>
        <w:t>del</w:t>
      </w:r>
      <w:r>
        <w:rPr>
          <w:spacing w:val="-10"/>
        </w:rPr>
        <w:t> </w:t>
      </w:r>
      <w:r>
        <w:rPr/>
        <w:t>CH</w:t>
      </w:r>
      <w:r>
        <w:rPr>
          <w:position w:val="-2"/>
          <w:sz w:val="16"/>
        </w:rPr>
        <w:t>4</w:t>
      </w:r>
      <w:r>
        <w:rPr>
          <w:spacing w:val="13"/>
          <w:position w:val="-2"/>
          <w:sz w:val="16"/>
        </w:rPr>
        <w:t> </w:t>
      </w:r>
      <w:r>
        <w:rPr/>
        <w:t>basados</w:t>
      </w:r>
      <w:r>
        <w:rPr>
          <w:spacing w:val="-10"/>
        </w:rPr>
        <w:t> </w:t>
      </w:r>
      <w:r>
        <w:rPr/>
        <w:t>en</w:t>
      </w:r>
      <w:r>
        <w:rPr>
          <w:spacing w:val="-10"/>
        </w:rPr>
        <w:t> </w:t>
      </w:r>
      <w:r>
        <w:rPr/>
        <w:t>el</w:t>
      </w:r>
      <w:r>
        <w:rPr>
          <w:spacing w:val="-10"/>
        </w:rPr>
        <w:t> </w:t>
      </w:r>
      <w:r>
        <w:rPr/>
        <w:t>consumo de</w:t>
      </w:r>
      <w:r>
        <w:rPr>
          <w:spacing w:val="-4"/>
        </w:rPr>
        <w:t> </w:t>
      </w:r>
      <w:r>
        <w:rPr/>
        <w:t>energía</w:t>
      </w:r>
      <w:r>
        <w:rPr>
          <w:spacing w:val="-4"/>
        </w:rPr>
        <w:t> </w:t>
      </w:r>
      <w:r>
        <w:rPr/>
        <w:t>digestible</w:t>
      </w:r>
      <w:r>
        <w:rPr>
          <w:spacing w:val="-4"/>
        </w:rPr>
        <w:t> </w:t>
      </w:r>
      <w:r>
        <w:rPr/>
        <w:t>(CED)</w:t>
      </w:r>
      <w:r>
        <w:rPr>
          <w:spacing w:val="-4"/>
        </w:rPr>
        <w:t> </w:t>
      </w:r>
      <w:r>
        <w:rPr/>
        <w:t>que</w:t>
      </w:r>
      <w:r>
        <w:rPr>
          <w:spacing w:val="-4"/>
        </w:rPr>
        <w:t> </w:t>
      </w:r>
      <w:r>
        <w:rPr/>
        <w:t>incluía</w:t>
      </w:r>
      <w:r>
        <w:rPr>
          <w:spacing w:val="-4"/>
        </w:rPr>
        <w:t> </w:t>
      </w:r>
      <w:r>
        <w:rPr/>
        <w:t>la</w:t>
      </w:r>
      <w:r>
        <w:rPr>
          <w:spacing w:val="-4"/>
        </w:rPr>
        <w:t> </w:t>
      </w:r>
      <w:r>
        <w:rPr/>
        <w:t>fibra</w:t>
      </w:r>
      <w:r>
        <w:rPr>
          <w:spacing w:val="-4"/>
        </w:rPr>
        <w:t> </w:t>
      </w:r>
      <w:r>
        <w:rPr/>
        <w:t>detergente</w:t>
      </w:r>
      <w:r>
        <w:rPr>
          <w:spacing w:val="-4"/>
        </w:rPr>
        <w:t> </w:t>
      </w:r>
      <w:r>
        <w:rPr/>
        <w:t>ácida</w:t>
      </w:r>
      <w:r>
        <w:rPr>
          <w:spacing w:val="-4"/>
        </w:rPr>
        <w:t> </w:t>
      </w:r>
      <w:r>
        <w:rPr/>
        <w:t>(FDA)</w:t>
      </w:r>
      <w:r>
        <w:rPr>
          <w:spacing w:val="-4"/>
        </w:rPr>
        <w:t> </w:t>
      </w:r>
      <w:r>
        <w:rPr/>
        <w:t>del</w:t>
      </w:r>
      <w:r>
        <w:rPr>
          <w:spacing w:val="-4"/>
        </w:rPr>
        <w:t> </w:t>
      </w:r>
      <w:r>
        <w:rPr/>
        <w:t>ensilado</w:t>
      </w:r>
    </w:p>
    <w:p>
      <w:pPr>
        <w:pStyle w:val="BodyText"/>
        <w:spacing w:before="5"/>
        <w:ind w:left="276"/>
        <w:jc w:val="both"/>
      </w:pPr>
      <w:r>
        <w:rPr/>
        <w:t>-o las proporciones del CMS- y el nivel de consumo de alimento:</w:t>
      </w:r>
    </w:p>
    <w:p>
      <w:pPr>
        <w:pStyle w:val="BodyText"/>
      </w:pPr>
    </w:p>
    <w:p>
      <w:pPr>
        <w:pStyle w:val="BodyText"/>
        <w:spacing w:before="4"/>
        <w:rPr>
          <w:sz w:val="25"/>
        </w:rPr>
      </w:pPr>
    </w:p>
    <w:p>
      <w:pPr>
        <w:pStyle w:val="ListParagraph"/>
        <w:numPr>
          <w:ilvl w:val="3"/>
          <w:numId w:val="5"/>
        </w:numPr>
        <w:tabs>
          <w:tab w:pos="996" w:val="left" w:leader="none"/>
          <w:tab w:pos="997" w:val="left" w:leader="none"/>
        </w:tabs>
        <w:spacing w:line="240" w:lineRule="auto" w:before="1" w:after="0"/>
        <w:ind w:left="996" w:right="0" w:hanging="360"/>
        <w:jc w:val="left"/>
        <w:rPr>
          <w:sz w:val="14"/>
        </w:rPr>
      </w:pPr>
      <w:r>
        <w:rPr>
          <w:w w:val="105"/>
          <w:sz w:val="21"/>
        </w:rPr>
        <w:t>energía  CH</w:t>
      </w:r>
      <w:r>
        <w:rPr>
          <w:w w:val="105"/>
          <w:position w:val="-2"/>
          <w:sz w:val="14"/>
        </w:rPr>
        <w:t>4   </w:t>
      </w:r>
      <w:r>
        <w:rPr>
          <w:w w:val="105"/>
          <w:sz w:val="21"/>
        </w:rPr>
        <w:t>(MJ/día)  =  CED,  MJ/día  ×  (0.094  +  0.028  ×    </w:t>
      </w:r>
      <w:r>
        <w:rPr>
          <w:spacing w:val="15"/>
          <w:w w:val="105"/>
          <w:sz w:val="21"/>
        </w:rPr>
        <w:t> </w:t>
      </w:r>
      <w:r>
        <w:rPr>
          <w:w w:val="105"/>
          <w:sz w:val="21"/>
        </w:rPr>
        <w:t>ensilado</w:t>
      </w:r>
      <w:r>
        <w:rPr>
          <w:w w:val="105"/>
          <w:position w:val="-2"/>
          <w:sz w:val="14"/>
        </w:rPr>
        <w:t>consumoFDA</w:t>
      </w:r>
    </w:p>
    <w:p>
      <w:pPr>
        <w:spacing w:line="362" w:lineRule="auto" w:before="122"/>
        <w:ind w:left="996" w:right="140" w:firstLine="0"/>
        <w:jc w:val="left"/>
        <w:rPr>
          <w:sz w:val="21"/>
        </w:rPr>
      </w:pPr>
      <w:r>
        <w:rPr>
          <w:w w:val="105"/>
          <w:sz w:val="21"/>
        </w:rPr>
        <w:t>/total</w:t>
      </w:r>
      <w:r>
        <w:rPr>
          <w:w w:val="105"/>
          <w:position w:val="-2"/>
          <w:sz w:val="14"/>
        </w:rPr>
        <w:t>consumoFDA</w:t>
      </w:r>
      <w:r>
        <w:rPr>
          <w:w w:val="105"/>
          <w:sz w:val="21"/>
        </w:rPr>
        <w:t>) – 2.453 × (nivel de consumo por encima de los requerimientos para el mantenimiento).</w:t>
      </w:r>
    </w:p>
    <w:p>
      <w:pPr>
        <w:pStyle w:val="ListParagraph"/>
        <w:numPr>
          <w:ilvl w:val="3"/>
          <w:numId w:val="5"/>
        </w:numPr>
        <w:tabs>
          <w:tab w:pos="996" w:val="left" w:leader="none"/>
          <w:tab w:pos="997" w:val="left" w:leader="none"/>
        </w:tabs>
        <w:spacing w:line="240" w:lineRule="auto" w:before="18" w:after="0"/>
        <w:ind w:left="996" w:right="0" w:hanging="360"/>
        <w:jc w:val="left"/>
        <w:rPr>
          <w:sz w:val="21"/>
        </w:rPr>
      </w:pPr>
      <w:r>
        <w:rPr>
          <w:w w:val="105"/>
          <w:sz w:val="21"/>
        </w:rPr>
        <w:t>energía CH</w:t>
      </w:r>
      <w:r>
        <w:rPr>
          <w:w w:val="105"/>
          <w:position w:val="-2"/>
          <w:sz w:val="14"/>
        </w:rPr>
        <w:t>4  </w:t>
      </w:r>
      <w:r>
        <w:rPr>
          <w:w w:val="105"/>
          <w:sz w:val="21"/>
        </w:rPr>
        <w:t>(MJ/día) = (CED), MJ/día × (0,096 + 0,035 × ensilado</w:t>
      </w:r>
      <w:r>
        <w:rPr>
          <w:w w:val="105"/>
          <w:position w:val="-2"/>
          <w:sz w:val="14"/>
        </w:rPr>
        <w:t>CMS</w:t>
      </w:r>
      <w:r>
        <w:rPr>
          <w:w w:val="105"/>
          <w:sz w:val="21"/>
        </w:rPr>
        <w:t>/total</w:t>
      </w:r>
      <w:r>
        <w:rPr>
          <w:w w:val="105"/>
          <w:position w:val="-2"/>
          <w:sz w:val="14"/>
        </w:rPr>
        <w:t>CMS</w:t>
      </w:r>
      <w:r>
        <w:rPr>
          <w:w w:val="105"/>
          <w:sz w:val="21"/>
        </w:rPr>
        <w:t>)   </w:t>
      </w:r>
      <w:r>
        <w:rPr>
          <w:spacing w:val="16"/>
          <w:w w:val="105"/>
          <w:sz w:val="21"/>
        </w:rPr>
        <w:t> </w:t>
      </w:r>
      <w:r>
        <w:rPr>
          <w:w w:val="105"/>
          <w:sz w:val="21"/>
        </w:rPr>
        <w:t>–</w:t>
      </w:r>
    </w:p>
    <w:p>
      <w:pPr>
        <w:spacing w:before="117"/>
        <w:ind w:left="996" w:right="0" w:firstLine="0"/>
        <w:jc w:val="left"/>
        <w:rPr>
          <w:sz w:val="21"/>
        </w:rPr>
      </w:pPr>
      <w:r>
        <w:rPr>
          <w:w w:val="105"/>
          <w:sz w:val="21"/>
        </w:rPr>
        <w:t>2.298</w:t>
      </w:r>
      <w:r>
        <w:rPr>
          <w:spacing w:val="-16"/>
          <w:w w:val="105"/>
          <w:sz w:val="21"/>
        </w:rPr>
        <w:t> </w:t>
      </w:r>
      <w:r>
        <w:rPr>
          <w:w w:val="105"/>
          <w:sz w:val="21"/>
        </w:rPr>
        <w:t>×</w:t>
      </w:r>
      <w:r>
        <w:rPr>
          <w:spacing w:val="-16"/>
          <w:w w:val="105"/>
          <w:sz w:val="21"/>
        </w:rPr>
        <w:t> </w:t>
      </w:r>
      <w:r>
        <w:rPr>
          <w:w w:val="105"/>
          <w:sz w:val="21"/>
        </w:rPr>
        <w:t>(nivel</w:t>
      </w:r>
      <w:r>
        <w:rPr>
          <w:spacing w:val="-18"/>
          <w:w w:val="105"/>
          <w:sz w:val="21"/>
        </w:rPr>
        <w:t> </w:t>
      </w:r>
      <w:r>
        <w:rPr>
          <w:w w:val="105"/>
          <w:sz w:val="21"/>
        </w:rPr>
        <w:t>de</w:t>
      </w:r>
      <w:r>
        <w:rPr>
          <w:spacing w:val="-16"/>
          <w:w w:val="105"/>
          <w:sz w:val="21"/>
        </w:rPr>
        <w:t> </w:t>
      </w:r>
      <w:r>
        <w:rPr>
          <w:w w:val="105"/>
          <w:sz w:val="21"/>
        </w:rPr>
        <w:t>consumo</w:t>
      </w:r>
      <w:r>
        <w:rPr>
          <w:spacing w:val="-17"/>
          <w:w w:val="105"/>
          <w:sz w:val="21"/>
        </w:rPr>
        <w:t> </w:t>
      </w:r>
      <w:r>
        <w:rPr>
          <w:w w:val="105"/>
          <w:sz w:val="21"/>
        </w:rPr>
        <w:t>por</w:t>
      </w:r>
      <w:r>
        <w:rPr>
          <w:spacing w:val="-17"/>
          <w:w w:val="105"/>
          <w:sz w:val="21"/>
        </w:rPr>
        <w:t> </w:t>
      </w:r>
      <w:r>
        <w:rPr>
          <w:w w:val="105"/>
          <w:sz w:val="21"/>
        </w:rPr>
        <w:t>encima</w:t>
      </w:r>
      <w:r>
        <w:rPr>
          <w:spacing w:val="-17"/>
          <w:w w:val="105"/>
          <w:sz w:val="21"/>
        </w:rPr>
        <w:t> </w:t>
      </w:r>
      <w:r>
        <w:rPr>
          <w:w w:val="105"/>
          <w:sz w:val="21"/>
        </w:rPr>
        <w:t>de</w:t>
      </w:r>
      <w:r>
        <w:rPr>
          <w:spacing w:val="-16"/>
          <w:w w:val="105"/>
          <w:sz w:val="21"/>
        </w:rPr>
        <w:t> </w:t>
      </w:r>
      <w:r>
        <w:rPr>
          <w:w w:val="105"/>
          <w:sz w:val="21"/>
        </w:rPr>
        <w:t>los</w:t>
      </w:r>
      <w:r>
        <w:rPr>
          <w:spacing w:val="-17"/>
          <w:w w:val="105"/>
          <w:sz w:val="21"/>
        </w:rPr>
        <w:t> </w:t>
      </w:r>
      <w:r>
        <w:rPr>
          <w:w w:val="105"/>
          <w:sz w:val="21"/>
        </w:rPr>
        <w:t>requerimientos</w:t>
      </w:r>
      <w:r>
        <w:rPr>
          <w:spacing w:val="-17"/>
          <w:w w:val="105"/>
          <w:sz w:val="21"/>
        </w:rPr>
        <w:t> </w:t>
      </w:r>
      <w:r>
        <w:rPr>
          <w:w w:val="105"/>
          <w:sz w:val="21"/>
        </w:rPr>
        <w:t>para</w:t>
      </w:r>
      <w:r>
        <w:rPr>
          <w:spacing w:val="-17"/>
          <w:w w:val="105"/>
          <w:sz w:val="21"/>
        </w:rPr>
        <w:t> </w:t>
      </w:r>
      <w:r>
        <w:rPr>
          <w:w w:val="105"/>
          <w:sz w:val="21"/>
        </w:rPr>
        <w:t>el</w:t>
      </w:r>
      <w:r>
        <w:rPr>
          <w:spacing w:val="-18"/>
          <w:w w:val="105"/>
          <w:sz w:val="21"/>
        </w:rPr>
        <w:t> </w:t>
      </w:r>
      <w:r>
        <w:rPr>
          <w:w w:val="105"/>
          <w:sz w:val="21"/>
        </w:rPr>
        <w:t>mantenimiento).</w:t>
      </w:r>
    </w:p>
    <w:p>
      <w:pPr>
        <w:pStyle w:val="BodyText"/>
        <w:rPr>
          <w:sz w:val="22"/>
        </w:rPr>
      </w:pPr>
    </w:p>
    <w:p>
      <w:pPr>
        <w:pStyle w:val="BodyText"/>
        <w:rPr>
          <w:sz w:val="22"/>
        </w:rPr>
      </w:pPr>
    </w:p>
    <w:p>
      <w:pPr>
        <w:pStyle w:val="BodyText"/>
        <w:spacing w:before="7"/>
        <w:rPr>
          <w:sz w:val="20"/>
        </w:rPr>
      </w:pPr>
    </w:p>
    <w:p>
      <w:pPr>
        <w:pStyle w:val="BodyText"/>
        <w:spacing w:line="357" w:lineRule="auto"/>
        <w:ind w:left="276" w:right="143"/>
        <w:jc w:val="both"/>
      </w:pPr>
      <w:r>
        <w:rPr/>
        <w:t>Hegarty </w:t>
      </w:r>
      <w:r>
        <w:rPr>
          <w:i/>
        </w:rPr>
        <w:t>et al. </w:t>
      </w:r>
      <w:r>
        <w:rPr/>
        <w:t>(2010) propusieron las siguientes relaciones entre el consumo de alimento, la digestibilidad (55 a 85%) y la producción de CH</w:t>
      </w:r>
      <w:r>
        <w:rPr>
          <w:position w:val="-2"/>
          <w:sz w:val="16"/>
        </w:rPr>
        <w:t>4 </w:t>
      </w:r>
      <w:r>
        <w:rPr/>
        <w:t>para corderos en crecimiento en pastoreo: “(1) un aumento en el CMS está asociado a un aumento lineal</w:t>
      </w:r>
      <w:r>
        <w:rPr>
          <w:spacing w:val="-13"/>
        </w:rPr>
        <w:t> </w:t>
      </w:r>
      <w:r>
        <w:rPr/>
        <w:t>de</w:t>
      </w:r>
      <w:r>
        <w:rPr>
          <w:spacing w:val="-13"/>
        </w:rPr>
        <w:t> </w:t>
      </w:r>
      <w:r>
        <w:rPr/>
        <w:t>la</w:t>
      </w:r>
      <w:r>
        <w:rPr>
          <w:spacing w:val="-13"/>
        </w:rPr>
        <w:t> </w:t>
      </w:r>
      <w:r>
        <w:rPr/>
        <w:t>GDM,</w:t>
      </w:r>
      <w:r>
        <w:rPr>
          <w:spacing w:val="-13"/>
        </w:rPr>
        <w:t> </w:t>
      </w:r>
      <w:r>
        <w:rPr/>
        <w:t>con</w:t>
      </w:r>
      <w:r>
        <w:rPr>
          <w:spacing w:val="-13"/>
        </w:rPr>
        <w:t> </w:t>
      </w:r>
      <w:r>
        <w:rPr/>
        <w:t>la</w:t>
      </w:r>
      <w:r>
        <w:rPr>
          <w:spacing w:val="-13"/>
        </w:rPr>
        <w:t> </w:t>
      </w:r>
      <w:r>
        <w:rPr/>
        <w:t>tasa</w:t>
      </w:r>
      <w:r>
        <w:rPr>
          <w:spacing w:val="-13"/>
        </w:rPr>
        <w:t> </w:t>
      </w:r>
      <w:r>
        <w:rPr/>
        <w:t>de</w:t>
      </w:r>
      <w:r>
        <w:rPr>
          <w:spacing w:val="-13"/>
        </w:rPr>
        <w:t> </w:t>
      </w:r>
      <w:r>
        <w:rPr/>
        <w:t>GDM</w:t>
      </w:r>
      <w:r>
        <w:rPr>
          <w:spacing w:val="-13"/>
        </w:rPr>
        <w:t> </w:t>
      </w:r>
      <w:r>
        <w:rPr/>
        <w:t>más</w:t>
      </w:r>
      <w:r>
        <w:rPr>
          <w:spacing w:val="-13"/>
        </w:rPr>
        <w:t> </w:t>
      </w:r>
      <w:r>
        <w:rPr/>
        <w:t>alta</w:t>
      </w:r>
      <w:r>
        <w:rPr>
          <w:spacing w:val="-13"/>
        </w:rPr>
        <w:t> </w:t>
      </w:r>
      <w:r>
        <w:rPr/>
        <w:t>en</w:t>
      </w:r>
      <w:r>
        <w:rPr>
          <w:spacing w:val="-13"/>
        </w:rPr>
        <w:t> </w:t>
      </w:r>
      <w:r>
        <w:rPr/>
        <w:t>alimentos</w:t>
      </w:r>
      <w:r>
        <w:rPr>
          <w:spacing w:val="-13"/>
        </w:rPr>
        <w:t> </w:t>
      </w:r>
      <w:r>
        <w:rPr/>
        <w:t>de</w:t>
      </w:r>
      <w:r>
        <w:rPr>
          <w:spacing w:val="-13"/>
        </w:rPr>
        <w:t> </w:t>
      </w:r>
      <w:r>
        <w:rPr/>
        <w:t>mayor</w:t>
      </w:r>
      <w:r>
        <w:rPr>
          <w:spacing w:val="-13"/>
        </w:rPr>
        <w:t> </w:t>
      </w:r>
      <w:r>
        <w:rPr/>
        <w:t>digestibilidad;</w:t>
      </w:r>
    </w:p>
    <w:p>
      <w:pPr>
        <w:spacing w:after="0" w:line="357" w:lineRule="auto"/>
        <w:jc w:val="both"/>
        <w:sectPr>
          <w:footerReference w:type="default" r:id="rId82"/>
          <w:pgSz w:w="12240" w:h="15840"/>
          <w:pgMar w:footer="739" w:header="741" w:top="1220" w:bottom="920" w:left="1720" w:right="1260"/>
          <w:pgNumType w:start="51"/>
        </w:sectPr>
      </w:pPr>
    </w:p>
    <w:p>
      <w:pPr>
        <w:pStyle w:val="BodyText"/>
        <w:spacing w:before="4"/>
        <w:rPr>
          <w:sz w:val="11"/>
        </w:rPr>
      </w:pPr>
    </w:p>
    <w:p>
      <w:pPr>
        <w:pStyle w:val="BodyText"/>
        <w:spacing w:line="355" w:lineRule="auto" w:before="69"/>
        <w:ind w:left="276" w:right="143"/>
        <w:jc w:val="both"/>
      </w:pPr>
      <w:r>
        <w:rPr/>
        <w:t>(2)</w:t>
      </w:r>
      <w:r>
        <w:rPr>
          <w:spacing w:val="-10"/>
        </w:rPr>
        <w:t> </w:t>
      </w:r>
      <w:r>
        <w:rPr/>
        <w:t>el</w:t>
      </w:r>
      <w:r>
        <w:rPr>
          <w:spacing w:val="-10"/>
        </w:rPr>
        <w:t> </w:t>
      </w:r>
      <w:r>
        <w:rPr/>
        <w:t>aumento</w:t>
      </w:r>
      <w:r>
        <w:rPr>
          <w:spacing w:val="-10"/>
        </w:rPr>
        <w:t> </w:t>
      </w:r>
      <w:r>
        <w:rPr/>
        <w:t>del</w:t>
      </w:r>
      <w:r>
        <w:rPr>
          <w:spacing w:val="-10"/>
        </w:rPr>
        <w:t> </w:t>
      </w:r>
      <w:r>
        <w:rPr/>
        <w:t>CMS</w:t>
      </w:r>
      <w:r>
        <w:rPr>
          <w:spacing w:val="-10"/>
        </w:rPr>
        <w:t> </w:t>
      </w:r>
      <w:r>
        <w:rPr/>
        <w:t>está</w:t>
      </w:r>
      <w:r>
        <w:rPr>
          <w:spacing w:val="-10"/>
        </w:rPr>
        <w:t> </w:t>
      </w:r>
      <w:r>
        <w:rPr/>
        <w:t>asociado</w:t>
      </w:r>
      <w:r>
        <w:rPr>
          <w:spacing w:val="-10"/>
        </w:rPr>
        <w:t> </w:t>
      </w:r>
      <w:r>
        <w:rPr/>
        <w:t>con</w:t>
      </w:r>
      <w:r>
        <w:rPr>
          <w:spacing w:val="-10"/>
        </w:rPr>
        <w:t> </w:t>
      </w:r>
      <w:r>
        <w:rPr/>
        <w:t>un</w:t>
      </w:r>
      <w:r>
        <w:rPr>
          <w:spacing w:val="-10"/>
        </w:rPr>
        <w:t> </w:t>
      </w:r>
      <w:r>
        <w:rPr/>
        <w:t>aumento</w:t>
      </w:r>
      <w:r>
        <w:rPr>
          <w:spacing w:val="-10"/>
        </w:rPr>
        <w:t> </w:t>
      </w:r>
      <w:r>
        <w:rPr/>
        <w:t>en</w:t>
      </w:r>
      <w:r>
        <w:rPr>
          <w:spacing w:val="-10"/>
        </w:rPr>
        <w:t> </w:t>
      </w:r>
      <w:r>
        <w:rPr/>
        <w:t>la</w:t>
      </w:r>
      <w:r>
        <w:rPr>
          <w:spacing w:val="-10"/>
        </w:rPr>
        <w:t> </w:t>
      </w:r>
      <w:r>
        <w:rPr/>
        <w:t>producción</w:t>
      </w:r>
      <w:r>
        <w:rPr>
          <w:spacing w:val="-10"/>
        </w:rPr>
        <w:t> </w:t>
      </w:r>
      <w:r>
        <w:rPr/>
        <w:t>de</w:t>
      </w:r>
      <w:r>
        <w:rPr>
          <w:spacing w:val="-10"/>
        </w:rPr>
        <w:t> </w:t>
      </w:r>
      <w:r>
        <w:rPr/>
        <w:t>CH</w:t>
      </w:r>
      <w:r>
        <w:rPr>
          <w:position w:val="-2"/>
          <w:sz w:val="16"/>
        </w:rPr>
        <w:t>4</w:t>
      </w:r>
      <w:r>
        <w:rPr/>
        <w:t>.</w:t>
      </w:r>
      <w:r>
        <w:rPr>
          <w:spacing w:val="-10"/>
        </w:rPr>
        <w:t> </w:t>
      </w:r>
      <w:r>
        <w:rPr/>
        <w:t>En dietas con digestibilidad baja o moderada, como las de los sistemas de pastoreo extensivo en Australia, la liberación del CH</w:t>
      </w:r>
      <w:r>
        <w:rPr>
          <w:position w:val="-2"/>
          <w:sz w:val="16"/>
        </w:rPr>
        <w:t>4 </w:t>
      </w:r>
      <w:r>
        <w:rPr/>
        <w:t>por unidad de consumo adicional es mayor que cuando hay un alto consumo de alimentos de alta digestibilidad; (3) la producción de CH</w:t>
      </w:r>
      <w:r>
        <w:rPr>
          <w:position w:val="-2"/>
          <w:sz w:val="16"/>
        </w:rPr>
        <w:t>4 </w:t>
      </w:r>
      <w:r>
        <w:rPr/>
        <w:t>por unidad de consumo de energía metabolizable (EM) es más baja en las dietas con densidades altas de energía; (4) Aunque un aumento en el consumo de cualquier dieta reduce la intensidad de las emisiones en la fase de crecimiento (g CH</w:t>
      </w:r>
      <w:r>
        <w:rPr>
          <w:position w:val="-2"/>
          <w:sz w:val="16"/>
        </w:rPr>
        <w:t>4 </w:t>
      </w:r>
      <w:r>
        <w:rPr/>
        <w:t>producidos por kg de GDM), la intensidad de las emisiones a cualquier nivel de CMS es menor en alimentos de alta digestibilidad que en alimentos de baja digestibilidad; (5) cambios pequeños en el consumo de energía dan como resultado cambios pequeños en la producción de CH</w:t>
      </w:r>
      <w:r>
        <w:rPr>
          <w:position w:val="-2"/>
          <w:sz w:val="16"/>
        </w:rPr>
        <w:t>4</w:t>
      </w:r>
      <w:r>
        <w:rPr/>
        <w:t>, pero grandes cambios en el rendimiento productivo del animal.” Para lo expuesto en el  </w:t>
      </w:r>
      <w:r>
        <w:rPr>
          <w:spacing w:val="22"/>
        </w:rPr>
        <w:t> </w:t>
      </w:r>
      <w:r>
        <w:rPr/>
        <w:t>numeral</w:t>
      </w:r>
    </w:p>
    <w:p>
      <w:pPr>
        <w:pStyle w:val="BodyText"/>
        <w:spacing w:line="357" w:lineRule="auto" w:before="8"/>
        <w:ind w:left="276" w:right="143"/>
        <w:jc w:val="both"/>
      </w:pPr>
      <w:r>
        <w:rPr/>
        <w:t>(5) los autores dan el siguiente ejemplo: asumiendo que una oveja de 30 kg consuma 900 g/día de forraje, un incremento en la digestibilidad del 65 al 75% aumentaría la GDM de 51 a 101 g/día pero incrementaría la producción de CH</w:t>
      </w:r>
      <w:r>
        <w:rPr>
          <w:position w:val="-2"/>
          <w:sz w:val="16"/>
        </w:rPr>
        <w:t>4 </w:t>
      </w:r>
      <w:r>
        <w:rPr/>
        <w:t>en menos</w:t>
      </w:r>
      <w:r>
        <w:rPr>
          <w:spacing w:val="-9"/>
        </w:rPr>
        <w:t> </w:t>
      </w:r>
      <w:r>
        <w:rPr/>
        <w:t>de</w:t>
      </w:r>
      <w:r>
        <w:rPr>
          <w:spacing w:val="-9"/>
        </w:rPr>
        <w:t> </w:t>
      </w:r>
      <w:r>
        <w:rPr/>
        <w:t>1</w:t>
      </w:r>
      <w:r>
        <w:rPr>
          <w:spacing w:val="-9"/>
        </w:rPr>
        <w:t> </w:t>
      </w:r>
      <w:r>
        <w:rPr/>
        <w:t>g/día</w:t>
      </w:r>
      <w:r>
        <w:rPr>
          <w:spacing w:val="-9"/>
        </w:rPr>
        <w:t> </w:t>
      </w:r>
      <w:r>
        <w:rPr/>
        <w:t>y</w:t>
      </w:r>
      <w:r>
        <w:rPr>
          <w:spacing w:val="-9"/>
        </w:rPr>
        <w:t> </w:t>
      </w:r>
      <w:r>
        <w:rPr/>
        <w:t>reduciría</w:t>
      </w:r>
      <w:r>
        <w:rPr>
          <w:spacing w:val="-9"/>
        </w:rPr>
        <w:t> </w:t>
      </w:r>
      <w:r>
        <w:rPr/>
        <w:t>casi</w:t>
      </w:r>
      <w:r>
        <w:rPr>
          <w:spacing w:val="-9"/>
        </w:rPr>
        <w:t> </w:t>
      </w:r>
      <w:r>
        <w:rPr/>
        <w:t>a</w:t>
      </w:r>
      <w:r>
        <w:rPr>
          <w:spacing w:val="-9"/>
        </w:rPr>
        <w:t> </w:t>
      </w:r>
      <w:r>
        <w:rPr/>
        <w:t>la</w:t>
      </w:r>
      <w:r>
        <w:rPr>
          <w:spacing w:val="-9"/>
        </w:rPr>
        <w:t> </w:t>
      </w:r>
      <w:r>
        <w:rPr/>
        <w:t>mitad</w:t>
      </w:r>
      <w:r>
        <w:rPr>
          <w:spacing w:val="-9"/>
        </w:rPr>
        <w:t> </w:t>
      </w:r>
      <w:r>
        <w:rPr/>
        <w:t>las</w:t>
      </w:r>
      <w:r>
        <w:rPr>
          <w:spacing w:val="-9"/>
        </w:rPr>
        <w:t> </w:t>
      </w:r>
      <w:r>
        <w:rPr/>
        <w:t>emisiones/unidad</w:t>
      </w:r>
      <w:r>
        <w:rPr>
          <w:spacing w:val="-9"/>
        </w:rPr>
        <w:t> </w:t>
      </w:r>
      <w:r>
        <w:rPr/>
        <w:t>de</w:t>
      </w:r>
      <w:r>
        <w:rPr>
          <w:spacing w:val="-9"/>
        </w:rPr>
        <w:t> </w:t>
      </w:r>
      <w:r>
        <w:rPr/>
        <w:t>GDM</w:t>
      </w:r>
      <w:r>
        <w:rPr>
          <w:spacing w:val="-9"/>
        </w:rPr>
        <w:t> </w:t>
      </w:r>
      <w:r>
        <w:rPr/>
        <w:t>(es</w:t>
      </w:r>
      <w:r>
        <w:rPr>
          <w:spacing w:val="-9"/>
        </w:rPr>
        <w:t> </w:t>
      </w:r>
      <w:r>
        <w:rPr/>
        <w:t>decir, la IE), supeditado a que el animal tenga el potencial genético para aumentar la productividad (Hristov </w:t>
      </w:r>
      <w:r>
        <w:rPr>
          <w:i/>
        </w:rPr>
        <w:t>et al.</w:t>
      </w:r>
      <w:r>
        <w:rPr/>
        <w:t>,</w:t>
      </w:r>
      <w:r>
        <w:rPr>
          <w:spacing w:val="-7"/>
        </w:rPr>
        <w:t> </w:t>
      </w:r>
      <w:r>
        <w:rPr/>
        <w:t>2013).</w:t>
      </w:r>
    </w:p>
    <w:p>
      <w:pPr>
        <w:pStyle w:val="BodyText"/>
        <w:spacing w:line="355" w:lineRule="auto" w:before="5"/>
        <w:ind w:left="276" w:right="143"/>
        <w:jc w:val="both"/>
      </w:pPr>
      <w:r>
        <w:rPr/>
        <w:t>A</w:t>
      </w:r>
      <w:r>
        <w:rPr>
          <w:spacing w:val="-8"/>
        </w:rPr>
        <w:t> </w:t>
      </w:r>
      <w:r>
        <w:rPr/>
        <w:t>pesar</w:t>
      </w:r>
      <w:r>
        <w:rPr>
          <w:spacing w:val="-8"/>
        </w:rPr>
        <w:t> </w:t>
      </w:r>
      <w:r>
        <w:rPr/>
        <w:t>de</w:t>
      </w:r>
      <w:r>
        <w:rPr>
          <w:spacing w:val="-8"/>
        </w:rPr>
        <w:t> </w:t>
      </w:r>
      <w:r>
        <w:rPr/>
        <w:t>la</w:t>
      </w:r>
      <w:r>
        <w:rPr>
          <w:spacing w:val="-8"/>
        </w:rPr>
        <w:t> </w:t>
      </w:r>
      <w:r>
        <w:rPr/>
        <w:t>obviedad</w:t>
      </w:r>
      <w:r>
        <w:rPr>
          <w:spacing w:val="-8"/>
        </w:rPr>
        <w:t> </w:t>
      </w:r>
      <w:r>
        <w:rPr/>
        <w:t>de</w:t>
      </w:r>
      <w:r>
        <w:rPr>
          <w:spacing w:val="-8"/>
        </w:rPr>
        <w:t> </w:t>
      </w:r>
      <w:r>
        <w:rPr/>
        <w:t>las</w:t>
      </w:r>
      <w:r>
        <w:rPr>
          <w:spacing w:val="-8"/>
        </w:rPr>
        <w:t> </w:t>
      </w:r>
      <w:r>
        <w:rPr/>
        <w:t>relaciones</w:t>
      </w:r>
      <w:r>
        <w:rPr>
          <w:spacing w:val="-8"/>
        </w:rPr>
        <w:t> </w:t>
      </w:r>
      <w:r>
        <w:rPr/>
        <w:t>entre</w:t>
      </w:r>
      <w:r>
        <w:rPr>
          <w:spacing w:val="-8"/>
        </w:rPr>
        <w:t> </w:t>
      </w:r>
      <w:r>
        <w:rPr/>
        <w:t>digestibilidad,</w:t>
      </w:r>
      <w:r>
        <w:rPr>
          <w:spacing w:val="-8"/>
        </w:rPr>
        <w:t> </w:t>
      </w:r>
      <w:r>
        <w:rPr/>
        <w:t>consumo</w:t>
      </w:r>
      <w:r>
        <w:rPr>
          <w:spacing w:val="-8"/>
        </w:rPr>
        <w:t> </w:t>
      </w:r>
      <w:r>
        <w:rPr/>
        <w:t>y</w:t>
      </w:r>
      <w:r>
        <w:rPr>
          <w:spacing w:val="-8"/>
        </w:rPr>
        <w:t> </w:t>
      </w:r>
      <w:r>
        <w:rPr/>
        <w:t>producción de CH</w:t>
      </w:r>
      <w:r>
        <w:rPr>
          <w:position w:val="-2"/>
          <w:sz w:val="16"/>
        </w:rPr>
        <w:t>4 </w:t>
      </w:r>
      <w:r>
        <w:rPr/>
        <w:t>entérico (absoluta o por unidad de CMS), la tasa Ym usada por el IPCC (2006a) es calculada únicamente con base en el consumo de energía bruta (CEB). Ellis </w:t>
      </w:r>
      <w:r>
        <w:rPr>
          <w:i/>
        </w:rPr>
        <w:t>et al. </w:t>
      </w:r>
      <w:r>
        <w:rPr/>
        <w:t>(2010), evaluaron nueve ecuaciones empíricas de predicción del CH</w:t>
      </w:r>
      <w:r>
        <w:rPr>
          <w:position w:val="-2"/>
          <w:sz w:val="16"/>
        </w:rPr>
        <w:t>4 </w:t>
      </w:r>
      <w:r>
        <w:rPr/>
        <w:t>y observaron que el modelo de la tasa Ym tenía un desempeño adecuado al compararse con otras ecuaciones. Sin embargo, estos autores argumentaron que al estar basada solamente en el CEB, el Ym no tiene la capacidad de describir completamente los cambios en la composición de la dieta y tiene un uso limitado cuando</w:t>
      </w:r>
      <w:r>
        <w:rPr>
          <w:spacing w:val="-5"/>
        </w:rPr>
        <w:t> </w:t>
      </w:r>
      <w:r>
        <w:rPr/>
        <w:t>se</w:t>
      </w:r>
      <w:r>
        <w:rPr>
          <w:spacing w:val="-5"/>
        </w:rPr>
        <w:t> </w:t>
      </w:r>
      <w:r>
        <w:rPr/>
        <w:t>calcula</w:t>
      </w:r>
      <w:r>
        <w:rPr>
          <w:spacing w:val="-5"/>
        </w:rPr>
        <w:t> </w:t>
      </w:r>
      <w:r>
        <w:rPr/>
        <w:t>el</w:t>
      </w:r>
      <w:r>
        <w:rPr>
          <w:spacing w:val="-5"/>
        </w:rPr>
        <w:t> </w:t>
      </w:r>
      <w:r>
        <w:rPr/>
        <w:t>impacto</w:t>
      </w:r>
      <w:r>
        <w:rPr>
          <w:spacing w:val="-5"/>
        </w:rPr>
        <w:t> </w:t>
      </w:r>
      <w:r>
        <w:rPr/>
        <w:t>de</w:t>
      </w:r>
      <w:r>
        <w:rPr>
          <w:spacing w:val="-5"/>
        </w:rPr>
        <w:t> </w:t>
      </w:r>
      <w:r>
        <w:rPr/>
        <w:t>diversas</w:t>
      </w:r>
      <w:r>
        <w:rPr>
          <w:spacing w:val="-5"/>
        </w:rPr>
        <w:t> </w:t>
      </w:r>
      <w:r>
        <w:rPr/>
        <w:t>estrategias</w:t>
      </w:r>
      <w:r>
        <w:rPr>
          <w:spacing w:val="-5"/>
        </w:rPr>
        <w:t> </w:t>
      </w:r>
      <w:r>
        <w:rPr/>
        <w:t>nutricionales</w:t>
      </w:r>
      <w:r>
        <w:rPr>
          <w:spacing w:val="-5"/>
        </w:rPr>
        <w:t> </w:t>
      </w:r>
      <w:r>
        <w:rPr/>
        <w:t>en</w:t>
      </w:r>
      <w:r>
        <w:rPr>
          <w:spacing w:val="-5"/>
        </w:rPr>
        <w:t> </w:t>
      </w:r>
      <w:r>
        <w:rPr/>
        <w:t>las</w:t>
      </w:r>
      <w:r>
        <w:rPr>
          <w:spacing w:val="-5"/>
        </w:rPr>
        <w:t> </w:t>
      </w:r>
      <w:r>
        <w:rPr/>
        <w:t>emisiones de CH</w:t>
      </w:r>
      <w:r>
        <w:rPr>
          <w:position w:val="-2"/>
          <w:sz w:val="16"/>
        </w:rPr>
        <w:t>4</w:t>
      </w:r>
      <w:r>
        <w:rPr/>
        <w:t>. Por ejemplo, el modelo de la tasa Ym no podría descifrar entre un cambio en el CH</w:t>
      </w:r>
      <w:r>
        <w:rPr>
          <w:position w:val="-2"/>
          <w:sz w:val="16"/>
        </w:rPr>
        <w:t>4 </w:t>
      </w:r>
      <w:r>
        <w:rPr/>
        <w:t>causado por un incremento en el CMS y un cambio en el CH</w:t>
      </w:r>
      <w:r>
        <w:rPr>
          <w:position w:val="-2"/>
          <w:sz w:val="16"/>
        </w:rPr>
        <w:t>4 </w:t>
      </w:r>
      <w:r>
        <w:rPr/>
        <w:t>causado por</w:t>
      </w:r>
      <w:r>
        <w:rPr>
          <w:spacing w:val="-9"/>
        </w:rPr>
        <w:t> </w:t>
      </w:r>
      <w:r>
        <w:rPr/>
        <w:t>un</w:t>
      </w:r>
      <w:r>
        <w:rPr>
          <w:spacing w:val="-9"/>
        </w:rPr>
        <w:t> </w:t>
      </w:r>
      <w:r>
        <w:rPr/>
        <w:t>aumento</w:t>
      </w:r>
      <w:r>
        <w:rPr>
          <w:spacing w:val="-9"/>
        </w:rPr>
        <w:t> </w:t>
      </w:r>
      <w:r>
        <w:rPr/>
        <w:t>en</w:t>
      </w:r>
      <w:r>
        <w:rPr>
          <w:spacing w:val="-9"/>
        </w:rPr>
        <w:t> </w:t>
      </w:r>
      <w:r>
        <w:rPr/>
        <w:t>el</w:t>
      </w:r>
      <w:r>
        <w:rPr>
          <w:spacing w:val="-9"/>
        </w:rPr>
        <w:t> </w:t>
      </w:r>
      <w:r>
        <w:rPr/>
        <w:t>contenido</w:t>
      </w:r>
      <w:r>
        <w:rPr>
          <w:spacing w:val="-9"/>
        </w:rPr>
        <w:t> </w:t>
      </w:r>
      <w:r>
        <w:rPr/>
        <w:t>de</w:t>
      </w:r>
      <w:r>
        <w:rPr>
          <w:spacing w:val="-9"/>
        </w:rPr>
        <w:t> </w:t>
      </w:r>
      <w:r>
        <w:rPr/>
        <w:t>grasa</w:t>
      </w:r>
      <w:r>
        <w:rPr>
          <w:spacing w:val="-9"/>
        </w:rPr>
        <w:t> </w:t>
      </w:r>
      <w:r>
        <w:rPr/>
        <w:t>en</w:t>
      </w:r>
      <w:r>
        <w:rPr>
          <w:spacing w:val="-9"/>
        </w:rPr>
        <w:t> </w:t>
      </w:r>
      <w:r>
        <w:rPr/>
        <w:t>la</w:t>
      </w:r>
      <w:r>
        <w:rPr>
          <w:spacing w:val="-9"/>
        </w:rPr>
        <w:t> </w:t>
      </w:r>
      <w:r>
        <w:rPr/>
        <w:t>dieta.</w:t>
      </w:r>
      <w:r>
        <w:rPr>
          <w:spacing w:val="-9"/>
        </w:rPr>
        <w:t> </w:t>
      </w:r>
      <w:r>
        <w:rPr/>
        <w:t>Esto</w:t>
      </w:r>
      <w:r>
        <w:rPr>
          <w:spacing w:val="-9"/>
        </w:rPr>
        <w:t> </w:t>
      </w:r>
      <w:r>
        <w:rPr/>
        <w:t>tendría</w:t>
      </w:r>
      <w:r>
        <w:rPr>
          <w:spacing w:val="-9"/>
        </w:rPr>
        <w:t> </w:t>
      </w:r>
      <w:r>
        <w:rPr/>
        <w:t>efectos</w:t>
      </w:r>
      <w:r>
        <w:rPr>
          <w:spacing w:val="-9"/>
        </w:rPr>
        <w:t> </w:t>
      </w:r>
      <w:r>
        <w:rPr/>
        <w:t>diferentes</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BodyText"/>
        <w:spacing w:line="352" w:lineRule="auto" w:before="69"/>
        <w:ind w:left="276" w:right="144"/>
        <w:jc w:val="both"/>
      </w:pPr>
      <w:r>
        <w:rPr/>
        <w:t>sobre las emisiones resultantes de CH</w:t>
      </w:r>
      <w:r>
        <w:rPr>
          <w:position w:val="-2"/>
          <w:sz w:val="16"/>
        </w:rPr>
        <w:t>4</w:t>
      </w:r>
      <w:r>
        <w:rPr/>
        <w:t>, pero estas diferencias no se expresarían</w:t>
      </w:r>
      <w:r>
        <w:rPr>
          <w:spacing w:val="-38"/>
        </w:rPr>
        <w:t> </w:t>
      </w:r>
      <w:r>
        <w:rPr/>
        <w:t>a partir del CEB (Hristov </w:t>
      </w:r>
      <w:r>
        <w:rPr>
          <w:i/>
        </w:rPr>
        <w:t>et al.</w:t>
      </w:r>
      <w:r>
        <w:rPr/>
        <w:t>,</w:t>
      </w:r>
      <w:r>
        <w:rPr>
          <w:spacing w:val="-7"/>
        </w:rPr>
        <w:t> </w:t>
      </w:r>
      <w:r>
        <w:rPr/>
        <w:t>2013).</w:t>
      </w:r>
    </w:p>
    <w:p>
      <w:pPr>
        <w:spacing w:line="372" w:lineRule="auto" w:before="24"/>
        <w:ind w:left="1127" w:right="1042" w:firstLine="0"/>
        <w:jc w:val="both"/>
        <w:rPr>
          <w:i/>
          <w:sz w:val="21"/>
        </w:rPr>
      </w:pPr>
      <w:r>
        <w:rPr>
          <w:i/>
          <w:w w:val="105"/>
          <w:sz w:val="21"/>
        </w:rPr>
        <w:t>“Por lo tanto, la validez del enfoque de Ym es cuestionable y quizás es </w:t>
      </w:r>
      <w:r>
        <w:rPr>
          <w:i/>
          <w:w w:val="105"/>
          <w:sz w:val="21"/>
        </w:rPr>
        <w:t>tiempo de empezar a expresar las pérdidas de energía en el CH</w:t>
      </w:r>
      <w:r>
        <w:rPr>
          <w:i/>
          <w:w w:val="105"/>
          <w:position w:val="-2"/>
          <w:sz w:val="14"/>
        </w:rPr>
        <w:t>4 </w:t>
      </w:r>
      <w:r>
        <w:rPr>
          <w:i/>
          <w:w w:val="105"/>
          <w:sz w:val="21"/>
        </w:rPr>
        <w:t>con base en la ED (o de unidad de producto animal), lo que reflejará </w:t>
      </w:r>
      <w:r>
        <w:rPr>
          <w:i/>
          <w:spacing w:val="2"/>
          <w:w w:val="105"/>
          <w:sz w:val="21"/>
        </w:rPr>
        <w:t>más </w:t>
      </w:r>
      <w:r>
        <w:rPr>
          <w:i/>
          <w:w w:val="105"/>
          <w:sz w:val="21"/>
        </w:rPr>
        <w:t>adecuadamente</w:t>
      </w:r>
      <w:r>
        <w:rPr>
          <w:i/>
          <w:spacing w:val="-16"/>
          <w:w w:val="105"/>
          <w:sz w:val="21"/>
        </w:rPr>
        <w:t> </w:t>
      </w:r>
      <w:r>
        <w:rPr>
          <w:i/>
          <w:w w:val="105"/>
          <w:sz w:val="21"/>
        </w:rPr>
        <w:t>la</w:t>
      </w:r>
      <w:r>
        <w:rPr>
          <w:i/>
          <w:spacing w:val="-16"/>
          <w:w w:val="105"/>
          <w:sz w:val="21"/>
        </w:rPr>
        <w:t> </w:t>
      </w:r>
      <w:r>
        <w:rPr>
          <w:i/>
          <w:w w:val="105"/>
          <w:sz w:val="21"/>
        </w:rPr>
        <w:t>calidad</w:t>
      </w:r>
      <w:r>
        <w:rPr>
          <w:i/>
          <w:spacing w:val="-16"/>
          <w:w w:val="105"/>
          <w:sz w:val="21"/>
        </w:rPr>
        <w:t> </w:t>
      </w:r>
      <w:r>
        <w:rPr>
          <w:i/>
          <w:w w:val="105"/>
          <w:sz w:val="21"/>
        </w:rPr>
        <w:t>del</w:t>
      </w:r>
      <w:r>
        <w:rPr>
          <w:i/>
          <w:spacing w:val="-18"/>
          <w:w w:val="105"/>
          <w:sz w:val="21"/>
        </w:rPr>
        <w:t> </w:t>
      </w:r>
      <w:r>
        <w:rPr>
          <w:i/>
          <w:w w:val="105"/>
          <w:sz w:val="21"/>
        </w:rPr>
        <w:t>forraje</w:t>
      </w:r>
      <w:r>
        <w:rPr>
          <w:i/>
          <w:spacing w:val="-16"/>
          <w:w w:val="105"/>
          <w:sz w:val="21"/>
        </w:rPr>
        <w:t> </w:t>
      </w:r>
      <w:r>
        <w:rPr>
          <w:i/>
          <w:w w:val="105"/>
          <w:sz w:val="21"/>
        </w:rPr>
        <w:t>y</w:t>
      </w:r>
      <w:r>
        <w:rPr>
          <w:i/>
          <w:spacing w:val="-16"/>
          <w:w w:val="105"/>
          <w:sz w:val="21"/>
        </w:rPr>
        <w:t> </w:t>
      </w:r>
      <w:r>
        <w:rPr>
          <w:i/>
          <w:w w:val="105"/>
          <w:sz w:val="21"/>
        </w:rPr>
        <w:t>otras</w:t>
      </w:r>
      <w:r>
        <w:rPr>
          <w:i/>
          <w:spacing w:val="-16"/>
          <w:w w:val="105"/>
          <w:sz w:val="21"/>
        </w:rPr>
        <w:t> </w:t>
      </w:r>
      <w:r>
        <w:rPr>
          <w:i/>
          <w:w w:val="105"/>
          <w:sz w:val="21"/>
        </w:rPr>
        <w:t>prácticas</w:t>
      </w:r>
      <w:r>
        <w:rPr>
          <w:i/>
          <w:spacing w:val="-16"/>
          <w:w w:val="105"/>
          <w:sz w:val="21"/>
        </w:rPr>
        <w:t> </w:t>
      </w:r>
      <w:r>
        <w:rPr>
          <w:i/>
          <w:w w:val="105"/>
          <w:sz w:val="21"/>
        </w:rPr>
        <w:t>de</w:t>
      </w:r>
      <w:r>
        <w:rPr>
          <w:i/>
          <w:spacing w:val="-16"/>
          <w:w w:val="105"/>
          <w:sz w:val="21"/>
        </w:rPr>
        <w:t> </w:t>
      </w:r>
      <w:r>
        <w:rPr>
          <w:i/>
          <w:w w:val="105"/>
          <w:sz w:val="21"/>
        </w:rPr>
        <w:t>mitigación,</w:t>
      </w:r>
      <w:r>
        <w:rPr>
          <w:i/>
          <w:spacing w:val="-18"/>
          <w:w w:val="105"/>
          <w:sz w:val="21"/>
        </w:rPr>
        <w:t> </w:t>
      </w:r>
      <w:r>
        <w:rPr>
          <w:i/>
          <w:w w:val="105"/>
          <w:sz w:val="21"/>
        </w:rPr>
        <w:t>tales como la inclusión de granos o grasas en las dietas de los rumiantes” </w:t>
      </w:r>
      <w:r>
        <w:rPr>
          <w:rFonts w:ascii="Times New Roman" w:hAnsi="Times New Roman"/>
          <w:w w:val="105"/>
          <w:sz w:val="24"/>
        </w:rPr>
        <w:t>(</w:t>
      </w:r>
      <w:r>
        <w:rPr>
          <w:i/>
          <w:w w:val="105"/>
          <w:sz w:val="21"/>
        </w:rPr>
        <w:t>Hristov et al.,</w:t>
      </w:r>
      <w:r>
        <w:rPr>
          <w:i/>
          <w:spacing w:val="-17"/>
          <w:w w:val="105"/>
          <w:sz w:val="21"/>
        </w:rPr>
        <w:t> </w:t>
      </w:r>
      <w:r>
        <w:rPr>
          <w:i/>
          <w:w w:val="105"/>
          <w:sz w:val="21"/>
        </w:rPr>
        <w:t>2013).</w:t>
      </w:r>
    </w:p>
    <w:p>
      <w:pPr>
        <w:pStyle w:val="BodyText"/>
        <w:spacing w:before="4"/>
        <w:rPr>
          <w:i/>
          <w:sz w:val="35"/>
        </w:rPr>
      </w:pPr>
    </w:p>
    <w:p>
      <w:pPr>
        <w:pStyle w:val="BodyText"/>
        <w:spacing w:line="357" w:lineRule="auto"/>
        <w:ind w:left="276" w:right="143"/>
        <w:jc w:val="both"/>
      </w:pPr>
      <w:r>
        <w:rPr/>
        <w:t>Un ejemplo de información potencialmente imprecisa en la cuantificación de las emisiones de CH</w:t>
      </w:r>
      <w:r>
        <w:rPr>
          <w:position w:val="-2"/>
          <w:sz w:val="16"/>
        </w:rPr>
        <w:t>4 </w:t>
      </w:r>
      <w:r>
        <w:rPr/>
        <w:t>basadas en el CEB se puede apreciar en el estudio de Boadi y Wittenberg</w:t>
      </w:r>
      <w:r>
        <w:rPr>
          <w:spacing w:val="-6"/>
        </w:rPr>
        <w:t> </w:t>
      </w:r>
      <w:r>
        <w:rPr/>
        <w:t>(2002).</w:t>
      </w:r>
      <w:r>
        <w:rPr>
          <w:spacing w:val="-6"/>
        </w:rPr>
        <w:t> </w:t>
      </w:r>
      <w:r>
        <w:rPr/>
        <w:t>Estos</w:t>
      </w:r>
      <w:r>
        <w:rPr>
          <w:spacing w:val="-6"/>
        </w:rPr>
        <w:t> </w:t>
      </w:r>
      <w:r>
        <w:rPr/>
        <w:t>autores</w:t>
      </w:r>
      <w:r>
        <w:rPr>
          <w:spacing w:val="-6"/>
        </w:rPr>
        <w:t> </w:t>
      </w:r>
      <w:r>
        <w:rPr/>
        <w:t>alimentaron</w:t>
      </w:r>
      <w:r>
        <w:rPr>
          <w:spacing w:val="-6"/>
        </w:rPr>
        <w:t> </w:t>
      </w:r>
      <w:r>
        <w:rPr/>
        <w:t>bovinos</w:t>
      </w:r>
      <w:r>
        <w:rPr>
          <w:spacing w:val="-6"/>
        </w:rPr>
        <w:t> </w:t>
      </w:r>
      <w:r>
        <w:rPr/>
        <w:t>de</w:t>
      </w:r>
      <w:r>
        <w:rPr>
          <w:spacing w:val="-6"/>
        </w:rPr>
        <w:t> </w:t>
      </w:r>
      <w:r>
        <w:rPr/>
        <w:t>leche</w:t>
      </w:r>
      <w:r>
        <w:rPr>
          <w:spacing w:val="-6"/>
        </w:rPr>
        <w:t> </w:t>
      </w:r>
      <w:r>
        <w:rPr/>
        <w:t>y</w:t>
      </w:r>
      <w:r>
        <w:rPr>
          <w:spacing w:val="-6"/>
        </w:rPr>
        <w:t> </w:t>
      </w:r>
      <w:r>
        <w:rPr/>
        <w:t>carne</w:t>
      </w:r>
      <w:r>
        <w:rPr>
          <w:spacing w:val="-6"/>
        </w:rPr>
        <w:t> </w:t>
      </w:r>
      <w:r>
        <w:rPr/>
        <w:t>con</w:t>
      </w:r>
      <w:r>
        <w:rPr>
          <w:spacing w:val="-6"/>
        </w:rPr>
        <w:t> </w:t>
      </w:r>
      <w:r>
        <w:rPr/>
        <w:t>forrajes de baja, media y alta calidad (con un porcentaje de degradación </w:t>
      </w:r>
      <w:r>
        <w:rPr>
          <w:i/>
        </w:rPr>
        <w:t>in vitro </w:t>
      </w:r>
      <w:r>
        <w:rPr/>
        <w:t>de la MO del</w:t>
      </w:r>
      <w:r>
        <w:rPr>
          <w:spacing w:val="-17"/>
        </w:rPr>
        <w:t> </w:t>
      </w:r>
      <w:r>
        <w:rPr/>
        <w:t>38.5,</w:t>
      </w:r>
      <w:r>
        <w:rPr>
          <w:spacing w:val="-17"/>
        </w:rPr>
        <w:t> </w:t>
      </w:r>
      <w:r>
        <w:rPr/>
        <w:t>50.7</w:t>
      </w:r>
      <w:r>
        <w:rPr>
          <w:spacing w:val="-17"/>
        </w:rPr>
        <w:t> </w:t>
      </w:r>
      <w:r>
        <w:rPr/>
        <w:t>y</w:t>
      </w:r>
      <w:r>
        <w:rPr>
          <w:spacing w:val="-17"/>
        </w:rPr>
        <w:t> </w:t>
      </w:r>
      <w:r>
        <w:rPr/>
        <w:t>61.5,</w:t>
      </w:r>
      <w:r>
        <w:rPr>
          <w:spacing w:val="-17"/>
        </w:rPr>
        <w:t> </w:t>
      </w:r>
      <w:r>
        <w:rPr/>
        <w:t>respectivamente)</w:t>
      </w:r>
      <w:r>
        <w:rPr>
          <w:spacing w:val="-17"/>
        </w:rPr>
        <w:t> </w:t>
      </w:r>
      <w:r>
        <w:rPr/>
        <w:t>y</w:t>
      </w:r>
      <w:r>
        <w:rPr>
          <w:spacing w:val="-17"/>
        </w:rPr>
        <w:t> </w:t>
      </w:r>
      <w:r>
        <w:rPr/>
        <w:t>no</w:t>
      </w:r>
      <w:r>
        <w:rPr>
          <w:spacing w:val="-17"/>
        </w:rPr>
        <w:t> </w:t>
      </w:r>
      <w:r>
        <w:rPr/>
        <w:t>reportaron</w:t>
      </w:r>
      <w:r>
        <w:rPr>
          <w:spacing w:val="-17"/>
        </w:rPr>
        <w:t> </w:t>
      </w:r>
      <w:r>
        <w:rPr/>
        <w:t>diferencias</w:t>
      </w:r>
      <w:r>
        <w:rPr>
          <w:spacing w:val="-17"/>
        </w:rPr>
        <w:t> </w:t>
      </w:r>
      <w:r>
        <w:rPr/>
        <w:t>estadísticas</w:t>
      </w:r>
      <w:r>
        <w:rPr>
          <w:spacing w:val="-17"/>
        </w:rPr>
        <w:t> </w:t>
      </w:r>
      <w:r>
        <w:rPr/>
        <w:t>entre los</w:t>
      </w:r>
      <w:r>
        <w:rPr>
          <w:spacing w:val="-11"/>
        </w:rPr>
        <w:t> </w:t>
      </w:r>
      <w:r>
        <w:rPr/>
        <w:t>forrajes</w:t>
      </w:r>
      <w:r>
        <w:rPr>
          <w:spacing w:val="-11"/>
        </w:rPr>
        <w:t> </w:t>
      </w:r>
      <w:r>
        <w:rPr/>
        <w:t>en</w:t>
      </w:r>
      <w:r>
        <w:rPr>
          <w:spacing w:val="-11"/>
        </w:rPr>
        <w:t> </w:t>
      </w:r>
      <w:r>
        <w:rPr/>
        <w:t>cuanto</w:t>
      </w:r>
      <w:r>
        <w:rPr>
          <w:spacing w:val="-11"/>
        </w:rPr>
        <w:t> </w:t>
      </w:r>
      <w:r>
        <w:rPr/>
        <w:t>a</w:t>
      </w:r>
      <w:r>
        <w:rPr>
          <w:spacing w:val="-11"/>
        </w:rPr>
        <w:t> </w:t>
      </w:r>
      <w:r>
        <w:rPr/>
        <w:t>las</w:t>
      </w:r>
      <w:r>
        <w:rPr>
          <w:spacing w:val="-11"/>
        </w:rPr>
        <w:t> </w:t>
      </w:r>
      <w:r>
        <w:rPr/>
        <w:t>emisiones</w:t>
      </w:r>
      <w:r>
        <w:rPr>
          <w:spacing w:val="-11"/>
        </w:rPr>
        <w:t> </w:t>
      </w:r>
      <w:r>
        <w:rPr/>
        <w:t>de</w:t>
      </w:r>
      <w:r>
        <w:rPr>
          <w:spacing w:val="-11"/>
        </w:rPr>
        <w:t> </w:t>
      </w:r>
      <w:r>
        <w:rPr/>
        <w:t>CH</w:t>
      </w:r>
      <w:r>
        <w:rPr>
          <w:position w:val="-2"/>
          <w:sz w:val="16"/>
        </w:rPr>
        <w:t>4</w:t>
      </w:r>
      <w:r>
        <w:rPr>
          <w:spacing w:val="12"/>
          <w:position w:val="-2"/>
          <w:sz w:val="16"/>
        </w:rPr>
        <w:t> </w:t>
      </w:r>
      <w:r>
        <w:rPr/>
        <w:t>cuando</w:t>
      </w:r>
      <w:r>
        <w:rPr>
          <w:spacing w:val="-11"/>
        </w:rPr>
        <w:t> </w:t>
      </w:r>
      <w:r>
        <w:rPr/>
        <w:t>estas</w:t>
      </w:r>
      <w:r>
        <w:rPr>
          <w:spacing w:val="-11"/>
        </w:rPr>
        <w:t> </w:t>
      </w:r>
      <w:r>
        <w:rPr/>
        <w:t>se</w:t>
      </w:r>
      <w:r>
        <w:rPr>
          <w:spacing w:val="-11"/>
        </w:rPr>
        <w:t> </w:t>
      </w:r>
      <w:r>
        <w:rPr/>
        <w:t>expresaron</w:t>
      </w:r>
      <w:r>
        <w:rPr>
          <w:spacing w:val="-11"/>
        </w:rPr>
        <w:t> </w:t>
      </w:r>
      <w:r>
        <w:rPr/>
        <w:t>con</w:t>
      </w:r>
      <w:r>
        <w:rPr>
          <w:spacing w:val="-11"/>
        </w:rPr>
        <w:t> </w:t>
      </w:r>
      <w:r>
        <w:rPr/>
        <w:t>base en CEB o al CMS (6 al 7% o 29 a 32 litros/kg). En contraste, se presentaron emisiones drásticamente más altas con el forraje de baja calidad cuando se expresaron con base en el consumo de MO digerible (83, 64, y 48 litros/kg, respectivamente) (Hristov </w:t>
      </w:r>
      <w:r>
        <w:rPr>
          <w:i/>
        </w:rPr>
        <w:t>et al.</w:t>
      </w:r>
      <w:r>
        <w:rPr/>
        <w:t>,</w:t>
      </w:r>
      <w:r>
        <w:rPr>
          <w:spacing w:val="-7"/>
        </w:rPr>
        <w:t> </w:t>
      </w:r>
      <w:r>
        <w:rPr/>
        <w:t>2013).</w:t>
      </w:r>
    </w:p>
    <w:p>
      <w:pPr>
        <w:pStyle w:val="BodyText"/>
        <w:spacing w:line="352" w:lineRule="auto" w:before="5"/>
        <w:ind w:left="276" w:right="144"/>
        <w:jc w:val="both"/>
      </w:pPr>
      <w:r>
        <w:rPr/>
        <w:t>Una falta de concordancia similar entre las emisiones de CH</w:t>
      </w:r>
      <w:r>
        <w:rPr>
          <w:position w:val="-2"/>
          <w:sz w:val="16"/>
        </w:rPr>
        <w:t>4 </w:t>
      </w:r>
      <w:r>
        <w:rPr/>
        <w:t>entérico expresadas en CEB o en CED fue señalada por Kennedy y Charmley (2012). Estos autores alimentaron novillos con gramíneas (n = 5) y leguminosas (n = 5) tropicales de distintas calidades y midieron el CH</w:t>
      </w:r>
      <w:r>
        <w:rPr>
          <w:position w:val="-2"/>
          <w:sz w:val="16"/>
        </w:rPr>
        <w:t>4 </w:t>
      </w:r>
      <w:r>
        <w:rPr/>
        <w:t>entérico en cámaras de respiración. La correlación</w:t>
      </w:r>
      <w:r>
        <w:rPr>
          <w:spacing w:val="-6"/>
        </w:rPr>
        <w:t> </w:t>
      </w:r>
      <w:r>
        <w:rPr/>
        <w:t>entre</w:t>
      </w:r>
      <w:r>
        <w:rPr>
          <w:spacing w:val="-6"/>
        </w:rPr>
        <w:t> </w:t>
      </w:r>
      <w:r>
        <w:rPr/>
        <w:t>la</w:t>
      </w:r>
      <w:r>
        <w:rPr>
          <w:spacing w:val="-6"/>
        </w:rPr>
        <w:t> </w:t>
      </w:r>
      <w:r>
        <w:rPr/>
        <w:t>medición</w:t>
      </w:r>
      <w:r>
        <w:rPr>
          <w:spacing w:val="-6"/>
        </w:rPr>
        <w:t> </w:t>
      </w:r>
      <w:r>
        <w:rPr/>
        <w:t>de</w:t>
      </w:r>
      <w:r>
        <w:rPr>
          <w:spacing w:val="-6"/>
        </w:rPr>
        <w:t> </w:t>
      </w:r>
      <w:r>
        <w:rPr/>
        <w:t>CH</w:t>
      </w:r>
      <w:r>
        <w:rPr>
          <w:position w:val="-2"/>
          <w:sz w:val="16"/>
        </w:rPr>
        <w:t>4</w:t>
      </w:r>
      <w:r>
        <w:rPr>
          <w:spacing w:val="17"/>
          <w:position w:val="-2"/>
          <w:sz w:val="16"/>
        </w:rPr>
        <w:t> </w:t>
      </w:r>
      <w:r>
        <w:rPr/>
        <w:t>basada</w:t>
      </w:r>
      <w:r>
        <w:rPr>
          <w:spacing w:val="-6"/>
        </w:rPr>
        <w:t> </w:t>
      </w:r>
      <w:r>
        <w:rPr/>
        <w:t>en</w:t>
      </w:r>
      <w:r>
        <w:rPr>
          <w:spacing w:val="-6"/>
        </w:rPr>
        <w:t> </w:t>
      </w:r>
      <w:r>
        <w:rPr/>
        <w:t>el</w:t>
      </w:r>
      <w:r>
        <w:rPr>
          <w:spacing w:val="-6"/>
        </w:rPr>
        <w:t> </w:t>
      </w:r>
      <w:r>
        <w:rPr/>
        <w:t>CEB</w:t>
      </w:r>
      <w:r>
        <w:rPr>
          <w:spacing w:val="-6"/>
        </w:rPr>
        <w:t> </w:t>
      </w:r>
      <w:r>
        <w:rPr/>
        <w:t>(promedio</w:t>
      </w:r>
      <w:r>
        <w:rPr>
          <w:spacing w:val="-6"/>
        </w:rPr>
        <w:t> </w:t>
      </w:r>
      <w:r>
        <w:rPr/>
        <w:t>del</w:t>
      </w:r>
      <w:r>
        <w:rPr>
          <w:spacing w:val="-6"/>
        </w:rPr>
        <w:t> </w:t>
      </w:r>
      <w:r>
        <w:rPr/>
        <w:t>6.2%)</w:t>
      </w:r>
      <w:r>
        <w:rPr>
          <w:spacing w:val="-6"/>
        </w:rPr>
        <w:t> </w:t>
      </w:r>
      <w:r>
        <w:rPr/>
        <w:t>y</w:t>
      </w:r>
      <w:r>
        <w:rPr>
          <w:spacing w:val="-6"/>
        </w:rPr>
        <w:t> </w:t>
      </w:r>
      <w:r>
        <w:rPr/>
        <w:t>en</w:t>
      </w:r>
      <w:r>
        <w:rPr>
          <w:spacing w:val="-6"/>
        </w:rPr>
        <w:t> </w:t>
      </w:r>
      <w:r>
        <w:rPr/>
        <w:t>el CED (promedio del 11.8%) fue pobre, r =</w:t>
      </w:r>
      <w:r>
        <w:rPr>
          <w:spacing w:val="-2"/>
        </w:rPr>
        <w:t> </w:t>
      </w:r>
      <w:r>
        <w:rPr/>
        <w:t>23.</w:t>
      </w:r>
    </w:p>
    <w:p>
      <w:pPr>
        <w:pStyle w:val="BodyText"/>
        <w:spacing w:line="355" w:lineRule="auto" w:before="15"/>
        <w:ind w:left="276" w:right="143"/>
        <w:jc w:val="both"/>
      </w:pPr>
      <w:r>
        <w:rPr/>
        <w:t>Puesto que el consumo de MS (y específicamente de MO digestible) es quizá el determinante más importante de la producción de CH</w:t>
      </w:r>
      <w:r>
        <w:rPr>
          <w:position w:val="-2"/>
          <w:sz w:val="16"/>
        </w:rPr>
        <w:t>4 </w:t>
      </w:r>
      <w:r>
        <w:rPr/>
        <w:t>en los rumiantes, el efecto de los alimentos y de la calidad del forraje en el consumo es de suma importancia. La regresión de los datos para CMS vs. producción de CH</w:t>
      </w:r>
      <w:r>
        <w:rPr>
          <w:position w:val="-2"/>
          <w:sz w:val="16"/>
        </w:rPr>
        <w:t>4 </w:t>
      </w:r>
      <w:r>
        <w:rPr/>
        <w:t>utilizando las bases de datos sobre metano entérico elaboradas para el actual análisis (n=377), produjo la siguiente relación (Figura 8) (error estándar entre paréntesis):</w:t>
      </w:r>
    </w:p>
    <w:p>
      <w:pPr>
        <w:spacing w:after="0" w:line="355" w:lineRule="auto"/>
        <w:jc w:val="both"/>
        <w:sectPr>
          <w:pgSz w:w="12240" w:h="15840"/>
          <w:pgMar w:header="741" w:footer="739" w:top="1220" w:bottom="920" w:left="1720" w:right="1260"/>
        </w:sectPr>
      </w:pPr>
    </w:p>
    <w:p>
      <w:pPr>
        <w:pStyle w:val="BodyText"/>
        <w:spacing w:before="165"/>
        <w:ind w:left="647"/>
      </w:pPr>
      <w:r>
        <w:rPr/>
        <w:t>CH</w:t>
      </w:r>
      <w:r>
        <w:rPr>
          <w:position w:val="-2"/>
          <w:sz w:val="16"/>
        </w:rPr>
        <w:t>4</w:t>
      </w:r>
      <w:r>
        <w:rPr/>
        <w:t>, g/día = 2.54 (4.89) + 19.14 (0.43) × CMS, kg/día (R</w:t>
      </w:r>
      <w:r>
        <w:rPr>
          <w:position w:val="11"/>
          <w:sz w:val="16"/>
        </w:rPr>
        <w:t>2  </w:t>
      </w:r>
      <w:r>
        <w:rPr/>
        <w:t>= 0.86; P &lt; 0.001)</w:t>
      </w:r>
    </w:p>
    <w:p>
      <w:pPr>
        <w:pStyle w:val="BodyText"/>
        <w:rPr>
          <w:sz w:val="30"/>
        </w:rPr>
      </w:pPr>
    </w:p>
    <w:p>
      <w:pPr>
        <w:pStyle w:val="BodyText"/>
        <w:spacing w:line="357" w:lineRule="auto" w:before="196"/>
        <w:ind w:left="276" w:right="143"/>
        <w:jc w:val="both"/>
      </w:pPr>
      <w:r>
        <w:rPr/>
        <w:t>El conjunto de datos usado para elaborar esta relación incluyó todas las medias de los tratamientos testigo y de los tratamientos clasificados como alimentos, con valores atípicos eliminados en un valor residual estudentizado absoluto &gt; 2 (el procedimiento</w:t>
      </w:r>
      <w:r>
        <w:rPr>
          <w:spacing w:val="-14"/>
        </w:rPr>
        <w:t> </w:t>
      </w:r>
      <w:r>
        <w:rPr/>
        <w:t>de</w:t>
      </w:r>
      <w:r>
        <w:rPr>
          <w:spacing w:val="-14"/>
        </w:rPr>
        <w:t> </w:t>
      </w:r>
      <w:r>
        <w:rPr/>
        <w:t>regresión</w:t>
      </w:r>
      <w:r>
        <w:rPr>
          <w:spacing w:val="-14"/>
        </w:rPr>
        <w:t> </w:t>
      </w:r>
      <w:r>
        <w:rPr/>
        <w:t>PROC</w:t>
      </w:r>
      <w:r>
        <w:rPr>
          <w:spacing w:val="-14"/>
        </w:rPr>
        <w:t> </w:t>
      </w:r>
      <w:r>
        <w:rPr/>
        <w:t>REG</w:t>
      </w:r>
      <w:r>
        <w:rPr>
          <w:spacing w:val="-14"/>
        </w:rPr>
        <w:t> </w:t>
      </w:r>
      <w:r>
        <w:rPr/>
        <w:t>de</w:t>
      </w:r>
      <w:r>
        <w:rPr>
          <w:spacing w:val="-14"/>
        </w:rPr>
        <w:t> </w:t>
      </w:r>
      <w:r>
        <w:rPr/>
        <w:t>SAS;</w:t>
      </w:r>
      <w:r>
        <w:rPr>
          <w:spacing w:val="-14"/>
        </w:rPr>
        <w:t> </w:t>
      </w:r>
      <w:r>
        <w:rPr/>
        <w:t>SAS</w:t>
      </w:r>
      <w:r>
        <w:rPr>
          <w:spacing w:val="-14"/>
        </w:rPr>
        <w:t> </w:t>
      </w:r>
      <w:r>
        <w:rPr/>
        <w:t>Inst.,</w:t>
      </w:r>
      <w:r>
        <w:rPr>
          <w:spacing w:val="-14"/>
        </w:rPr>
        <w:t> </w:t>
      </w:r>
      <w:r>
        <w:rPr/>
        <w:t>Inc.,</w:t>
      </w:r>
      <w:r>
        <w:rPr>
          <w:spacing w:val="-14"/>
        </w:rPr>
        <w:t> </w:t>
      </w:r>
      <w:r>
        <w:rPr/>
        <w:t>Cary,</w:t>
      </w:r>
      <w:r>
        <w:rPr>
          <w:spacing w:val="-14"/>
        </w:rPr>
        <w:t> </w:t>
      </w:r>
      <w:r>
        <w:rPr/>
        <w:t>NC,</w:t>
      </w:r>
      <w:r>
        <w:rPr>
          <w:spacing w:val="-14"/>
        </w:rPr>
        <w:t> </w:t>
      </w:r>
      <w:r>
        <w:rPr/>
        <w:t>EE.UU.). Esta</w:t>
      </w:r>
      <w:r>
        <w:rPr>
          <w:spacing w:val="-8"/>
        </w:rPr>
        <w:t> </w:t>
      </w:r>
      <w:r>
        <w:rPr/>
        <w:t>relación</w:t>
      </w:r>
      <w:r>
        <w:rPr>
          <w:spacing w:val="-8"/>
        </w:rPr>
        <w:t> </w:t>
      </w:r>
      <w:r>
        <w:rPr/>
        <w:t>se</w:t>
      </w:r>
      <w:r>
        <w:rPr>
          <w:spacing w:val="-8"/>
        </w:rPr>
        <w:t> </w:t>
      </w:r>
      <w:r>
        <w:rPr/>
        <w:t>puede</w:t>
      </w:r>
      <w:r>
        <w:rPr>
          <w:spacing w:val="-8"/>
        </w:rPr>
        <w:t> </w:t>
      </w:r>
      <w:r>
        <w:rPr/>
        <w:t>usar</w:t>
      </w:r>
      <w:r>
        <w:rPr>
          <w:spacing w:val="-8"/>
        </w:rPr>
        <w:t> </w:t>
      </w:r>
      <w:r>
        <w:rPr/>
        <w:t>para</w:t>
      </w:r>
      <w:r>
        <w:rPr>
          <w:spacing w:val="-8"/>
        </w:rPr>
        <w:t> </w:t>
      </w:r>
      <w:r>
        <w:rPr/>
        <w:t>la</w:t>
      </w:r>
      <w:r>
        <w:rPr>
          <w:spacing w:val="-8"/>
        </w:rPr>
        <w:t> </w:t>
      </w:r>
      <w:r>
        <w:rPr/>
        <w:t>predicción</w:t>
      </w:r>
      <w:r>
        <w:rPr>
          <w:spacing w:val="-8"/>
        </w:rPr>
        <w:t> </w:t>
      </w:r>
      <w:r>
        <w:rPr/>
        <w:t>de</w:t>
      </w:r>
      <w:r>
        <w:rPr>
          <w:spacing w:val="-8"/>
        </w:rPr>
        <w:t> </w:t>
      </w:r>
      <w:r>
        <w:rPr/>
        <w:t>líneas</w:t>
      </w:r>
      <w:r>
        <w:rPr>
          <w:spacing w:val="-8"/>
        </w:rPr>
        <w:t> </w:t>
      </w:r>
      <w:r>
        <w:rPr/>
        <w:t>de</w:t>
      </w:r>
      <w:r>
        <w:rPr>
          <w:spacing w:val="-8"/>
        </w:rPr>
        <w:t> </w:t>
      </w:r>
      <w:r>
        <w:rPr/>
        <w:t>base</w:t>
      </w:r>
      <w:r>
        <w:rPr>
          <w:spacing w:val="-8"/>
        </w:rPr>
        <w:t> </w:t>
      </w:r>
      <w:r>
        <w:rPr/>
        <w:t>para</w:t>
      </w:r>
      <w:r>
        <w:rPr>
          <w:spacing w:val="-8"/>
        </w:rPr>
        <w:t> </w:t>
      </w:r>
      <w:r>
        <w:rPr/>
        <w:t>la</w:t>
      </w:r>
      <w:r>
        <w:rPr>
          <w:spacing w:val="-8"/>
        </w:rPr>
        <w:t> </w:t>
      </w:r>
      <w:r>
        <w:rPr/>
        <w:t>producción de CH</w:t>
      </w:r>
      <w:r>
        <w:rPr>
          <w:position w:val="-2"/>
          <w:sz w:val="16"/>
        </w:rPr>
        <w:t>4 </w:t>
      </w:r>
      <w:r>
        <w:rPr/>
        <w:t>entérico en bovinos y pequeños rumiantes, después de haber sido confrontada con un conjunto de datos en comparación con el actual coeficiente</w:t>
      </w:r>
      <w:r>
        <w:rPr>
          <w:spacing w:val="-13"/>
        </w:rPr>
        <w:t> </w:t>
      </w:r>
      <w:r>
        <w:rPr/>
        <w:t>Ym del IPCC (Hristov </w:t>
      </w:r>
      <w:r>
        <w:rPr>
          <w:i/>
        </w:rPr>
        <w:t>et al.</w:t>
      </w:r>
      <w:r>
        <w:rPr/>
        <w:t>,</w:t>
      </w:r>
      <w:r>
        <w:rPr>
          <w:spacing w:val="-7"/>
        </w:rPr>
        <w:t> </w:t>
      </w:r>
      <w:r>
        <w:rPr/>
        <w:t>2013).</w:t>
      </w:r>
    </w:p>
    <w:p>
      <w:pPr>
        <w:pStyle w:val="BodyText"/>
        <w:spacing w:line="357" w:lineRule="auto" w:before="5"/>
        <w:ind w:left="276" w:right="143"/>
        <w:jc w:val="both"/>
      </w:pPr>
      <w:r>
        <w:rPr/>
        <w:t>Cottle </w:t>
      </w:r>
      <w:r>
        <w:rPr>
          <w:i/>
        </w:rPr>
        <w:t>et al. </w:t>
      </w:r>
      <w:r>
        <w:rPr/>
        <w:t>(2011), reportaron un coeficiente similar para la predicción de las emisiones</w:t>
      </w:r>
      <w:r>
        <w:rPr>
          <w:spacing w:val="-13"/>
        </w:rPr>
        <w:t> </w:t>
      </w:r>
      <w:r>
        <w:rPr/>
        <w:t>de</w:t>
      </w:r>
      <w:r>
        <w:rPr>
          <w:spacing w:val="-13"/>
        </w:rPr>
        <w:t> </w:t>
      </w:r>
      <w:r>
        <w:rPr/>
        <w:t>CH</w:t>
      </w:r>
      <w:r>
        <w:rPr>
          <w:position w:val="-2"/>
          <w:sz w:val="16"/>
        </w:rPr>
        <w:t>4</w:t>
      </w:r>
      <w:r>
        <w:rPr>
          <w:spacing w:val="10"/>
          <w:position w:val="-2"/>
          <w:sz w:val="16"/>
        </w:rPr>
        <w:t> </w:t>
      </w:r>
      <w:r>
        <w:rPr/>
        <w:t>por</w:t>
      </w:r>
      <w:r>
        <w:rPr>
          <w:spacing w:val="-13"/>
        </w:rPr>
        <w:t> </w:t>
      </w:r>
      <w:r>
        <w:rPr/>
        <w:t>kg</w:t>
      </w:r>
      <w:r>
        <w:rPr>
          <w:spacing w:val="-13"/>
        </w:rPr>
        <w:t> </w:t>
      </w:r>
      <w:r>
        <w:rPr/>
        <w:t>de</w:t>
      </w:r>
      <w:r>
        <w:rPr>
          <w:spacing w:val="-13"/>
        </w:rPr>
        <w:t> </w:t>
      </w:r>
      <w:r>
        <w:rPr/>
        <w:t>CMS</w:t>
      </w:r>
      <w:r>
        <w:rPr>
          <w:spacing w:val="-13"/>
        </w:rPr>
        <w:t> </w:t>
      </w:r>
      <w:r>
        <w:rPr/>
        <w:t>para</w:t>
      </w:r>
      <w:r>
        <w:rPr>
          <w:spacing w:val="-13"/>
        </w:rPr>
        <w:t> </w:t>
      </w:r>
      <w:r>
        <w:rPr/>
        <w:t>ovejas</w:t>
      </w:r>
      <w:r>
        <w:rPr>
          <w:spacing w:val="-13"/>
        </w:rPr>
        <w:t> </w:t>
      </w:r>
      <w:r>
        <w:rPr/>
        <w:t>(CH</w:t>
      </w:r>
      <w:r>
        <w:rPr>
          <w:position w:val="-2"/>
          <w:sz w:val="16"/>
        </w:rPr>
        <w:t>4</w:t>
      </w:r>
      <w:r>
        <w:rPr/>
        <w:t>,</w:t>
      </w:r>
      <w:r>
        <w:rPr>
          <w:spacing w:val="-13"/>
        </w:rPr>
        <w:t> </w:t>
      </w:r>
      <w:r>
        <w:rPr/>
        <w:t>kg/día</w:t>
      </w:r>
      <w:r>
        <w:rPr>
          <w:spacing w:val="-13"/>
        </w:rPr>
        <w:t> </w:t>
      </w:r>
      <w:r>
        <w:rPr/>
        <w:t>=</w:t>
      </w:r>
      <w:r>
        <w:rPr>
          <w:spacing w:val="-13"/>
        </w:rPr>
        <w:t> </w:t>
      </w:r>
      <w:r>
        <w:rPr/>
        <w:t>0.0187</w:t>
      </w:r>
      <w:r>
        <w:rPr>
          <w:spacing w:val="-13"/>
        </w:rPr>
        <w:t> </w:t>
      </w:r>
      <w:r>
        <w:rPr/>
        <w:t>×</w:t>
      </w:r>
      <w:r>
        <w:rPr>
          <w:spacing w:val="-13"/>
        </w:rPr>
        <w:t> </w:t>
      </w:r>
      <w:r>
        <w:rPr/>
        <w:t>CMS,</w:t>
      </w:r>
      <w:r>
        <w:rPr>
          <w:spacing w:val="-13"/>
        </w:rPr>
        <w:t> </w:t>
      </w:r>
      <w:r>
        <w:rPr/>
        <w:t>kg/día); y</w:t>
      </w:r>
      <w:r>
        <w:rPr>
          <w:spacing w:val="-11"/>
        </w:rPr>
        <w:t> </w:t>
      </w:r>
      <w:r>
        <w:rPr/>
        <w:t>Kennedy</w:t>
      </w:r>
      <w:r>
        <w:rPr>
          <w:spacing w:val="-11"/>
        </w:rPr>
        <w:t> </w:t>
      </w:r>
      <w:r>
        <w:rPr/>
        <w:t>y</w:t>
      </w:r>
      <w:r>
        <w:rPr>
          <w:spacing w:val="-11"/>
        </w:rPr>
        <w:t> </w:t>
      </w:r>
      <w:r>
        <w:rPr/>
        <w:t>Charmley</w:t>
      </w:r>
      <w:r>
        <w:rPr>
          <w:spacing w:val="-11"/>
        </w:rPr>
        <w:t> </w:t>
      </w:r>
      <w:r>
        <w:rPr/>
        <w:t>(2012)</w:t>
      </w:r>
      <w:r>
        <w:rPr>
          <w:spacing w:val="-11"/>
        </w:rPr>
        <w:t> </w:t>
      </w:r>
      <w:r>
        <w:rPr/>
        <w:t>desarrollaron</w:t>
      </w:r>
      <w:r>
        <w:rPr>
          <w:spacing w:val="-11"/>
        </w:rPr>
        <w:t> </w:t>
      </w:r>
      <w:r>
        <w:rPr/>
        <w:t>un</w:t>
      </w:r>
      <w:r>
        <w:rPr>
          <w:spacing w:val="-11"/>
        </w:rPr>
        <w:t> </w:t>
      </w:r>
      <w:r>
        <w:rPr/>
        <w:t>coeficiente</w:t>
      </w:r>
      <w:r>
        <w:rPr>
          <w:spacing w:val="-11"/>
        </w:rPr>
        <w:t> </w:t>
      </w:r>
      <w:r>
        <w:rPr/>
        <w:t>para</w:t>
      </w:r>
      <w:r>
        <w:rPr>
          <w:spacing w:val="-11"/>
        </w:rPr>
        <w:t> </w:t>
      </w:r>
      <w:r>
        <w:rPr/>
        <w:t>novillos</w:t>
      </w:r>
      <w:r>
        <w:rPr>
          <w:spacing w:val="-11"/>
        </w:rPr>
        <w:t> </w:t>
      </w:r>
      <w:r>
        <w:rPr/>
        <w:t>en</w:t>
      </w:r>
      <w:r>
        <w:rPr>
          <w:spacing w:val="-11"/>
        </w:rPr>
        <w:t> </w:t>
      </w:r>
      <w:r>
        <w:rPr/>
        <w:t>Australia (CH</w:t>
      </w:r>
      <w:r>
        <w:rPr>
          <w:position w:val="-2"/>
          <w:sz w:val="16"/>
        </w:rPr>
        <w:t>4</w:t>
      </w:r>
      <w:r>
        <w:rPr/>
        <w:t>, g/día = 19,6 × CMS,</w:t>
      </w:r>
      <w:r>
        <w:rPr>
          <w:spacing w:val="-1"/>
        </w:rPr>
        <w:t> </w:t>
      </w:r>
      <w:r>
        <w:rPr/>
        <w:t>kg/día.)</w:t>
      </w:r>
    </w:p>
    <w:p>
      <w:pPr>
        <w:pStyle w:val="BodyText"/>
        <w:spacing w:line="355" w:lineRule="auto"/>
        <w:ind w:left="276" w:right="143"/>
        <w:jc w:val="both"/>
      </w:pPr>
      <w:r>
        <w:rPr/>
        <w:t>Vale la pena mencionar que, si se usa esta ecuación, el error de predicción probablemente sería mayor con un aumento del CMS. La limitación es que la ecuación en la Figura 4 se obtuvo a partir de un rango muy amplio de CMS, de allí que el alto R</w:t>
      </w:r>
      <w:r>
        <w:rPr>
          <w:position w:val="11"/>
          <w:sz w:val="16"/>
        </w:rPr>
        <w:t>2 </w:t>
      </w:r>
      <w:r>
        <w:rPr/>
        <w:t>sugiere una gran precisión; en contraste, cambiar el CMS a un rango más estrecho (P. ej. un 10 por ciento de aumento desde aproximadamente 18 a 20 kg/día) daría como resultado una variabilidad más alta, por lo que es necesario realizar más investigaciones que permitan explicar esta variación. En esencia, esta ecuación adolece de la misma limitación que anteriormente fue descrita para el enfoque del Ym del IPCC, y expresar la producción de CH</w:t>
      </w:r>
      <w:r>
        <w:rPr>
          <w:position w:val="-2"/>
          <w:sz w:val="16"/>
        </w:rPr>
        <w:t>4 </w:t>
      </w:r>
      <w:r>
        <w:rPr/>
        <w:t>partiendo de la MS digestible puede representar mejor la gran variación entre las dietas. Sin embargo, en la literatura sobre mitigación del CH</w:t>
      </w:r>
      <w:r>
        <w:rPr>
          <w:position w:val="-2"/>
          <w:sz w:val="16"/>
        </w:rPr>
        <w:t>4 </w:t>
      </w:r>
      <w:r>
        <w:rPr/>
        <w:t>no siempre está disponible la información sobre la digestibilidad de la dieta (Hristov </w:t>
      </w:r>
      <w:r>
        <w:rPr>
          <w:i/>
        </w:rPr>
        <w:t>et al.</w:t>
      </w:r>
      <w:r>
        <w:rPr/>
        <w:t>, 2013).</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Heading6"/>
        <w:tabs>
          <w:tab w:pos="2081" w:val="left" w:leader="none"/>
        </w:tabs>
        <w:spacing w:line="242" w:lineRule="auto" w:before="69"/>
        <w:ind w:left="2081" w:right="278" w:hanging="1218"/>
        <w:jc w:val="left"/>
      </w:pPr>
      <w:r>
        <w:rPr/>
        <w:drawing>
          <wp:anchor distT="0" distB="0" distL="0" distR="0" allowOverlap="1" layoutInCell="1" locked="0" behindDoc="0" simplePos="0" relativeHeight="3208">
            <wp:simplePos x="0" y="0"/>
            <wp:positionH relativeFrom="page">
              <wp:posOffset>1267871</wp:posOffset>
            </wp:positionH>
            <wp:positionV relativeFrom="paragraph">
              <wp:posOffset>427556</wp:posOffset>
            </wp:positionV>
            <wp:extent cx="5582961" cy="3427761"/>
            <wp:effectExtent l="0" t="0" r="0" b="0"/>
            <wp:wrapTopAndBottom/>
            <wp:docPr id="15" name="image50.png" descr=""/>
            <wp:cNvGraphicFramePr>
              <a:graphicFrameLocks noChangeAspect="1"/>
            </wp:cNvGraphicFramePr>
            <a:graphic>
              <a:graphicData uri="http://schemas.openxmlformats.org/drawingml/2006/picture">
                <pic:pic>
                  <pic:nvPicPr>
                    <pic:cNvPr id="16" name="image50.png"/>
                    <pic:cNvPicPr/>
                  </pic:nvPicPr>
                  <pic:blipFill>
                    <a:blip r:embed="rId83" cstate="print"/>
                    <a:stretch>
                      <a:fillRect/>
                    </a:stretch>
                  </pic:blipFill>
                  <pic:spPr>
                    <a:xfrm>
                      <a:off x="0" y="0"/>
                      <a:ext cx="5582961" cy="3427761"/>
                    </a:xfrm>
                    <a:prstGeom prst="rect">
                      <a:avLst/>
                    </a:prstGeom>
                  </pic:spPr>
                </pic:pic>
              </a:graphicData>
            </a:graphic>
          </wp:anchor>
        </w:drawing>
      </w:r>
      <w:r>
        <w:rPr/>
        <w:pict>
          <v:line style="position:absolute;mso-position-horizontal-relative:page;mso-position-vertical-relative:paragraph;z-index:3232;mso-wrap-distance-left:0;mso-wrap-distance-right:0" from="98.39241pt,313.865875pt" to="543.1124pt,313.865875pt" stroked="true" strokeweight="2.16pt" strokecolor="#943634">
            <w10:wrap type="topAndBottom"/>
          </v:line>
        </w:pict>
      </w:r>
      <w:r>
        <w:rPr/>
        <w:pict>
          <v:line style="position:absolute;mso-position-horizontal-relative:page;mso-position-vertical-relative:paragraph;z-index:-308776" from="100.072403pt,18.665882pt" to="184.792403pt,18.665882pt" stroked="true" strokeweight="2.16pt" strokecolor="#943634">
            <w10:wrap type="none"/>
          </v:line>
        </w:pict>
      </w:r>
      <w:r>
        <w:rPr>
          <w:color w:val="943634"/>
        </w:rPr>
        <w:t>Figura</w:t>
      </w:r>
      <w:r>
        <w:rPr>
          <w:color w:val="943634"/>
          <w:spacing w:val="-1"/>
        </w:rPr>
        <w:t> </w:t>
      </w:r>
      <w:r>
        <w:rPr>
          <w:color w:val="943634"/>
        </w:rPr>
        <w:t>8.</w:t>
        <w:tab/>
      </w:r>
      <w:r>
        <w:rPr/>
        <w:t>Relación</w:t>
      </w:r>
      <w:r>
        <w:rPr>
          <w:spacing w:val="-10"/>
        </w:rPr>
        <w:t> </w:t>
      </w:r>
      <w:r>
        <w:rPr/>
        <w:t>entre</w:t>
      </w:r>
      <w:r>
        <w:rPr>
          <w:spacing w:val="-10"/>
        </w:rPr>
        <w:t> </w:t>
      </w:r>
      <w:r>
        <w:rPr/>
        <w:t>el</w:t>
      </w:r>
      <w:r>
        <w:rPr>
          <w:spacing w:val="-10"/>
        </w:rPr>
        <w:t> </w:t>
      </w:r>
      <w:r>
        <w:rPr/>
        <w:t>consumo</w:t>
      </w:r>
      <w:r>
        <w:rPr>
          <w:spacing w:val="-10"/>
        </w:rPr>
        <w:t> </w:t>
      </w:r>
      <w:r>
        <w:rPr/>
        <w:t>de</w:t>
      </w:r>
      <w:r>
        <w:rPr>
          <w:spacing w:val="-10"/>
        </w:rPr>
        <w:t> </w:t>
      </w:r>
      <w:r>
        <w:rPr/>
        <w:t>MS</w:t>
      </w:r>
      <w:r>
        <w:rPr>
          <w:spacing w:val="-10"/>
        </w:rPr>
        <w:t> </w:t>
      </w:r>
      <w:r>
        <w:rPr/>
        <w:t>alimentaria</w:t>
      </w:r>
      <w:r>
        <w:rPr>
          <w:spacing w:val="-10"/>
        </w:rPr>
        <w:t> </w:t>
      </w:r>
      <w:r>
        <w:rPr/>
        <w:t>y</w:t>
      </w:r>
      <w:r>
        <w:rPr>
          <w:spacing w:val="-10"/>
        </w:rPr>
        <w:t> </w:t>
      </w:r>
      <w:r>
        <w:rPr/>
        <w:t>la</w:t>
      </w:r>
      <w:r>
        <w:rPr>
          <w:spacing w:val="-10"/>
        </w:rPr>
        <w:t> </w:t>
      </w:r>
      <w:r>
        <w:rPr/>
        <w:t>producción de CH</w:t>
      </w:r>
      <w:r>
        <w:rPr>
          <w:position w:val="-2"/>
          <w:sz w:val="16"/>
        </w:rPr>
        <w:t>4</w:t>
      </w:r>
      <w:r>
        <w:rPr>
          <w:spacing w:val="-3"/>
          <w:position w:val="-2"/>
          <w:sz w:val="16"/>
        </w:rPr>
        <w:t> </w:t>
      </w:r>
      <w:r>
        <w:rPr/>
        <w:t>entérico.</w:t>
      </w:r>
    </w:p>
    <w:p>
      <w:pPr>
        <w:pStyle w:val="BodyText"/>
        <w:rPr>
          <w:b/>
          <w:sz w:val="10"/>
        </w:rPr>
      </w:pPr>
    </w:p>
    <w:p>
      <w:pPr>
        <w:spacing w:before="4"/>
        <w:ind w:left="276" w:right="72" w:firstLine="0"/>
        <w:jc w:val="left"/>
        <w:rPr>
          <w:sz w:val="20"/>
        </w:rPr>
      </w:pPr>
      <w:r>
        <w:rPr>
          <w:w w:val="105"/>
          <w:sz w:val="20"/>
        </w:rPr>
        <w:t>Fuente: Hristov </w:t>
      </w:r>
      <w:r>
        <w:rPr>
          <w:i/>
          <w:w w:val="105"/>
          <w:sz w:val="20"/>
        </w:rPr>
        <w:t>et al., </w:t>
      </w:r>
      <w:r>
        <w:rPr>
          <w:w w:val="105"/>
          <w:sz w:val="20"/>
        </w:rPr>
        <w:t>(2013).</w:t>
      </w:r>
    </w:p>
    <w:p>
      <w:pPr>
        <w:pStyle w:val="BodyText"/>
        <w:rPr>
          <w:sz w:val="20"/>
        </w:rPr>
      </w:pPr>
    </w:p>
    <w:p>
      <w:pPr>
        <w:pStyle w:val="BodyText"/>
        <w:spacing w:before="11"/>
        <w:rPr>
          <w:sz w:val="19"/>
        </w:rPr>
      </w:pPr>
    </w:p>
    <w:p>
      <w:pPr>
        <w:pStyle w:val="BodyText"/>
        <w:spacing w:line="357" w:lineRule="auto" w:before="70"/>
        <w:ind w:left="276" w:right="163"/>
        <w:jc w:val="both"/>
      </w:pPr>
      <w:r>
        <w:rPr/>
        <w:t>Aunque el CH</w:t>
      </w:r>
      <w:r>
        <w:rPr>
          <w:position w:val="-2"/>
          <w:sz w:val="16"/>
        </w:rPr>
        <w:t>4 </w:t>
      </w:r>
      <w:r>
        <w:rPr/>
        <w:t>aumentará con el incremento del CMS, este aumento tendría que ser</w:t>
      </w:r>
      <w:r>
        <w:rPr>
          <w:spacing w:val="-8"/>
        </w:rPr>
        <w:t> </w:t>
      </w:r>
      <w:r>
        <w:rPr/>
        <w:t>interpretado</w:t>
      </w:r>
      <w:r>
        <w:rPr>
          <w:spacing w:val="-8"/>
        </w:rPr>
        <w:t> </w:t>
      </w:r>
      <w:r>
        <w:rPr/>
        <w:t>en</w:t>
      </w:r>
      <w:r>
        <w:rPr>
          <w:spacing w:val="-8"/>
        </w:rPr>
        <w:t> </w:t>
      </w:r>
      <w:r>
        <w:rPr/>
        <w:t>el</w:t>
      </w:r>
      <w:r>
        <w:rPr>
          <w:spacing w:val="-8"/>
        </w:rPr>
        <w:t> </w:t>
      </w:r>
      <w:r>
        <w:rPr/>
        <w:t>contexto</w:t>
      </w:r>
      <w:r>
        <w:rPr>
          <w:spacing w:val="-8"/>
        </w:rPr>
        <w:t> </w:t>
      </w:r>
      <w:r>
        <w:rPr/>
        <w:t>de</w:t>
      </w:r>
      <w:r>
        <w:rPr>
          <w:spacing w:val="-8"/>
        </w:rPr>
        <w:t> </w:t>
      </w:r>
      <w:r>
        <w:rPr/>
        <w:t>una</w:t>
      </w:r>
      <w:r>
        <w:rPr>
          <w:spacing w:val="-8"/>
        </w:rPr>
        <w:t> </w:t>
      </w:r>
      <w:r>
        <w:rPr/>
        <w:t>probable</w:t>
      </w:r>
      <w:r>
        <w:rPr>
          <w:spacing w:val="-8"/>
        </w:rPr>
        <w:t> </w:t>
      </w:r>
      <w:r>
        <w:rPr/>
        <w:t>elevación</w:t>
      </w:r>
      <w:r>
        <w:rPr>
          <w:spacing w:val="-8"/>
        </w:rPr>
        <w:t> </w:t>
      </w:r>
      <w:r>
        <w:rPr/>
        <w:t>en</w:t>
      </w:r>
      <w:r>
        <w:rPr>
          <w:spacing w:val="-8"/>
        </w:rPr>
        <w:t> </w:t>
      </w:r>
      <w:r>
        <w:rPr/>
        <w:t>la</w:t>
      </w:r>
      <w:r>
        <w:rPr>
          <w:spacing w:val="-8"/>
        </w:rPr>
        <w:t> </w:t>
      </w:r>
      <w:r>
        <w:rPr/>
        <w:t>producción</w:t>
      </w:r>
      <w:r>
        <w:rPr>
          <w:spacing w:val="-8"/>
        </w:rPr>
        <w:t> </w:t>
      </w:r>
      <w:r>
        <w:rPr/>
        <w:t>de</w:t>
      </w:r>
      <w:r>
        <w:rPr>
          <w:spacing w:val="-8"/>
        </w:rPr>
        <w:t> </w:t>
      </w:r>
      <w:r>
        <w:rPr/>
        <w:t>leche o</w:t>
      </w:r>
      <w:r>
        <w:rPr>
          <w:spacing w:val="-8"/>
        </w:rPr>
        <w:t> </w:t>
      </w:r>
      <w:r>
        <w:rPr/>
        <w:t>carne,</w:t>
      </w:r>
      <w:r>
        <w:rPr>
          <w:spacing w:val="-8"/>
        </w:rPr>
        <w:t> </w:t>
      </w:r>
      <w:r>
        <w:rPr/>
        <w:t>lo</w:t>
      </w:r>
      <w:r>
        <w:rPr>
          <w:spacing w:val="-8"/>
        </w:rPr>
        <w:t> </w:t>
      </w:r>
      <w:r>
        <w:rPr/>
        <w:t>cual</w:t>
      </w:r>
      <w:r>
        <w:rPr>
          <w:spacing w:val="-8"/>
        </w:rPr>
        <w:t> </w:t>
      </w:r>
      <w:r>
        <w:rPr/>
        <w:t>disminuirá</w:t>
      </w:r>
      <w:r>
        <w:rPr>
          <w:spacing w:val="-8"/>
        </w:rPr>
        <w:t> </w:t>
      </w:r>
      <w:r>
        <w:rPr/>
        <w:t>la</w:t>
      </w:r>
      <w:r>
        <w:rPr>
          <w:spacing w:val="-8"/>
        </w:rPr>
        <w:t> </w:t>
      </w:r>
      <w:r>
        <w:rPr/>
        <w:t>intensidad</w:t>
      </w:r>
      <w:r>
        <w:rPr>
          <w:spacing w:val="-8"/>
        </w:rPr>
        <w:t> </w:t>
      </w:r>
      <w:r>
        <w:rPr/>
        <w:t>de</w:t>
      </w:r>
      <w:r>
        <w:rPr>
          <w:spacing w:val="-8"/>
        </w:rPr>
        <w:t> </w:t>
      </w:r>
      <w:r>
        <w:rPr/>
        <w:t>emisión</w:t>
      </w:r>
      <w:r>
        <w:rPr>
          <w:spacing w:val="-8"/>
        </w:rPr>
        <w:t> </w:t>
      </w:r>
      <w:r>
        <w:rPr/>
        <w:t>del</w:t>
      </w:r>
      <w:r>
        <w:rPr>
          <w:spacing w:val="-8"/>
        </w:rPr>
        <w:t> </w:t>
      </w:r>
      <w:r>
        <w:rPr/>
        <w:t>CH</w:t>
      </w:r>
      <w:r>
        <w:rPr>
          <w:position w:val="-2"/>
          <w:sz w:val="16"/>
        </w:rPr>
        <w:t>4</w:t>
      </w:r>
      <w:r>
        <w:rPr>
          <w:spacing w:val="16"/>
          <w:position w:val="-2"/>
          <w:sz w:val="16"/>
        </w:rPr>
        <w:t> </w:t>
      </w:r>
      <w:r>
        <w:rPr/>
        <w:t>y</w:t>
      </w:r>
      <w:r>
        <w:rPr>
          <w:spacing w:val="-8"/>
        </w:rPr>
        <w:t> </w:t>
      </w:r>
      <w:r>
        <w:rPr/>
        <w:t>podría</w:t>
      </w:r>
      <w:r>
        <w:rPr>
          <w:spacing w:val="-8"/>
        </w:rPr>
        <w:t> </w:t>
      </w:r>
      <w:r>
        <w:rPr/>
        <w:t>dar</w:t>
      </w:r>
      <w:r>
        <w:rPr>
          <w:spacing w:val="-8"/>
        </w:rPr>
        <w:t> </w:t>
      </w:r>
      <w:r>
        <w:rPr/>
        <w:t>lugar</w:t>
      </w:r>
      <w:r>
        <w:rPr>
          <w:spacing w:val="-8"/>
        </w:rPr>
        <w:t> </w:t>
      </w:r>
      <w:r>
        <w:rPr/>
        <w:t>a</w:t>
      </w:r>
      <w:r>
        <w:rPr>
          <w:spacing w:val="-8"/>
        </w:rPr>
        <w:t> </w:t>
      </w:r>
      <w:r>
        <w:rPr/>
        <w:t>una reducción en el tamaño del hato en ciertos sistemas de producción. El consumo de MS y ED constituye, sin lugar a dudas, el factor más importante que impulsa la producción</w:t>
      </w:r>
      <w:r>
        <w:rPr>
          <w:spacing w:val="-5"/>
        </w:rPr>
        <w:t> </w:t>
      </w:r>
      <w:r>
        <w:rPr/>
        <w:t>animal,</w:t>
      </w:r>
      <w:r>
        <w:rPr>
          <w:spacing w:val="-5"/>
        </w:rPr>
        <w:t> </w:t>
      </w:r>
      <w:r>
        <w:rPr/>
        <w:t>y</w:t>
      </w:r>
      <w:r>
        <w:rPr>
          <w:spacing w:val="-5"/>
        </w:rPr>
        <w:t> </w:t>
      </w:r>
      <w:r>
        <w:rPr/>
        <w:t>la</w:t>
      </w:r>
      <w:r>
        <w:rPr>
          <w:spacing w:val="-5"/>
        </w:rPr>
        <w:t> </w:t>
      </w:r>
      <w:r>
        <w:rPr/>
        <w:t>ecuación</w:t>
      </w:r>
      <w:r>
        <w:rPr>
          <w:spacing w:val="-5"/>
        </w:rPr>
        <w:t> </w:t>
      </w:r>
      <w:r>
        <w:rPr/>
        <w:t>en</w:t>
      </w:r>
      <w:r>
        <w:rPr>
          <w:spacing w:val="-5"/>
        </w:rPr>
        <w:t> </w:t>
      </w:r>
      <w:r>
        <w:rPr/>
        <w:t>la</w:t>
      </w:r>
      <w:r>
        <w:rPr>
          <w:spacing w:val="-5"/>
        </w:rPr>
        <w:t> </w:t>
      </w:r>
      <w:r>
        <w:rPr/>
        <w:t>Figura</w:t>
      </w:r>
      <w:r>
        <w:rPr>
          <w:spacing w:val="-5"/>
        </w:rPr>
        <w:t> </w:t>
      </w:r>
      <w:r>
        <w:rPr/>
        <w:t>8</w:t>
      </w:r>
      <w:r>
        <w:rPr>
          <w:spacing w:val="-5"/>
        </w:rPr>
        <w:t> </w:t>
      </w:r>
      <w:r>
        <w:rPr/>
        <w:t>no</w:t>
      </w:r>
      <w:r>
        <w:rPr>
          <w:spacing w:val="-5"/>
        </w:rPr>
        <w:t> </w:t>
      </w:r>
      <w:r>
        <w:rPr/>
        <w:t>tiene</w:t>
      </w:r>
      <w:r>
        <w:rPr>
          <w:spacing w:val="-5"/>
        </w:rPr>
        <w:t> </w:t>
      </w:r>
      <w:r>
        <w:rPr/>
        <w:t>en</w:t>
      </w:r>
      <w:r>
        <w:rPr>
          <w:spacing w:val="-5"/>
        </w:rPr>
        <w:t> </w:t>
      </w:r>
      <w:r>
        <w:rPr/>
        <w:t>cuenta</w:t>
      </w:r>
      <w:r>
        <w:rPr>
          <w:spacing w:val="-5"/>
        </w:rPr>
        <w:t> </w:t>
      </w:r>
      <w:r>
        <w:rPr/>
        <w:t>el</w:t>
      </w:r>
      <w:r>
        <w:rPr>
          <w:spacing w:val="-5"/>
        </w:rPr>
        <w:t> </w:t>
      </w:r>
      <w:r>
        <w:rPr/>
        <w:t>incremento</w:t>
      </w:r>
      <w:r>
        <w:rPr>
          <w:spacing w:val="-5"/>
        </w:rPr>
        <w:t> </w:t>
      </w:r>
      <w:r>
        <w:rPr/>
        <w:t>de la producción y la disminución del CH</w:t>
      </w:r>
      <w:r>
        <w:rPr>
          <w:position w:val="-2"/>
          <w:sz w:val="16"/>
        </w:rPr>
        <w:t>4 </w:t>
      </w:r>
      <w:r>
        <w:rPr/>
        <w:t>entérico con relación al producto cuando se aumenta el CMS. El aumento del CMS usualmente disminuye la digestibilidad, lo que podría aumentar la excreción de MO fermentable en el estiércol y, por consiguiente, las emisiones de CH</w:t>
      </w:r>
      <w:r>
        <w:rPr>
          <w:position w:val="-2"/>
          <w:sz w:val="16"/>
        </w:rPr>
        <w:t>4 </w:t>
      </w:r>
      <w:r>
        <w:rPr/>
        <w:t>o de N</w:t>
      </w:r>
      <w:r>
        <w:rPr>
          <w:position w:val="-2"/>
          <w:sz w:val="16"/>
        </w:rPr>
        <w:t>2</w:t>
      </w:r>
      <w:r>
        <w:rPr/>
        <w:t>O dependerían del tipo de sistema de manejo del estiércol. Como lo demostraron Huhtanen </w:t>
      </w:r>
      <w:r>
        <w:rPr>
          <w:i/>
        </w:rPr>
        <w:t>et al. </w:t>
      </w:r>
      <w:r>
        <w:rPr/>
        <w:t>(2009) en un metaanálisis de 97 ensayos (497 dietas) con vacas lecheras lactantes, el consumo tuvo un efecto negativo en la digestibilidad de la dieta, aunque fue inferior al de las predicciones</w:t>
      </w:r>
      <w:r>
        <w:rPr>
          <w:spacing w:val="49"/>
        </w:rPr>
        <w:t> </w:t>
      </w:r>
      <w:r>
        <w:rPr/>
        <w:t>del</w:t>
      </w:r>
      <w:r>
        <w:rPr>
          <w:spacing w:val="49"/>
        </w:rPr>
        <w:t> </w:t>
      </w:r>
      <w:r>
        <w:rPr/>
        <w:t>NRC</w:t>
      </w:r>
      <w:r>
        <w:rPr>
          <w:spacing w:val="49"/>
        </w:rPr>
        <w:t> </w:t>
      </w:r>
      <w:r>
        <w:rPr/>
        <w:t>(2001)</w:t>
      </w:r>
      <w:r>
        <w:rPr>
          <w:spacing w:val="49"/>
        </w:rPr>
        <w:t> </w:t>
      </w:r>
      <w:r>
        <w:rPr/>
        <w:t>y</w:t>
      </w:r>
      <w:r>
        <w:rPr>
          <w:spacing w:val="49"/>
        </w:rPr>
        <w:t> </w:t>
      </w:r>
      <w:r>
        <w:rPr/>
        <w:t>al</w:t>
      </w:r>
      <w:r>
        <w:rPr>
          <w:spacing w:val="49"/>
        </w:rPr>
        <w:t> </w:t>
      </w:r>
      <w:r>
        <w:rPr/>
        <w:t>modelo</w:t>
      </w:r>
      <w:r>
        <w:rPr>
          <w:spacing w:val="49"/>
        </w:rPr>
        <w:t> </w:t>
      </w:r>
      <w:r>
        <w:rPr/>
        <w:t>de</w:t>
      </w:r>
      <w:r>
        <w:rPr>
          <w:spacing w:val="49"/>
        </w:rPr>
        <w:t> </w:t>
      </w:r>
      <w:r>
        <w:rPr/>
        <w:t>carbohidratos</w:t>
      </w:r>
      <w:r>
        <w:rPr>
          <w:spacing w:val="49"/>
        </w:rPr>
        <w:t> </w:t>
      </w:r>
      <w:r>
        <w:rPr/>
        <w:t>y</w:t>
      </w:r>
      <w:r>
        <w:rPr>
          <w:spacing w:val="49"/>
        </w:rPr>
        <w:t> </w:t>
      </w:r>
      <w:r>
        <w:rPr/>
        <w:t>proteína</w:t>
      </w:r>
      <w:r>
        <w:rPr>
          <w:spacing w:val="49"/>
        </w:rPr>
        <w:t> </w:t>
      </w:r>
      <w:r>
        <w:rPr/>
        <w:t>neta</w:t>
      </w:r>
      <w:r>
        <w:rPr>
          <w:spacing w:val="49"/>
        </w:rPr>
        <w:t> </w:t>
      </w:r>
      <w:r>
        <w:rPr/>
        <w:t>de</w:t>
      </w:r>
    </w:p>
    <w:p>
      <w:pPr>
        <w:spacing w:after="0" w:line="357" w:lineRule="auto"/>
        <w:jc w:val="both"/>
        <w:sectPr>
          <w:pgSz w:w="12240" w:h="15840"/>
          <w:pgMar w:header="741" w:footer="739" w:top="1220" w:bottom="920" w:left="1720" w:right="1240"/>
        </w:sectPr>
      </w:pPr>
    </w:p>
    <w:p>
      <w:pPr>
        <w:pStyle w:val="BodyText"/>
        <w:spacing w:before="4"/>
        <w:rPr>
          <w:sz w:val="11"/>
        </w:rPr>
      </w:pPr>
    </w:p>
    <w:p>
      <w:pPr>
        <w:pStyle w:val="BodyText"/>
        <w:spacing w:line="360" w:lineRule="auto" w:before="69"/>
        <w:ind w:left="276" w:right="143"/>
        <w:jc w:val="both"/>
      </w:pPr>
      <w:r>
        <w:rPr/>
        <w:t>Cornell (Fox </w:t>
      </w:r>
      <w:r>
        <w:rPr>
          <w:i/>
        </w:rPr>
        <w:t>et al.</w:t>
      </w:r>
      <w:r>
        <w:rPr/>
        <w:t>, 2003). Huhtanen </w:t>
      </w:r>
      <w:r>
        <w:rPr>
          <w:i/>
        </w:rPr>
        <w:t>et al. </w:t>
      </w:r>
      <w:r>
        <w:rPr/>
        <w:t>(2009) señalaron que las dietas que tuvieron alta digestibilidad en el nivel de mantenimiento, mostraron una mayor disminución de la digestibilidad al aumentar el CMS. Otro factor dietético que tuvo un</w:t>
      </w:r>
      <w:r>
        <w:rPr>
          <w:spacing w:val="-8"/>
        </w:rPr>
        <w:t> </w:t>
      </w:r>
      <w:r>
        <w:rPr/>
        <w:t>efecto</w:t>
      </w:r>
      <w:r>
        <w:rPr>
          <w:spacing w:val="-8"/>
        </w:rPr>
        <w:t> </w:t>
      </w:r>
      <w:r>
        <w:rPr/>
        <w:t>negativo</w:t>
      </w:r>
      <w:r>
        <w:rPr>
          <w:spacing w:val="-8"/>
        </w:rPr>
        <w:t> </w:t>
      </w:r>
      <w:r>
        <w:rPr/>
        <w:t>en</w:t>
      </w:r>
      <w:r>
        <w:rPr>
          <w:spacing w:val="-8"/>
        </w:rPr>
        <w:t> </w:t>
      </w:r>
      <w:r>
        <w:rPr/>
        <w:t>la</w:t>
      </w:r>
      <w:r>
        <w:rPr>
          <w:spacing w:val="-8"/>
        </w:rPr>
        <w:t> </w:t>
      </w:r>
      <w:r>
        <w:rPr/>
        <w:t>digestibilidad</w:t>
      </w:r>
      <w:r>
        <w:rPr>
          <w:spacing w:val="-8"/>
        </w:rPr>
        <w:t> </w:t>
      </w:r>
      <w:r>
        <w:rPr/>
        <w:t>de</w:t>
      </w:r>
      <w:r>
        <w:rPr>
          <w:spacing w:val="-8"/>
        </w:rPr>
        <w:t> </w:t>
      </w:r>
      <w:r>
        <w:rPr/>
        <w:t>la</w:t>
      </w:r>
      <w:r>
        <w:rPr>
          <w:spacing w:val="-8"/>
        </w:rPr>
        <w:t> </w:t>
      </w:r>
      <w:r>
        <w:rPr/>
        <w:t>FDN</w:t>
      </w:r>
      <w:r>
        <w:rPr>
          <w:spacing w:val="-8"/>
        </w:rPr>
        <w:t> </w:t>
      </w:r>
      <w:r>
        <w:rPr/>
        <w:t>en</w:t>
      </w:r>
      <w:r>
        <w:rPr>
          <w:spacing w:val="-8"/>
        </w:rPr>
        <w:t> </w:t>
      </w:r>
      <w:r>
        <w:rPr/>
        <w:t>este</w:t>
      </w:r>
      <w:r>
        <w:rPr>
          <w:spacing w:val="-8"/>
        </w:rPr>
        <w:t> </w:t>
      </w:r>
      <w:r>
        <w:rPr/>
        <w:t>metaanálisis</w:t>
      </w:r>
      <w:r>
        <w:rPr>
          <w:spacing w:val="-8"/>
        </w:rPr>
        <w:t> </w:t>
      </w:r>
      <w:r>
        <w:rPr/>
        <w:t>fue</w:t>
      </w:r>
      <w:r>
        <w:rPr>
          <w:spacing w:val="-8"/>
        </w:rPr>
        <w:t> </w:t>
      </w:r>
      <w:r>
        <w:rPr/>
        <w:t>el</w:t>
      </w:r>
      <w:r>
        <w:rPr>
          <w:spacing w:val="-8"/>
        </w:rPr>
        <w:t> </w:t>
      </w:r>
      <w:r>
        <w:rPr/>
        <w:t>nivel</w:t>
      </w:r>
      <w:r>
        <w:rPr>
          <w:spacing w:val="-8"/>
        </w:rPr>
        <w:t> </w:t>
      </w:r>
      <w:r>
        <w:rPr/>
        <w:t>de consumo de grasa en los alimentos concentrados (Hristov </w:t>
      </w:r>
      <w:r>
        <w:rPr>
          <w:i/>
        </w:rPr>
        <w:t>et al.</w:t>
      </w:r>
      <w:r>
        <w:rPr/>
        <w:t>,</w:t>
      </w:r>
      <w:r>
        <w:rPr>
          <w:spacing w:val="-9"/>
        </w:rPr>
        <w:t> </w:t>
      </w:r>
      <w:r>
        <w:rPr/>
        <w:t>2013).</w:t>
      </w:r>
    </w:p>
    <w:p>
      <w:pPr>
        <w:pStyle w:val="BodyText"/>
      </w:pPr>
    </w:p>
    <w:p>
      <w:pPr>
        <w:pStyle w:val="BodyText"/>
      </w:pPr>
    </w:p>
    <w:p>
      <w:pPr>
        <w:pStyle w:val="BodyText"/>
        <w:spacing w:before="11"/>
        <w:rPr>
          <w:sz w:val="34"/>
        </w:rPr>
      </w:pPr>
    </w:p>
    <w:p>
      <w:pPr>
        <w:pStyle w:val="Heading4"/>
        <w:numPr>
          <w:ilvl w:val="2"/>
          <w:numId w:val="5"/>
        </w:numPr>
        <w:tabs>
          <w:tab w:pos="1055" w:val="left" w:leader="none"/>
        </w:tabs>
        <w:spacing w:line="240" w:lineRule="auto" w:before="0" w:after="0"/>
        <w:ind w:left="1055" w:right="0" w:hanging="779"/>
        <w:jc w:val="both"/>
      </w:pPr>
      <w:bookmarkStart w:name="_TOC_250012" w:id="18"/>
      <w:r>
        <w:rPr/>
        <w:t>Inclusión de</w:t>
      </w:r>
      <w:r>
        <w:rPr>
          <w:spacing w:val="-10"/>
        </w:rPr>
        <w:t> </w:t>
      </w:r>
      <w:bookmarkEnd w:id="18"/>
      <w:r>
        <w:rPr/>
        <w:t>concentrado</w:t>
      </w:r>
    </w:p>
    <w:p>
      <w:pPr>
        <w:pStyle w:val="BodyText"/>
        <w:spacing w:before="5"/>
        <w:rPr>
          <w:b/>
        </w:rPr>
      </w:pPr>
    </w:p>
    <w:p>
      <w:pPr>
        <w:pStyle w:val="BodyText"/>
        <w:spacing w:line="357" w:lineRule="auto" w:before="1"/>
        <w:ind w:left="276" w:right="143"/>
        <w:jc w:val="both"/>
      </w:pPr>
      <w:r>
        <w:rPr/>
        <w:t>Hristov </w:t>
      </w:r>
      <w:r>
        <w:rPr>
          <w:i/>
        </w:rPr>
        <w:t>et al. </w:t>
      </w:r>
      <w:r>
        <w:rPr/>
        <w:t>(2013), indican que las variables dietéticas no son independientes. El aumento o la disminución de la concentración de un elemento aumentará o disminuirá la concentración de otro. Por ejemplo, las opciones de mitigación centradas en la reducción de la excreción de N urinario bien podrían dar como resultado</w:t>
      </w:r>
      <w:r>
        <w:rPr>
          <w:spacing w:val="-17"/>
        </w:rPr>
        <w:t> </w:t>
      </w:r>
      <w:r>
        <w:rPr/>
        <w:t>una</w:t>
      </w:r>
      <w:r>
        <w:rPr>
          <w:spacing w:val="-17"/>
        </w:rPr>
        <w:t> </w:t>
      </w:r>
      <w:r>
        <w:rPr/>
        <w:t>elevada</w:t>
      </w:r>
      <w:r>
        <w:rPr>
          <w:spacing w:val="-17"/>
        </w:rPr>
        <w:t> </w:t>
      </w:r>
      <w:r>
        <w:rPr/>
        <w:t>emisión</w:t>
      </w:r>
      <w:r>
        <w:rPr>
          <w:spacing w:val="-17"/>
        </w:rPr>
        <w:t> </w:t>
      </w:r>
      <w:r>
        <w:rPr/>
        <w:t>de</w:t>
      </w:r>
      <w:r>
        <w:rPr>
          <w:spacing w:val="-17"/>
        </w:rPr>
        <w:t> </w:t>
      </w:r>
      <w:r>
        <w:rPr/>
        <w:t>CH</w:t>
      </w:r>
      <w:r>
        <w:rPr>
          <w:position w:val="-2"/>
          <w:sz w:val="16"/>
        </w:rPr>
        <w:t>4</w:t>
      </w:r>
      <w:r>
        <w:rPr>
          <w:spacing w:val="6"/>
          <w:position w:val="-2"/>
          <w:sz w:val="16"/>
        </w:rPr>
        <w:t> </w:t>
      </w:r>
      <w:r>
        <w:rPr/>
        <w:t>entérico</w:t>
      </w:r>
      <w:r>
        <w:rPr>
          <w:spacing w:val="-17"/>
        </w:rPr>
        <w:t> </w:t>
      </w:r>
      <w:r>
        <w:rPr/>
        <w:t>(Dijkstra</w:t>
      </w:r>
      <w:r>
        <w:rPr>
          <w:spacing w:val="-17"/>
        </w:rPr>
        <w:t> </w:t>
      </w:r>
      <w:r>
        <w:rPr>
          <w:i/>
        </w:rPr>
        <w:t>et</w:t>
      </w:r>
      <w:r>
        <w:rPr>
          <w:i/>
          <w:spacing w:val="-17"/>
        </w:rPr>
        <w:t> </w:t>
      </w:r>
      <w:r>
        <w:rPr>
          <w:i/>
        </w:rPr>
        <w:t>al.</w:t>
      </w:r>
      <w:r>
        <w:rPr/>
        <w:t>,</w:t>
      </w:r>
      <w:r>
        <w:rPr>
          <w:spacing w:val="-17"/>
        </w:rPr>
        <w:t> </w:t>
      </w:r>
      <w:r>
        <w:rPr/>
        <w:t>2011).</w:t>
      </w:r>
      <w:r>
        <w:rPr>
          <w:spacing w:val="-17"/>
        </w:rPr>
        <w:t> </w:t>
      </w:r>
      <w:r>
        <w:rPr/>
        <w:t>La</w:t>
      </w:r>
      <w:r>
        <w:rPr>
          <w:spacing w:val="-17"/>
        </w:rPr>
        <w:t> </w:t>
      </w:r>
      <w:r>
        <w:rPr/>
        <w:t>disminución de la concentración dietética de proteína cruda (PC) resultará en un aumento en la concentración de otros nutrientes (como el almidón o la FDN) y estos cambios podrían</w:t>
      </w:r>
      <w:r>
        <w:rPr>
          <w:spacing w:val="-9"/>
        </w:rPr>
        <w:t> </w:t>
      </w:r>
      <w:r>
        <w:rPr/>
        <w:t>afectar</w:t>
      </w:r>
      <w:r>
        <w:rPr>
          <w:spacing w:val="-9"/>
        </w:rPr>
        <w:t> </w:t>
      </w:r>
      <w:r>
        <w:rPr/>
        <w:t>las</w:t>
      </w:r>
      <w:r>
        <w:rPr>
          <w:spacing w:val="-9"/>
        </w:rPr>
        <w:t> </w:t>
      </w:r>
      <w:r>
        <w:rPr/>
        <w:t>emisiones</w:t>
      </w:r>
      <w:r>
        <w:rPr>
          <w:spacing w:val="-9"/>
        </w:rPr>
        <w:t> </w:t>
      </w:r>
      <w:r>
        <w:rPr/>
        <w:t>de</w:t>
      </w:r>
      <w:r>
        <w:rPr>
          <w:spacing w:val="-9"/>
        </w:rPr>
        <w:t> </w:t>
      </w:r>
      <w:r>
        <w:rPr/>
        <w:t>CH</w:t>
      </w:r>
      <w:r>
        <w:rPr>
          <w:position w:val="-2"/>
          <w:sz w:val="16"/>
        </w:rPr>
        <w:t>4</w:t>
      </w:r>
      <w:r>
        <w:rPr>
          <w:spacing w:val="14"/>
          <w:position w:val="-2"/>
          <w:sz w:val="16"/>
        </w:rPr>
        <w:t> </w:t>
      </w:r>
      <w:r>
        <w:rPr/>
        <w:t>y</w:t>
      </w:r>
      <w:r>
        <w:rPr>
          <w:spacing w:val="-9"/>
        </w:rPr>
        <w:t> </w:t>
      </w:r>
      <w:r>
        <w:rPr/>
        <w:t>de</w:t>
      </w:r>
      <w:r>
        <w:rPr>
          <w:spacing w:val="-9"/>
        </w:rPr>
        <w:t> </w:t>
      </w:r>
      <w:r>
        <w:rPr/>
        <w:t>N</w:t>
      </w:r>
      <w:r>
        <w:rPr>
          <w:position w:val="-2"/>
          <w:sz w:val="16"/>
        </w:rPr>
        <w:t>2</w:t>
      </w:r>
      <w:r>
        <w:rPr/>
        <w:t>O</w:t>
      </w:r>
      <w:r>
        <w:rPr>
          <w:spacing w:val="-9"/>
        </w:rPr>
        <w:t> </w:t>
      </w:r>
      <w:r>
        <w:rPr/>
        <w:t>entéricas</w:t>
      </w:r>
      <w:r>
        <w:rPr>
          <w:spacing w:val="-9"/>
        </w:rPr>
        <w:t> </w:t>
      </w:r>
      <w:r>
        <w:rPr/>
        <w:t>y</w:t>
      </w:r>
      <w:r>
        <w:rPr>
          <w:spacing w:val="-9"/>
        </w:rPr>
        <w:t> </w:t>
      </w:r>
      <w:r>
        <w:rPr/>
        <w:t>de</w:t>
      </w:r>
      <w:r>
        <w:rPr>
          <w:spacing w:val="-9"/>
        </w:rPr>
        <w:t> </w:t>
      </w:r>
      <w:r>
        <w:rPr/>
        <w:t>estiércol.</w:t>
      </w:r>
      <w:r>
        <w:rPr>
          <w:spacing w:val="-9"/>
        </w:rPr>
        <w:t> </w:t>
      </w:r>
      <w:r>
        <w:rPr/>
        <w:t>Por</w:t>
      </w:r>
      <w:r>
        <w:rPr>
          <w:spacing w:val="-9"/>
        </w:rPr>
        <w:t> </w:t>
      </w:r>
      <w:r>
        <w:rPr/>
        <w:t>lo</w:t>
      </w:r>
      <w:r>
        <w:rPr>
          <w:spacing w:val="-9"/>
        </w:rPr>
        <w:t> </w:t>
      </w:r>
      <w:r>
        <w:rPr/>
        <w:t>tanto, los efectos sobre las emisiones de los GEI resultantes de los cambios en un nutriente</w:t>
      </w:r>
      <w:r>
        <w:rPr>
          <w:spacing w:val="-8"/>
        </w:rPr>
        <w:t> </w:t>
      </w:r>
      <w:r>
        <w:rPr/>
        <w:t>tienen</w:t>
      </w:r>
      <w:r>
        <w:rPr>
          <w:spacing w:val="-8"/>
        </w:rPr>
        <w:t> </w:t>
      </w:r>
      <w:r>
        <w:rPr/>
        <w:t>que</w:t>
      </w:r>
      <w:r>
        <w:rPr>
          <w:spacing w:val="-8"/>
        </w:rPr>
        <w:t> </w:t>
      </w:r>
      <w:r>
        <w:rPr/>
        <w:t>ser</w:t>
      </w:r>
      <w:r>
        <w:rPr>
          <w:spacing w:val="-8"/>
        </w:rPr>
        <w:t> </w:t>
      </w:r>
      <w:r>
        <w:rPr/>
        <w:t>interpretados</w:t>
      </w:r>
      <w:r>
        <w:rPr>
          <w:spacing w:val="-8"/>
        </w:rPr>
        <w:t> </w:t>
      </w:r>
      <w:r>
        <w:rPr/>
        <w:t>en</w:t>
      </w:r>
      <w:r>
        <w:rPr>
          <w:spacing w:val="-8"/>
        </w:rPr>
        <w:t> </w:t>
      </w:r>
      <w:r>
        <w:rPr/>
        <w:t>el</w:t>
      </w:r>
      <w:r>
        <w:rPr>
          <w:spacing w:val="-8"/>
        </w:rPr>
        <w:t> </w:t>
      </w:r>
      <w:r>
        <w:rPr/>
        <w:t>contexto</w:t>
      </w:r>
      <w:r>
        <w:rPr>
          <w:spacing w:val="-8"/>
        </w:rPr>
        <w:t> </w:t>
      </w:r>
      <w:r>
        <w:rPr/>
        <w:t>de</w:t>
      </w:r>
      <w:r>
        <w:rPr>
          <w:spacing w:val="-8"/>
        </w:rPr>
        <w:t> </w:t>
      </w:r>
      <w:r>
        <w:rPr/>
        <w:t>los</w:t>
      </w:r>
      <w:r>
        <w:rPr>
          <w:spacing w:val="-8"/>
        </w:rPr>
        <w:t> </w:t>
      </w:r>
      <w:r>
        <w:rPr/>
        <w:t>efectos</w:t>
      </w:r>
      <w:r>
        <w:rPr>
          <w:spacing w:val="-8"/>
        </w:rPr>
        <w:t> </w:t>
      </w:r>
      <w:r>
        <w:rPr/>
        <w:t>potenciales,</w:t>
      </w:r>
      <w:r>
        <w:rPr>
          <w:spacing w:val="-8"/>
        </w:rPr>
        <w:t> </w:t>
      </w:r>
      <w:r>
        <w:rPr/>
        <w:t>que resultan de los cambios en otros componentes de la dieta (Hristov </w:t>
      </w:r>
      <w:r>
        <w:rPr>
          <w:i/>
        </w:rPr>
        <w:t>et al.</w:t>
      </w:r>
      <w:r>
        <w:rPr/>
        <w:t>,</w:t>
      </w:r>
      <w:r>
        <w:rPr>
          <w:spacing w:val="-7"/>
        </w:rPr>
        <w:t> </w:t>
      </w:r>
      <w:r>
        <w:rPr/>
        <w:t>2013).</w:t>
      </w:r>
    </w:p>
    <w:p>
      <w:pPr>
        <w:pStyle w:val="BodyText"/>
        <w:spacing w:line="360" w:lineRule="auto" w:before="5"/>
        <w:ind w:left="276" w:right="143"/>
        <w:jc w:val="both"/>
      </w:pPr>
      <w:r>
        <w:rPr/>
        <w:t>Eugène </w:t>
      </w:r>
      <w:r>
        <w:rPr>
          <w:i/>
        </w:rPr>
        <w:t>et al. </w:t>
      </w:r>
      <w:r>
        <w:rPr/>
        <w:t>(2011), realizó un estudio adicionando una combinación de almidón</w:t>
      </w:r>
      <w:r>
        <w:rPr>
          <w:spacing w:val="-25"/>
        </w:rPr>
        <w:t> </w:t>
      </w:r>
      <w:r>
        <w:rPr/>
        <w:t>y lípidos</w:t>
      </w:r>
      <w:r>
        <w:rPr>
          <w:spacing w:val="-16"/>
        </w:rPr>
        <w:t> </w:t>
      </w:r>
      <w:r>
        <w:rPr/>
        <w:t>a</w:t>
      </w:r>
      <w:r>
        <w:rPr>
          <w:spacing w:val="-16"/>
        </w:rPr>
        <w:t> </w:t>
      </w:r>
      <w:r>
        <w:rPr/>
        <w:t>la</w:t>
      </w:r>
      <w:r>
        <w:rPr>
          <w:spacing w:val="-16"/>
        </w:rPr>
        <w:t> </w:t>
      </w:r>
      <w:r>
        <w:rPr/>
        <w:t>dieta</w:t>
      </w:r>
      <w:r>
        <w:rPr>
          <w:spacing w:val="-16"/>
        </w:rPr>
        <w:t> </w:t>
      </w:r>
      <w:r>
        <w:rPr/>
        <w:t>de</w:t>
      </w:r>
      <w:r>
        <w:rPr>
          <w:spacing w:val="-16"/>
        </w:rPr>
        <w:t> </w:t>
      </w:r>
      <w:r>
        <w:rPr/>
        <w:t>novillos</w:t>
      </w:r>
      <w:r>
        <w:rPr>
          <w:spacing w:val="-16"/>
        </w:rPr>
        <w:t> </w:t>
      </w:r>
      <w:r>
        <w:rPr/>
        <w:t>de</w:t>
      </w:r>
      <w:r>
        <w:rPr>
          <w:spacing w:val="-16"/>
        </w:rPr>
        <w:t> </w:t>
      </w:r>
      <w:r>
        <w:rPr/>
        <w:t>engorde</w:t>
      </w:r>
      <w:r>
        <w:rPr>
          <w:spacing w:val="-16"/>
        </w:rPr>
        <w:t> </w:t>
      </w:r>
      <w:r>
        <w:rPr/>
        <w:t>redujo</w:t>
      </w:r>
      <w:r>
        <w:rPr>
          <w:spacing w:val="-16"/>
        </w:rPr>
        <w:t> </w:t>
      </w:r>
      <w:r>
        <w:rPr/>
        <w:t>las</w:t>
      </w:r>
      <w:r>
        <w:rPr>
          <w:spacing w:val="-16"/>
        </w:rPr>
        <w:t> </w:t>
      </w:r>
      <w:r>
        <w:rPr/>
        <w:t>emisiones</w:t>
      </w:r>
      <w:r>
        <w:rPr>
          <w:spacing w:val="-16"/>
        </w:rPr>
        <w:t> </w:t>
      </w:r>
      <w:r>
        <w:rPr/>
        <w:t>por</w:t>
      </w:r>
      <w:r>
        <w:rPr>
          <w:spacing w:val="-16"/>
        </w:rPr>
        <w:t> </w:t>
      </w:r>
      <w:r>
        <w:rPr/>
        <w:t>unidad</w:t>
      </w:r>
      <w:r>
        <w:rPr>
          <w:spacing w:val="-16"/>
        </w:rPr>
        <w:t> </w:t>
      </w:r>
      <w:r>
        <w:rPr/>
        <w:t>de</w:t>
      </w:r>
      <w:r>
        <w:rPr>
          <w:spacing w:val="-16"/>
        </w:rPr>
        <w:t> </w:t>
      </w:r>
      <w:r>
        <w:rPr/>
        <w:t>consumo de alimento y de ganancia de peso vivo. En otro estudio del mismo grupo, una inclusión más alta de granos en la ración de novillos Blond d’Aquitaine (70% vs. 21 a 41% de grano; con variaciones en el tipo de forrajes) resultó en un drástico incremento en la tasa Ym, de 3.2 a 6.9%, respectivamente (Doreau </w:t>
      </w:r>
      <w:r>
        <w:rPr>
          <w:i/>
        </w:rPr>
        <w:t>et al.</w:t>
      </w:r>
      <w:r>
        <w:rPr/>
        <w:t>, 2011). Los autores concluyeron que las emisiones entéricas totales (entéricas y del estiércol) fueron más bajas en la dieta con alto contenido de grano, pero las emisiones de N</w:t>
      </w:r>
      <w:r>
        <w:rPr>
          <w:position w:val="-2"/>
          <w:sz w:val="16"/>
        </w:rPr>
        <w:t>2</w:t>
      </w:r>
      <w:r>
        <w:rPr/>
        <w:t>O y de CO</w:t>
      </w:r>
      <w:r>
        <w:rPr>
          <w:position w:val="-2"/>
          <w:sz w:val="16"/>
        </w:rPr>
        <w:t>2 </w:t>
      </w:r>
      <w:r>
        <w:rPr/>
        <w:t>fueron más altas. Las emisiones de los GEI totales fueron inferiores en las raciones ricas en grano (cuando la captura de carbono en los pastizales no se tuvo en cuenta) (Hristov </w:t>
      </w:r>
      <w:r>
        <w:rPr>
          <w:i/>
        </w:rPr>
        <w:t>et al.</w:t>
      </w:r>
      <w:r>
        <w:rPr/>
        <w:t>,</w:t>
      </w:r>
      <w:r>
        <w:rPr>
          <w:spacing w:val="-4"/>
        </w:rPr>
        <w:t> </w:t>
      </w:r>
      <w:r>
        <w:rPr/>
        <w:t>2013).</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Sin embargo Hristov </w:t>
      </w:r>
      <w:r>
        <w:rPr>
          <w:i/>
        </w:rPr>
        <w:t>et al. </w:t>
      </w:r>
      <w:r>
        <w:rPr/>
        <w:t>(2013), indican que en este tema la literatura no es coherente.</w:t>
      </w:r>
      <w:r>
        <w:rPr>
          <w:spacing w:val="-6"/>
        </w:rPr>
        <w:t> </w:t>
      </w:r>
      <w:r>
        <w:rPr/>
        <w:t>Algunos</w:t>
      </w:r>
      <w:r>
        <w:rPr>
          <w:spacing w:val="-6"/>
        </w:rPr>
        <w:t> </w:t>
      </w:r>
      <w:r>
        <w:rPr/>
        <w:t>estudios</w:t>
      </w:r>
      <w:r>
        <w:rPr>
          <w:spacing w:val="-6"/>
        </w:rPr>
        <w:t> </w:t>
      </w:r>
      <w:r>
        <w:rPr/>
        <w:t>no</w:t>
      </w:r>
      <w:r>
        <w:rPr>
          <w:spacing w:val="-6"/>
        </w:rPr>
        <w:t> </w:t>
      </w:r>
      <w:r>
        <w:rPr/>
        <w:t>han</w:t>
      </w:r>
      <w:r>
        <w:rPr>
          <w:spacing w:val="-6"/>
        </w:rPr>
        <w:t> </w:t>
      </w:r>
      <w:r>
        <w:rPr/>
        <w:t>reportado</w:t>
      </w:r>
      <w:r>
        <w:rPr>
          <w:spacing w:val="-6"/>
        </w:rPr>
        <w:t> </w:t>
      </w:r>
      <w:r>
        <w:rPr/>
        <w:t>una</w:t>
      </w:r>
      <w:r>
        <w:rPr>
          <w:spacing w:val="-6"/>
        </w:rPr>
        <w:t> </w:t>
      </w:r>
      <w:r>
        <w:rPr/>
        <w:t>disminución</w:t>
      </w:r>
      <w:r>
        <w:rPr>
          <w:spacing w:val="-6"/>
        </w:rPr>
        <w:t> </w:t>
      </w:r>
      <w:r>
        <w:rPr/>
        <w:t>en</w:t>
      </w:r>
      <w:r>
        <w:rPr>
          <w:spacing w:val="-6"/>
        </w:rPr>
        <w:t> </w:t>
      </w:r>
      <w:r>
        <w:rPr/>
        <w:t>la</w:t>
      </w:r>
      <w:r>
        <w:rPr>
          <w:spacing w:val="-6"/>
        </w:rPr>
        <w:t> </w:t>
      </w:r>
      <w:r>
        <w:rPr/>
        <w:t>producción</w:t>
      </w:r>
      <w:r>
        <w:rPr>
          <w:spacing w:val="-6"/>
        </w:rPr>
        <w:t> </w:t>
      </w:r>
      <w:r>
        <w:rPr/>
        <w:t>de CH</w:t>
      </w:r>
      <w:r>
        <w:rPr>
          <w:position w:val="-2"/>
          <w:sz w:val="16"/>
        </w:rPr>
        <w:t>4 </w:t>
      </w:r>
      <w:r>
        <w:rPr/>
        <w:t>(absoluta o por unidad de CMS) aumentando la proporción de alimentos concentrados (por ejemplo, Beauchemin y McGinn, 2006; Popova </w:t>
      </w:r>
      <w:r>
        <w:rPr>
          <w:i/>
        </w:rPr>
        <w:t>et al.</w:t>
      </w:r>
      <w:r>
        <w:rPr/>
        <w:t>, 2011). En algunos casos, se observó el efecto opuesto, es decir, la producción de CH</w:t>
      </w:r>
      <w:r>
        <w:rPr>
          <w:position w:val="-2"/>
          <w:sz w:val="16"/>
        </w:rPr>
        <w:t>4 </w:t>
      </w:r>
      <w:r>
        <w:rPr/>
        <w:t>aumentó (por unidad de CMS al aumentar la inclusión de concentrado en la ración (Islam </w:t>
      </w:r>
      <w:r>
        <w:rPr>
          <w:i/>
        </w:rPr>
        <w:t>et al.</w:t>
      </w:r>
      <w:r>
        <w:rPr/>
        <w:t>, 2000; McGinn </w:t>
      </w:r>
      <w:r>
        <w:rPr>
          <w:i/>
        </w:rPr>
        <w:t>et al.</w:t>
      </w:r>
      <w:r>
        <w:rPr/>
        <w:t>, 2006; Hristov </w:t>
      </w:r>
      <w:r>
        <w:rPr>
          <w:i/>
        </w:rPr>
        <w:t>et al.</w:t>
      </w:r>
      <w:r>
        <w:rPr/>
        <w:t>,</w:t>
      </w:r>
      <w:r>
        <w:rPr>
          <w:spacing w:val="-13"/>
        </w:rPr>
        <w:t> </w:t>
      </w:r>
      <w:r>
        <w:rPr/>
        <w:t>2013).</w:t>
      </w:r>
    </w:p>
    <w:p>
      <w:pPr>
        <w:pStyle w:val="BodyText"/>
        <w:spacing w:line="357" w:lineRule="auto" w:before="5"/>
        <w:ind w:left="276" w:right="143"/>
        <w:jc w:val="both"/>
      </w:pPr>
      <w:r>
        <w:rPr/>
        <w:t>Ellis </w:t>
      </w:r>
      <w:r>
        <w:rPr>
          <w:i/>
        </w:rPr>
        <w:t>et al. </w:t>
      </w:r>
      <w:r>
        <w:rPr/>
        <w:t>(2010) evaluaron nueve ecuaciones de predicción del CH</w:t>
      </w:r>
      <w:r>
        <w:rPr>
          <w:position w:val="-2"/>
          <w:sz w:val="16"/>
        </w:rPr>
        <w:t>4 </w:t>
      </w:r>
      <w:r>
        <w:rPr/>
        <w:t>que se usan actualmente en modelos para el cálculo de los GEI producidos a nivel integral en</w:t>
      </w:r>
      <w:r>
        <w:rPr>
          <w:spacing w:val="-29"/>
        </w:rPr>
        <w:t> </w:t>
      </w:r>
      <w:r>
        <w:rPr/>
        <w:t>la granja. En este análisis, las ecuaciones que intentan representar aspectos importantes de la composición de la dieta funcionaron mejor que las ecuaciones más generalizadas. La ecuación de Sauvant y Giger-Reverdin (2009) es una predicción empírica del CH</w:t>
      </w:r>
      <w:r>
        <w:rPr>
          <w:position w:val="-2"/>
          <w:sz w:val="16"/>
        </w:rPr>
        <w:t>4</w:t>
      </w:r>
      <w:r>
        <w:rPr/>
        <w:t>, que no incluye como indicadores elementos de la composición química de la dieta. La implicación importante del análisis de Sauvant y Giger-Reverdin (2009), es que resulta poco probable que una variación pequeña y moderada en la proporción del concentrado de la dieta afecte las emisiones de CH</w:t>
      </w:r>
      <w:r>
        <w:rPr>
          <w:position w:val="-2"/>
          <w:sz w:val="16"/>
        </w:rPr>
        <w:t>4 </w:t>
      </w:r>
      <w:r>
        <w:rPr/>
        <w:t>entérico. Como se muestra en la Figura 9, se pueden esperar mejoramientos sustanciales en la tasa Ym a partir de una inclusión del 35 al 40% de granos en la dieta, pero esto también dependerá del nivel de consumo de alimento. El aumento de la proporción de concentrado en la dieta de 0 al 30 o 35% puede aumentar de hecho el Ym. Cabe señalar que, generalmente, el concentrado ofrece más nutrientes digestibles (por unidad de alimento) que los forrajes. Por lo tanto, es probable que el CH</w:t>
      </w:r>
      <w:r>
        <w:rPr>
          <w:position w:val="-2"/>
          <w:sz w:val="16"/>
        </w:rPr>
        <w:t>4 </w:t>
      </w:r>
      <w:r>
        <w:rPr/>
        <w:t>expresado por unidad de producto disminuya (Hristov </w:t>
      </w:r>
      <w:r>
        <w:rPr>
          <w:i/>
        </w:rPr>
        <w:t>et al.</w:t>
      </w:r>
      <w:r>
        <w:rPr/>
        <w:t>, 2013).</w:t>
      </w:r>
    </w:p>
    <w:p>
      <w:pPr>
        <w:pStyle w:val="BodyText"/>
        <w:spacing w:line="357" w:lineRule="auto" w:before="5"/>
        <w:ind w:left="276" w:right="143"/>
        <w:jc w:val="both"/>
      </w:pPr>
      <w:r>
        <w:rPr/>
        <w:t>En general, la inclusión de alimentos concentrados en la dieta de los rumiantes probablemente disminuirá la intensidad de las emisiónes de CH</w:t>
      </w:r>
      <w:r>
        <w:rPr>
          <w:position w:val="-2"/>
          <w:sz w:val="16"/>
        </w:rPr>
        <w:t>4 </w:t>
      </w:r>
      <w:r>
        <w:rPr/>
        <w:t>entérico, especialmente</w:t>
      </w:r>
      <w:r>
        <w:rPr>
          <w:spacing w:val="-13"/>
        </w:rPr>
        <w:t> </w:t>
      </w:r>
      <w:r>
        <w:rPr/>
        <w:t>cuando</w:t>
      </w:r>
      <w:r>
        <w:rPr>
          <w:spacing w:val="-13"/>
        </w:rPr>
        <w:t> </w:t>
      </w:r>
      <w:r>
        <w:rPr/>
        <w:t>es</w:t>
      </w:r>
      <w:r>
        <w:rPr>
          <w:spacing w:val="-13"/>
        </w:rPr>
        <w:t> </w:t>
      </w:r>
      <w:r>
        <w:rPr/>
        <w:t>por</w:t>
      </w:r>
      <w:r>
        <w:rPr>
          <w:spacing w:val="-13"/>
        </w:rPr>
        <w:t> </w:t>
      </w:r>
      <w:r>
        <w:rPr/>
        <w:t>encima</w:t>
      </w:r>
      <w:r>
        <w:rPr>
          <w:spacing w:val="-13"/>
        </w:rPr>
        <w:t> </w:t>
      </w:r>
      <w:r>
        <w:rPr/>
        <w:t>del</w:t>
      </w:r>
      <w:r>
        <w:rPr>
          <w:spacing w:val="-13"/>
        </w:rPr>
        <w:t> </w:t>
      </w:r>
      <w:r>
        <w:rPr/>
        <w:t>35</w:t>
      </w:r>
      <w:r>
        <w:rPr>
          <w:spacing w:val="-13"/>
        </w:rPr>
        <w:t> </w:t>
      </w:r>
      <w:r>
        <w:rPr/>
        <w:t>al</w:t>
      </w:r>
      <w:r>
        <w:rPr>
          <w:spacing w:val="-13"/>
        </w:rPr>
        <w:t> </w:t>
      </w:r>
      <w:r>
        <w:rPr/>
        <w:t>40%</w:t>
      </w:r>
      <w:r>
        <w:rPr>
          <w:spacing w:val="-13"/>
        </w:rPr>
        <w:t> </w:t>
      </w:r>
      <w:r>
        <w:rPr/>
        <w:t>del</w:t>
      </w:r>
      <w:r>
        <w:rPr>
          <w:spacing w:val="-13"/>
        </w:rPr>
        <w:t> </w:t>
      </w:r>
      <w:r>
        <w:rPr/>
        <w:t>CMS.</w:t>
      </w:r>
      <w:r>
        <w:rPr>
          <w:spacing w:val="-13"/>
        </w:rPr>
        <w:t> </w:t>
      </w:r>
      <w:r>
        <w:rPr/>
        <w:t>Sin</w:t>
      </w:r>
      <w:r>
        <w:rPr>
          <w:spacing w:val="-13"/>
        </w:rPr>
        <w:t> </w:t>
      </w:r>
      <w:r>
        <w:rPr/>
        <w:t>embargo,</w:t>
      </w:r>
      <w:r>
        <w:rPr>
          <w:spacing w:val="-13"/>
        </w:rPr>
        <w:t> </w:t>
      </w:r>
      <w:r>
        <w:rPr/>
        <w:t>el</w:t>
      </w:r>
      <w:r>
        <w:rPr>
          <w:spacing w:val="-13"/>
        </w:rPr>
        <w:t> </w:t>
      </w:r>
      <w:r>
        <w:rPr/>
        <w:t>efecto dependerá</w:t>
      </w:r>
      <w:r>
        <w:rPr>
          <w:spacing w:val="-5"/>
        </w:rPr>
        <w:t> </w:t>
      </w:r>
      <w:r>
        <w:rPr/>
        <w:t>del</w:t>
      </w:r>
      <w:r>
        <w:rPr>
          <w:spacing w:val="-5"/>
        </w:rPr>
        <w:t> </w:t>
      </w:r>
      <w:r>
        <w:rPr/>
        <w:t>nivel</w:t>
      </w:r>
      <w:r>
        <w:rPr>
          <w:spacing w:val="-5"/>
        </w:rPr>
        <w:t> </w:t>
      </w:r>
      <w:r>
        <w:rPr/>
        <w:t>de</w:t>
      </w:r>
      <w:r>
        <w:rPr>
          <w:spacing w:val="-5"/>
        </w:rPr>
        <w:t> </w:t>
      </w:r>
      <w:r>
        <w:rPr/>
        <w:t>inclusión,</w:t>
      </w:r>
      <w:r>
        <w:rPr>
          <w:spacing w:val="-5"/>
        </w:rPr>
        <w:t> </w:t>
      </w:r>
      <w:r>
        <w:rPr/>
        <w:t>la</w:t>
      </w:r>
      <w:r>
        <w:rPr>
          <w:spacing w:val="-5"/>
        </w:rPr>
        <w:t> </w:t>
      </w:r>
      <w:r>
        <w:rPr/>
        <w:t>respuesta</w:t>
      </w:r>
      <w:r>
        <w:rPr>
          <w:spacing w:val="-5"/>
        </w:rPr>
        <w:t> </w:t>
      </w:r>
      <w:r>
        <w:rPr/>
        <w:t>en</w:t>
      </w:r>
      <w:r>
        <w:rPr>
          <w:spacing w:val="-5"/>
        </w:rPr>
        <w:t> </w:t>
      </w:r>
      <w:r>
        <w:rPr/>
        <w:t>la</w:t>
      </w:r>
      <w:r>
        <w:rPr>
          <w:spacing w:val="-5"/>
        </w:rPr>
        <w:t> </w:t>
      </w:r>
      <w:r>
        <w:rPr/>
        <w:t>producción,</w:t>
      </w:r>
      <w:r>
        <w:rPr>
          <w:spacing w:val="-5"/>
        </w:rPr>
        <w:t> </w:t>
      </w:r>
      <w:r>
        <w:rPr/>
        <w:t>los</w:t>
      </w:r>
      <w:r>
        <w:rPr>
          <w:spacing w:val="-5"/>
        </w:rPr>
        <w:t> </w:t>
      </w:r>
      <w:r>
        <w:rPr/>
        <w:t>efectos</w:t>
      </w:r>
      <w:r>
        <w:rPr>
          <w:spacing w:val="-5"/>
        </w:rPr>
        <w:t> </w:t>
      </w:r>
      <w:r>
        <w:rPr/>
        <w:t>sobre</w:t>
      </w:r>
      <w:r>
        <w:rPr>
          <w:spacing w:val="-5"/>
        </w:rPr>
        <w:t> </w:t>
      </w:r>
      <w:r>
        <w:rPr/>
        <w:t>la digestibilidad de la fibra, la función del rumen, el contenido de grasa de la leche, el plano</w:t>
      </w:r>
      <w:r>
        <w:rPr>
          <w:spacing w:val="-4"/>
        </w:rPr>
        <w:t> </w:t>
      </w:r>
      <w:r>
        <w:rPr/>
        <w:t>de</w:t>
      </w:r>
      <w:r>
        <w:rPr>
          <w:spacing w:val="-4"/>
        </w:rPr>
        <w:t> </w:t>
      </w:r>
      <w:r>
        <w:rPr/>
        <w:t>nutrición</w:t>
      </w:r>
      <w:r>
        <w:rPr>
          <w:spacing w:val="-4"/>
        </w:rPr>
        <w:t> </w:t>
      </w:r>
      <w:r>
        <w:rPr/>
        <w:t>y</w:t>
      </w:r>
      <w:r>
        <w:rPr>
          <w:spacing w:val="-4"/>
        </w:rPr>
        <w:t> </w:t>
      </w:r>
      <w:r>
        <w:rPr/>
        <w:t>el</w:t>
      </w:r>
      <w:r>
        <w:rPr>
          <w:spacing w:val="-4"/>
        </w:rPr>
        <w:t> </w:t>
      </w:r>
      <w:r>
        <w:rPr/>
        <w:t>tipo</w:t>
      </w:r>
      <w:r>
        <w:rPr>
          <w:spacing w:val="-4"/>
        </w:rPr>
        <w:t> </w:t>
      </w:r>
      <w:r>
        <w:rPr/>
        <w:t>de</w:t>
      </w:r>
      <w:r>
        <w:rPr>
          <w:spacing w:val="-4"/>
        </w:rPr>
        <w:t> </w:t>
      </w:r>
      <w:r>
        <w:rPr/>
        <w:t>grano</w:t>
      </w:r>
      <w:r>
        <w:rPr>
          <w:spacing w:val="-4"/>
        </w:rPr>
        <w:t> </w:t>
      </w:r>
      <w:r>
        <w:rPr/>
        <w:t>y</w:t>
      </w:r>
      <w:r>
        <w:rPr>
          <w:spacing w:val="-4"/>
        </w:rPr>
        <w:t> </w:t>
      </w:r>
      <w:r>
        <w:rPr/>
        <w:t>su</w:t>
      </w:r>
      <w:r>
        <w:rPr>
          <w:spacing w:val="-4"/>
        </w:rPr>
        <w:t> </w:t>
      </w:r>
      <w:r>
        <w:rPr/>
        <w:t>procesamiento.</w:t>
      </w:r>
      <w:r>
        <w:rPr>
          <w:spacing w:val="-4"/>
        </w:rPr>
        <w:t> </w:t>
      </w:r>
      <w:r>
        <w:rPr/>
        <w:t>La</w:t>
      </w:r>
      <w:r>
        <w:rPr>
          <w:spacing w:val="-4"/>
        </w:rPr>
        <w:t> </w:t>
      </w:r>
      <w:r>
        <w:rPr/>
        <w:t>complementación</w:t>
      </w:r>
      <w:r>
        <w:rPr>
          <w:spacing w:val="-4"/>
        </w:rPr>
        <w:t> </w:t>
      </w:r>
      <w:r>
        <w:rPr/>
        <w:t>de</w:t>
      </w:r>
      <w:r>
        <w:rPr>
          <w:spacing w:val="-4"/>
        </w:rPr>
        <w:t> </w:t>
      </w:r>
      <w:r>
        <w:rPr/>
        <w:t>la dieta</w:t>
      </w:r>
      <w:r>
        <w:rPr>
          <w:spacing w:val="49"/>
        </w:rPr>
        <w:t> </w:t>
      </w:r>
      <w:r>
        <w:rPr/>
        <w:t>con</w:t>
      </w:r>
      <w:r>
        <w:rPr>
          <w:spacing w:val="49"/>
        </w:rPr>
        <w:t> </w:t>
      </w:r>
      <w:r>
        <w:rPr/>
        <w:t>pequeñas</w:t>
      </w:r>
      <w:r>
        <w:rPr>
          <w:spacing w:val="49"/>
        </w:rPr>
        <w:t> </w:t>
      </w:r>
      <w:r>
        <w:rPr/>
        <w:t>cantidades</w:t>
      </w:r>
      <w:r>
        <w:rPr>
          <w:spacing w:val="49"/>
        </w:rPr>
        <w:t> </w:t>
      </w:r>
      <w:r>
        <w:rPr/>
        <w:t>de</w:t>
      </w:r>
      <w:r>
        <w:rPr>
          <w:spacing w:val="49"/>
        </w:rPr>
        <w:t> </w:t>
      </w:r>
      <w:r>
        <w:rPr/>
        <w:t>concentrado</w:t>
      </w:r>
      <w:r>
        <w:rPr>
          <w:spacing w:val="49"/>
        </w:rPr>
        <w:t> </w:t>
      </w:r>
      <w:r>
        <w:rPr/>
        <w:t>probablemente</w:t>
      </w:r>
      <w:r>
        <w:rPr>
          <w:spacing w:val="49"/>
        </w:rPr>
        <w:t> </w:t>
      </w:r>
      <w:r>
        <w:rPr/>
        <w:t>incrementará</w:t>
      </w:r>
      <w:r>
        <w:rPr>
          <w:spacing w:val="49"/>
        </w:rPr>
        <w:t> </w:t>
      </w:r>
      <w:r>
        <w:rPr/>
        <w:t>la</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63"/>
        <w:jc w:val="both"/>
      </w:pPr>
      <w:r>
        <w:rPr/>
        <w:t>productividad animal y por lo tanto disminuirá la intensidad de las emisiones de los GEI,</w:t>
      </w:r>
      <w:r>
        <w:rPr>
          <w:spacing w:val="-14"/>
        </w:rPr>
        <w:t> </w:t>
      </w:r>
      <w:r>
        <w:rPr/>
        <w:t>aunque</w:t>
      </w:r>
      <w:r>
        <w:rPr>
          <w:spacing w:val="-14"/>
        </w:rPr>
        <w:t> </w:t>
      </w:r>
      <w:r>
        <w:rPr/>
        <w:t>es</w:t>
      </w:r>
      <w:r>
        <w:rPr>
          <w:spacing w:val="-14"/>
        </w:rPr>
        <w:t> </w:t>
      </w:r>
      <w:r>
        <w:rPr/>
        <w:t>posible</w:t>
      </w:r>
      <w:r>
        <w:rPr>
          <w:spacing w:val="-14"/>
        </w:rPr>
        <w:t> </w:t>
      </w:r>
      <w:r>
        <w:rPr/>
        <w:t>que</w:t>
      </w:r>
      <w:r>
        <w:rPr>
          <w:spacing w:val="-14"/>
        </w:rPr>
        <w:t> </w:t>
      </w:r>
      <w:r>
        <w:rPr/>
        <w:t>no</w:t>
      </w:r>
      <w:r>
        <w:rPr>
          <w:spacing w:val="-14"/>
        </w:rPr>
        <w:t> </w:t>
      </w:r>
      <w:r>
        <w:rPr/>
        <w:t>se</w:t>
      </w:r>
      <w:r>
        <w:rPr>
          <w:spacing w:val="-14"/>
        </w:rPr>
        <w:t> </w:t>
      </w:r>
      <w:r>
        <w:rPr/>
        <w:t>presenten</w:t>
      </w:r>
      <w:r>
        <w:rPr>
          <w:spacing w:val="-14"/>
        </w:rPr>
        <w:t> </w:t>
      </w:r>
      <w:r>
        <w:rPr/>
        <w:t>reducciones</w:t>
      </w:r>
      <w:r>
        <w:rPr>
          <w:spacing w:val="-14"/>
        </w:rPr>
        <w:t> </w:t>
      </w:r>
      <w:r>
        <w:rPr/>
        <w:t>absolutas</w:t>
      </w:r>
      <w:r>
        <w:rPr>
          <w:spacing w:val="-14"/>
        </w:rPr>
        <w:t> </w:t>
      </w:r>
      <w:r>
        <w:rPr/>
        <w:t>de</w:t>
      </w:r>
      <w:r>
        <w:rPr>
          <w:spacing w:val="-14"/>
        </w:rPr>
        <w:t> </w:t>
      </w:r>
      <w:r>
        <w:rPr/>
        <w:t>CH</w:t>
      </w:r>
      <w:r>
        <w:rPr>
          <w:position w:val="-2"/>
          <w:sz w:val="16"/>
        </w:rPr>
        <w:t>4</w:t>
      </w:r>
      <w:r>
        <w:rPr/>
        <w:t>.</w:t>
      </w:r>
      <w:r>
        <w:rPr>
          <w:spacing w:val="-14"/>
        </w:rPr>
        <w:t> </w:t>
      </w:r>
      <w:r>
        <w:rPr/>
        <w:t>A</w:t>
      </w:r>
      <w:r>
        <w:rPr>
          <w:spacing w:val="-14"/>
        </w:rPr>
        <w:t> </w:t>
      </w:r>
      <w:r>
        <w:rPr/>
        <w:t>pesar de</w:t>
      </w:r>
      <w:r>
        <w:rPr>
          <w:spacing w:val="-12"/>
        </w:rPr>
        <w:t> </w:t>
      </w:r>
      <w:r>
        <w:rPr/>
        <w:t>estas</w:t>
      </w:r>
      <w:r>
        <w:rPr>
          <w:spacing w:val="-12"/>
        </w:rPr>
        <w:t> </w:t>
      </w:r>
      <w:r>
        <w:rPr/>
        <w:t>ganancias</w:t>
      </w:r>
      <w:r>
        <w:rPr>
          <w:spacing w:val="-12"/>
        </w:rPr>
        <w:t> </w:t>
      </w:r>
      <w:r>
        <w:rPr/>
        <w:t>potenciales,</w:t>
      </w:r>
      <w:r>
        <w:rPr>
          <w:spacing w:val="-12"/>
        </w:rPr>
        <w:t> </w:t>
      </w:r>
      <w:r>
        <w:rPr/>
        <w:t>es</w:t>
      </w:r>
      <w:r>
        <w:rPr>
          <w:spacing w:val="-12"/>
        </w:rPr>
        <w:t> </w:t>
      </w:r>
      <w:r>
        <w:rPr/>
        <w:t>posible</w:t>
      </w:r>
      <w:r>
        <w:rPr>
          <w:spacing w:val="-12"/>
        </w:rPr>
        <w:t> </w:t>
      </w:r>
      <w:r>
        <w:rPr/>
        <w:t>que</w:t>
      </w:r>
      <w:r>
        <w:rPr>
          <w:spacing w:val="-12"/>
        </w:rPr>
        <w:t> </w:t>
      </w:r>
      <w:r>
        <w:rPr/>
        <w:t>los</w:t>
      </w:r>
      <w:r>
        <w:rPr>
          <w:spacing w:val="-12"/>
        </w:rPr>
        <w:t> </w:t>
      </w:r>
      <w:r>
        <w:rPr/>
        <w:t>concentrados</w:t>
      </w:r>
      <w:r>
        <w:rPr>
          <w:spacing w:val="-12"/>
        </w:rPr>
        <w:t> </w:t>
      </w:r>
      <w:r>
        <w:rPr/>
        <w:t>suplementarios</w:t>
      </w:r>
      <w:r>
        <w:rPr>
          <w:spacing w:val="-12"/>
        </w:rPr>
        <w:t> </w:t>
      </w:r>
      <w:r>
        <w:rPr/>
        <w:t>no sean un sustituto viable de los forrajes de alta calidad. Además, en muchas partes del mundo, esta no sería una opción de mitigación económicamente viable y socialmente aceptable. Diversos metaanálisis exhaustivos han desarrollado ecuaciones basadas en las características del animal, el consumo de alimento y la composición de la dieta que pueden ser útiles en la predicción del efecto de la adición</w:t>
      </w:r>
      <w:r>
        <w:rPr>
          <w:spacing w:val="-11"/>
        </w:rPr>
        <w:t> </w:t>
      </w:r>
      <w:r>
        <w:rPr/>
        <w:t>de</w:t>
      </w:r>
      <w:r>
        <w:rPr>
          <w:spacing w:val="-11"/>
        </w:rPr>
        <w:t> </w:t>
      </w:r>
      <w:r>
        <w:rPr/>
        <w:t>alimentos</w:t>
      </w:r>
      <w:r>
        <w:rPr>
          <w:spacing w:val="-11"/>
        </w:rPr>
        <w:t> </w:t>
      </w:r>
      <w:r>
        <w:rPr/>
        <w:t>concentrados</w:t>
      </w:r>
      <w:r>
        <w:rPr>
          <w:spacing w:val="-11"/>
        </w:rPr>
        <w:t> </w:t>
      </w:r>
      <w:r>
        <w:rPr/>
        <w:t>en</w:t>
      </w:r>
      <w:r>
        <w:rPr>
          <w:spacing w:val="-11"/>
        </w:rPr>
        <w:t> </w:t>
      </w:r>
      <w:r>
        <w:rPr/>
        <w:t>las</w:t>
      </w:r>
      <w:r>
        <w:rPr>
          <w:spacing w:val="-11"/>
        </w:rPr>
        <w:t> </w:t>
      </w:r>
      <w:r>
        <w:rPr/>
        <w:t>emisiones</w:t>
      </w:r>
      <w:r>
        <w:rPr>
          <w:spacing w:val="-11"/>
        </w:rPr>
        <w:t> </w:t>
      </w:r>
      <w:r>
        <w:rPr/>
        <w:t>de</w:t>
      </w:r>
      <w:r>
        <w:rPr>
          <w:spacing w:val="-11"/>
        </w:rPr>
        <w:t> </w:t>
      </w:r>
      <w:r>
        <w:rPr/>
        <w:t>CH</w:t>
      </w:r>
      <w:r>
        <w:rPr>
          <w:position w:val="-2"/>
          <w:sz w:val="16"/>
        </w:rPr>
        <w:t>4</w:t>
      </w:r>
      <w:r>
        <w:rPr>
          <w:spacing w:val="12"/>
          <w:position w:val="-2"/>
          <w:sz w:val="16"/>
        </w:rPr>
        <w:t> </w:t>
      </w:r>
      <w:r>
        <w:rPr/>
        <w:t>de</w:t>
      </w:r>
      <w:r>
        <w:rPr>
          <w:spacing w:val="-11"/>
        </w:rPr>
        <w:t> </w:t>
      </w:r>
      <w:r>
        <w:rPr/>
        <w:t>los</w:t>
      </w:r>
      <w:r>
        <w:rPr>
          <w:spacing w:val="-11"/>
        </w:rPr>
        <w:t> </w:t>
      </w:r>
      <w:r>
        <w:rPr/>
        <w:t>bovinos</w:t>
      </w:r>
      <w:r>
        <w:rPr>
          <w:spacing w:val="-11"/>
        </w:rPr>
        <w:t> </w:t>
      </w:r>
      <w:r>
        <w:rPr/>
        <w:t>de</w:t>
      </w:r>
      <w:r>
        <w:rPr>
          <w:spacing w:val="-11"/>
        </w:rPr>
        <w:t> </w:t>
      </w:r>
      <w:r>
        <w:rPr/>
        <w:t>leche (Hristov </w:t>
      </w:r>
      <w:r>
        <w:rPr>
          <w:i/>
        </w:rPr>
        <w:t>et al.</w:t>
      </w:r>
      <w:r>
        <w:rPr/>
        <w:t>,</w:t>
      </w:r>
      <w:r>
        <w:rPr>
          <w:spacing w:val="-3"/>
        </w:rPr>
        <w:t> </w:t>
      </w:r>
      <w:r>
        <w:rPr/>
        <w:t>2013).</w:t>
      </w:r>
    </w:p>
    <w:p>
      <w:pPr>
        <w:pStyle w:val="BodyText"/>
      </w:pPr>
    </w:p>
    <w:p>
      <w:pPr>
        <w:pStyle w:val="Heading6"/>
        <w:spacing w:line="235" w:lineRule="auto" w:before="146" w:after="8"/>
        <w:ind w:left="2081" w:right="278" w:hanging="1218"/>
      </w:pPr>
      <w:r>
        <w:rPr/>
        <w:pict>
          <v:line style="position:absolute;mso-position-horizontal-relative:page;mso-position-vertical-relative:paragraph;z-index:-308728" from="100.072403pt,22.290754pt" to="184.792403pt,22.290754pt" stroked="true" strokeweight="2.16pt" strokecolor="#943634">
            <w10:wrap type="none"/>
          </v:line>
        </w:pict>
      </w:r>
      <w:r>
        <w:rPr>
          <w:color w:val="943634"/>
        </w:rPr>
        <w:t>Figura 9. </w:t>
      </w:r>
      <w:r>
        <w:rPr/>
        <w:t>Efecto del consumo de alimento y de la proporción de concentrado en la dieta en la tasa de Ym (Energía CH</w:t>
      </w:r>
      <w:r>
        <w:rPr>
          <w:position w:val="-2"/>
          <w:sz w:val="16"/>
        </w:rPr>
        <w:t>4 </w:t>
      </w:r>
      <w:r>
        <w:rPr/>
        <w:t>% de ingestión EB).</w:t>
      </w:r>
    </w:p>
    <w:p>
      <w:pPr>
        <w:pStyle w:val="BodyText"/>
        <w:ind w:left="847"/>
        <w:rPr>
          <w:sz w:val="20"/>
        </w:rPr>
      </w:pPr>
      <w:r>
        <w:rPr>
          <w:sz w:val="20"/>
        </w:rPr>
        <w:drawing>
          <wp:inline distT="0" distB="0" distL="0" distR="0">
            <wp:extent cx="4905090" cy="4546854"/>
            <wp:effectExtent l="0" t="0" r="0" b="0"/>
            <wp:docPr id="17" name="image51.jpeg" descr=""/>
            <wp:cNvGraphicFramePr>
              <a:graphicFrameLocks noChangeAspect="1"/>
            </wp:cNvGraphicFramePr>
            <a:graphic>
              <a:graphicData uri="http://schemas.openxmlformats.org/drawingml/2006/picture">
                <pic:pic>
                  <pic:nvPicPr>
                    <pic:cNvPr id="18" name="image51.jpeg"/>
                    <pic:cNvPicPr/>
                  </pic:nvPicPr>
                  <pic:blipFill>
                    <a:blip r:embed="rId84" cstate="print"/>
                    <a:stretch>
                      <a:fillRect/>
                    </a:stretch>
                  </pic:blipFill>
                  <pic:spPr>
                    <a:xfrm>
                      <a:off x="0" y="0"/>
                      <a:ext cx="4905090" cy="4546854"/>
                    </a:xfrm>
                    <a:prstGeom prst="rect">
                      <a:avLst/>
                    </a:prstGeom>
                  </pic:spPr>
                </pic:pic>
              </a:graphicData>
            </a:graphic>
          </wp:inline>
        </w:drawing>
      </w:r>
      <w:r>
        <w:rPr>
          <w:sz w:val="20"/>
        </w:rPr>
      </w:r>
    </w:p>
    <w:p>
      <w:pPr>
        <w:pStyle w:val="BodyText"/>
        <w:spacing w:before="9"/>
        <w:rPr>
          <w:b/>
          <w:sz w:val="5"/>
        </w:rPr>
      </w:pPr>
      <w:r>
        <w:rPr/>
        <w:pict>
          <v:line style="position:absolute;mso-position-horizontal-relative:page;mso-position-vertical-relative:paragraph;z-index:3280;mso-wrap-distance-left:0;mso-wrap-distance-right:0" from="98.392433pt,6.389995pt" to="543.112403pt,6.389995pt" stroked="true" strokeweight="2.160010pt" strokecolor="#943634">
            <w10:wrap type="topAndBottom"/>
          </v:line>
        </w:pict>
      </w:r>
    </w:p>
    <w:p>
      <w:pPr>
        <w:spacing w:before="0"/>
        <w:ind w:left="276" w:right="0" w:firstLine="0"/>
        <w:jc w:val="both"/>
        <w:rPr>
          <w:sz w:val="19"/>
        </w:rPr>
      </w:pPr>
      <w:r>
        <w:rPr>
          <w:b/>
          <w:w w:val="105"/>
          <w:sz w:val="19"/>
        </w:rPr>
        <w:t>Fuente: </w:t>
      </w:r>
      <w:r>
        <w:rPr>
          <w:w w:val="105"/>
          <w:sz w:val="19"/>
        </w:rPr>
        <w:t>Sauvant y Ginger-Reverdin, 2009.</w:t>
      </w:r>
    </w:p>
    <w:p>
      <w:pPr>
        <w:spacing w:after="0"/>
        <w:jc w:val="both"/>
        <w:rPr>
          <w:sz w:val="19"/>
        </w:rPr>
        <w:sectPr>
          <w:pgSz w:w="12240" w:h="15840"/>
          <w:pgMar w:header="741" w:footer="739" w:top="1220" w:bottom="920" w:left="1720" w:right="1240"/>
        </w:sectPr>
      </w:pPr>
    </w:p>
    <w:p>
      <w:pPr>
        <w:pStyle w:val="BodyText"/>
        <w:rPr>
          <w:sz w:val="13"/>
        </w:rPr>
      </w:pPr>
    </w:p>
    <w:p>
      <w:pPr>
        <w:pStyle w:val="Heading2"/>
        <w:ind w:left="276" w:firstLine="0"/>
      </w:pPr>
      <w:bookmarkStart w:name="_TOC_250011" w:id="19"/>
      <w:r>
        <w:rPr/>
        <w:t>6.9. Prácticas para la mitigación de CH</w:t>
      </w:r>
      <w:r>
        <w:rPr>
          <w:position w:val="-3"/>
          <w:sz w:val="20"/>
        </w:rPr>
        <w:t>4     </w:t>
      </w:r>
      <w:bookmarkEnd w:id="19"/>
      <w:r>
        <w:rPr/>
        <w:t>entérico</w:t>
      </w:r>
    </w:p>
    <w:p>
      <w:pPr>
        <w:pStyle w:val="BodyText"/>
        <w:spacing w:before="7"/>
        <w:rPr>
          <w:b/>
          <w:sz w:val="34"/>
        </w:rPr>
      </w:pPr>
    </w:p>
    <w:p>
      <w:pPr>
        <w:pStyle w:val="BodyText"/>
        <w:spacing w:line="355" w:lineRule="auto"/>
        <w:ind w:left="276" w:right="143"/>
        <w:jc w:val="both"/>
      </w:pPr>
      <w:r>
        <w:rPr/>
        <w:t>Diversas revisiones sobre las tecnologías de mitigación del CH</w:t>
      </w:r>
      <w:r>
        <w:rPr>
          <w:position w:val="-2"/>
          <w:sz w:val="16"/>
        </w:rPr>
        <w:t>4 </w:t>
      </w:r>
      <w:r>
        <w:rPr/>
        <w:t>entérico de los rumiantes</w:t>
      </w:r>
      <w:r>
        <w:rPr>
          <w:spacing w:val="-8"/>
        </w:rPr>
        <w:t> </w:t>
      </w:r>
      <w:r>
        <w:rPr/>
        <w:t>y</w:t>
      </w:r>
      <w:r>
        <w:rPr>
          <w:spacing w:val="-8"/>
        </w:rPr>
        <w:t> </w:t>
      </w:r>
      <w:r>
        <w:rPr/>
        <w:t>de</w:t>
      </w:r>
      <w:r>
        <w:rPr>
          <w:spacing w:val="-8"/>
        </w:rPr>
        <w:t> </w:t>
      </w:r>
      <w:r>
        <w:rPr/>
        <w:t>la</w:t>
      </w:r>
      <w:r>
        <w:rPr>
          <w:spacing w:val="-8"/>
        </w:rPr>
        <w:t> </w:t>
      </w:r>
      <w:r>
        <w:rPr/>
        <w:t>sostenibilidad</w:t>
      </w:r>
      <w:r>
        <w:rPr>
          <w:spacing w:val="-8"/>
        </w:rPr>
        <w:t> </w:t>
      </w:r>
      <w:r>
        <w:rPr/>
        <w:t>integral</w:t>
      </w:r>
      <w:r>
        <w:rPr>
          <w:spacing w:val="-8"/>
        </w:rPr>
        <w:t> </w:t>
      </w:r>
      <w:r>
        <w:rPr/>
        <w:t>de</w:t>
      </w:r>
      <w:r>
        <w:rPr>
          <w:spacing w:val="-8"/>
        </w:rPr>
        <w:t> </w:t>
      </w:r>
      <w:r>
        <w:rPr/>
        <w:t>la</w:t>
      </w:r>
      <w:r>
        <w:rPr>
          <w:spacing w:val="-8"/>
        </w:rPr>
        <w:t> </w:t>
      </w:r>
      <w:r>
        <w:rPr/>
        <w:t>granja</w:t>
      </w:r>
      <w:r>
        <w:rPr>
          <w:spacing w:val="-8"/>
        </w:rPr>
        <w:t> </w:t>
      </w:r>
      <w:r>
        <w:rPr/>
        <w:t>ya</w:t>
      </w:r>
      <w:r>
        <w:rPr>
          <w:spacing w:val="-8"/>
        </w:rPr>
        <w:t> </w:t>
      </w:r>
      <w:r>
        <w:rPr/>
        <w:t>han</w:t>
      </w:r>
      <w:r>
        <w:rPr>
          <w:spacing w:val="-8"/>
        </w:rPr>
        <w:t> </w:t>
      </w:r>
      <w:r>
        <w:rPr/>
        <w:t>sido</w:t>
      </w:r>
      <w:r>
        <w:rPr>
          <w:spacing w:val="-8"/>
        </w:rPr>
        <w:t> </w:t>
      </w:r>
      <w:r>
        <w:rPr/>
        <w:t>publicadas.</w:t>
      </w:r>
      <w:r>
        <w:rPr>
          <w:spacing w:val="-8"/>
        </w:rPr>
        <w:t> </w:t>
      </w:r>
      <w:r>
        <w:rPr/>
        <w:t>Debido a</w:t>
      </w:r>
      <w:r>
        <w:rPr>
          <w:spacing w:val="-13"/>
        </w:rPr>
        <w:t> </w:t>
      </w:r>
      <w:r>
        <w:rPr/>
        <w:t>que</w:t>
      </w:r>
      <w:r>
        <w:rPr>
          <w:spacing w:val="-13"/>
        </w:rPr>
        <w:t> </w:t>
      </w:r>
      <w:r>
        <w:rPr/>
        <w:t>las</w:t>
      </w:r>
      <w:r>
        <w:rPr>
          <w:spacing w:val="-13"/>
        </w:rPr>
        <w:t> </w:t>
      </w:r>
      <w:r>
        <w:rPr/>
        <w:t>emisiones</w:t>
      </w:r>
      <w:r>
        <w:rPr>
          <w:spacing w:val="-13"/>
        </w:rPr>
        <w:t> </w:t>
      </w:r>
      <w:r>
        <w:rPr/>
        <w:t>de</w:t>
      </w:r>
      <w:r>
        <w:rPr>
          <w:spacing w:val="-13"/>
        </w:rPr>
        <w:t> </w:t>
      </w:r>
      <w:r>
        <w:rPr/>
        <w:t>los</w:t>
      </w:r>
      <w:r>
        <w:rPr>
          <w:spacing w:val="-13"/>
        </w:rPr>
        <w:t> </w:t>
      </w:r>
      <w:r>
        <w:rPr/>
        <w:t>GEI</w:t>
      </w:r>
      <w:r>
        <w:rPr>
          <w:spacing w:val="-13"/>
        </w:rPr>
        <w:t> </w:t>
      </w:r>
      <w:r>
        <w:rPr/>
        <w:t>de</w:t>
      </w:r>
      <w:r>
        <w:rPr>
          <w:spacing w:val="-13"/>
        </w:rPr>
        <w:t> </w:t>
      </w:r>
      <w:r>
        <w:rPr/>
        <w:t>estas</w:t>
      </w:r>
      <w:r>
        <w:rPr>
          <w:spacing w:val="-13"/>
        </w:rPr>
        <w:t> </w:t>
      </w:r>
      <w:r>
        <w:rPr/>
        <w:t>especies</w:t>
      </w:r>
      <w:r>
        <w:rPr>
          <w:spacing w:val="-13"/>
        </w:rPr>
        <w:t> </w:t>
      </w:r>
      <w:r>
        <w:rPr/>
        <w:t>representan</w:t>
      </w:r>
      <w:r>
        <w:rPr>
          <w:spacing w:val="-13"/>
        </w:rPr>
        <w:t> </w:t>
      </w:r>
      <w:r>
        <w:rPr/>
        <w:t>más</w:t>
      </w:r>
      <w:r>
        <w:rPr>
          <w:spacing w:val="-13"/>
        </w:rPr>
        <w:t> </w:t>
      </w:r>
      <w:r>
        <w:rPr/>
        <w:t>del</w:t>
      </w:r>
      <w:r>
        <w:rPr>
          <w:spacing w:val="-13"/>
        </w:rPr>
        <w:t> </w:t>
      </w:r>
      <w:r>
        <w:rPr/>
        <w:t>75%</w:t>
      </w:r>
      <w:r>
        <w:rPr>
          <w:spacing w:val="-13"/>
        </w:rPr>
        <w:t> </w:t>
      </w:r>
      <w:r>
        <w:rPr/>
        <w:t>del</w:t>
      </w:r>
      <w:r>
        <w:rPr>
          <w:spacing w:val="-13"/>
        </w:rPr>
        <w:t> </w:t>
      </w:r>
      <w:r>
        <w:rPr/>
        <w:t>total de las emisiones de CO</w:t>
      </w:r>
      <w:r>
        <w:rPr>
          <w:position w:val="-2"/>
          <w:sz w:val="16"/>
        </w:rPr>
        <w:t>2</w:t>
      </w:r>
      <w:r>
        <w:rPr/>
        <w:t>-eq provenientes del ganado (Steinfeld </w:t>
      </w:r>
      <w:r>
        <w:rPr>
          <w:i/>
        </w:rPr>
        <w:t>et al.</w:t>
      </w:r>
      <w:r>
        <w:rPr/>
        <w:t>, 2009).</w:t>
      </w:r>
      <w:r>
        <w:rPr>
          <w:spacing w:val="-40"/>
        </w:rPr>
        <w:t> </w:t>
      </w:r>
      <w:r>
        <w:rPr/>
        <w:t>Prado </w:t>
      </w:r>
      <w:r>
        <w:rPr>
          <w:i/>
        </w:rPr>
        <w:t>et al. </w:t>
      </w:r>
      <w:r>
        <w:rPr/>
        <w:t>(2010), concluye que las implicaciones de las diversas interacciones entre</w:t>
      </w:r>
      <w:r>
        <w:rPr>
          <w:spacing w:val="-15"/>
        </w:rPr>
        <w:t> </w:t>
      </w:r>
      <w:r>
        <w:rPr/>
        <w:t>las prácticas de mitigación se pueden entender mejor a través del análisis de ciclo de vida (ACV) (Hristov </w:t>
      </w:r>
      <w:r>
        <w:rPr>
          <w:i/>
        </w:rPr>
        <w:t>et al.</w:t>
      </w:r>
      <w:r>
        <w:rPr/>
        <w:t>,</w:t>
      </w:r>
      <w:r>
        <w:rPr>
          <w:spacing w:val="-6"/>
        </w:rPr>
        <w:t> </w:t>
      </w:r>
      <w:r>
        <w:rPr/>
        <w:t>2013).</w:t>
      </w:r>
    </w:p>
    <w:p>
      <w:pPr>
        <w:pStyle w:val="BodyText"/>
        <w:spacing w:line="357" w:lineRule="auto" w:before="8"/>
        <w:ind w:left="276" w:right="143"/>
        <w:jc w:val="both"/>
      </w:pPr>
      <w:r>
        <w:rPr/>
        <w:t>Algunas prácticas de mitigación de CH</w:t>
      </w:r>
      <w:r>
        <w:rPr>
          <w:position w:val="-2"/>
          <w:sz w:val="16"/>
        </w:rPr>
        <w:t>4 </w:t>
      </w:r>
      <w:r>
        <w:rPr/>
        <w:t>entérico consisten en el aumento de la digestibilidad del forraje y del consumo de forraje digestible reducirá generalmente las emisiones de GEI provenientes de la fermentación ruminal (y del estiércol almacenado),</w:t>
      </w:r>
      <w:r>
        <w:rPr>
          <w:spacing w:val="-8"/>
        </w:rPr>
        <w:t> </w:t>
      </w:r>
      <w:r>
        <w:rPr/>
        <w:t>cuando</w:t>
      </w:r>
      <w:r>
        <w:rPr>
          <w:spacing w:val="-8"/>
        </w:rPr>
        <w:t> </w:t>
      </w:r>
      <w:r>
        <w:rPr/>
        <w:t>se</w:t>
      </w:r>
      <w:r>
        <w:rPr>
          <w:spacing w:val="-8"/>
        </w:rPr>
        <w:t> </w:t>
      </w:r>
      <w:r>
        <w:rPr/>
        <w:t>miden</w:t>
      </w:r>
      <w:r>
        <w:rPr>
          <w:spacing w:val="-8"/>
        </w:rPr>
        <w:t> </w:t>
      </w:r>
      <w:r>
        <w:rPr/>
        <w:t>en</w:t>
      </w:r>
      <w:r>
        <w:rPr>
          <w:spacing w:val="-8"/>
        </w:rPr>
        <w:t> </w:t>
      </w:r>
      <w:r>
        <w:rPr/>
        <w:t>relación</w:t>
      </w:r>
      <w:r>
        <w:rPr>
          <w:spacing w:val="-8"/>
        </w:rPr>
        <w:t> </w:t>
      </w:r>
      <w:r>
        <w:rPr/>
        <w:t>con</w:t>
      </w:r>
      <w:r>
        <w:rPr>
          <w:spacing w:val="-8"/>
        </w:rPr>
        <w:t> </w:t>
      </w:r>
      <w:r>
        <w:rPr/>
        <w:t>la</w:t>
      </w:r>
      <w:r>
        <w:rPr>
          <w:spacing w:val="-8"/>
        </w:rPr>
        <w:t> </w:t>
      </w:r>
      <w:r>
        <w:rPr/>
        <w:t>unidad</w:t>
      </w:r>
      <w:r>
        <w:rPr>
          <w:spacing w:val="-8"/>
        </w:rPr>
        <w:t> </w:t>
      </w:r>
      <w:r>
        <w:rPr/>
        <w:t>de</w:t>
      </w:r>
      <w:r>
        <w:rPr>
          <w:spacing w:val="-8"/>
        </w:rPr>
        <w:t> </w:t>
      </w:r>
      <w:r>
        <w:rPr/>
        <w:t>producto</w:t>
      </w:r>
      <w:r>
        <w:rPr>
          <w:spacing w:val="-8"/>
        </w:rPr>
        <w:t> </w:t>
      </w:r>
      <w:r>
        <w:rPr/>
        <w:t>animal.</w:t>
      </w:r>
      <w:r>
        <w:rPr>
          <w:spacing w:val="-8"/>
        </w:rPr>
        <w:t> </w:t>
      </w:r>
      <w:r>
        <w:rPr/>
        <w:t>Estas son prácticas de reducción altamente recomendables (Figuras 10 y 11). Por ejemplo, las emisiones de CH</w:t>
      </w:r>
      <w:r>
        <w:rPr>
          <w:position w:val="-2"/>
          <w:sz w:val="16"/>
        </w:rPr>
        <w:t>4 </w:t>
      </w:r>
      <w:r>
        <w:rPr/>
        <w:t>entérico se pueden disminuir cuando en la dieta el maíz ensilado sustituye los pastos ensilados. Las leguminosas ensiladas pueden tener una ventaja sobre los pastos ensilados debido a su contenido menor de fibra y al beneficio adicional de reemplazar los fertilizantes nitrogenados inorgánicos.</w:t>
      </w:r>
      <w:r>
        <w:rPr>
          <w:spacing w:val="-31"/>
        </w:rPr>
        <w:t> </w:t>
      </w:r>
      <w:r>
        <w:rPr/>
        <w:t>Un ensilaje eficiente mejorará la calidad del forraje en la granja y reducirá la</w:t>
      </w:r>
      <w:r>
        <w:rPr>
          <w:spacing w:val="-26"/>
        </w:rPr>
        <w:t> </w:t>
      </w:r>
      <w:r>
        <w:rPr/>
        <w:t>intensidad de emisión de los GEI. La introducción de leguminosas en las praderas de gramíneas de las regiones cálidas puede ofrecer una posibilidad de mitigación, aunque es necesario más investigación sobre los desafíos asociados a los</w:t>
      </w:r>
      <w:r>
        <w:rPr>
          <w:spacing w:val="-11"/>
        </w:rPr>
        <w:t> </w:t>
      </w:r>
      <w:r>
        <w:rPr/>
        <w:t>asuntos agronómicos</w:t>
      </w:r>
      <w:r>
        <w:rPr>
          <w:spacing w:val="-7"/>
        </w:rPr>
        <w:t> </w:t>
      </w:r>
      <w:r>
        <w:rPr/>
        <w:t>y</w:t>
      </w:r>
      <w:r>
        <w:rPr>
          <w:spacing w:val="-7"/>
        </w:rPr>
        <w:t> </w:t>
      </w:r>
      <w:r>
        <w:rPr/>
        <w:t>a</w:t>
      </w:r>
      <w:r>
        <w:rPr>
          <w:spacing w:val="-7"/>
        </w:rPr>
        <w:t> </w:t>
      </w:r>
      <w:r>
        <w:rPr/>
        <w:t>las</w:t>
      </w:r>
      <w:r>
        <w:rPr>
          <w:spacing w:val="-7"/>
        </w:rPr>
        <w:t> </w:t>
      </w:r>
      <w:r>
        <w:rPr/>
        <w:t>emisiones</w:t>
      </w:r>
      <w:r>
        <w:rPr>
          <w:spacing w:val="-7"/>
        </w:rPr>
        <w:t> </w:t>
      </w:r>
      <w:r>
        <w:rPr/>
        <w:t>comparativas</w:t>
      </w:r>
      <w:r>
        <w:rPr>
          <w:spacing w:val="-7"/>
        </w:rPr>
        <w:t> </w:t>
      </w:r>
      <w:r>
        <w:rPr/>
        <w:t>de</w:t>
      </w:r>
      <w:r>
        <w:rPr>
          <w:spacing w:val="-7"/>
        </w:rPr>
        <w:t> </w:t>
      </w:r>
      <w:r>
        <w:rPr/>
        <w:t>N</w:t>
      </w:r>
      <w:r>
        <w:rPr>
          <w:position w:val="-2"/>
          <w:sz w:val="16"/>
        </w:rPr>
        <w:t>2</w:t>
      </w:r>
      <w:r>
        <w:rPr/>
        <w:t>O,</w:t>
      </w:r>
      <w:r>
        <w:rPr>
          <w:spacing w:val="-7"/>
        </w:rPr>
        <w:t> </w:t>
      </w:r>
      <w:r>
        <w:rPr/>
        <w:t>con</w:t>
      </w:r>
      <w:r>
        <w:rPr>
          <w:spacing w:val="-7"/>
        </w:rPr>
        <w:t> </w:t>
      </w:r>
      <w:r>
        <w:rPr/>
        <w:t>los</w:t>
      </w:r>
      <w:r>
        <w:rPr>
          <w:spacing w:val="-7"/>
        </w:rPr>
        <w:t> </w:t>
      </w:r>
      <w:r>
        <w:rPr/>
        <w:t>niveles</w:t>
      </w:r>
      <w:r>
        <w:rPr>
          <w:spacing w:val="-7"/>
        </w:rPr>
        <w:t> </w:t>
      </w:r>
      <w:r>
        <w:rPr/>
        <w:t>de</w:t>
      </w:r>
      <w:r>
        <w:rPr>
          <w:spacing w:val="-7"/>
        </w:rPr>
        <w:t> </w:t>
      </w:r>
      <w:r>
        <w:rPr/>
        <w:t>producción equivalentes obtenidos con fertilizantes nitrogenados (Hristov </w:t>
      </w:r>
      <w:r>
        <w:rPr>
          <w:i/>
        </w:rPr>
        <w:t>et al.</w:t>
      </w:r>
      <w:r>
        <w:rPr/>
        <w:t>,</w:t>
      </w:r>
      <w:r>
        <w:rPr>
          <w:spacing w:val="-6"/>
        </w:rPr>
        <w:t> </w:t>
      </w:r>
      <w:r>
        <w:rPr/>
        <w:t>2013).</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Heading6"/>
        <w:spacing w:before="69"/>
        <w:ind w:left="2081" w:right="278" w:hanging="1352"/>
      </w:pPr>
      <w:r>
        <w:rPr/>
        <w:pict>
          <v:line style="position:absolute;mso-position-horizontal-relative:page;mso-position-vertical-relative:paragraph;z-index:-308680" from="100.072403pt,18.665882pt" to="184.792403pt,18.665882pt" stroked="true" strokeweight="2.16pt" strokecolor="#943634">
            <w10:wrap type="none"/>
          </v:line>
        </w:pict>
      </w:r>
      <w:r>
        <w:rPr>
          <w:color w:val="943634"/>
        </w:rPr>
        <w:t>Figura 10. </w:t>
      </w:r>
      <w:r>
        <w:rPr/>
        <w:t>Estimaciones en la reducción del potencial de metano entérico y del óxido nitroso con la adopción de estrategias de reducción de las emisiones de GEI.</w:t>
      </w:r>
    </w:p>
    <w:p>
      <w:pPr>
        <w:pStyle w:val="BodyText"/>
        <w:rPr>
          <w:b/>
          <w:sz w:val="20"/>
        </w:rPr>
      </w:pPr>
    </w:p>
    <w:p>
      <w:pPr>
        <w:pStyle w:val="BodyText"/>
        <w:rPr>
          <w:b/>
          <w:sz w:val="20"/>
        </w:rPr>
      </w:pPr>
    </w:p>
    <w:p>
      <w:pPr>
        <w:pStyle w:val="BodyText"/>
        <w:rPr>
          <w:b/>
          <w:sz w:val="23"/>
        </w:rPr>
      </w:pPr>
    </w:p>
    <w:p>
      <w:pPr>
        <w:spacing w:before="70"/>
        <w:ind w:left="1340" w:right="1069" w:firstLine="0"/>
        <w:jc w:val="center"/>
        <w:rPr>
          <w:b/>
          <w:sz w:val="24"/>
        </w:rPr>
      </w:pPr>
      <w:r>
        <w:rPr/>
        <w:pict>
          <v:group style="position:absolute;margin-left:121.432404pt;margin-top:-4.924113pt;width:407.55pt;height:394.1pt;mso-position-horizontal-relative:page;mso-position-vertical-relative:paragraph;z-index:-308656" coordorigin="2429,-98" coordsize="8151,7882">
            <v:line style="position:absolute" from="6881,7255" to="6881,5587" stroked="true" strokeweight=".72pt" strokecolor="#000000"/>
            <v:shape style="position:absolute;left:6885;top:5878;width:167;height:120" type="#_x0000_t75" stroked="false">
              <v:imagedata r:id="rId86" o:title=""/>
            </v:shape>
            <v:shape style="position:absolute;left:6885;top:6199;width:167;height:120" type="#_x0000_t75" stroked="false">
              <v:imagedata r:id="rId87" o:title=""/>
            </v:shape>
            <v:shape style="position:absolute;left:6885;top:6516;width:167;height:120" type="#_x0000_t75" stroked="false">
              <v:imagedata r:id="rId87" o:title=""/>
            </v:shape>
            <v:shape style="position:absolute;left:6885;top:6823;width:167;height:120" type="#_x0000_t75" stroked="false">
              <v:imagedata r:id="rId87" o:title=""/>
            </v:shape>
            <v:shape style="position:absolute;left:6885;top:7188;width:167;height:120" type="#_x0000_t75" stroked="false">
              <v:imagedata r:id="rId87" o:title=""/>
            </v:shape>
            <v:shape style="position:absolute;left:3672;top:6276;width:3269;height:235" type="#_x0000_t75" stroked="false">
              <v:imagedata r:id="rId88" o:title=""/>
            </v:shape>
            <v:shape style="position:absolute;left:3677;top:6660;width:3000;height:230" type="#_x0000_t75" stroked="false">
              <v:imagedata r:id="rId89" o:title=""/>
            </v:shape>
            <v:shape style="position:absolute;left:5213;top:-98;width:2568;height:605" type="#_x0000_t75" stroked="false">
              <v:imagedata r:id="rId90" o:title=""/>
            </v:shape>
            <v:shape style="position:absolute;left:5280;top:41;width:2434;height:326" type="#_x0000_t75" stroked="false">
              <v:imagedata r:id="rId91" o:title=""/>
            </v:shape>
            <v:line style="position:absolute" from="6509,526" to="6509,901" stroked="true" strokeweight=".96pt" strokecolor="#000000"/>
            <v:line style="position:absolute" from="9400,900" to="3509,901" stroked="true" strokeweight=".96pt" strokecolor="#000000"/>
            <v:shape style="position:absolute;left:2429;top:1236;width:2328;height:720" type="#_x0000_t75" stroked="false">
              <v:imagedata r:id="rId92" o:title=""/>
            </v:shape>
            <v:shape style="position:absolute;left:2501;top:1274;width:2184;height:576" type="#_x0000_t75" stroked="false">
              <v:imagedata r:id="rId93" o:title=""/>
            </v:shape>
            <v:shape style="position:absolute;left:2544;top:1385;width:2098;height:350" type="#_x0000_t75" stroked="false">
              <v:imagedata r:id="rId94" o:title=""/>
            </v:shape>
            <v:line style="position:absolute" from="3509,900" to="3510,1276" stroked="true" strokeweight=".96pt" strokecolor="#000000"/>
            <v:shape style="position:absolute;left:8251;top:1236;width:2328;height:720" type="#_x0000_t75" stroked="false">
              <v:imagedata r:id="rId92" o:title=""/>
            </v:shape>
            <v:shape style="position:absolute;left:8323;top:1274;width:2184;height:576" type="#_x0000_t75" stroked="false">
              <v:imagedata r:id="rId95" o:title=""/>
            </v:shape>
            <v:shape style="position:absolute;left:8366;top:1385;width:2098;height:350" type="#_x0000_t75" stroked="false">
              <v:imagedata r:id="rId94" o:title=""/>
            </v:shape>
            <v:line style="position:absolute" from="9413,900" to="9414,1276" stroked="true" strokeweight=".96pt" strokecolor="#000000"/>
            <v:shape style="position:absolute;left:3422;top:3022;width:2246;height:235" type="#_x0000_t75" stroked="false">
              <v:imagedata r:id="rId96" o:title=""/>
            </v:shape>
            <v:shape style="position:absolute;left:3276;top:3036;width:167;height:120" type="#_x0000_t75" stroked="false">
              <v:imagedata r:id="rId86" o:title=""/>
            </v:shape>
            <v:shape style="position:absolute;left:3422;top:3358;width:2755;height:230" type="#_x0000_t75" stroked="false">
              <v:imagedata r:id="rId97" o:title=""/>
            </v:shape>
            <v:shape style="position:absolute;left:3276;top:3367;width:167;height:120" type="#_x0000_t75" stroked="false">
              <v:imagedata r:id="rId87" o:title=""/>
            </v:shape>
            <v:shape style="position:absolute;left:3422;top:4025;width:3019;height:211" type="#_x0000_t75" stroked="false">
              <v:imagedata r:id="rId98" o:title=""/>
            </v:shape>
            <v:shape style="position:absolute;left:3266;top:4073;width:167;height:120" type="#_x0000_t75" stroked="false">
              <v:imagedata r:id="rId99" o:title=""/>
            </v:shape>
            <v:shape style="position:absolute;left:3276;top:3703;width:167;height:120" type="#_x0000_t75" stroked="false">
              <v:imagedata r:id="rId87" o:title=""/>
            </v:shape>
            <v:line style="position:absolute" from="3261,2640" to="3261,4141" stroked="true" strokeweight=".72pt" strokecolor="#000000"/>
            <v:shape style="position:absolute;left:3422;top:3689;width:3571;height:216" type="#_x0000_t75" stroked="false">
              <v:imagedata r:id="rId100" o:title=""/>
            </v:shape>
            <v:shape style="position:absolute;left:6785;top:3060;width:167;height:120" type="#_x0000_t75" stroked="false">
              <v:imagedata r:id="rId86" o:title=""/>
            </v:shape>
            <v:shape style="position:absolute;left:6785;top:3391;width:167;height:120" type="#_x0000_t75" stroked="false">
              <v:imagedata r:id="rId87" o:title=""/>
            </v:shape>
            <v:shape style="position:absolute;left:6785;top:3727;width:167;height:120" type="#_x0000_t75" stroked="false">
              <v:imagedata r:id="rId87" o:title=""/>
            </v:shape>
            <v:shape style="position:absolute;left:6785;top:4059;width:167;height:120" type="#_x0000_t75" stroked="false">
              <v:imagedata r:id="rId87" o:title=""/>
            </v:shape>
            <v:line style="position:absolute" from="6785,2784" to="6785,4119" stroked="true" strokeweight=".72pt" strokecolor="#000000"/>
            <v:shape style="position:absolute;left:6989;top:3022;width:3000;height:192" type="#_x0000_t75" stroked="false">
              <v:imagedata r:id="rId101" o:title=""/>
            </v:shape>
            <v:shape style="position:absolute;left:6989;top:3358;width:3293;height:187" type="#_x0000_t75" stroked="false">
              <v:imagedata r:id="rId102" o:title=""/>
            </v:shape>
            <v:shape style="position:absolute;left:6989;top:3689;width:3499;height:158" type="#_x0000_t75" stroked="false">
              <v:imagedata r:id="rId103" o:title=""/>
            </v:shape>
            <v:shape style="position:absolute;left:6989;top:4025;width:3293;height:269" type="#_x0000_t75" stroked="false">
              <v:imagedata r:id="rId104" o:title=""/>
            </v:shape>
            <v:line style="position:absolute" from="10334,1841" to="10350,5207" stroked="true" strokeweight=".96pt" strokecolor="#000000"/>
            <v:shape style="position:absolute;left:6605;top:1956;width:3749;height:917" type="#_x0000_t75" stroked="false">
              <v:imagedata r:id="rId105" o:title=""/>
            </v:shape>
            <v:shape style="position:absolute;left:6686;top:2110;width:3250;height:610" type="#_x0000_t75" stroked="false">
              <v:imagedata r:id="rId106" o:title=""/>
            </v:shape>
            <v:shape style="position:absolute;left:6662;top:4764;width:3240;height:869" type="#_x0000_t75" stroked="false">
              <v:imagedata r:id="rId107" o:title=""/>
            </v:shape>
            <v:shape style="position:absolute;left:6744;top:4918;width:3077;height:562" type="#_x0000_t75" stroked="false">
              <v:imagedata r:id="rId108" o:title=""/>
            </v:shape>
            <v:line style="position:absolute" from="9883,5198" to="10349,5196" stroked="true" strokeweight=".96pt" strokecolor="#000000"/>
            <v:shape style="position:absolute;left:7008;top:5858;width:3005;height:312" type="#_x0000_t75" stroked="false">
              <v:imagedata r:id="rId109" o:title=""/>
            </v:shape>
            <v:shape style="position:absolute;left:7008;top:6425;width:3005;height:355" type="#_x0000_t75" stroked="false">
              <v:imagedata r:id="rId110" o:title=""/>
            </v:shape>
            <v:shape style="position:absolute;left:6989;top:6132;width:3250;height:317" type="#_x0000_t75" stroked="false">
              <v:imagedata r:id="rId111" o:title=""/>
            </v:shape>
            <v:shape style="position:absolute;left:7008;top:7178;width:3336;height:605" type="#_x0000_t75" stroked="false">
              <v:imagedata r:id="rId112" o:title=""/>
            </v:shape>
            <v:shape style="position:absolute;left:7008;top:6756;width:3005;height:355" type="#_x0000_t75" stroked="false">
              <v:imagedata r:id="rId110" o:title=""/>
            </v:shape>
            <v:line style="position:absolute" from="2676,1826" to="2673,5205" stroked="true" strokeweight=".96pt" strokecolor="#000000"/>
            <v:shape style="position:absolute;left:2673;top:1956;width:3826;height:912" type="#_x0000_t75" stroked="false">
              <v:imagedata r:id="rId113" o:title=""/>
            </v:shape>
            <v:shape style="position:absolute;left:3235;top:2110;width:3182;height:605" type="#_x0000_t75" stroked="false">
              <v:imagedata r:id="rId114" o:title=""/>
            </v:shape>
            <v:line style="position:absolute" from="3509,5618" to="3510,7113" stroked="true" strokeweight=".48pt" strokecolor="#000000"/>
            <v:shape style="position:absolute;left:3509;top:6298;width:167;height:120" type="#_x0000_t75" stroked="false">
              <v:imagedata r:id="rId87" o:title=""/>
            </v:shape>
            <v:shape style="position:absolute;left:3509;top:6682;width:167;height:120" type="#_x0000_t75" stroked="false">
              <v:imagedata r:id="rId87" o:title=""/>
            </v:shape>
            <v:shape style="position:absolute;left:3509;top:7061;width:167;height:120" type="#_x0000_t75" stroked="false">
              <v:imagedata r:id="rId87" o:title=""/>
            </v:shape>
            <v:shape style="position:absolute;left:3677;top:5906;width:2861;height:221" type="#_x0000_t75" stroked="false">
              <v:imagedata r:id="rId115" o:title=""/>
            </v:shape>
            <v:shape style="position:absolute;left:3509;top:5933;width:167;height:120" type="#_x0000_t75" stroked="false">
              <v:imagedata r:id="rId87" o:title=""/>
            </v:shape>
            <v:shape style="position:absolute;left:3197;top:4764;width:3245;height:874" type="#_x0000_t75" stroked="false">
              <v:imagedata r:id="rId116" o:title=""/>
            </v:shape>
            <v:shape style="position:absolute;left:3278;top:4918;width:3082;height:566" type="#_x0000_t75" stroked="false">
              <v:imagedata r:id="rId117" o:title=""/>
            </v:shape>
            <v:line style="position:absolute" from="2659,5204" to="3216,5201" stroked="true" strokeweight=".96pt" strokecolor="#000000"/>
            <v:shape style="position:absolute;left:3677;top:7030;width:3163;height:317" type="#_x0000_t75" stroked="false">
              <v:imagedata r:id="rId118" o:title=""/>
            </v:shape>
            <w10:wrap type="none"/>
          </v:group>
        </w:pict>
      </w:r>
      <w:r>
        <w:rPr>
          <w:b/>
          <w:color w:val="FFFFFF"/>
          <w:sz w:val="24"/>
        </w:rPr>
        <w:t>Emisiones de GEI</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7"/>
        </w:rPr>
      </w:pPr>
    </w:p>
    <w:p>
      <w:pPr>
        <w:spacing w:after="0"/>
        <w:rPr>
          <w:sz w:val="27"/>
        </w:rPr>
        <w:sectPr>
          <w:footerReference w:type="default" r:id="rId85"/>
          <w:pgSz w:w="12240" w:h="15840"/>
          <w:pgMar w:footer="739" w:header="741" w:top="1220" w:bottom="920" w:left="1720" w:right="1240"/>
        </w:sectPr>
      </w:pPr>
    </w:p>
    <w:p>
      <w:pPr>
        <w:spacing w:before="173"/>
        <w:ind w:left="1716" w:right="0" w:firstLine="0"/>
        <w:jc w:val="center"/>
        <w:rPr>
          <w:sz w:val="19"/>
        </w:rPr>
      </w:pPr>
      <w:r>
        <w:rPr>
          <w:w w:val="105"/>
          <w:sz w:val="19"/>
        </w:rPr>
        <w:t>Estrategias basadas en el Hato</w:t>
      </w:r>
    </w:p>
    <w:p>
      <w:pPr>
        <w:spacing w:before="1"/>
        <w:ind w:left="1713" w:right="0" w:firstLine="0"/>
        <w:jc w:val="center"/>
        <w:rPr>
          <w:sz w:val="16"/>
        </w:rPr>
      </w:pPr>
      <w:r>
        <w:rPr>
          <w:sz w:val="16"/>
        </w:rPr>
        <w:t>10-20% de potencial</w:t>
      </w:r>
    </w:p>
    <w:p>
      <w:pPr>
        <w:spacing w:line="240" w:lineRule="auto" w:before="82"/>
        <w:ind w:left="669" w:right="1301" w:firstLine="0"/>
        <w:jc w:val="center"/>
        <w:rPr>
          <w:sz w:val="16"/>
        </w:rPr>
      </w:pPr>
      <w:r>
        <w:rPr/>
        <w:br w:type="column"/>
      </w:r>
      <w:r>
        <w:rPr>
          <w:sz w:val="19"/>
        </w:rPr>
        <w:t>Estrategias basadas en el Hato </w:t>
      </w:r>
      <w:r>
        <w:rPr>
          <w:sz w:val="16"/>
        </w:rPr>
        <w:t>10-50% posible reducción de nitrógeno en la orina</w:t>
      </w:r>
    </w:p>
    <w:p>
      <w:pPr>
        <w:spacing w:after="0" w:line="240" w:lineRule="auto"/>
        <w:jc w:val="center"/>
        <w:rPr>
          <w:sz w:val="16"/>
        </w:rPr>
        <w:sectPr>
          <w:type w:val="continuous"/>
          <w:pgSz w:w="12240" w:h="15840"/>
          <w:pgMar w:top="1420" w:bottom="280" w:left="1720" w:right="1240"/>
          <w:cols w:num="2" w:equalWidth="0">
            <w:col w:w="4492" w:space="40"/>
            <w:col w:w="4748"/>
          </w:cols>
        </w:sectPr>
      </w:pPr>
    </w:p>
    <w:p>
      <w:pPr>
        <w:pStyle w:val="BodyText"/>
        <w:spacing w:before="2"/>
        <w:rPr>
          <w:sz w:val="20"/>
        </w:rPr>
      </w:pPr>
    </w:p>
    <w:p>
      <w:pPr>
        <w:tabs>
          <w:tab w:pos="5412" w:val="left" w:leader="none"/>
        </w:tabs>
        <w:spacing w:before="78"/>
        <w:ind w:left="1846" w:right="72" w:firstLine="0"/>
        <w:jc w:val="left"/>
        <w:rPr>
          <w:sz w:val="16"/>
        </w:rPr>
      </w:pPr>
      <w:r>
        <w:rPr>
          <w:sz w:val="16"/>
        </w:rPr>
        <w:t>Lactaciones</w:t>
      </w:r>
      <w:r>
        <w:rPr>
          <w:spacing w:val="1"/>
          <w:sz w:val="16"/>
        </w:rPr>
        <w:t> </w:t>
      </w:r>
      <w:r>
        <w:rPr>
          <w:sz w:val="16"/>
        </w:rPr>
        <w:t>extendidas.</w:t>
        <w:tab/>
        <w:t>Taninos</w:t>
      </w:r>
      <w:r>
        <w:rPr>
          <w:spacing w:val="-13"/>
          <w:sz w:val="16"/>
        </w:rPr>
        <w:t> </w:t>
      </w:r>
      <w:r>
        <w:rPr>
          <w:sz w:val="16"/>
        </w:rPr>
        <w:t>condensados</w:t>
      </w:r>
    </w:p>
    <w:p>
      <w:pPr>
        <w:pStyle w:val="BodyText"/>
        <w:spacing w:before="7"/>
        <w:rPr>
          <w:sz w:val="13"/>
        </w:rPr>
      </w:pPr>
    </w:p>
    <w:p>
      <w:pPr>
        <w:tabs>
          <w:tab w:pos="5412" w:val="left" w:leader="none"/>
        </w:tabs>
        <w:spacing w:before="0"/>
        <w:ind w:left="1846" w:right="72" w:firstLine="0"/>
        <w:jc w:val="left"/>
        <w:rPr>
          <w:sz w:val="16"/>
        </w:rPr>
      </w:pPr>
      <w:r>
        <w:rPr>
          <w:sz w:val="16"/>
        </w:rPr>
        <w:t>Reducción del tamaño</w:t>
      </w:r>
      <w:r>
        <w:rPr>
          <w:spacing w:val="-8"/>
          <w:sz w:val="16"/>
        </w:rPr>
        <w:t> </w:t>
      </w:r>
      <w:r>
        <w:rPr>
          <w:sz w:val="16"/>
        </w:rPr>
        <w:t>del</w:t>
      </w:r>
      <w:r>
        <w:rPr>
          <w:spacing w:val="-2"/>
          <w:sz w:val="16"/>
        </w:rPr>
        <w:t> </w:t>
      </w:r>
      <w:r>
        <w:rPr>
          <w:sz w:val="16"/>
        </w:rPr>
        <w:t>hato</w:t>
        <w:tab/>
        <w:t>Inhibidores de la nitrificación en la</w:t>
      </w:r>
      <w:r>
        <w:rPr>
          <w:spacing w:val="-17"/>
          <w:sz w:val="16"/>
        </w:rPr>
        <w:t> </w:t>
      </w:r>
      <w:r>
        <w:rPr>
          <w:sz w:val="16"/>
        </w:rPr>
        <w:t>orina</w:t>
      </w:r>
    </w:p>
    <w:p>
      <w:pPr>
        <w:pStyle w:val="BodyText"/>
        <w:spacing w:before="9"/>
        <w:rPr>
          <w:sz w:val="12"/>
        </w:rPr>
      </w:pPr>
    </w:p>
    <w:p>
      <w:pPr>
        <w:tabs>
          <w:tab w:pos="5412" w:val="left" w:leader="none"/>
        </w:tabs>
        <w:spacing w:before="0"/>
        <w:ind w:left="1846" w:right="72" w:firstLine="0"/>
        <w:jc w:val="left"/>
        <w:rPr>
          <w:sz w:val="16"/>
        </w:rPr>
      </w:pPr>
      <w:r>
        <w:rPr>
          <w:sz w:val="16"/>
        </w:rPr>
        <w:t>Mayor eficiencia en la</w:t>
      </w:r>
      <w:r>
        <w:rPr>
          <w:spacing w:val="-12"/>
          <w:sz w:val="16"/>
        </w:rPr>
        <w:t> </w:t>
      </w:r>
      <w:r>
        <w:rPr>
          <w:sz w:val="16"/>
        </w:rPr>
        <w:t>conversión</w:t>
      </w:r>
      <w:r>
        <w:rPr>
          <w:spacing w:val="-3"/>
          <w:sz w:val="16"/>
        </w:rPr>
        <w:t> </w:t>
      </w:r>
      <w:r>
        <w:rPr>
          <w:sz w:val="16"/>
        </w:rPr>
        <w:t>alimenticia</w:t>
        <w:tab/>
        <w:t>Mayor eficiencia en la conversión</w:t>
      </w:r>
      <w:r>
        <w:rPr>
          <w:spacing w:val="-20"/>
          <w:sz w:val="16"/>
        </w:rPr>
        <w:t> </w:t>
      </w:r>
      <w:r>
        <w:rPr>
          <w:sz w:val="16"/>
        </w:rPr>
        <w:t>alimenticia</w:t>
      </w:r>
    </w:p>
    <w:p>
      <w:pPr>
        <w:pStyle w:val="BodyText"/>
        <w:spacing w:before="2"/>
        <w:rPr>
          <w:sz w:val="13"/>
        </w:rPr>
      </w:pPr>
    </w:p>
    <w:p>
      <w:pPr>
        <w:tabs>
          <w:tab w:pos="5412" w:val="left" w:leader="none"/>
        </w:tabs>
        <w:spacing w:before="0"/>
        <w:ind w:left="1846" w:right="72" w:firstLine="0"/>
        <w:jc w:val="left"/>
        <w:rPr>
          <w:sz w:val="16"/>
        </w:rPr>
      </w:pPr>
      <w:r>
        <w:rPr>
          <w:sz w:val="16"/>
        </w:rPr>
        <w:t>Aumento de la longevidad en</w:t>
      </w:r>
      <w:r>
        <w:rPr>
          <w:spacing w:val="-10"/>
          <w:sz w:val="16"/>
        </w:rPr>
        <w:t> </w:t>
      </w:r>
      <w:r>
        <w:rPr>
          <w:sz w:val="16"/>
        </w:rPr>
        <w:t>el</w:t>
      </w:r>
      <w:r>
        <w:rPr>
          <w:spacing w:val="-2"/>
          <w:sz w:val="16"/>
        </w:rPr>
        <w:t> </w:t>
      </w:r>
      <w:r>
        <w:rPr>
          <w:sz w:val="16"/>
        </w:rPr>
        <w:t>hato</w:t>
        <w:tab/>
      </w:r>
      <w:r>
        <w:rPr>
          <w:color w:val="212121"/>
          <w:sz w:val="16"/>
        </w:rPr>
        <w:t>Balance de la proteína cruda en la</w:t>
      </w:r>
      <w:r>
        <w:rPr>
          <w:color w:val="212121"/>
          <w:spacing w:val="-20"/>
          <w:sz w:val="16"/>
        </w:rPr>
        <w:t> </w:t>
      </w:r>
      <w:r>
        <w:rPr>
          <w:color w:val="212121"/>
          <w:sz w:val="16"/>
        </w:rPr>
        <w:t>dieta.</w:t>
      </w:r>
    </w:p>
    <w:p>
      <w:pPr>
        <w:pStyle w:val="BodyText"/>
        <w:rPr>
          <w:sz w:val="20"/>
        </w:rPr>
      </w:pPr>
    </w:p>
    <w:p>
      <w:pPr>
        <w:pStyle w:val="BodyText"/>
        <w:rPr>
          <w:sz w:val="20"/>
        </w:rPr>
      </w:pPr>
    </w:p>
    <w:p>
      <w:pPr>
        <w:spacing w:after="0"/>
        <w:rPr>
          <w:sz w:val="20"/>
        </w:rPr>
        <w:sectPr>
          <w:type w:val="continuous"/>
          <w:pgSz w:w="12240" w:h="15840"/>
          <w:pgMar w:top="1420" w:bottom="280" w:left="1720" w:right="1240"/>
        </w:sectPr>
      </w:pPr>
    </w:p>
    <w:p>
      <w:pPr>
        <w:pStyle w:val="BodyText"/>
        <w:spacing w:before="1"/>
        <w:rPr>
          <w:sz w:val="22"/>
        </w:rPr>
      </w:pPr>
    </w:p>
    <w:p>
      <w:pPr>
        <w:spacing w:line="252" w:lineRule="auto" w:before="0"/>
        <w:ind w:left="1951" w:right="0" w:firstLine="0"/>
        <w:jc w:val="center"/>
        <w:rPr>
          <w:sz w:val="19"/>
        </w:rPr>
      </w:pPr>
      <w:r>
        <w:rPr>
          <w:w w:val="105"/>
          <w:sz w:val="19"/>
        </w:rPr>
        <w:t>Estrategias basadas en la alimentación</w:t>
      </w:r>
    </w:p>
    <w:p>
      <w:pPr>
        <w:spacing w:line="180" w:lineRule="exact" w:before="0"/>
        <w:ind w:left="1948" w:right="0" w:firstLine="0"/>
        <w:jc w:val="center"/>
        <w:rPr>
          <w:sz w:val="16"/>
        </w:rPr>
      </w:pPr>
      <w:r>
        <w:rPr>
          <w:sz w:val="16"/>
        </w:rPr>
        <w:t>10-20% de potencial</w:t>
      </w:r>
    </w:p>
    <w:p>
      <w:pPr>
        <w:pStyle w:val="BodyText"/>
        <w:spacing w:before="1"/>
        <w:rPr>
          <w:sz w:val="22"/>
        </w:rPr>
      </w:pPr>
      <w:r>
        <w:rPr/>
        <w:br w:type="column"/>
      </w:r>
      <w:r>
        <w:rPr>
          <w:sz w:val="22"/>
        </w:rPr>
      </w:r>
    </w:p>
    <w:p>
      <w:pPr>
        <w:spacing w:line="252" w:lineRule="auto" w:before="0"/>
        <w:ind w:left="1052" w:right="1504" w:firstLine="0"/>
        <w:jc w:val="center"/>
        <w:rPr>
          <w:sz w:val="19"/>
        </w:rPr>
      </w:pPr>
      <w:r>
        <w:rPr>
          <w:w w:val="105"/>
          <w:sz w:val="19"/>
        </w:rPr>
        <w:t>Estrategias basadas en los suelos</w:t>
      </w:r>
    </w:p>
    <w:p>
      <w:pPr>
        <w:spacing w:line="180" w:lineRule="exact" w:before="0"/>
        <w:ind w:left="1052" w:right="1501" w:firstLine="0"/>
        <w:jc w:val="center"/>
        <w:rPr>
          <w:sz w:val="16"/>
        </w:rPr>
      </w:pPr>
      <w:r>
        <w:rPr>
          <w:sz w:val="16"/>
        </w:rPr>
        <w:t>10-20% de potential</w:t>
      </w:r>
    </w:p>
    <w:p>
      <w:pPr>
        <w:spacing w:after="0" w:line="180" w:lineRule="exact"/>
        <w:jc w:val="center"/>
        <w:rPr>
          <w:sz w:val="16"/>
        </w:rPr>
        <w:sectPr>
          <w:type w:val="continuous"/>
          <w:pgSz w:w="12240" w:h="15840"/>
          <w:pgMar w:top="1420" w:bottom="280" w:left="1720" w:right="1240"/>
          <w:cols w:num="2" w:equalWidth="0">
            <w:col w:w="4247" w:space="40"/>
            <w:col w:w="4993"/>
          </w:cols>
        </w:sectPr>
      </w:pPr>
    </w:p>
    <w:p>
      <w:pPr>
        <w:pStyle w:val="BodyText"/>
        <w:spacing w:before="10"/>
        <w:rPr>
          <w:sz w:val="18"/>
        </w:rPr>
      </w:pPr>
    </w:p>
    <w:p>
      <w:pPr>
        <w:spacing w:after="0"/>
        <w:rPr>
          <w:sz w:val="18"/>
        </w:rPr>
        <w:sectPr>
          <w:type w:val="continuous"/>
          <w:pgSz w:w="12240" w:h="15840"/>
          <w:pgMar w:top="1420" w:bottom="280" w:left="1720" w:right="1240"/>
        </w:sectPr>
      </w:pPr>
    </w:p>
    <w:p>
      <w:pPr>
        <w:spacing w:line="494" w:lineRule="auto" w:before="122"/>
        <w:ind w:left="2095" w:right="-10" w:firstLine="4"/>
        <w:jc w:val="left"/>
        <w:rPr>
          <w:sz w:val="16"/>
        </w:rPr>
      </w:pPr>
      <w:r>
        <w:rPr>
          <w:sz w:val="16"/>
        </w:rPr>
        <w:t>Aceites y grasas para alimentación Taninos condensados en la</w:t>
      </w:r>
      <w:r>
        <w:rPr>
          <w:spacing w:val="-13"/>
          <w:sz w:val="16"/>
        </w:rPr>
        <w:t> </w:t>
      </w:r>
      <w:r>
        <w:rPr>
          <w:sz w:val="16"/>
        </w:rPr>
        <w:t>alimentación Ionóforos en la</w:t>
      </w:r>
      <w:r>
        <w:rPr>
          <w:spacing w:val="-12"/>
          <w:sz w:val="16"/>
        </w:rPr>
        <w:t> </w:t>
      </w:r>
      <w:r>
        <w:rPr>
          <w:sz w:val="16"/>
        </w:rPr>
        <w:t>alimentación</w:t>
      </w:r>
    </w:p>
    <w:p>
      <w:pPr>
        <w:spacing w:line="175" w:lineRule="exact" w:before="0"/>
        <w:ind w:left="2100" w:right="-10" w:firstLine="0"/>
        <w:jc w:val="left"/>
        <w:rPr>
          <w:sz w:val="16"/>
        </w:rPr>
      </w:pPr>
      <w:r>
        <w:rPr>
          <w:sz w:val="16"/>
        </w:rPr>
        <w:t>Maximizar la digestibilidad dietaria</w:t>
      </w:r>
    </w:p>
    <w:p>
      <w:pPr>
        <w:spacing w:before="79"/>
        <w:ind w:left="400" w:right="721" w:firstLine="0"/>
        <w:jc w:val="left"/>
        <w:rPr>
          <w:sz w:val="16"/>
        </w:rPr>
      </w:pPr>
      <w:r>
        <w:rPr/>
        <w:br w:type="column"/>
      </w:r>
      <w:r>
        <w:rPr>
          <w:sz w:val="16"/>
        </w:rPr>
        <w:t>Inhibidores de la nitrificación</w:t>
      </w:r>
    </w:p>
    <w:p>
      <w:pPr>
        <w:spacing w:line="381" w:lineRule="auto" w:before="85"/>
        <w:ind w:left="400" w:right="721" w:hanging="20"/>
        <w:jc w:val="left"/>
        <w:rPr>
          <w:sz w:val="16"/>
        </w:rPr>
      </w:pPr>
      <w:r>
        <w:rPr>
          <w:sz w:val="16"/>
        </w:rPr>
        <w:t>Bases o soportes durante el invierno Mejoras en el drenaje</w:t>
      </w:r>
    </w:p>
    <w:p>
      <w:pPr>
        <w:spacing w:before="41"/>
        <w:ind w:left="400" w:right="721" w:firstLine="0"/>
        <w:jc w:val="left"/>
        <w:rPr>
          <w:sz w:val="16"/>
        </w:rPr>
      </w:pPr>
      <w:r>
        <w:rPr>
          <w:sz w:val="16"/>
        </w:rPr>
        <w:t>Mejora en la gestión del riego</w:t>
      </w:r>
    </w:p>
    <w:p>
      <w:pPr>
        <w:pStyle w:val="BodyText"/>
        <w:spacing w:before="1"/>
        <w:rPr>
          <w:sz w:val="21"/>
        </w:rPr>
      </w:pPr>
    </w:p>
    <w:p>
      <w:pPr>
        <w:spacing w:before="0"/>
        <w:ind w:left="400" w:right="1662" w:firstLine="0"/>
        <w:jc w:val="left"/>
        <w:rPr>
          <w:sz w:val="16"/>
        </w:rPr>
      </w:pPr>
      <w:r>
        <w:rPr>
          <w:sz w:val="16"/>
        </w:rPr>
        <w:t>Manejo de los fertilizantes Tasa / tiempo / formulación</w:t>
      </w:r>
    </w:p>
    <w:p>
      <w:pPr>
        <w:spacing w:after="0"/>
        <w:jc w:val="left"/>
        <w:rPr>
          <w:sz w:val="16"/>
        </w:rPr>
        <w:sectPr>
          <w:type w:val="continuous"/>
          <w:pgSz w:w="12240" w:h="15840"/>
          <w:pgMar w:top="1420" w:bottom="280" w:left="1720" w:right="1240"/>
          <w:cols w:num="2" w:equalWidth="0">
            <w:col w:w="4992" w:space="40"/>
            <w:col w:w="4248"/>
          </w:cols>
        </w:sectPr>
      </w:pPr>
    </w:p>
    <w:p>
      <w:pPr>
        <w:pStyle w:val="BodyText"/>
        <w:rPr>
          <w:sz w:val="20"/>
        </w:rPr>
      </w:pPr>
    </w:p>
    <w:p>
      <w:pPr>
        <w:pStyle w:val="BodyText"/>
        <w:rPr>
          <w:sz w:val="20"/>
        </w:rPr>
      </w:pPr>
    </w:p>
    <w:p>
      <w:pPr>
        <w:pStyle w:val="BodyText"/>
        <w:spacing w:before="1"/>
        <w:rPr>
          <w:sz w:val="22"/>
        </w:rPr>
      </w:pPr>
    </w:p>
    <w:p>
      <w:pPr>
        <w:pStyle w:val="BodyText"/>
        <w:spacing w:line="44" w:lineRule="exact"/>
        <w:ind w:left="225"/>
        <w:rPr>
          <w:sz w:val="4"/>
        </w:rPr>
      </w:pPr>
      <w:r>
        <w:rPr>
          <w:position w:val="0"/>
          <w:sz w:val="4"/>
        </w:rPr>
        <w:pict>
          <v:group style="width:446.95pt;height:2.2pt;mso-position-horizontal-relative:char;mso-position-vertical-relative:line" coordorigin="0,0" coordsize="8939,44">
            <v:line style="position:absolute" from="22,22" to="8916,22" stroked="true" strokeweight="2.16pt" strokecolor="#943634"/>
          </v:group>
        </w:pict>
      </w:r>
      <w:r>
        <w:rPr>
          <w:position w:val="0"/>
          <w:sz w:val="4"/>
        </w:rPr>
      </w:r>
    </w:p>
    <w:p>
      <w:pPr>
        <w:spacing w:line="379" w:lineRule="auto" w:before="27"/>
        <w:ind w:left="276" w:right="72" w:firstLine="0"/>
        <w:jc w:val="left"/>
        <w:rPr>
          <w:sz w:val="19"/>
        </w:rPr>
      </w:pPr>
      <w:r>
        <w:rPr>
          <w:b/>
          <w:w w:val="105"/>
          <w:sz w:val="19"/>
        </w:rPr>
        <w:t>Fuente: </w:t>
      </w:r>
      <w:r>
        <w:rPr>
          <w:w w:val="105"/>
          <w:sz w:val="19"/>
        </w:rPr>
        <w:t>Christie </w:t>
      </w:r>
      <w:r>
        <w:rPr>
          <w:i/>
          <w:w w:val="105"/>
          <w:sz w:val="19"/>
        </w:rPr>
        <w:t>et al. </w:t>
      </w:r>
      <w:r>
        <w:rPr>
          <w:w w:val="105"/>
          <w:sz w:val="19"/>
        </w:rPr>
        <w:t>(2012). Whole-farm systems analysis of Australian dairy farm greenhouse gas emissions.</w:t>
      </w:r>
    </w:p>
    <w:p>
      <w:pPr>
        <w:spacing w:after="0" w:line="379" w:lineRule="auto"/>
        <w:jc w:val="left"/>
        <w:rPr>
          <w:sz w:val="19"/>
        </w:rPr>
        <w:sectPr>
          <w:type w:val="continuous"/>
          <w:pgSz w:w="12240" w:h="15840"/>
          <w:pgMar w:top="1420" w:bottom="280" w:left="1720" w:right="1240"/>
        </w:sectPr>
      </w:pPr>
    </w:p>
    <w:p>
      <w:pPr>
        <w:pStyle w:val="BodyText"/>
        <w:spacing w:before="4"/>
        <w:rPr>
          <w:sz w:val="11"/>
        </w:rPr>
      </w:pPr>
    </w:p>
    <w:p>
      <w:pPr>
        <w:pStyle w:val="Heading6"/>
        <w:tabs>
          <w:tab w:pos="2081" w:val="left" w:leader="none"/>
        </w:tabs>
        <w:spacing w:line="242" w:lineRule="auto" w:before="69"/>
        <w:ind w:left="2081" w:right="278" w:hanging="1352"/>
        <w:jc w:val="left"/>
      </w:pPr>
      <w:r>
        <w:rPr/>
        <w:pict>
          <v:line style="position:absolute;mso-position-horizontal-relative:page;mso-position-vertical-relative:paragraph;z-index:-308296" from="100.072403pt,18.665882pt" to="184.792403pt,18.665882pt" stroked="true" strokeweight="2.16pt" strokecolor="#943634">
            <w10:wrap type="none"/>
          </v:line>
        </w:pict>
      </w:r>
      <w:r>
        <w:rPr>
          <w:color w:val="943634"/>
        </w:rPr>
        <w:t>Figura</w:t>
      </w:r>
      <w:r>
        <w:rPr>
          <w:color w:val="943634"/>
          <w:spacing w:val="-2"/>
        </w:rPr>
        <w:t> </w:t>
      </w:r>
      <w:r>
        <w:rPr>
          <w:color w:val="943634"/>
        </w:rPr>
        <w:t>11.</w:t>
        <w:tab/>
      </w:r>
      <w:r>
        <w:rPr/>
        <w:t>Posibles  opciones  para  la  reducción  de </w:t>
      </w:r>
      <w:r>
        <w:rPr>
          <w:spacing w:val="17"/>
        </w:rPr>
        <w:t> </w:t>
      </w:r>
      <w:r>
        <w:rPr/>
        <w:t>metano </w:t>
      </w:r>
      <w:r>
        <w:rPr>
          <w:spacing w:val="3"/>
        </w:rPr>
        <w:t> </w:t>
      </w:r>
      <w:r>
        <w:rPr/>
        <w:t>entérico producido por los rumiantes</w:t>
      </w:r>
    </w:p>
    <w:p>
      <w:pPr>
        <w:pStyle w:val="BodyText"/>
        <w:spacing w:before="2"/>
        <w:rPr>
          <w:b/>
          <w:sz w:val="26"/>
        </w:rPr>
      </w:pPr>
      <w:r>
        <w:rPr/>
        <w:pict>
          <v:group style="position:absolute;margin-left:99.832428pt;margin-top:17.002943pt;width:436.35pt;height:294.75pt;mso-position-horizontal-relative:page;mso-position-vertical-relative:paragraph;z-index:3688;mso-wrap-distance-left:0;mso-wrap-distance-right:0" coordorigin="1997,340" coordsize="8727,5895">
            <v:line style="position:absolute" from="6012,1250" to="6013,1610" stroked="true" strokeweight=".72pt" strokecolor="#000000"/>
            <v:shape style="position:absolute;left:5112;top:1492;width:1848;height:946" type="#_x0000_t75" stroked="false">
              <v:imagedata r:id="rId121" o:title=""/>
            </v:shape>
            <v:shape style="position:absolute;left:5184;top:1530;width:1704;height:802" type="#_x0000_t75" stroked="false">
              <v:imagedata r:id="rId122" o:title=""/>
            </v:shape>
            <v:shape style="position:absolute;left:5237;top:1655;width:1598;height:547" type="#_x0000_t75" stroked="false">
              <v:imagedata r:id="rId123" o:title=""/>
            </v:shape>
            <v:shape style="position:absolute;left:4766;top:340;width:2558;height:581" type="#_x0000_t75" stroked="false">
              <v:imagedata r:id="rId124" o:title=""/>
            </v:shape>
            <v:shape style="position:absolute;left:4829;top:479;width:2429;height:302" type="#_x0000_t75" stroked="false">
              <v:imagedata r:id="rId125" o:title=""/>
            </v:shape>
            <v:line style="position:absolute" from="6017,904" to="6017,1264" stroked="true" strokeweight=".72pt" strokecolor="#000000"/>
            <v:line style="position:absolute" from="6048,1264" to="2628,1264" stroked="true" strokeweight=".72pt" strokecolor="#000000"/>
            <v:line style="position:absolute" from="6045,1264" to="8925,1264" stroked="true" strokeweight=".72pt" strokecolor="#000000"/>
            <v:line style="position:absolute" from="8916,1264" to="8916,1624" stroked="true" strokeweight=".72pt" strokecolor="#000000"/>
            <v:shape style="position:absolute;left:8035;top:1492;width:1814;height:965" type="#_x0000_t75" stroked="false">
              <v:imagedata r:id="rId126" o:title=""/>
            </v:shape>
            <v:shape style="position:absolute;left:8107;top:1530;width:1670;height:821" type="#_x0000_t75" stroked="false">
              <v:imagedata r:id="rId127" o:title=""/>
            </v:shape>
            <v:shape style="position:absolute;left:8160;top:1655;width:1560;height:566" type="#_x0000_t75" stroked="false">
              <v:imagedata r:id="rId128" o:title=""/>
            </v:shape>
            <v:line style="position:absolute" from="8378,2344" to="8379,5584" stroked="true" strokeweight=".72pt" strokecolor="#000000"/>
            <v:line style="position:absolute" from="8378,2882" to="8738,2882" stroked="true" strokeweight=".72pt" strokecolor="#000000"/>
            <v:shape style="position:absolute;left:8755;top:2711;width:1930;height:355" type="#_x0000_t75" stroked="false">
              <v:imagedata r:id="rId129" o:title=""/>
            </v:shape>
            <v:line style="position:absolute" from="8378,3770" to="8738,3771" stroked="true" strokeweight=".72pt" strokecolor="#000000"/>
            <v:shape style="position:absolute;left:8755;top:3594;width:1930;height:456" type="#_x0000_t75" stroked="false">
              <v:imagedata r:id="rId130" o:title=""/>
            </v:shape>
            <v:line style="position:absolute" from="8378,4677" to="8738,4678" stroked="true" strokeweight=".72pt" strokecolor="#000000"/>
            <v:shape style="position:absolute;left:8755;top:4410;width:1589;height:538" type="#_x0000_t75" stroked="false">
              <v:imagedata r:id="rId131" o:title=""/>
            </v:shape>
            <v:line style="position:absolute" from="8378,5594" to="8738,5595" stroked="true" strokeweight=".72pt" strokecolor="#000000"/>
            <v:shape style="position:absolute;left:8769;top:5514;width:1589;height:610" type="#_x0000_t75" stroked="false">
              <v:imagedata r:id="rId132" o:title=""/>
            </v:shape>
            <v:line style="position:absolute" from="2628,1264" to="2629,1528" stroked="true" strokeweight=".72pt" strokecolor="#000000"/>
            <v:line style="position:absolute" from="5287,2853" to="5647,2854" stroked="true" strokeweight=".72pt" strokecolor="#000000"/>
            <v:shape style="position:absolute;left:5688;top:2634;width:2160;height:533" type="#_x0000_t75" stroked="false">
              <v:imagedata r:id="rId133" o:title=""/>
            </v:shape>
            <v:line style="position:absolute" from="5287,4883" to="5647,4884" stroked="true" strokeweight=".72pt" strokecolor="#000000"/>
            <v:shape style="position:absolute;left:5664;top:4703;width:2160;height:355" type="#_x0000_t75" stroked="false">
              <v:imagedata r:id="rId134" o:title=""/>
            </v:shape>
            <v:line style="position:absolute" from="5287,5709" to="5647,5710" stroked="true" strokeweight=".72pt" strokecolor="#000000"/>
            <v:shape style="position:absolute;left:5664;top:5519;width:2160;height:456" type="#_x0000_t75" stroked="false">
              <v:imagedata r:id="rId135" o:title=""/>
            </v:shape>
            <v:line style="position:absolute" from="5287,3894" to="5647,3895" stroked="true" strokeweight=".72pt" strokecolor="#000000"/>
            <v:shape style="position:absolute;left:5664;top:3609;width:2160;height:538" type="#_x0000_t75" stroked="false">
              <v:imagedata r:id="rId136" o:title=""/>
            </v:shape>
            <v:line style="position:absolute" from="5287,2320" to="5288,5740" stroked="true" strokeweight=".72pt" strokecolor="#000000"/>
            <v:line style="position:absolute" from="2225,3030" to="2585,3031" stroked="true" strokeweight=".72pt" strokecolor="#000000"/>
            <v:shape style="position:absolute;left:2611;top:2634;width:2117;height:893" type="#_x0000_t75" stroked="false">
              <v:imagedata r:id="rId137" o:title=""/>
            </v:shape>
            <v:line style="position:absolute" from="2225,2334" to="2226,4494" stroked="true" strokeweight=".72pt" strokecolor="#000000"/>
            <v:line style="position:absolute" from="2220,4509" to="2580,4510" stroked="true" strokeweight=".72pt" strokecolor="#000000"/>
            <v:shape style="position:absolute;left:2611;top:4151;width:2146;height:686" type="#_x0000_t75" stroked="false">
              <v:imagedata r:id="rId138" o:title=""/>
            </v:shape>
            <v:shape style="position:absolute;left:1997;top:1492;width:2654;height:984" type="#_x0000_t75" stroked="false">
              <v:imagedata r:id="rId139" o:title=""/>
            </v:shape>
            <v:shape style="position:absolute;left:2069;top:1530;width:2510;height:840" type="#_x0000_t75" stroked="false">
              <v:imagedata r:id="rId140" o:title=""/>
            </v:shape>
            <v:shape style="position:absolute;left:2121;top:1655;width:2400;height:586" type="#_x0000_t75" stroked="false">
              <v:imagedata r:id="rId141" o:title=""/>
            </v:shape>
            <v:shape style="position:absolute;left:5121;top:510;width:1841;height:240" type="#_x0000_t202" filled="false" stroked="false">
              <v:textbox inset="0,0,0,0">
                <w:txbxContent>
                  <w:p>
                    <w:pPr>
                      <w:spacing w:line="240" w:lineRule="exact" w:before="0"/>
                      <w:ind w:left="0" w:right="-20" w:firstLine="0"/>
                      <w:jc w:val="left"/>
                      <w:rPr>
                        <w:b/>
                        <w:sz w:val="24"/>
                      </w:rPr>
                    </w:pPr>
                    <w:r>
                      <w:rPr>
                        <w:b/>
                        <w:color w:val="FFFFFF"/>
                        <w:sz w:val="24"/>
                      </w:rPr>
                      <w:t>Metano entérico</w:t>
                    </w:r>
                  </w:p>
                </w:txbxContent>
              </v:textbox>
              <w10:wrap type="none"/>
            </v:shape>
            <v:shape style="position:absolute;left:5496;top:1721;width:1075;height:423" type="#_x0000_t202" filled="false" stroked="false">
              <v:textbox inset="0,0,0,0">
                <w:txbxContent>
                  <w:p>
                    <w:pPr>
                      <w:spacing w:line="200" w:lineRule="exact" w:before="0"/>
                      <w:ind w:left="38" w:right="0" w:hanging="39"/>
                      <w:jc w:val="left"/>
                      <w:rPr>
                        <w:b/>
                        <w:sz w:val="19"/>
                      </w:rPr>
                    </w:pPr>
                    <w:r>
                      <w:rPr>
                        <w:b/>
                        <w:sz w:val="19"/>
                      </w:rPr>
                      <w:t>Estrategías</w:t>
                    </w:r>
                  </w:p>
                  <w:p>
                    <w:pPr>
                      <w:spacing w:line="216" w:lineRule="exact" w:before="7"/>
                      <w:ind w:left="38" w:right="0" w:firstLine="0"/>
                      <w:jc w:val="left"/>
                      <w:rPr>
                        <w:b/>
                        <w:sz w:val="19"/>
                      </w:rPr>
                    </w:pPr>
                    <w:r>
                      <w:rPr>
                        <w:b/>
                        <w:w w:val="105"/>
                        <w:sz w:val="19"/>
                      </w:rPr>
                      <w:t>de gestión</w:t>
                    </w:r>
                  </w:p>
                </w:txbxContent>
              </v:textbox>
              <w10:wrap type="none"/>
            </v:shape>
            <v:shape style="position:absolute;left:2592;top:2543;width:2160;height:1080" type="#_x0000_t202" filled="false" stroked="true" strokeweight="1.92pt" strokecolor="#c0504d">
              <v:textbox inset="0,0,0,0">
                <w:txbxContent>
                  <w:p>
                    <w:pPr>
                      <w:spacing w:line="249" w:lineRule="auto" w:before="114"/>
                      <w:ind w:left="235" w:right="239" w:firstLine="4"/>
                      <w:jc w:val="center"/>
                      <w:rPr>
                        <w:sz w:val="17"/>
                      </w:rPr>
                    </w:pPr>
                    <w:r>
                      <w:rPr>
                        <w:color w:val="212121"/>
                        <w:w w:val="105"/>
                        <w:sz w:val="17"/>
                      </w:rPr>
                      <w:t>Mejoramiento para una mayor eficiencia de conversión alimenticia</w:t>
                    </w:r>
                  </w:p>
                </w:txbxContent>
              </v:textbox>
              <w10:wrap type="none"/>
            </v:shape>
            <v:shape style="position:absolute;left:5669;top:2543;width:2199;height:720" type="#_x0000_t202" filled="false" stroked="true" strokeweight="1.92pt" strokecolor="#c0504d">
              <v:textbox inset="0,0,0,0">
                <w:txbxContent>
                  <w:p>
                    <w:pPr>
                      <w:spacing w:line="240" w:lineRule="auto" w:before="4"/>
                      <w:rPr>
                        <w:b/>
                        <w:sz w:val="20"/>
                      </w:rPr>
                    </w:pPr>
                  </w:p>
                  <w:p>
                    <w:pPr>
                      <w:spacing w:before="0"/>
                      <w:ind w:left="249" w:right="0" w:firstLine="0"/>
                      <w:jc w:val="left"/>
                      <w:rPr>
                        <w:sz w:val="17"/>
                      </w:rPr>
                    </w:pPr>
                    <w:r>
                      <w:rPr>
                        <w:w w:val="105"/>
                        <w:sz w:val="17"/>
                      </w:rPr>
                      <w:t>Número de animales</w:t>
                    </w:r>
                  </w:p>
                </w:txbxContent>
              </v:textbox>
              <w10:wrap type="none"/>
            </v:shape>
            <v:shape style="position:absolute;left:8736;top:2620;width:1968;height:543" type="#_x0000_t202" filled="false" stroked="true" strokeweight="1.92pt" strokecolor="#c0504d">
              <v:textbox inset="0,0,0,0">
                <w:txbxContent>
                  <w:p>
                    <w:pPr>
                      <w:spacing w:before="152"/>
                      <w:ind w:left="403" w:right="0" w:firstLine="0"/>
                      <w:jc w:val="left"/>
                      <w:rPr>
                        <w:sz w:val="17"/>
                      </w:rPr>
                    </w:pPr>
                    <w:r>
                      <w:rPr>
                        <w:w w:val="105"/>
                        <w:sz w:val="17"/>
                      </w:rPr>
                      <w:t>Concentrados</w:t>
                    </w:r>
                  </w:p>
                </w:txbxContent>
              </v:textbox>
              <w10:wrap type="none"/>
            </v:shape>
            <v:shape style="position:absolute;left:5645;top:3518;width:2199;height:720" type="#_x0000_t202" filled="false" stroked="true" strokeweight="1.92pt" strokecolor="#c0504d">
              <v:textbox inset="0,0,0,0">
                <w:txbxContent>
                  <w:p>
                    <w:pPr>
                      <w:spacing w:line="247" w:lineRule="auto" w:before="143"/>
                      <w:ind w:left="815" w:right="0" w:hanging="605"/>
                      <w:jc w:val="left"/>
                      <w:rPr>
                        <w:sz w:val="17"/>
                      </w:rPr>
                    </w:pPr>
                    <w:r>
                      <w:rPr>
                        <w:w w:val="105"/>
                        <w:sz w:val="17"/>
                      </w:rPr>
                      <w:t>Tamaño y producción animal</w:t>
                    </w:r>
                  </w:p>
                </w:txbxContent>
              </v:textbox>
              <w10:wrap type="none"/>
            </v:shape>
            <v:shape style="position:absolute;left:8736;top:3498;width:1968;height:644" type="#_x0000_t202" filled="false" stroked="true" strokeweight="1.92pt" strokecolor="#c0504d">
              <v:textbox inset="0,0,0,0">
                <w:txbxContent>
                  <w:p>
                    <w:pPr>
                      <w:spacing w:before="104"/>
                      <w:ind w:left="311" w:right="0" w:hanging="168"/>
                      <w:jc w:val="left"/>
                      <w:rPr>
                        <w:sz w:val="17"/>
                      </w:rPr>
                    </w:pPr>
                    <w:r>
                      <w:rPr>
                        <w:w w:val="105"/>
                        <w:sz w:val="17"/>
                      </w:rPr>
                      <w:t>Suplementación con grasas y aceites</w:t>
                    </w:r>
                  </w:p>
                </w:txbxContent>
              </v:textbox>
              <w10:wrap type="none"/>
            </v:shape>
            <v:shape style="position:absolute;left:2592;top:4060;width:2184;height:869" type="#_x0000_t202" filled="false" stroked="true" strokeweight="1.92pt" strokecolor="#c0504d">
              <v:textbox inset="0,0,0,0">
                <w:txbxContent>
                  <w:p>
                    <w:pPr>
                      <w:spacing w:line="254" w:lineRule="auto" w:before="109"/>
                      <w:ind w:left="220" w:right="223" w:hanging="8"/>
                      <w:jc w:val="center"/>
                      <w:rPr>
                        <w:sz w:val="17"/>
                      </w:rPr>
                    </w:pPr>
                    <w:r>
                      <w:rPr>
                        <w:w w:val="105"/>
                        <w:sz w:val="17"/>
                      </w:rPr>
                      <w:t>Cambios en la población microbiana del rumen</w:t>
                    </w:r>
                  </w:p>
                </w:txbxContent>
              </v:textbox>
              <w10:wrap type="none"/>
            </v:shape>
            <v:shape style="position:absolute;left:8736;top:4319;width:1628;height:720" type="#_x0000_t202" filled="false" stroked="true" strokeweight="1.92pt" strokecolor="#c0504d">
              <v:textbox inset="0,0,0,0">
                <w:txbxContent>
                  <w:p>
                    <w:pPr>
                      <w:spacing w:before="143"/>
                      <w:ind w:left="297" w:right="0" w:hanging="135"/>
                      <w:jc w:val="left"/>
                      <w:rPr>
                        <w:sz w:val="17"/>
                      </w:rPr>
                    </w:pPr>
                    <w:r>
                      <w:rPr>
                        <w:w w:val="105"/>
                        <w:sz w:val="17"/>
                      </w:rPr>
                      <w:t>suplementación con ionóforo</w:t>
                    </w:r>
                  </w:p>
                </w:txbxContent>
              </v:textbox>
              <w10:wrap type="none"/>
            </v:shape>
            <v:shape style="position:absolute;left:5645;top:4612;width:2199;height:538" type="#_x0000_t202" filled="false" stroked="true" strokeweight="1.92pt" strokecolor="#c0504d">
              <v:textbox inset="0,0,0,0">
                <w:txbxContent>
                  <w:p>
                    <w:pPr>
                      <w:spacing w:before="147"/>
                      <w:ind w:left="331" w:right="0" w:firstLine="0"/>
                      <w:jc w:val="left"/>
                      <w:rPr>
                        <w:sz w:val="17"/>
                      </w:rPr>
                    </w:pPr>
                    <w:r>
                      <w:rPr>
                        <w:w w:val="105"/>
                        <w:sz w:val="17"/>
                      </w:rPr>
                      <w:t>Calidad de la dieta</w:t>
                    </w:r>
                  </w:p>
                </w:txbxContent>
              </v:textbox>
              <w10:wrap type="none"/>
            </v:shape>
            <v:shape style="position:absolute;left:5645;top:5423;width:2199;height:644" type="#_x0000_t202" filled="false" stroked="true" strokeweight="1.92pt" strokecolor="#c0504d">
              <v:textbox inset="0,0,0,0">
                <w:txbxContent>
                  <w:p>
                    <w:pPr>
                      <w:spacing w:before="104"/>
                      <w:ind w:left="518" w:right="0" w:hanging="298"/>
                      <w:jc w:val="left"/>
                      <w:rPr>
                        <w:sz w:val="17"/>
                      </w:rPr>
                    </w:pPr>
                    <w:r>
                      <w:rPr>
                        <w:w w:val="105"/>
                        <w:sz w:val="17"/>
                      </w:rPr>
                      <w:t>Terminando la acción social anterior</w:t>
                    </w:r>
                  </w:p>
                </w:txbxContent>
              </v:textbox>
              <w10:wrap type="none"/>
            </v:shape>
            <v:shape style="position:absolute;left:8750;top:5423;width:1628;height:792" type="#_x0000_t202" filled="false" stroked="true" strokeweight="1.92pt" strokecolor="#c0504d">
              <v:textbox inset="0,0,0,0">
                <w:txbxContent>
                  <w:p>
                    <w:pPr>
                      <w:spacing w:line="240" w:lineRule="auto" w:before="4"/>
                      <w:rPr>
                        <w:b/>
                        <w:sz w:val="15"/>
                      </w:rPr>
                    </w:pPr>
                  </w:p>
                  <w:p>
                    <w:pPr>
                      <w:spacing w:line="254" w:lineRule="auto" w:before="0"/>
                      <w:ind w:left="359" w:right="0" w:hanging="212"/>
                      <w:jc w:val="left"/>
                      <w:rPr>
                        <w:sz w:val="17"/>
                      </w:rPr>
                    </w:pPr>
                    <w:r>
                      <w:rPr>
                        <w:w w:val="105"/>
                        <w:sz w:val="17"/>
                      </w:rPr>
                      <w:t>Suplementación con tatinos</w:t>
                    </w:r>
                  </w:p>
                </w:txbxContent>
              </v:textbox>
              <w10:wrap type="none"/>
            </v:shape>
            <w10:wrap type="topAndBottom"/>
          </v:group>
        </w:pict>
      </w:r>
      <w:r>
        <w:rPr/>
        <w:pict>
          <v:line style="position:absolute;mso-position-horizontal-relative:page;mso-position-vertical-relative:paragraph;z-index:3712;mso-wrap-distance-left:0;mso-wrap-distance-right:0" from="98.39241pt,331.042938pt" to="543.1124pt,331.042938pt" stroked="true" strokeweight="2.16pt" strokecolor="#943634">
            <w10:wrap type="topAndBottom"/>
          </v:line>
        </w:pict>
      </w:r>
    </w:p>
    <w:p>
      <w:pPr>
        <w:pStyle w:val="BodyText"/>
        <w:spacing w:before="8"/>
        <w:rPr>
          <w:b/>
          <w:sz w:val="25"/>
        </w:rPr>
      </w:pPr>
    </w:p>
    <w:p>
      <w:pPr>
        <w:spacing w:line="374" w:lineRule="auto" w:before="0"/>
        <w:ind w:left="276" w:right="166" w:firstLine="0"/>
        <w:jc w:val="both"/>
        <w:rPr>
          <w:sz w:val="19"/>
        </w:rPr>
      </w:pPr>
      <w:r>
        <w:rPr>
          <w:b/>
          <w:w w:val="105"/>
          <w:sz w:val="19"/>
        </w:rPr>
        <w:t>Fuente:</w:t>
      </w:r>
      <w:r>
        <w:rPr>
          <w:b/>
          <w:spacing w:val="-7"/>
          <w:w w:val="105"/>
          <w:sz w:val="19"/>
        </w:rPr>
        <w:t> </w:t>
      </w:r>
      <w:r>
        <w:rPr>
          <w:w w:val="105"/>
          <w:sz w:val="19"/>
        </w:rPr>
        <w:t>Christie</w:t>
      </w:r>
      <w:r>
        <w:rPr>
          <w:spacing w:val="-7"/>
          <w:w w:val="105"/>
          <w:sz w:val="19"/>
        </w:rPr>
        <w:t> </w:t>
      </w:r>
      <w:r>
        <w:rPr>
          <w:i/>
          <w:w w:val="105"/>
          <w:sz w:val="19"/>
        </w:rPr>
        <w:t>et</w:t>
      </w:r>
      <w:r>
        <w:rPr>
          <w:i/>
          <w:spacing w:val="-7"/>
          <w:w w:val="105"/>
          <w:sz w:val="19"/>
        </w:rPr>
        <w:t> </w:t>
      </w:r>
      <w:r>
        <w:rPr>
          <w:i/>
          <w:w w:val="105"/>
          <w:sz w:val="19"/>
        </w:rPr>
        <w:t>al.</w:t>
      </w:r>
      <w:r>
        <w:rPr>
          <w:i/>
          <w:spacing w:val="-7"/>
          <w:w w:val="105"/>
          <w:sz w:val="19"/>
        </w:rPr>
        <w:t> </w:t>
      </w:r>
      <w:r>
        <w:rPr>
          <w:w w:val="105"/>
          <w:sz w:val="19"/>
        </w:rPr>
        <w:t>(2012).</w:t>
      </w:r>
      <w:r>
        <w:rPr>
          <w:spacing w:val="-7"/>
          <w:w w:val="105"/>
          <w:sz w:val="19"/>
        </w:rPr>
        <w:t> </w:t>
      </w:r>
      <w:r>
        <w:rPr>
          <w:w w:val="105"/>
          <w:sz w:val="19"/>
        </w:rPr>
        <w:t>Whole-farm</w:t>
      </w:r>
      <w:r>
        <w:rPr>
          <w:spacing w:val="-6"/>
          <w:w w:val="105"/>
          <w:sz w:val="19"/>
        </w:rPr>
        <w:t> </w:t>
      </w:r>
      <w:r>
        <w:rPr>
          <w:w w:val="105"/>
          <w:sz w:val="19"/>
        </w:rPr>
        <w:t>systems</w:t>
      </w:r>
      <w:r>
        <w:rPr>
          <w:spacing w:val="-7"/>
          <w:w w:val="105"/>
          <w:sz w:val="19"/>
        </w:rPr>
        <w:t> </w:t>
      </w:r>
      <w:r>
        <w:rPr>
          <w:w w:val="105"/>
          <w:sz w:val="19"/>
        </w:rPr>
        <w:t>analysis</w:t>
      </w:r>
      <w:r>
        <w:rPr>
          <w:spacing w:val="-7"/>
          <w:w w:val="105"/>
          <w:sz w:val="19"/>
        </w:rPr>
        <w:t> </w:t>
      </w:r>
      <w:r>
        <w:rPr>
          <w:w w:val="105"/>
          <w:sz w:val="19"/>
        </w:rPr>
        <w:t>of</w:t>
      </w:r>
      <w:r>
        <w:rPr>
          <w:spacing w:val="-7"/>
          <w:w w:val="105"/>
          <w:sz w:val="19"/>
        </w:rPr>
        <w:t> </w:t>
      </w:r>
      <w:r>
        <w:rPr>
          <w:w w:val="105"/>
          <w:sz w:val="19"/>
        </w:rPr>
        <w:t>Australian</w:t>
      </w:r>
      <w:r>
        <w:rPr>
          <w:spacing w:val="-7"/>
          <w:w w:val="105"/>
          <w:sz w:val="19"/>
        </w:rPr>
        <w:t> </w:t>
      </w:r>
      <w:r>
        <w:rPr>
          <w:w w:val="105"/>
          <w:sz w:val="19"/>
        </w:rPr>
        <w:t>dairy</w:t>
      </w:r>
      <w:r>
        <w:rPr>
          <w:spacing w:val="-7"/>
          <w:w w:val="105"/>
          <w:sz w:val="19"/>
        </w:rPr>
        <w:t> </w:t>
      </w:r>
      <w:r>
        <w:rPr>
          <w:w w:val="105"/>
          <w:sz w:val="19"/>
        </w:rPr>
        <w:t>farm</w:t>
      </w:r>
      <w:r>
        <w:rPr>
          <w:spacing w:val="-6"/>
          <w:w w:val="105"/>
          <w:sz w:val="19"/>
        </w:rPr>
        <w:t> </w:t>
      </w:r>
      <w:r>
        <w:rPr>
          <w:w w:val="105"/>
          <w:sz w:val="19"/>
        </w:rPr>
        <w:t>greenhouse</w:t>
      </w:r>
      <w:r>
        <w:rPr>
          <w:spacing w:val="-7"/>
          <w:w w:val="105"/>
          <w:sz w:val="19"/>
        </w:rPr>
        <w:t> </w:t>
      </w:r>
      <w:r>
        <w:rPr>
          <w:w w:val="105"/>
          <w:sz w:val="19"/>
        </w:rPr>
        <w:t>gas emissions.</w:t>
      </w:r>
    </w:p>
    <w:p>
      <w:pPr>
        <w:pStyle w:val="BodyText"/>
        <w:rPr>
          <w:sz w:val="20"/>
        </w:rPr>
      </w:pPr>
    </w:p>
    <w:p>
      <w:pPr>
        <w:pStyle w:val="BodyText"/>
        <w:rPr>
          <w:sz w:val="20"/>
        </w:rPr>
      </w:pPr>
    </w:p>
    <w:p>
      <w:pPr>
        <w:pStyle w:val="BodyText"/>
        <w:rPr>
          <w:sz w:val="20"/>
        </w:rPr>
      </w:pPr>
    </w:p>
    <w:p>
      <w:pPr>
        <w:pStyle w:val="BodyText"/>
        <w:spacing w:line="357" w:lineRule="auto" w:before="135"/>
        <w:ind w:left="276" w:right="163"/>
        <w:jc w:val="both"/>
      </w:pPr>
      <w:r>
        <w:rPr/>
        <w:t>Los lípidos dietéticos reducen efectivamente las emisiones de CH</w:t>
      </w:r>
      <w:r>
        <w:rPr>
          <w:position w:val="-2"/>
          <w:sz w:val="16"/>
        </w:rPr>
        <w:t>4 </w:t>
      </w:r>
      <w:r>
        <w:rPr/>
        <w:t>entérico, pero</w:t>
      </w:r>
      <w:r>
        <w:rPr>
          <w:spacing w:val="-12"/>
        </w:rPr>
        <w:t> </w:t>
      </w:r>
      <w:r>
        <w:rPr/>
        <w:t>la aplicabilidad de esta práctica dependerá de los costos y sus efectos en el</w:t>
      </w:r>
      <w:r>
        <w:rPr>
          <w:spacing w:val="-27"/>
        </w:rPr>
        <w:t> </w:t>
      </w:r>
      <w:r>
        <w:rPr/>
        <w:t>consumo de los alimentos y en la producción y composición de la leche. Los alimentos derivados de subproductos con alto contenido de aceite, como los granos de destilería,</w:t>
      </w:r>
      <w:r>
        <w:rPr>
          <w:spacing w:val="-6"/>
        </w:rPr>
        <w:t> </w:t>
      </w:r>
      <w:r>
        <w:rPr/>
        <w:t>pueden</w:t>
      </w:r>
      <w:r>
        <w:rPr>
          <w:spacing w:val="-6"/>
        </w:rPr>
        <w:t> </w:t>
      </w:r>
      <w:r>
        <w:rPr/>
        <w:t>ofrecer</w:t>
      </w:r>
      <w:r>
        <w:rPr>
          <w:spacing w:val="-6"/>
        </w:rPr>
        <w:t> </w:t>
      </w:r>
      <w:r>
        <w:rPr/>
        <w:t>una</w:t>
      </w:r>
      <w:r>
        <w:rPr>
          <w:spacing w:val="-6"/>
        </w:rPr>
        <w:t> </w:t>
      </w:r>
      <w:r>
        <w:rPr/>
        <w:t>alternativa</w:t>
      </w:r>
      <w:r>
        <w:rPr>
          <w:spacing w:val="-6"/>
        </w:rPr>
        <w:t> </w:t>
      </w:r>
      <w:r>
        <w:rPr/>
        <w:t>económicamente</w:t>
      </w:r>
      <w:r>
        <w:rPr>
          <w:spacing w:val="-6"/>
        </w:rPr>
        <w:t> </w:t>
      </w:r>
      <w:r>
        <w:rPr/>
        <w:t>viable</w:t>
      </w:r>
      <w:r>
        <w:rPr>
          <w:spacing w:val="-6"/>
        </w:rPr>
        <w:t> </w:t>
      </w:r>
      <w:r>
        <w:rPr/>
        <w:t>para</w:t>
      </w:r>
      <w:r>
        <w:rPr>
          <w:spacing w:val="-6"/>
        </w:rPr>
        <w:t> </w:t>
      </w:r>
      <w:r>
        <w:rPr/>
        <w:t>implementar el suministro de aceite como práctica de mitigación, aunque su mayor contenido</w:t>
      </w:r>
      <w:r>
        <w:rPr>
          <w:spacing w:val="-24"/>
        </w:rPr>
        <w:t> </w:t>
      </w:r>
      <w:r>
        <w:rPr/>
        <w:t>de fibra puede tener un efecto contrario en el CH</w:t>
      </w:r>
      <w:r>
        <w:rPr>
          <w:position w:val="-2"/>
          <w:sz w:val="16"/>
        </w:rPr>
        <w:t>4 </w:t>
      </w:r>
      <w:r>
        <w:rPr/>
        <w:t>entérico, dependiendo de la composición de la dieta basal. La inclusión de alimentos concentrados en la dieta de</w:t>
      </w:r>
      <w:r>
        <w:rPr>
          <w:spacing w:val="-9"/>
        </w:rPr>
        <w:t> </w:t>
      </w:r>
      <w:r>
        <w:rPr/>
        <w:t>los</w:t>
      </w:r>
      <w:r>
        <w:rPr>
          <w:spacing w:val="-9"/>
        </w:rPr>
        <w:t> </w:t>
      </w:r>
      <w:r>
        <w:rPr/>
        <w:t>rumiantes</w:t>
      </w:r>
      <w:r>
        <w:rPr>
          <w:spacing w:val="-9"/>
        </w:rPr>
        <w:t> </w:t>
      </w:r>
      <w:r>
        <w:rPr/>
        <w:t>seguramente</w:t>
      </w:r>
      <w:r>
        <w:rPr>
          <w:spacing w:val="-9"/>
        </w:rPr>
        <w:t> </w:t>
      </w:r>
      <w:r>
        <w:rPr/>
        <w:t>disminuirá</w:t>
      </w:r>
      <w:r>
        <w:rPr>
          <w:spacing w:val="-9"/>
        </w:rPr>
        <w:t> </w:t>
      </w:r>
      <w:r>
        <w:rPr/>
        <w:t>las</w:t>
      </w:r>
      <w:r>
        <w:rPr>
          <w:spacing w:val="-9"/>
        </w:rPr>
        <w:t> </w:t>
      </w:r>
      <w:r>
        <w:rPr/>
        <w:t>emisiones</w:t>
      </w:r>
      <w:r>
        <w:rPr>
          <w:spacing w:val="-9"/>
        </w:rPr>
        <w:t> </w:t>
      </w:r>
      <w:r>
        <w:rPr/>
        <w:t>del</w:t>
      </w:r>
      <w:r>
        <w:rPr>
          <w:spacing w:val="-9"/>
        </w:rPr>
        <w:t> </w:t>
      </w:r>
      <w:r>
        <w:rPr/>
        <w:t>CH</w:t>
      </w:r>
      <w:r>
        <w:rPr>
          <w:position w:val="-2"/>
          <w:sz w:val="16"/>
        </w:rPr>
        <w:t>4</w:t>
      </w:r>
      <w:r>
        <w:rPr>
          <w:spacing w:val="14"/>
          <w:position w:val="-2"/>
          <w:sz w:val="16"/>
        </w:rPr>
        <w:t> </w:t>
      </w:r>
      <w:r>
        <w:rPr/>
        <w:t>entérico</w:t>
      </w:r>
      <w:r>
        <w:rPr>
          <w:spacing w:val="-9"/>
        </w:rPr>
        <w:t> </w:t>
      </w:r>
      <w:r>
        <w:rPr/>
        <w:t>por</w:t>
      </w:r>
      <w:r>
        <w:rPr>
          <w:spacing w:val="-9"/>
        </w:rPr>
        <w:t> </w:t>
      </w:r>
      <w:r>
        <w:rPr/>
        <w:t>unidad de</w:t>
      </w:r>
      <w:r>
        <w:rPr>
          <w:spacing w:val="28"/>
        </w:rPr>
        <w:t> </w:t>
      </w:r>
      <w:r>
        <w:rPr/>
        <w:t>producto</w:t>
      </w:r>
      <w:r>
        <w:rPr>
          <w:spacing w:val="28"/>
        </w:rPr>
        <w:t> </w:t>
      </w:r>
      <w:r>
        <w:rPr/>
        <w:t>animal,</w:t>
      </w:r>
      <w:r>
        <w:rPr>
          <w:spacing w:val="28"/>
        </w:rPr>
        <w:t> </w:t>
      </w:r>
      <w:r>
        <w:rPr/>
        <w:t>especialmente</w:t>
      </w:r>
      <w:r>
        <w:rPr>
          <w:spacing w:val="28"/>
        </w:rPr>
        <w:t> </w:t>
      </w:r>
      <w:r>
        <w:rPr/>
        <w:t>cuando</w:t>
      </w:r>
      <w:r>
        <w:rPr>
          <w:spacing w:val="28"/>
        </w:rPr>
        <w:t> </w:t>
      </w:r>
      <w:r>
        <w:rPr/>
        <w:t>el</w:t>
      </w:r>
      <w:r>
        <w:rPr>
          <w:spacing w:val="28"/>
        </w:rPr>
        <w:t> </w:t>
      </w:r>
      <w:r>
        <w:rPr/>
        <w:t>consumo</w:t>
      </w:r>
      <w:r>
        <w:rPr>
          <w:spacing w:val="28"/>
        </w:rPr>
        <w:t> </w:t>
      </w:r>
      <w:r>
        <w:rPr/>
        <w:t>de</w:t>
      </w:r>
      <w:r>
        <w:rPr>
          <w:spacing w:val="28"/>
        </w:rPr>
        <w:t> </w:t>
      </w:r>
      <w:r>
        <w:rPr/>
        <w:t>materia</w:t>
      </w:r>
      <w:r>
        <w:rPr>
          <w:spacing w:val="28"/>
        </w:rPr>
        <w:t> </w:t>
      </w:r>
      <w:r>
        <w:rPr/>
        <w:t>seca</w:t>
      </w:r>
      <w:r>
        <w:rPr>
          <w:spacing w:val="28"/>
        </w:rPr>
        <w:t> </w:t>
      </w:r>
      <w:r>
        <w:rPr/>
        <w:t>sea</w:t>
      </w:r>
      <w:r>
        <w:rPr>
          <w:spacing w:val="28"/>
        </w:rPr>
        <w:t> </w:t>
      </w:r>
      <w:r>
        <w:rPr/>
        <w:t>por</w:t>
      </w:r>
    </w:p>
    <w:p>
      <w:pPr>
        <w:spacing w:after="0" w:line="357" w:lineRule="auto"/>
        <w:jc w:val="both"/>
        <w:sectPr>
          <w:headerReference w:type="default" r:id="rId119"/>
          <w:footerReference w:type="default" r:id="rId120"/>
          <w:pgSz w:w="12240" w:h="15840"/>
          <w:pgMar w:header="741" w:footer="739" w:top="1220" w:bottom="920" w:left="1720" w:right="1240"/>
          <w:pgNumType w:start="61"/>
        </w:sectPr>
      </w:pPr>
    </w:p>
    <w:p>
      <w:pPr>
        <w:pStyle w:val="BodyText"/>
        <w:spacing w:before="4"/>
        <w:rPr>
          <w:sz w:val="11"/>
        </w:rPr>
      </w:pPr>
    </w:p>
    <w:p>
      <w:pPr>
        <w:pStyle w:val="BodyText"/>
        <w:spacing w:line="360" w:lineRule="auto" w:before="69"/>
        <w:ind w:left="276" w:right="143"/>
        <w:jc w:val="both"/>
      </w:pPr>
      <w:r>
        <w:rPr/>
        <w:t>encima del 40%. El efecto puede depender del porcentaje de concentrado en la alimentación,</w:t>
      </w:r>
      <w:r>
        <w:rPr>
          <w:spacing w:val="-5"/>
        </w:rPr>
        <w:t> </w:t>
      </w:r>
      <w:r>
        <w:rPr/>
        <w:t>de</w:t>
      </w:r>
      <w:r>
        <w:rPr>
          <w:spacing w:val="-4"/>
        </w:rPr>
        <w:t> </w:t>
      </w:r>
      <w:r>
        <w:rPr/>
        <w:t>la</w:t>
      </w:r>
      <w:r>
        <w:rPr>
          <w:spacing w:val="-4"/>
        </w:rPr>
        <w:t> </w:t>
      </w:r>
      <w:r>
        <w:rPr/>
        <w:t>respuesta</w:t>
      </w:r>
      <w:r>
        <w:rPr>
          <w:spacing w:val="-4"/>
        </w:rPr>
        <w:t> </w:t>
      </w:r>
      <w:r>
        <w:rPr/>
        <w:t>productiva,</w:t>
      </w:r>
      <w:r>
        <w:rPr>
          <w:spacing w:val="-5"/>
        </w:rPr>
        <w:t> </w:t>
      </w:r>
      <w:r>
        <w:rPr/>
        <w:t>del</w:t>
      </w:r>
      <w:r>
        <w:rPr>
          <w:spacing w:val="-4"/>
        </w:rPr>
        <w:t> </w:t>
      </w:r>
      <w:r>
        <w:rPr/>
        <w:t>impacto</w:t>
      </w:r>
      <w:r>
        <w:rPr>
          <w:spacing w:val="-4"/>
        </w:rPr>
        <w:t> </w:t>
      </w:r>
      <w:r>
        <w:rPr/>
        <w:t>en</w:t>
      </w:r>
      <w:r>
        <w:rPr>
          <w:spacing w:val="-4"/>
        </w:rPr>
        <w:t> </w:t>
      </w:r>
      <w:r>
        <w:rPr/>
        <w:t>la</w:t>
      </w:r>
      <w:r>
        <w:rPr>
          <w:spacing w:val="-4"/>
        </w:rPr>
        <w:t> </w:t>
      </w:r>
      <w:r>
        <w:rPr/>
        <w:t>digestibilidad</w:t>
      </w:r>
      <w:r>
        <w:rPr>
          <w:spacing w:val="-4"/>
        </w:rPr>
        <w:t> </w:t>
      </w:r>
      <w:r>
        <w:rPr/>
        <w:t>de</w:t>
      </w:r>
      <w:r>
        <w:rPr>
          <w:spacing w:val="-4"/>
        </w:rPr>
        <w:t> </w:t>
      </w:r>
      <w:r>
        <w:rPr/>
        <w:t>la</w:t>
      </w:r>
      <w:r>
        <w:rPr>
          <w:spacing w:val="-4"/>
        </w:rPr>
        <w:t> </w:t>
      </w:r>
      <w:r>
        <w:rPr/>
        <w:t>fibra, de los niveles de nutrición y del procesamiento de los alimentos. Se espera que el suministro de pequeñas cantidades de alimento concentrado en las dietas</w:t>
      </w:r>
      <w:r>
        <w:rPr>
          <w:spacing w:val="-30"/>
        </w:rPr>
        <w:t> </w:t>
      </w:r>
      <w:r>
        <w:rPr/>
        <w:t>basadas exclusivamente en pastoreo incremente la productividad animal y disminuya la intensidad</w:t>
      </w:r>
      <w:r>
        <w:rPr>
          <w:spacing w:val="-8"/>
        </w:rPr>
        <w:t> </w:t>
      </w:r>
      <w:r>
        <w:rPr/>
        <w:t>de</w:t>
      </w:r>
      <w:r>
        <w:rPr>
          <w:spacing w:val="-8"/>
        </w:rPr>
        <w:t> </w:t>
      </w:r>
      <w:r>
        <w:rPr/>
        <w:t>las</w:t>
      </w:r>
      <w:r>
        <w:rPr>
          <w:spacing w:val="-8"/>
        </w:rPr>
        <w:t> </w:t>
      </w:r>
      <w:r>
        <w:rPr/>
        <w:t>emisiones</w:t>
      </w:r>
      <w:r>
        <w:rPr>
          <w:spacing w:val="-8"/>
        </w:rPr>
        <w:t> </w:t>
      </w:r>
      <w:r>
        <w:rPr/>
        <w:t>de</w:t>
      </w:r>
      <w:r>
        <w:rPr>
          <w:spacing w:val="-8"/>
        </w:rPr>
        <w:t> </w:t>
      </w:r>
      <w:r>
        <w:rPr/>
        <w:t>los</w:t>
      </w:r>
      <w:r>
        <w:rPr>
          <w:spacing w:val="-8"/>
        </w:rPr>
        <w:t> </w:t>
      </w:r>
      <w:r>
        <w:rPr/>
        <w:t>GEI.</w:t>
      </w:r>
      <w:r>
        <w:rPr>
          <w:spacing w:val="-8"/>
        </w:rPr>
        <w:t> </w:t>
      </w:r>
      <w:r>
        <w:rPr/>
        <w:t>No</w:t>
      </w:r>
      <w:r>
        <w:rPr>
          <w:spacing w:val="-8"/>
        </w:rPr>
        <w:t> </w:t>
      </w:r>
      <w:r>
        <w:rPr/>
        <w:t>obstante,</w:t>
      </w:r>
      <w:r>
        <w:rPr>
          <w:spacing w:val="-8"/>
        </w:rPr>
        <w:t> </w:t>
      </w:r>
      <w:r>
        <w:rPr/>
        <w:t>el</w:t>
      </w:r>
      <w:r>
        <w:rPr>
          <w:spacing w:val="-8"/>
        </w:rPr>
        <w:t> </w:t>
      </w:r>
      <w:r>
        <w:rPr/>
        <w:t>suplemento</w:t>
      </w:r>
      <w:r>
        <w:rPr>
          <w:spacing w:val="-8"/>
        </w:rPr>
        <w:t> </w:t>
      </w:r>
      <w:r>
        <w:rPr/>
        <w:t>concentrado</w:t>
      </w:r>
      <w:r>
        <w:rPr>
          <w:spacing w:val="-8"/>
        </w:rPr>
        <w:t> </w:t>
      </w:r>
      <w:r>
        <w:rPr/>
        <w:t>no debería sustituir los forrajes de alta calidad. El procesamiento de los granos para aumentar su digestibilidad probablemente reducirá la intensidad de las emisiones de CH</w:t>
      </w:r>
      <w:r>
        <w:rPr>
          <w:position w:val="-2"/>
          <w:sz w:val="16"/>
        </w:rPr>
        <w:t>4 </w:t>
      </w:r>
      <w:r>
        <w:rPr/>
        <w:t>entérico. Sin embargo, se debe evitar que el suplemento con concentrado</w:t>
      </w:r>
      <w:r>
        <w:rPr>
          <w:spacing w:val="-33"/>
        </w:rPr>
        <w:t> </w:t>
      </w:r>
      <w:r>
        <w:rPr/>
        <w:t>y el procesamiento comprometan la digestibilidad de la fibra presente en la dieta. En muchas</w:t>
      </w:r>
      <w:r>
        <w:rPr>
          <w:spacing w:val="-8"/>
        </w:rPr>
        <w:t> </w:t>
      </w:r>
      <w:r>
        <w:rPr/>
        <w:t>partes</w:t>
      </w:r>
      <w:r>
        <w:rPr>
          <w:spacing w:val="-8"/>
        </w:rPr>
        <w:t> </w:t>
      </w:r>
      <w:r>
        <w:rPr/>
        <w:t>del</w:t>
      </w:r>
      <w:r>
        <w:rPr>
          <w:spacing w:val="-8"/>
        </w:rPr>
        <w:t> </w:t>
      </w:r>
      <w:r>
        <w:rPr/>
        <w:t>mundo</w:t>
      </w:r>
      <w:r>
        <w:rPr>
          <w:spacing w:val="-8"/>
        </w:rPr>
        <w:t> </w:t>
      </w:r>
      <w:r>
        <w:rPr/>
        <w:t>el</w:t>
      </w:r>
      <w:r>
        <w:rPr>
          <w:spacing w:val="-8"/>
        </w:rPr>
        <w:t> </w:t>
      </w:r>
      <w:r>
        <w:rPr/>
        <w:t>suministro</w:t>
      </w:r>
      <w:r>
        <w:rPr>
          <w:spacing w:val="-8"/>
        </w:rPr>
        <w:t> </w:t>
      </w:r>
      <w:r>
        <w:rPr/>
        <w:t>de</w:t>
      </w:r>
      <w:r>
        <w:rPr>
          <w:spacing w:val="-8"/>
        </w:rPr>
        <w:t> </w:t>
      </w:r>
      <w:r>
        <w:rPr/>
        <w:t>concentrados</w:t>
      </w:r>
      <w:r>
        <w:rPr>
          <w:spacing w:val="-8"/>
        </w:rPr>
        <w:t> </w:t>
      </w:r>
      <w:r>
        <w:rPr/>
        <w:t>no</w:t>
      </w:r>
      <w:r>
        <w:rPr>
          <w:spacing w:val="-8"/>
        </w:rPr>
        <w:t> </w:t>
      </w:r>
      <w:r>
        <w:rPr/>
        <w:t>sería</w:t>
      </w:r>
      <w:r>
        <w:rPr>
          <w:spacing w:val="-8"/>
        </w:rPr>
        <w:t> </w:t>
      </w:r>
      <w:r>
        <w:rPr/>
        <w:t>una</w:t>
      </w:r>
      <w:r>
        <w:rPr>
          <w:spacing w:val="-8"/>
        </w:rPr>
        <w:t> </w:t>
      </w:r>
      <w:r>
        <w:rPr/>
        <w:t>alternativa</w:t>
      </w:r>
      <w:r>
        <w:rPr>
          <w:spacing w:val="-8"/>
        </w:rPr>
        <w:t> </w:t>
      </w:r>
      <w:r>
        <w:rPr/>
        <w:t>de mitigación económicamente viable. En estas situaciones, el mejoramiento del valor nutricional</w:t>
      </w:r>
      <w:r>
        <w:rPr>
          <w:spacing w:val="-8"/>
        </w:rPr>
        <w:t> </w:t>
      </w:r>
      <w:r>
        <w:rPr/>
        <w:t>de</w:t>
      </w:r>
      <w:r>
        <w:rPr>
          <w:spacing w:val="-8"/>
        </w:rPr>
        <w:t> </w:t>
      </w:r>
      <w:r>
        <w:rPr/>
        <w:t>los</w:t>
      </w:r>
      <w:r>
        <w:rPr>
          <w:spacing w:val="-8"/>
        </w:rPr>
        <w:t> </w:t>
      </w:r>
      <w:r>
        <w:rPr/>
        <w:t>forrajes</w:t>
      </w:r>
      <w:r>
        <w:rPr>
          <w:spacing w:val="-8"/>
        </w:rPr>
        <w:t> </w:t>
      </w:r>
      <w:r>
        <w:rPr/>
        <w:t>de</w:t>
      </w:r>
      <w:r>
        <w:rPr>
          <w:spacing w:val="-8"/>
        </w:rPr>
        <w:t> </w:t>
      </w:r>
      <w:r>
        <w:rPr/>
        <w:t>baja</w:t>
      </w:r>
      <w:r>
        <w:rPr>
          <w:spacing w:val="-8"/>
        </w:rPr>
        <w:t> </w:t>
      </w:r>
      <w:r>
        <w:rPr/>
        <w:t>calidad</w:t>
      </w:r>
      <w:r>
        <w:rPr>
          <w:spacing w:val="-8"/>
        </w:rPr>
        <w:t> </w:t>
      </w:r>
      <w:r>
        <w:rPr/>
        <w:t>en</w:t>
      </w:r>
      <w:r>
        <w:rPr>
          <w:spacing w:val="-8"/>
        </w:rPr>
        <w:t> </w:t>
      </w:r>
      <w:r>
        <w:rPr/>
        <w:t>las</w:t>
      </w:r>
      <w:r>
        <w:rPr>
          <w:spacing w:val="-8"/>
        </w:rPr>
        <w:t> </w:t>
      </w:r>
      <w:r>
        <w:rPr/>
        <w:t>dietas</w:t>
      </w:r>
      <w:r>
        <w:rPr>
          <w:spacing w:val="-8"/>
        </w:rPr>
        <w:t> </w:t>
      </w:r>
      <w:r>
        <w:rPr/>
        <w:t>de</w:t>
      </w:r>
      <w:r>
        <w:rPr>
          <w:spacing w:val="-8"/>
        </w:rPr>
        <w:t> </w:t>
      </w:r>
      <w:r>
        <w:rPr/>
        <w:t>los</w:t>
      </w:r>
      <w:r>
        <w:rPr>
          <w:spacing w:val="-8"/>
        </w:rPr>
        <w:t> </w:t>
      </w:r>
      <w:r>
        <w:rPr/>
        <w:t>rumiantes</w:t>
      </w:r>
      <w:r>
        <w:rPr>
          <w:spacing w:val="-8"/>
        </w:rPr>
        <w:t> </w:t>
      </w:r>
      <w:r>
        <w:rPr/>
        <w:t>puede</w:t>
      </w:r>
      <w:r>
        <w:rPr>
          <w:spacing w:val="-8"/>
        </w:rPr>
        <w:t> </w:t>
      </w:r>
      <w:r>
        <w:rPr/>
        <w:t>tener un gran beneficio en la productividad del hato, a la vez que lo mantiene con una producción constante o menor de CH</w:t>
      </w:r>
      <w:r>
        <w:rPr>
          <w:position w:val="-2"/>
          <w:sz w:val="16"/>
        </w:rPr>
        <w:t>4</w:t>
      </w:r>
      <w:r>
        <w:rPr/>
        <w:t>. Los tratamientos químicos de los alimentos de baja calidad, la complementación estratégica en la dieta, el balance de la ración y la selección de cultivos para obtener un heno de mejor calidad son estrategias</w:t>
      </w:r>
      <w:r>
        <w:rPr>
          <w:spacing w:val="-28"/>
        </w:rPr>
        <w:t> </w:t>
      </w:r>
      <w:r>
        <w:rPr/>
        <w:t>de mitigación eficaces. No obstante, dichas tecnologías han sido poco adoptadas (Hristov </w:t>
      </w:r>
      <w:r>
        <w:rPr>
          <w:i/>
        </w:rPr>
        <w:t>et al.</w:t>
      </w:r>
      <w:r>
        <w:rPr/>
        <w:t>,</w:t>
      </w:r>
      <w:r>
        <w:rPr>
          <w:spacing w:val="-6"/>
        </w:rPr>
        <w:t> </w:t>
      </w:r>
      <w:r>
        <w:rPr/>
        <w:t>2013).</w:t>
      </w:r>
    </w:p>
    <w:p>
      <w:pPr>
        <w:pStyle w:val="BodyText"/>
        <w:spacing w:line="357" w:lineRule="auto" w:before="2"/>
        <w:ind w:left="276" w:right="143"/>
        <w:jc w:val="both"/>
      </w:pPr>
      <w:r>
        <w:rPr/>
        <w:t>Los nitratos son agentes promisorios para la reducción del CH</w:t>
      </w:r>
      <w:r>
        <w:rPr>
          <w:position w:val="-2"/>
          <w:sz w:val="16"/>
        </w:rPr>
        <w:t>4 </w:t>
      </w:r>
      <w:r>
        <w:rPr/>
        <w:t>entérico, particularmente en las dietas bajas en proteína que se pueden beneficiar con la complementación con nitrógeno, pero se requieren más investigaciones que permitan entender plenamente su impacto sobre las emisiones de los GEI de toda la granja, la productividad y la sanidad animal. La adaptación a estos compuestos es crítica y la toxicidad puede ser un problema. Los ionóforos, gracias a su efecto en la eficiencia alimenticia, pueden tener un efecto moderado en la reducción del CH</w:t>
      </w:r>
      <w:r>
        <w:rPr>
          <w:position w:val="-2"/>
          <w:sz w:val="16"/>
        </w:rPr>
        <w:t>4 </w:t>
      </w:r>
      <w:r>
        <w:rPr/>
        <w:t>en los rumiantes alimentados con dietas con alto contenido de granos o de granos y forrajes. Sin embargo, esta opción ha sido restringida por la normatividad de muchos países. Para los rumiantes en pastoreo, esta alternativa no es suficientemente consistente para ser recomendada como estrategia de mitigación. Los taninos también pueden reducir el CH</w:t>
      </w:r>
      <w:r>
        <w:rPr>
          <w:position w:val="-2"/>
          <w:sz w:val="16"/>
        </w:rPr>
        <w:t>4  </w:t>
      </w:r>
      <w:r>
        <w:rPr/>
        <w:t>entérico pero podrían comprometer   la</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ingestión</w:t>
      </w:r>
      <w:r>
        <w:rPr>
          <w:spacing w:val="-13"/>
        </w:rPr>
        <w:t> </w:t>
      </w:r>
      <w:r>
        <w:rPr/>
        <w:t>de</w:t>
      </w:r>
      <w:r>
        <w:rPr>
          <w:spacing w:val="-13"/>
        </w:rPr>
        <w:t> </w:t>
      </w:r>
      <w:r>
        <w:rPr/>
        <w:t>los</w:t>
      </w:r>
      <w:r>
        <w:rPr>
          <w:spacing w:val="-13"/>
        </w:rPr>
        <w:t> </w:t>
      </w:r>
      <w:r>
        <w:rPr/>
        <w:t>alimentos</w:t>
      </w:r>
      <w:r>
        <w:rPr>
          <w:spacing w:val="-13"/>
        </w:rPr>
        <w:t> </w:t>
      </w:r>
      <w:r>
        <w:rPr/>
        <w:t>y</w:t>
      </w:r>
      <w:r>
        <w:rPr>
          <w:spacing w:val="-13"/>
        </w:rPr>
        <w:t> </w:t>
      </w:r>
      <w:r>
        <w:rPr/>
        <w:t>la</w:t>
      </w:r>
      <w:r>
        <w:rPr>
          <w:spacing w:val="-13"/>
        </w:rPr>
        <w:t> </w:t>
      </w:r>
      <w:r>
        <w:rPr/>
        <w:t>producción</w:t>
      </w:r>
      <w:r>
        <w:rPr>
          <w:spacing w:val="-13"/>
        </w:rPr>
        <w:t> </w:t>
      </w:r>
      <w:r>
        <w:rPr/>
        <w:t>de</w:t>
      </w:r>
      <w:r>
        <w:rPr>
          <w:spacing w:val="-13"/>
        </w:rPr>
        <w:t> </w:t>
      </w:r>
      <w:r>
        <w:rPr/>
        <w:t>la</w:t>
      </w:r>
      <w:r>
        <w:rPr>
          <w:spacing w:val="-13"/>
        </w:rPr>
        <w:t> </w:t>
      </w:r>
      <w:r>
        <w:rPr/>
        <w:t>leche.</w:t>
      </w:r>
      <w:r>
        <w:rPr>
          <w:spacing w:val="-13"/>
        </w:rPr>
        <w:t> </w:t>
      </w:r>
      <w:r>
        <w:rPr/>
        <w:t>Además,</w:t>
      </w:r>
      <w:r>
        <w:rPr>
          <w:spacing w:val="-13"/>
        </w:rPr>
        <w:t> </w:t>
      </w:r>
      <w:r>
        <w:rPr/>
        <w:t>se</w:t>
      </w:r>
      <w:r>
        <w:rPr>
          <w:spacing w:val="-13"/>
        </w:rPr>
        <w:t> </w:t>
      </w:r>
      <w:r>
        <w:rPr/>
        <w:t>deben</w:t>
      </w:r>
      <w:r>
        <w:rPr>
          <w:spacing w:val="-13"/>
        </w:rPr>
        <w:t> </w:t>
      </w:r>
      <w:r>
        <w:rPr/>
        <w:t>considerar las</w:t>
      </w:r>
      <w:r>
        <w:rPr>
          <w:spacing w:val="-12"/>
        </w:rPr>
        <w:t> </w:t>
      </w:r>
      <w:r>
        <w:rPr/>
        <w:t>características</w:t>
      </w:r>
      <w:r>
        <w:rPr>
          <w:spacing w:val="-12"/>
        </w:rPr>
        <w:t> </w:t>
      </w:r>
      <w:r>
        <w:rPr/>
        <w:t>agronómicas</w:t>
      </w:r>
      <w:r>
        <w:rPr>
          <w:spacing w:val="-12"/>
        </w:rPr>
        <w:t> </w:t>
      </w:r>
      <w:r>
        <w:rPr/>
        <w:t>de</w:t>
      </w:r>
      <w:r>
        <w:rPr>
          <w:spacing w:val="-12"/>
        </w:rPr>
        <w:t> </w:t>
      </w:r>
      <w:r>
        <w:rPr/>
        <w:t>los</w:t>
      </w:r>
      <w:r>
        <w:rPr>
          <w:spacing w:val="-12"/>
        </w:rPr>
        <w:t> </w:t>
      </w:r>
      <w:r>
        <w:rPr/>
        <w:t>forrajes</w:t>
      </w:r>
      <w:r>
        <w:rPr>
          <w:spacing w:val="-12"/>
        </w:rPr>
        <w:t> </w:t>
      </w:r>
      <w:r>
        <w:rPr/>
        <w:t>taníferos</w:t>
      </w:r>
      <w:r>
        <w:rPr>
          <w:spacing w:val="-12"/>
        </w:rPr>
        <w:t> </w:t>
      </w:r>
      <w:r>
        <w:rPr/>
        <w:t>cuando</w:t>
      </w:r>
      <w:r>
        <w:rPr>
          <w:spacing w:val="-12"/>
        </w:rPr>
        <w:t> </w:t>
      </w:r>
      <w:r>
        <w:rPr/>
        <w:t>se</w:t>
      </w:r>
      <w:r>
        <w:rPr>
          <w:spacing w:val="-12"/>
        </w:rPr>
        <w:t> </w:t>
      </w:r>
      <w:r>
        <w:rPr/>
        <w:t>proponga</w:t>
      </w:r>
      <w:r>
        <w:rPr>
          <w:spacing w:val="-12"/>
        </w:rPr>
        <w:t> </w:t>
      </w:r>
      <w:r>
        <w:rPr/>
        <w:t>su</w:t>
      </w:r>
      <w:r>
        <w:rPr>
          <w:spacing w:val="-12"/>
        </w:rPr>
        <w:t> </w:t>
      </w:r>
      <w:r>
        <w:rPr/>
        <w:t>uso en las opciones de reducción de los GEI. No hay suficiente evidencia de que otros compuestos bioactivos derivados de las plantas, como los aceites esenciales, tengan</w:t>
      </w:r>
      <w:r>
        <w:rPr>
          <w:spacing w:val="-8"/>
        </w:rPr>
        <w:t> </w:t>
      </w:r>
      <w:r>
        <w:rPr/>
        <w:t>un</w:t>
      </w:r>
      <w:r>
        <w:rPr>
          <w:spacing w:val="-8"/>
        </w:rPr>
        <w:t> </w:t>
      </w:r>
      <w:r>
        <w:rPr/>
        <w:t>efecto</w:t>
      </w:r>
      <w:r>
        <w:rPr>
          <w:spacing w:val="-8"/>
        </w:rPr>
        <w:t> </w:t>
      </w:r>
      <w:r>
        <w:rPr/>
        <w:t>en</w:t>
      </w:r>
      <w:r>
        <w:rPr>
          <w:spacing w:val="-8"/>
        </w:rPr>
        <w:t> </w:t>
      </w:r>
      <w:r>
        <w:rPr/>
        <w:t>la</w:t>
      </w:r>
      <w:r>
        <w:rPr>
          <w:spacing w:val="-8"/>
        </w:rPr>
        <w:t> </w:t>
      </w:r>
      <w:r>
        <w:rPr/>
        <w:t>reducción</w:t>
      </w:r>
      <w:r>
        <w:rPr>
          <w:spacing w:val="-8"/>
        </w:rPr>
        <w:t> </w:t>
      </w:r>
      <w:r>
        <w:rPr/>
        <w:t>del</w:t>
      </w:r>
      <w:r>
        <w:rPr>
          <w:spacing w:val="-8"/>
        </w:rPr>
        <w:t> </w:t>
      </w:r>
      <w:r>
        <w:rPr/>
        <w:t>CH</w:t>
      </w:r>
      <w:r>
        <w:rPr>
          <w:position w:val="-2"/>
          <w:sz w:val="16"/>
        </w:rPr>
        <w:t>4</w:t>
      </w:r>
      <w:r>
        <w:rPr/>
        <w:t>.</w:t>
      </w:r>
      <w:r>
        <w:rPr>
          <w:spacing w:val="-8"/>
        </w:rPr>
        <w:t> </w:t>
      </w:r>
      <w:r>
        <w:rPr/>
        <w:t>Algunos</w:t>
      </w:r>
      <w:r>
        <w:rPr>
          <w:spacing w:val="-8"/>
        </w:rPr>
        <w:t> </w:t>
      </w:r>
      <w:r>
        <w:rPr/>
        <w:t>alimentos</w:t>
      </w:r>
      <w:r>
        <w:rPr>
          <w:spacing w:val="-8"/>
        </w:rPr>
        <w:t> </w:t>
      </w:r>
      <w:r>
        <w:rPr/>
        <w:t>microbianos,</w:t>
      </w:r>
      <w:r>
        <w:rPr>
          <w:spacing w:val="-8"/>
        </w:rPr>
        <w:t> </w:t>
      </w:r>
      <w:r>
        <w:rPr/>
        <w:t>como</w:t>
      </w:r>
      <w:r>
        <w:rPr>
          <w:spacing w:val="-8"/>
        </w:rPr>
        <w:t> </w:t>
      </w:r>
      <w:r>
        <w:rPr/>
        <w:t>los productos</w:t>
      </w:r>
      <w:r>
        <w:rPr>
          <w:spacing w:val="-7"/>
        </w:rPr>
        <w:t> </w:t>
      </w:r>
      <w:r>
        <w:rPr/>
        <w:t>basados</w:t>
      </w:r>
      <w:r>
        <w:rPr>
          <w:spacing w:val="-7"/>
        </w:rPr>
        <w:t> </w:t>
      </w:r>
      <w:r>
        <w:rPr/>
        <w:t>en</w:t>
      </w:r>
      <w:r>
        <w:rPr>
          <w:spacing w:val="-7"/>
        </w:rPr>
        <w:t> </w:t>
      </w:r>
      <w:r>
        <w:rPr/>
        <w:t>levaduras,</w:t>
      </w:r>
      <w:r>
        <w:rPr>
          <w:spacing w:val="-7"/>
        </w:rPr>
        <w:t> </w:t>
      </w:r>
      <w:r>
        <w:rPr/>
        <w:t>pueden</w:t>
      </w:r>
      <w:r>
        <w:rPr>
          <w:spacing w:val="-7"/>
        </w:rPr>
        <w:t> </w:t>
      </w:r>
      <w:r>
        <w:rPr/>
        <w:t>tener</w:t>
      </w:r>
      <w:r>
        <w:rPr>
          <w:spacing w:val="-7"/>
        </w:rPr>
        <w:t> </w:t>
      </w:r>
      <w:r>
        <w:rPr/>
        <w:t>un</w:t>
      </w:r>
      <w:r>
        <w:rPr>
          <w:spacing w:val="-7"/>
        </w:rPr>
        <w:t> </w:t>
      </w:r>
      <w:r>
        <w:rPr/>
        <w:t>efecto</w:t>
      </w:r>
      <w:r>
        <w:rPr>
          <w:spacing w:val="-7"/>
        </w:rPr>
        <w:t> </w:t>
      </w:r>
      <w:r>
        <w:rPr/>
        <w:t>moderado</w:t>
      </w:r>
      <w:r>
        <w:rPr>
          <w:spacing w:val="-7"/>
        </w:rPr>
        <w:t> </w:t>
      </w:r>
      <w:r>
        <w:rPr/>
        <w:t>en</w:t>
      </w:r>
      <w:r>
        <w:rPr>
          <w:spacing w:val="-7"/>
        </w:rPr>
        <w:t> </w:t>
      </w:r>
      <w:r>
        <w:rPr/>
        <w:t>la</w:t>
      </w:r>
      <w:r>
        <w:rPr>
          <w:spacing w:val="-7"/>
        </w:rPr>
        <w:t> </w:t>
      </w:r>
      <w:r>
        <w:rPr/>
        <w:t>reducción del CH</w:t>
      </w:r>
      <w:r>
        <w:rPr>
          <w:position w:val="-2"/>
          <w:sz w:val="16"/>
        </w:rPr>
        <w:t>4 </w:t>
      </w:r>
      <w:r>
        <w:rPr/>
        <w:t>mediante el aumento de la productividad animal y la eficiencia alimenticia, pero es de esperar un efecto inconsistente. La vacunas contra las </w:t>
      </w:r>
      <w:r>
        <w:rPr>
          <w:i/>
        </w:rPr>
        <w:t>arqueas </w:t>
      </w:r>
      <w:r>
        <w:rPr/>
        <w:t>del rumen</w:t>
      </w:r>
      <w:r>
        <w:rPr>
          <w:spacing w:val="-7"/>
        </w:rPr>
        <w:t> </w:t>
      </w:r>
      <w:r>
        <w:rPr/>
        <w:t>pueden</w:t>
      </w:r>
      <w:r>
        <w:rPr>
          <w:spacing w:val="-7"/>
        </w:rPr>
        <w:t> </w:t>
      </w:r>
      <w:r>
        <w:rPr/>
        <w:t>ofrecer</w:t>
      </w:r>
      <w:r>
        <w:rPr>
          <w:spacing w:val="-7"/>
        </w:rPr>
        <w:t> </w:t>
      </w:r>
      <w:r>
        <w:rPr/>
        <w:t>en</w:t>
      </w:r>
      <w:r>
        <w:rPr>
          <w:spacing w:val="-7"/>
        </w:rPr>
        <w:t> </w:t>
      </w:r>
      <w:r>
        <w:rPr/>
        <w:t>el</w:t>
      </w:r>
      <w:r>
        <w:rPr>
          <w:spacing w:val="-7"/>
        </w:rPr>
        <w:t> </w:t>
      </w:r>
      <w:r>
        <w:rPr/>
        <w:t>futuro</w:t>
      </w:r>
      <w:r>
        <w:rPr>
          <w:spacing w:val="-7"/>
        </w:rPr>
        <w:t> </w:t>
      </w:r>
      <w:r>
        <w:rPr/>
        <w:t>oportunidades</w:t>
      </w:r>
      <w:r>
        <w:rPr>
          <w:spacing w:val="-7"/>
        </w:rPr>
        <w:t> </w:t>
      </w:r>
      <w:r>
        <w:rPr/>
        <w:t>de</w:t>
      </w:r>
      <w:r>
        <w:rPr>
          <w:spacing w:val="-7"/>
        </w:rPr>
        <w:t> </w:t>
      </w:r>
      <w:r>
        <w:rPr/>
        <w:t>mitigación,</w:t>
      </w:r>
      <w:r>
        <w:rPr>
          <w:spacing w:val="-7"/>
        </w:rPr>
        <w:t> </w:t>
      </w:r>
      <w:r>
        <w:rPr/>
        <w:t>aunque</w:t>
      </w:r>
      <w:r>
        <w:rPr>
          <w:spacing w:val="-7"/>
        </w:rPr>
        <w:t> </w:t>
      </w:r>
      <w:r>
        <w:rPr/>
        <w:t>el</w:t>
      </w:r>
      <w:r>
        <w:rPr>
          <w:spacing w:val="-7"/>
        </w:rPr>
        <w:t> </w:t>
      </w:r>
      <w:r>
        <w:rPr/>
        <w:t>grado</w:t>
      </w:r>
      <w:r>
        <w:rPr>
          <w:spacing w:val="-7"/>
        </w:rPr>
        <w:t> </w:t>
      </w:r>
      <w:r>
        <w:rPr/>
        <w:t>de mitigación del CH</w:t>
      </w:r>
      <w:r>
        <w:rPr>
          <w:position w:val="-2"/>
          <w:sz w:val="16"/>
        </w:rPr>
        <w:t>4 </w:t>
      </w:r>
      <w:r>
        <w:rPr/>
        <w:t>parece reducido y se desconoce la adaptación y persistencia de sus efectos (Hristov </w:t>
      </w:r>
      <w:r>
        <w:rPr>
          <w:i/>
        </w:rPr>
        <w:t>et al.</w:t>
      </w:r>
      <w:r>
        <w:rPr/>
        <w:t>,</w:t>
      </w:r>
      <w:r>
        <w:rPr>
          <w:spacing w:val="-7"/>
        </w:rPr>
        <w:t> </w:t>
      </w:r>
      <w:r>
        <w:rPr/>
        <w:t>2013).</w:t>
      </w:r>
    </w:p>
    <w:p>
      <w:pPr>
        <w:spacing w:after="0" w:line="357" w:lineRule="auto"/>
        <w:jc w:val="both"/>
        <w:sectPr>
          <w:pgSz w:w="12240" w:h="15840"/>
          <w:pgMar w:header="741" w:footer="739" w:top="1220" w:bottom="920" w:left="1720" w:right="1260"/>
        </w:sectPr>
      </w:pPr>
    </w:p>
    <w:p>
      <w:pPr>
        <w:pStyle w:val="BodyText"/>
        <w:rPr>
          <w:sz w:val="20"/>
        </w:rPr>
      </w:pPr>
    </w:p>
    <w:p>
      <w:pPr>
        <w:pStyle w:val="BodyText"/>
        <w:spacing w:before="6"/>
        <w:rPr>
          <w:sz w:val="21"/>
        </w:rPr>
      </w:pPr>
    </w:p>
    <w:p>
      <w:pPr>
        <w:pStyle w:val="BodyText"/>
        <w:ind w:left="1313"/>
        <w:rPr>
          <w:sz w:val="20"/>
        </w:rPr>
      </w:pPr>
      <w:r>
        <w:rPr>
          <w:sz w:val="20"/>
        </w:rPr>
        <w:pict>
          <v:group style="width:412.1pt;height:236.2pt;mso-position-horizontal-relative:char;mso-position-vertical-relative:line" coordorigin="0,0" coordsize="8242,4724">
            <v:shape style="position:absolute;left:0;top:0;width:8242;height:4723" type="#_x0000_t75" stroked="false">
              <v:imagedata r:id="rId142" o:title=""/>
            </v:shape>
            <v:shape style="position:absolute;left:432;top:5;width:206;height:557" type="#_x0000_t75" stroked="false">
              <v:imagedata r:id="rId15" o:title=""/>
            </v:shape>
            <v:shape style="position:absolute;left:710;top:5;width:206;height:557" type="#_x0000_t75" stroked="false">
              <v:imagedata r:id="rId22" o:title=""/>
            </v:shape>
            <v:shape style="position:absolute;left:0;top:0;width:8242;height:4724" type="#_x0000_t202" filled="false" stroked="false">
              <v:textbox inset="0,0,0,0">
                <w:txbxContent>
                  <w:p>
                    <w:pPr>
                      <w:spacing w:line="240" w:lineRule="auto" w:before="0"/>
                      <w:rPr>
                        <w:sz w:val="47"/>
                      </w:rPr>
                    </w:pPr>
                  </w:p>
                  <w:p>
                    <w:pPr>
                      <w:spacing w:line="242" w:lineRule="auto" w:before="0"/>
                      <w:ind w:left="859" w:right="134" w:hanging="140"/>
                      <w:jc w:val="right"/>
                      <w:rPr>
                        <w:sz w:val="38"/>
                      </w:rPr>
                    </w:pPr>
                    <w:r>
                      <w:rPr>
                        <w:color w:val="632423"/>
                        <w:w w:val="75"/>
                        <w:sz w:val="38"/>
                      </w:rPr>
                      <w:t>Todas las técnicas y métodos requieren de</w:t>
                    </w:r>
                    <w:r>
                      <w:rPr>
                        <w:color w:val="632423"/>
                        <w:spacing w:val="-2"/>
                        <w:w w:val="75"/>
                        <w:sz w:val="38"/>
                      </w:rPr>
                      <w:t> </w:t>
                    </w:r>
                    <w:r>
                      <w:rPr>
                        <w:color w:val="632423"/>
                        <w:w w:val="75"/>
                        <w:sz w:val="38"/>
                      </w:rPr>
                      <w:t>una</w:t>
                    </w:r>
                    <w:r>
                      <w:rPr>
                        <w:color w:val="632423"/>
                        <w:spacing w:val="-1"/>
                        <w:w w:val="75"/>
                        <w:sz w:val="38"/>
                      </w:rPr>
                      <w:t> </w:t>
                    </w:r>
                    <w:r>
                      <w:rPr>
                        <w:color w:val="632423"/>
                        <w:w w:val="75"/>
                        <w:sz w:val="38"/>
                      </w:rPr>
                      <w:t>cuidadosa</w:t>
                    </w:r>
                    <w:r>
                      <w:rPr>
                        <w:color w:val="632423"/>
                        <w:w w:val="72"/>
                        <w:sz w:val="38"/>
                      </w:rPr>
                      <w:t> </w:t>
                    </w:r>
                    <w:r>
                      <w:rPr>
                        <w:color w:val="632423"/>
                        <w:w w:val="80"/>
                        <w:sz w:val="38"/>
                      </w:rPr>
                      <w:t>atención</w:t>
                    </w:r>
                    <w:r>
                      <w:rPr>
                        <w:color w:val="632423"/>
                        <w:spacing w:val="-55"/>
                        <w:w w:val="80"/>
                        <w:sz w:val="38"/>
                      </w:rPr>
                      <w:t> </w:t>
                    </w:r>
                    <w:r>
                      <w:rPr>
                        <w:color w:val="632423"/>
                        <w:w w:val="80"/>
                        <w:sz w:val="38"/>
                      </w:rPr>
                      <w:t>antes</w:t>
                    </w:r>
                    <w:r>
                      <w:rPr>
                        <w:color w:val="632423"/>
                        <w:spacing w:val="-55"/>
                        <w:w w:val="80"/>
                        <w:sz w:val="38"/>
                      </w:rPr>
                      <w:t> </w:t>
                    </w:r>
                    <w:r>
                      <w:rPr>
                        <w:color w:val="632423"/>
                        <w:w w:val="80"/>
                        <w:sz w:val="38"/>
                      </w:rPr>
                      <w:t>de</w:t>
                    </w:r>
                    <w:r>
                      <w:rPr>
                        <w:color w:val="632423"/>
                        <w:spacing w:val="-55"/>
                        <w:w w:val="80"/>
                        <w:sz w:val="38"/>
                      </w:rPr>
                      <w:t> </w:t>
                    </w:r>
                    <w:r>
                      <w:rPr>
                        <w:color w:val="632423"/>
                        <w:w w:val="80"/>
                        <w:sz w:val="38"/>
                      </w:rPr>
                      <w:t>su</w:t>
                    </w:r>
                    <w:r>
                      <w:rPr>
                        <w:color w:val="632423"/>
                        <w:spacing w:val="-55"/>
                        <w:w w:val="80"/>
                        <w:sz w:val="38"/>
                      </w:rPr>
                      <w:t> </w:t>
                    </w:r>
                    <w:r>
                      <w:rPr>
                        <w:color w:val="632423"/>
                        <w:w w:val="80"/>
                        <w:sz w:val="38"/>
                      </w:rPr>
                      <w:t>aplicación.</w:t>
                    </w:r>
                    <w:r>
                      <w:rPr>
                        <w:color w:val="632423"/>
                        <w:spacing w:val="-56"/>
                        <w:w w:val="80"/>
                        <w:sz w:val="38"/>
                      </w:rPr>
                      <w:t> </w:t>
                    </w:r>
                    <w:r>
                      <w:rPr>
                        <w:color w:val="632423"/>
                        <w:w w:val="80"/>
                        <w:sz w:val="38"/>
                      </w:rPr>
                      <w:t>En</w:t>
                    </w:r>
                    <w:r>
                      <w:rPr>
                        <w:color w:val="632423"/>
                        <w:spacing w:val="-55"/>
                        <w:w w:val="80"/>
                        <w:sz w:val="38"/>
                      </w:rPr>
                      <w:t> </w:t>
                    </w:r>
                    <w:r>
                      <w:rPr>
                        <w:color w:val="632423"/>
                        <w:w w:val="80"/>
                        <w:sz w:val="38"/>
                      </w:rPr>
                      <w:t>este</w:t>
                    </w:r>
                    <w:r>
                      <w:rPr>
                        <w:color w:val="632423"/>
                        <w:spacing w:val="-55"/>
                        <w:w w:val="80"/>
                        <w:sz w:val="38"/>
                      </w:rPr>
                      <w:t> </w:t>
                    </w:r>
                    <w:r>
                      <w:rPr>
                        <w:color w:val="632423"/>
                        <w:w w:val="80"/>
                        <w:sz w:val="38"/>
                      </w:rPr>
                      <w:t>sentido,</w:t>
                    </w:r>
                    <w:r>
                      <w:rPr>
                        <w:color w:val="632423"/>
                        <w:spacing w:val="-56"/>
                        <w:w w:val="80"/>
                        <w:sz w:val="38"/>
                      </w:rPr>
                      <w:t> </w:t>
                    </w:r>
                    <w:r>
                      <w:rPr>
                        <w:color w:val="632423"/>
                        <w:w w:val="80"/>
                        <w:sz w:val="38"/>
                      </w:rPr>
                      <w:t>es</w:t>
                    </w:r>
                    <w:r>
                      <w:rPr>
                        <w:color w:val="632423"/>
                        <w:w w:val="72"/>
                        <w:sz w:val="38"/>
                      </w:rPr>
                      <w:t> </w:t>
                    </w:r>
                    <w:r>
                      <w:rPr>
                        <w:color w:val="632423"/>
                        <w:w w:val="75"/>
                        <w:sz w:val="38"/>
                      </w:rPr>
                      <w:t>importante un conocimiento profundo de las</w:t>
                    </w:r>
                    <w:r>
                      <w:rPr>
                        <w:color w:val="632423"/>
                        <w:spacing w:val="44"/>
                        <w:w w:val="75"/>
                        <w:sz w:val="38"/>
                      </w:rPr>
                      <w:t> </w:t>
                    </w:r>
                    <w:r>
                      <w:rPr>
                        <w:color w:val="632423"/>
                        <w:w w:val="75"/>
                        <w:sz w:val="38"/>
                      </w:rPr>
                      <w:t>ventajas</w:t>
                    </w:r>
                    <w:r>
                      <w:rPr>
                        <w:color w:val="632423"/>
                        <w:spacing w:val="7"/>
                        <w:w w:val="75"/>
                        <w:sz w:val="38"/>
                      </w:rPr>
                      <w:t> </w:t>
                    </w:r>
                    <w:r>
                      <w:rPr>
                        <w:color w:val="632423"/>
                        <w:w w:val="75"/>
                        <w:sz w:val="38"/>
                      </w:rPr>
                      <w:t>y</w:t>
                    </w:r>
                    <w:r>
                      <w:rPr>
                        <w:color w:val="632423"/>
                        <w:w w:val="70"/>
                        <w:sz w:val="38"/>
                      </w:rPr>
                      <w:t> </w:t>
                    </w:r>
                    <w:r>
                      <w:rPr>
                        <w:color w:val="632423"/>
                        <w:w w:val="75"/>
                        <w:sz w:val="38"/>
                      </w:rPr>
                      <w:t>desventajas de los métodos y técnicas</w:t>
                    </w:r>
                    <w:r>
                      <w:rPr>
                        <w:color w:val="632423"/>
                        <w:spacing w:val="-26"/>
                        <w:w w:val="75"/>
                        <w:sz w:val="38"/>
                      </w:rPr>
                      <w:t> </w:t>
                    </w:r>
                    <w:r>
                      <w:rPr>
                        <w:color w:val="632423"/>
                        <w:w w:val="75"/>
                        <w:sz w:val="38"/>
                      </w:rPr>
                      <w:t>experimentales</w:t>
                    </w:r>
                    <w:r>
                      <w:rPr>
                        <w:color w:val="632423"/>
                        <w:spacing w:val="-4"/>
                        <w:w w:val="75"/>
                        <w:sz w:val="38"/>
                      </w:rPr>
                      <w:t> </w:t>
                    </w:r>
                    <w:r>
                      <w:rPr>
                        <w:color w:val="632423"/>
                        <w:w w:val="75"/>
                        <w:sz w:val="38"/>
                      </w:rPr>
                      <w:t>a</w:t>
                    </w:r>
                    <w:r>
                      <w:rPr>
                        <w:color w:val="632423"/>
                        <w:w w:val="72"/>
                        <w:sz w:val="38"/>
                      </w:rPr>
                      <w:t> </w:t>
                    </w:r>
                    <w:r>
                      <w:rPr>
                        <w:color w:val="632423"/>
                        <w:w w:val="80"/>
                        <w:sz w:val="38"/>
                      </w:rPr>
                      <w:t>utilizar,</w:t>
                    </w:r>
                    <w:r>
                      <w:rPr>
                        <w:color w:val="632423"/>
                        <w:spacing w:val="-56"/>
                        <w:w w:val="80"/>
                        <w:sz w:val="38"/>
                      </w:rPr>
                      <w:t> </w:t>
                    </w:r>
                    <w:r>
                      <w:rPr>
                        <w:color w:val="632423"/>
                        <w:w w:val="80"/>
                        <w:sz w:val="38"/>
                      </w:rPr>
                      <w:t>tanto</w:t>
                    </w:r>
                    <w:r>
                      <w:rPr>
                        <w:color w:val="632423"/>
                        <w:spacing w:val="-54"/>
                        <w:w w:val="80"/>
                        <w:sz w:val="38"/>
                      </w:rPr>
                      <w:t> </w:t>
                    </w:r>
                    <w:r>
                      <w:rPr>
                        <w:color w:val="632423"/>
                        <w:w w:val="80"/>
                        <w:sz w:val="38"/>
                      </w:rPr>
                      <w:t>en</w:t>
                    </w:r>
                    <w:r>
                      <w:rPr>
                        <w:color w:val="632423"/>
                        <w:spacing w:val="-53"/>
                        <w:w w:val="80"/>
                        <w:sz w:val="38"/>
                      </w:rPr>
                      <w:t> </w:t>
                    </w:r>
                    <w:r>
                      <w:rPr>
                        <w:color w:val="632423"/>
                        <w:w w:val="80"/>
                        <w:sz w:val="38"/>
                      </w:rPr>
                      <w:t>la</w:t>
                    </w:r>
                    <w:r>
                      <w:rPr>
                        <w:color w:val="632423"/>
                        <w:spacing w:val="-55"/>
                        <w:w w:val="80"/>
                        <w:sz w:val="38"/>
                      </w:rPr>
                      <w:t> </w:t>
                    </w:r>
                    <w:r>
                      <w:rPr>
                        <w:color w:val="632423"/>
                        <w:w w:val="80"/>
                        <w:sz w:val="38"/>
                      </w:rPr>
                      <w:t>planificación</w:t>
                    </w:r>
                    <w:r>
                      <w:rPr>
                        <w:color w:val="632423"/>
                        <w:spacing w:val="-55"/>
                        <w:w w:val="80"/>
                        <w:sz w:val="38"/>
                      </w:rPr>
                      <w:t> </w:t>
                    </w:r>
                    <w:r>
                      <w:rPr>
                        <w:color w:val="632423"/>
                        <w:w w:val="80"/>
                        <w:sz w:val="38"/>
                      </w:rPr>
                      <w:t>de</w:t>
                    </w:r>
                    <w:r>
                      <w:rPr>
                        <w:color w:val="632423"/>
                        <w:spacing w:val="-55"/>
                        <w:w w:val="80"/>
                        <w:sz w:val="38"/>
                      </w:rPr>
                      <w:t> </w:t>
                    </w:r>
                    <w:r>
                      <w:rPr>
                        <w:color w:val="632423"/>
                        <w:w w:val="80"/>
                        <w:sz w:val="38"/>
                      </w:rPr>
                      <w:t>experimentos</w:t>
                    </w:r>
                    <w:r>
                      <w:rPr>
                        <w:color w:val="632423"/>
                        <w:spacing w:val="-55"/>
                        <w:w w:val="80"/>
                        <w:sz w:val="38"/>
                      </w:rPr>
                      <w:t> </w:t>
                    </w:r>
                    <w:r>
                      <w:rPr>
                        <w:color w:val="632423"/>
                        <w:w w:val="80"/>
                        <w:sz w:val="38"/>
                      </w:rPr>
                      <w:t>a</w:t>
                    </w:r>
                    <w:r>
                      <w:rPr>
                        <w:color w:val="632423"/>
                        <w:w w:val="72"/>
                        <w:sz w:val="38"/>
                      </w:rPr>
                      <w:t> </w:t>
                    </w:r>
                    <w:r>
                      <w:rPr>
                        <w:color w:val="632423"/>
                        <w:w w:val="80"/>
                        <w:sz w:val="38"/>
                      </w:rPr>
                      <w:t>desarrollar,</w:t>
                    </w:r>
                    <w:r>
                      <w:rPr>
                        <w:color w:val="632423"/>
                        <w:spacing w:val="-45"/>
                        <w:w w:val="80"/>
                        <w:sz w:val="38"/>
                      </w:rPr>
                      <w:t> </w:t>
                    </w:r>
                    <w:r>
                      <w:rPr>
                        <w:color w:val="632423"/>
                        <w:w w:val="80"/>
                        <w:sz w:val="38"/>
                      </w:rPr>
                      <w:t>como</w:t>
                    </w:r>
                    <w:r>
                      <w:rPr>
                        <w:color w:val="632423"/>
                        <w:spacing w:val="-43"/>
                        <w:w w:val="80"/>
                        <w:sz w:val="38"/>
                      </w:rPr>
                      <w:t> </w:t>
                    </w:r>
                    <w:r>
                      <w:rPr>
                        <w:color w:val="632423"/>
                        <w:w w:val="80"/>
                        <w:sz w:val="38"/>
                      </w:rPr>
                      <w:t>al</w:t>
                    </w:r>
                    <w:r>
                      <w:rPr>
                        <w:color w:val="632423"/>
                        <w:spacing w:val="-44"/>
                        <w:w w:val="80"/>
                        <w:sz w:val="38"/>
                      </w:rPr>
                      <w:t> </w:t>
                    </w:r>
                    <w:r>
                      <w:rPr>
                        <w:color w:val="632423"/>
                        <w:w w:val="80"/>
                        <w:sz w:val="38"/>
                      </w:rPr>
                      <w:t>momento</w:t>
                    </w:r>
                    <w:r>
                      <w:rPr>
                        <w:color w:val="632423"/>
                        <w:spacing w:val="-44"/>
                        <w:w w:val="80"/>
                        <w:sz w:val="38"/>
                      </w:rPr>
                      <w:t> </w:t>
                    </w:r>
                    <w:r>
                      <w:rPr>
                        <w:color w:val="632423"/>
                        <w:w w:val="80"/>
                        <w:sz w:val="38"/>
                      </w:rPr>
                      <w:t>de</w:t>
                    </w:r>
                    <w:r>
                      <w:rPr>
                        <w:color w:val="632423"/>
                        <w:spacing w:val="-44"/>
                        <w:w w:val="80"/>
                        <w:sz w:val="38"/>
                      </w:rPr>
                      <w:t> </w:t>
                    </w:r>
                    <w:r>
                      <w:rPr>
                        <w:color w:val="632423"/>
                        <w:w w:val="80"/>
                        <w:sz w:val="38"/>
                      </w:rPr>
                      <w:t>interpretar</w:t>
                    </w:r>
                    <w:r>
                      <w:rPr>
                        <w:color w:val="632423"/>
                        <w:spacing w:val="-44"/>
                        <w:w w:val="80"/>
                        <w:sz w:val="38"/>
                      </w:rPr>
                      <w:t> </w:t>
                    </w:r>
                    <w:r>
                      <w:rPr>
                        <w:color w:val="632423"/>
                        <w:w w:val="80"/>
                        <w:sz w:val="38"/>
                      </w:rPr>
                      <w:t>tanto</w:t>
                    </w:r>
                    <w:r>
                      <w:rPr>
                        <w:color w:val="632423"/>
                        <w:spacing w:val="-44"/>
                        <w:w w:val="80"/>
                        <w:sz w:val="38"/>
                      </w:rPr>
                      <w:t> </w:t>
                    </w:r>
                    <w:r>
                      <w:rPr>
                        <w:color w:val="632423"/>
                        <w:w w:val="80"/>
                        <w:sz w:val="38"/>
                      </w:rPr>
                      <w:t>de</w:t>
                    </w:r>
                    <w:r>
                      <w:rPr>
                        <w:color w:val="632423"/>
                        <w:spacing w:val="-44"/>
                        <w:w w:val="80"/>
                        <w:sz w:val="38"/>
                      </w:rPr>
                      <w:t> </w:t>
                    </w:r>
                    <w:r>
                      <w:rPr>
                        <w:color w:val="632423"/>
                        <w:w w:val="80"/>
                        <w:sz w:val="38"/>
                      </w:rPr>
                      <w:t>los</w:t>
                    </w:r>
                    <w:r>
                      <w:rPr>
                        <w:color w:val="632423"/>
                        <w:w w:val="72"/>
                        <w:sz w:val="38"/>
                      </w:rPr>
                      <w:t> </w:t>
                    </w:r>
                    <w:r>
                      <w:rPr>
                        <w:color w:val="632423"/>
                        <w:w w:val="75"/>
                        <w:sz w:val="38"/>
                      </w:rPr>
                      <w:t>resultados obtenidos en las investigaciones</w:t>
                    </w:r>
                    <w:r>
                      <w:rPr>
                        <w:color w:val="632423"/>
                        <w:spacing w:val="18"/>
                        <w:w w:val="75"/>
                        <w:sz w:val="38"/>
                      </w:rPr>
                      <w:t> </w:t>
                    </w:r>
                    <w:r>
                      <w:rPr>
                        <w:color w:val="632423"/>
                        <w:w w:val="75"/>
                        <w:sz w:val="38"/>
                      </w:rPr>
                      <w:t>propias, así</w:t>
                    </w:r>
                    <w:r>
                      <w:rPr>
                        <w:color w:val="632423"/>
                        <w:w w:val="59"/>
                        <w:sz w:val="38"/>
                      </w:rPr>
                      <w:t> </w:t>
                    </w:r>
                    <w:r>
                      <w:rPr>
                        <w:color w:val="632423"/>
                        <w:w w:val="75"/>
                        <w:sz w:val="38"/>
                      </w:rPr>
                      <w:t>como los publicados por otros </w:t>
                    </w:r>
                    <w:r>
                      <w:rPr>
                        <w:color w:val="632423"/>
                        <w:spacing w:val="31"/>
                        <w:w w:val="75"/>
                        <w:sz w:val="38"/>
                      </w:rPr>
                      <w:t> </w:t>
                    </w:r>
                    <w:r>
                      <w:rPr>
                        <w:color w:val="632423"/>
                        <w:w w:val="75"/>
                        <w:sz w:val="38"/>
                      </w:rPr>
                      <w:t>investigadores”.</w:t>
                    </w:r>
                  </w:p>
                  <w:p>
                    <w:pPr>
                      <w:spacing w:before="240"/>
                      <w:ind w:left="0" w:right="140" w:firstLine="0"/>
                      <w:jc w:val="right"/>
                      <w:rPr>
                        <w:sz w:val="23"/>
                      </w:rPr>
                    </w:pPr>
                    <w:r>
                      <w:rPr>
                        <w:color w:val="632423"/>
                        <w:w w:val="80"/>
                        <w:sz w:val="23"/>
                      </w:rPr>
                      <w:t>Zúñiga-González </w:t>
                    </w:r>
                    <w:r>
                      <w:rPr>
                        <w:rFonts w:ascii="Calibri" w:hAnsi="Calibri"/>
                        <w:i/>
                        <w:color w:val="632423"/>
                        <w:w w:val="80"/>
                        <w:sz w:val="24"/>
                      </w:rPr>
                      <w:t>et al., </w:t>
                    </w:r>
                    <w:r>
                      <w:rPr>
                        <w:color w:val="632423"/>
                        <w:w w:val="80"/>
                        <w:sz w:val="23"/>
                      </w:rPr>
                      <w:t>(2015)</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56"/>
        </w:rPr>
      </w:pPr>
    </w:p>
    <w:p>
      <w:pPr>
        <w:pStyle w:val="BodyText"/>
        <w:rPr>
          <w:sz w:val="56"/>
        </w:rPr>
      </w:pPr>
    </w:p>
    <w:p>
      <w:pPr>
        <w:pStyle w:val="Heading1"/>
        <w:spacing w:before="415" w:after="23"/>
        <w:ind w:left="2084"/>
      </w:pPr>
      <w:r>
        <w:rPr/>
        <w:pict>
          <v:group style="position:absolute;margin-left:85.672432pt;margin-top:-90.735329pt;width:89.8pt;height:189.95pt;mso-position-horizontal-relative:page;mso-position-vertical-relative:paragraph;z-index:3856" coordorigin="1713,-1815" coordsize="1796,3799">
            <v:shape style="position:absolute;left:1713;top:-1815;width:1795;height:3091" type="#_x0000_t75" stroked="false">
              <v:imagedata r:id="rId30" o:title=""/>
            </v:shape>
            <v:shape style="position:absolute;left:1713;top:-1815;width:1796;height:3799" type="#_x0000_t202" filled="false" stroked="false">
              <v:textbox inset="0,0,0,0">
                <w:txbxContent>
                  <w:p>
                    <w:pPr>
                      <w:spacing w:before="181"/>
                      <w:ind w:left="143" w:right="-17" w:firstLine="0"/>
                      <w:jc w:val="left"/>
                      <w:rPr>
                        <w:sz w:val="300"/>
                      </w:rPr>
                    </w:pPr>
                    <w:r>
                      <w:rPr>
                        <w:color w:val="943634"/>
                        <w:w w:val="99"/>
                        <w:sz w:val="300"/>
                      </w:rPr>
                      <w:t>7</w:t>
                    </w:r>
                  </w:p>
                </w:txbxContent>
              </v:textbox>
              <w10:wrap type="none"/>
            </v:shape>
            <w10:wrap type="none"/>
          </v:group>
        </w:pict>
      </w:r>
      <w:r>
        <w:rPr/>
        <w:t>Material y</w:t>
      </w:r>
      <w:r>
        <w:rPr>
          <w:spacing w:val="84"/>
        </w:rPr>
        <w:t> </w:t>
      </w:r>
      <w:r>
        <w:rPr/>
        <w:t>métodos</w:t>
      </w:r>
    </w:p>
    <w:p>
      <w:pPr>
        <w:pStyle w:val="BodyText"/>
        <w:spacing w:line="120" w:lineRule="exact"/>
        <w:ind w:left="2057"/>
        <w:rPr>
          <w:sz w:val="12"/>
        </w:rPr>
      </w:pPr>
      <w:r>
        <w:rPr>
          <w:position w:val="-1"/>
          <w:sz w:val="12"/>
        </w:rPr>
        <w:pict>
          <v:group style="width:360pt;height:6pt;mso-position-horizontal-relative:char;mso-position-vertical-relative:line" coordorigin="0,0" coordsize="7200,120">
            <v:rect style="position:absolute;left:0;top:0;width:7200;height:120" filled="true" fillcolor="#943634" stroked="false">
              <v:fill type="solid"/>
            </v:rect>
          </v:group>
        </w:pict>
      </w:r>
      <w:r>
        <w:rPr>
          <w:position w:val="-1"/>
          <w:sz w:val="12"/>
        </w:rPr>
      </w:r>
    </w:p>
    <w:p>
      <w:pPr>
        <w:pStyle w:val="BodyText"/>
        <w:spacing w:before="7"/>
        <w:rPr>
          <w:b/>
          <w:sz w:val="72"/>
        </w:rPr>
      </w:pPr>
    </w:p>
    <w:p>
      <w:pPr>
        <w:pStyle w:val="BodyText"/>
        <w:spacing w:line="360" w:lineRule="auto"/>
        <w:ind w:left="396" w:right="424"/>
        <w:jc w:val="both"/>
      </w:pPr>
      <w:r>
        <w:rPr/>
        <w:t>Esta investigación se dividió en: Levantamiento de la información a través de una encuesta (Anexo 1); Aplicación directrices del IPCC (2006) en su nivel 2 para bovinos en el sistema de producción lechera de pequeña escala (SPLPE) o de traspatio; Obtención energía bruta (EB) utilizada por el animal; Determinación del factor de conversión de metano (Ym) y su mejora a través de la ecuación de Cambra-López </w:t>
      </w:r>
      <w:r>
        <w:rPr>
          <w:i/>
        </w:rPr>
        <w:t>et al.</w:t>
      </w:r>
      <w:r>
        <w:rPr/>
        <w:t>, (2008) y el cálculo de la cantidad de CH</w:t>
      </w:r>
      <w:r>
        <w:rPr>
          <w:position w:val="-2"/>
          <w:sz w:val="16"/>
        </w:rPr>
        <w:t>4  </w:t>
      </w:r>
      <w:r>
        <w:rPr/>
        <w:t>emitido por cada</w:t>
      </w:r>
    </w:p>
    <w:p>
      <w:pPr>
        <w:spacing w:after="0" w:line="360" w:lineRule="auto"/>
        <w:jc w:val="both"/>
        <w:sectPr>
          <w:pgSz w:w="12240" w:h="15840"/>
          <w:pgMar w:header="741" w:footer="739" w:top="1220" w:bottom="920" w:left="1600" w:right="980"/>
        </w:sectPr>
      </w:pPr>
    </w:p>
    <w:p>
      <w:pPr>
        <w:pStyle w:val="BodyText"/>
        <w:spacing w:line="357" w:lineRule="auto" w:before="165"/>
        <w:ind w:left="276" w:right="143"/>
        <w:jc w:val="both"/>
      </w:pPr>
      <w:r>
        <w:rPr/>
        <w:t>cabeza animal en un año a través del FE</w:t>
      </w:r>
      <w:r>
        <w:rPr>
          <w:position w:val="11"/>
          <w:sz w:val="16"/>
        </w:rPr>
        <w:t>7 </w:t>
      </w:r>
      <w:r>
        <w:rPr/>
        <w:t>(Figura 12). Así mismo, se estimó la ingesta</w:t>
      </w:r>
      <w:r>
        <w:rPr>
          <w:spacing w:val="-5"/>
        </w:rPr>
        <w:t> </w:t>
      </w:r>
      <w:r>
        <w:rPr/>
        <w:t>de</w:t>
      </w:r>
      <w:r>
        <w:rPr>
          <w:spacing w:val="-5"/>
        </w:rPr>
        <w:t> </w:t>
      </w:r>
      <w:r>
        <w:rPr/>
        <w:t>materia</w:t>
      </w:r>
      <w:r>
        <w:rPr>
          <w:spacing w:val="-5"/>
        </w:rPr>
        <w:t> </w:t>
      </w:r>
      <w:r>
        <w:rPr/>
        <w:t>seca</w:t>
      </w:r>
      <w:r>
        <w:rPr>
          <w:spacing w:val="-5"/>
        </w:rPr>
        <w:t> </w:t>
      </w:r>
      <w:r>
        <w:rPr/>
        <w:t>(IMS)</w:t>
      </w:r>
      <w:r>
        <w:rPr>
          <w:spacing w:val="-5"/>
        </w:rPr>
        <w:t> </w:t>
      </w:r>
      <w:r>
        <w:rPr/>
        <w:t>que</w:t>
      </w:r>
      <w:r>
        <w:rPr>
          <w:spacing w:val="-5"/>
        </w:rPr>
        <w:t> </w:t>
      </w:r>
      <w:r>
        <w:rPr/>
        <w:t>consumen</w:t>
      </w:r>
      <w:r>
        <w:rPr>
          <w:spacing w:val="-5"/>
        </w:rPr>
        <w:t> </w:t>
      </w:r>
      <w:r>
        <w:rPr/>
        <w:t>los</w:t>
      </w:r>
      <w:r>
        <w:rPr>
          <w:spacing w:val="-5"/>
        </w:rPr>
        <w:t> </w:t>
      </w:r>
      <w:r>
        <w:rPr/>
        <w:t>bovinos,</w:t>
      </w:r>
      <w:r>
        <w:rPr>
          <w:spacing w:val="-5"/>
        </w:rPr>
        <w:t> </w:t>
      </w:r>
      <w:r>
        <w:rPr/>
        <w:t>para</w:t>
      </w:r>
      <w:r>
        <w:rPr>
          <w:spacing w:val="-5"/>
        </w:rPr>
        <w:t> </w:t>
      </w:r>
      <w:r>
        <w:rPr/>
        <w:t>la</w:t>
      </w:r>
      <w:r>
        <w:rPr>
          <w:spacing w:val="-5"/>
        </w:rPr>
        <w:t> </w:t>
      </w:r>
      <w:r>
        <w:rPr/>
        <w:t>estimación</w:t>
      </w:r>
      <w:r>
        <w:rPr>
          <w:spacing w:val="-5"/>
        </w:rPr>
        <w:t> </w:t>
      </w:r>
      <w:r>
        <w:rPr/>
        <w:t>de</w:t>
      </w:r>
      <w:r>
        <w:rPr>
          <w:spacing w:val="-5"/>
        </w:rPr>
        <w:t> </w:t>
      </w:r>
      <w:r>
        <w:rPr/>
        <w:t>las emisiones totales de CH</w:t>
      </w:r>
      <w:r>
        <w:rPr>
          <w:position w:val="-2"/>
          <w:sz w:val="16"/>
        </w:rPr>
        <w:t>4 </w:t>
      </w:r>
      <w:r>
        <w:rPr/>
        <w:t>de origen animal, resultante de la fermentación entérica por el ganado bovino.</w:t>
      </w:r>
    </w:p>
    <w:p>
      <w:pPr>
        <w:pStyle w:val="BodyText"/>
        <w:spacing w:line="357" w:lineRule="auto" w:before="5"/>
        <w:ind w:left="276" w:right="143"/>
        <w:jc w:val="both"/>
      </w:pPr>
      <w:r>
        <w:rPr/>
        <w:t>Los métodos para estimar las emisiones de CH</w:t>
      </w:r>
      <w:r>
        <w:rPr>
          <w:position w:val="-2"/>
          <w:sz w:val="16"/>
        </w:rPr>
        <w:t>4 </w:t>
      </w:r>
      <w:r>
        <w:rPr/>
        <w:t>entérico producido por el ganado requieren definiciones de las subcategorías de ganado, las poblaciones anuales y, para cuantificar la emisión de metano se requiere conocer la ingesta y la caracterización</w:t>
      </w:r>
      <w:r>
        <w:rPr>
          <w:spacing w:val="-11"/>
        </w:rPr>
        <w:t> </w:t>
      </w:r>
      <w:r>
        <w:rPr/>
        <w:t>de</w:t>
      </w:r>
      <w:r>
        <w:rPr>
          <w:spacing w:val="-11"/>
        </w:rPr>
        <w:t> </w:t>
      </w:r>
      <w:r>
        <w:rPr/>
        <w:t>los</w:t>
      </w:r>
      <w:r>
        <w:rPr>
          <w:spacing w:val="-11"/>
        </w:rPr>
        <w:t> </w:t>
      </w:r>
      <w:r>
        <w:rPr/>
        <w:t>alimentos.</w:t>
      </w:r>
      <w:r>
        <w:rPr>
          <w:spacing w:val="-11"/>
        </w:rPr>
        <w:t> </w:t>
      </w:r>
      <w:r>
        <w:rPr/>
        <w:t>Las</w:t>
      </w:r>
      <w:r>
        <w:rPr>
          <w:spacing w:val="-11"/>
        </w:rPr>
        <w:t> </w:t>
      </w:r>
      <w:r>
        <w:rPr/>
        <w:t>directrices</w:t>
      </w:r>
      <w:r>
        <w:rPr>
          <w:spacing w:val="-11"/>
        </w:rPr>
        <w:t> </w:t>
      </w:r>
      <w:r>
        <w:rPr/>
        <w:t>del</w:t>
      </w:r>
      <w:r>
        <w:rPr>
          <w:spacing w:val="-11"/>
        </w:rPr>
        <w:t> </w:t>
      </w:r>
      <w:r>
        <w:rPr/>
        <w:t>IPCC</w:t>
      </w:r>
      <w:r>
        <w:rPr>
          <w:spacing w:val="-11"/>
        </w:rPr>
        <w:t> </w:t>
      </w:r>
      <w:r>
        <w:rPr/>
        <w:t>(2006)</w:t>
      </w:r>
      <w:r>
        <w:rPr>
          <w:spacing w:val="-11"/>
        </w:rPr>
        <w:t> </w:t>
      </w:r>
      <w:r>
        <w:rPr/>
        <w:t>han</w:t>
      </w:r>
      <w:r>
        <w:rPr>
          <w:spacing w:val="-11"/>
        </w:rPr>
        <w:t> </w:t>
      </w:r>
      <w:r>
        <w:rPr/>
        <w:t>propuesto</w:t>
      </w:r>
      <w:r>
        <w:rPr>
          <w:spacing w:val="-11"/>
        </w:rPr>
        <w:t> </w:t>
      </w:r>
      <w:r>
        <w:rPr/>
        <w:t>tres niveles de enfoque (Nivel 1, Nivel 2 y Nivel 3) para estimar las emisiones de CH</w:t>
      </w:r>
      <w:r>
        <w:rPr>
          <w:position w:val="-2"/>
          <w:sz w:val="16"/>
        </w:rPr>
        <w:t>4 </w:t>
      </w:r>
      <w:r>
        <w:rPr/>
        <w:t>entérico de la ganadería. Nivel 1 es un método de estimación inicial simplificado y se recomienda cuando la fermentación entérica no es una “categoría clave” y las especies animales no son significativas en el país, mientras que los Niveles 2 y 3 son los enfoques más avanzados que requieren datos específicos del país y la caracterización más detallada de la población ganadera y situaciones agrícolas. Nivel 3 se aplica cuando una metodología específica del país para la estimación</w:t>
      </w:r>
      <w:r>
        <w:rPr>
          <w:spacing w:val="-26"/>
        </w:rPr>
        <w:t> </w:t>
      </w:r>
      <w:r>
        <w:rPr/>
        <w:t>de las emisiones de CH</w:t>
      </w:r>
      <w:r>
        <w:rPr>
          <w:position w:val="-2"/>
          <w:sz w:val="16"/>
        </w:rPr>
        <w:t>4 </w:t>
      </w:r>
      <w:r>
        <w:rPr/>
        <w:t>entérico se ha desarrollado (Condor </w:t>
      </w:r>
      <w:r>
        <w:rPr>
          <w:i/>
        </w:rPr>
        <w:t>et al.</w:t>
      </w:r>
      <w:r>
        <w:rPr/>
        <w:t>, 2008). El</w:t>
      </w:r>
      <w:r>
        <w:rPr>
          <w:spacing w:val="-28"/>
        </w:rPr>
        <w:t> </w:t>
      </w:r>
      <w:r>
        <w:rPr/>
        <w:t>presente estudio siguió el método de Nivel 2 para estimar el factor de emisión de CH</w:t>
      </w:r>
      <w:r>
        <w:rPr>
          <w:position w:val="-2"/>
          <w:sz w:val="16"/>
        </w:rPr>
        <w:t>4 </w:t>
      </w:r>
      <w:r>
        <w:rPr/>
        <w:t>entérico. Según el IPCC (2006), una buena práctica para estimar un FE de CH</w:t>
      </w:r>
      <w:r>
        <w:rPr>
          <w:position w:val="-2"/>
          <w:sz w:val="16"/>
        </w:rPr>
        <w:t>4 </w:t>
      </w:r>
      <w:r>
        <w:rPr/>
        <w:t>implica: (a) la recopilación de datos que describen típica dieta y las condiciones de rendimiento y calidad de alimentación (dieta) de las subcategorías de especies animales en cuestión, y (B) la estimación de la ingesta de alimento para cada subcategoría basado en algoritmos de metabolismo energético.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3880;mso-wrap-distance-left:0;mso-wrap-distance-right:0" from="99.832428pt,12.718698pt" to="243.832398pt,12.718698pt" stroked="true" strokeweight=".48pt" strokecolor="#000000">
            <w10:wrap type="topAndBottom"/>
          </v:line>
        </w:pict>
      </w:r>
    </w:p>
    <w:p>
      <w:pPr>
        <w:pStyle w:val="BodyText"/>
        <w:spacing w:before="10"/>
        <w:rPr>
          <w:sz w:val="20"/>
        </w:rPr>
      </w:pPr>
    </w:p>
    <w:p>
      <w:pPr>
        <w:spacing w:line="254" w:lineRule="auto" w:before="78"/>
        <w:ind w:left="276" w:right="143" w:firstLine="0"/>
        <w:jc w:val="both"/>
        <w:rPr>
          <w:rFonts w:ascii="Calibri" w:hAnsi="Calibri"/>
          <w:sz w:val="19"/>
        </w:rPr>
      </w:pPr>
      <w:r>
        <w:rPr>
          <w:rFonts w:ascii="Calibri" w:hAnsi="Calibri"/>
          <w:w w:val="105"/>
          <w:position w:val="10"/>
          <w:sz w:val="13"/>
        </w:rPr>
        <w:t>7 </w:t>
      </w:r>
      <w:r>
        <w:rPr>
          <w:rFonts w:ascii="Calibri" w:hAnsi="Calibri"/>
          <w:w w:val="105"/>
          <w:sz w:val="19"/>
        </w:rPr>
        <w:t>El factor de emisión es una relación entre la cantidad de contaminante emitido a la atmósfera y una unidad de actividad. Los factores de emisión, en general, se pueden clasificar en dos tipos: los basados en procesos y los basados en censos.</w:t>
      </w:r>
    </w:p>
    <w:p>
      <w:pPr>
        <w:spacing w:after="0" w:line="254" w:lineRule="auto"/>
        <w:jc w:val="both"/>
        <w:rPr>
          <w:rFonts w:ascii="Calibri" w:hAnsi="Calibri"/>
          <w:sz w:val="19"/>
        </w:rPr>
        <w:sectPr>
          <w:pgSz w:w="12240" w:h="15840"/>
          <w:pgMar w:header="741" w:footer="739" w:top="1220" w:bottom="920" w:left="1720" w:right="1260"/>
        </w:sectPr>
      </w:pPr>
    </w:p>
    <w:p>
      <w:pPr>
        <w:pStyle w:val="BodyText"/>
        <w:spacing w:before="8"/>
        <w:rPr>
          <w:rFonts w:ascii="Calibri"/>
          <w:sz w:val="10"/>
        </w:rPr>
      </w:pPr>
    </w:p>
    <w:p>
      <w:pPr>
        <w:pStyle w:val="Heading6"/>
        <w:tabs>
          <w:tab w:pos="2081" w:val="left" w:leader="none"/>
        </w:tabs>
        <w:spacing w:before="70" w:after="6"/>
        <w:ind w:left="730"/>
        <w:jc w:val="left"/>
      </w:pPr>
      <w:r>
        <w:rPr>
          <w:color w:val="943634"/>
        </w:rPr>
        <w:t>Figura</w:t>
      </w:r>
      <w:r>
        <w:rPr>
          <w:color w:val="943634"/>
          <w:spacing w:val="-2"/>
        </w:rPr>
        <w:t> </w:t>
      </w:r>
      <w:r>
        <w:rPr>
          <w:color w:val="943634"/>
        </w:rPr>
        <w:t>12.</w:t>
        <w:tab/>
      </w:r>
      <w:r>
        <w:rPr/>
        <w:t>Diagrama</w:t>
      </w:r>
      <w:r>
        <w:rPr>
          <w:spacing w:val="-14"/>
        </w:rPr>
        <w:t> </w:t>
      </w:r>
      <w:r>
        <w:rPr/>
        <w:t>de</w:t>
      </w:r>
      <w:r>
        <w:rPr>
          <w:spacing w:val="-14"/>
        </w:rPr>
        <w:t> </w:t>
      </w:r>
      <w:r>
        <w:rPr/>
        <w:t>procedimiento</w:t>
      </w:r>
      <w:r>
        <w:rPr>
          <w:spacing w:val="-14"/>
        </w:rPr>
        <w:t> </w:t>
      </w:r>
      <w:r>
        <w:rPr/>
        <w:t>de</w:t>
      </w:r>
      <w:r>
        <w:rPr>
          <w:spacing w:val="-14"/>
        </w:rPr>
        <w:t> </w:t>
      </w:r>
      <w:r>
        <w:rPr/>
        <w:t>las</w:t>
      </w:r>
      <w:r>
        <w:rPr>
          <w:spacing w:val="-14"/>
        </w:rPr>
        <w:t> </w:t>
      </w:r>
      <w:r>
        <w:rPr/>
        <w:t>etapas</w:t>
      </w:r>
      <w:r>
        <w:rPr>
          <w:spacing w:val="-14"/>
        </w:rPr>
        <w:t> </w:t>
      </w:r>
      <w:r>
        <w:rPr/>
        <w:t>de</w:t>
      </w:r>
      <w:r>
        <w:rPr>
          <w:spacing w:val="-14"/>
        </w:rPr>
        <w:t> </w:t>
      </w:r>
      <w:r>
        <w:rPr/>
        <w:t>la</w:t>
      </w:r>
      <w:r>
        <w:rPr>
          <w:spacing w:val="-14"/>
        </w:rPr>
        <w:t> </w:t>
      </w:r>
      <w:r>
        <w:rPr/>
        <w:t>investigación.</w:t>
      </w:r>
    </w:p>
    <w:p>
      <w:pPr>
        <w:pStyle w:val="BodyText"/>
        <w:spacing w:line="44" w:lineRule="exact"/>
        <w:ind w:left="259"/>
        <w:rPr>
          <w:sz w:val="4"/>
        </w:rPr>
      </w:pPr>
      <w:r>
        <w:rPr>
          <w:position w:val="0"/>
          <w:sz w:val="4"/>
        </w:rPr>
        <w:pict>
          <v:group style="width:86.95pt;height:2.2pt;mso-position-horizontal-relative:char;mso-position-vertical-relative:line" coordorigin="0,0" coordsize="1739,44">
            <v:line style="position:absolute" from="22,22" to="1716,22" stroked="true" strokeweight="2.16pt" strokecolor="#943634"/>
          </v:group>
        </w:pict>
      </w:r>
      <w:r>
        <w:rPr>
          <w:position w:val="0"/>
          <w:sz w:val="4"/>
        </w:rPr>
      </w:r>
    </w:p>
    <w:p>
      <w:pPr>
        <w:pStyle w:val="BodyText"/>
        <w:spacing w:before="9"/>
        <w:rPr>
          <w:b/>
          <w:sz w:val="20"/>
        </w:rPr>
      </w:pPr>
      <w:r>
        <w:rPr/>
        <w:pict>
          <v:group style="position:absolute;margin-left:99.832443pt;margin-top:13.8999pt;width:438.9pt;height:379.7pt;mso-position-horizontal-relative:page;mso-position-vertical-relative:paragraph;z-index:4360;mso-wrap-distance-left:0;mso-wrap-distance-right:0" coordorigin="1997,278" coordsize="8778,7594">
            <v:rect style="position:absolute;left:2026;top:278;width:8719;height:3111" filled="true" fillcolor="#c00000" stroked="false">
              <v:fill opacity="32899f" type="solid"/>
            </v:rect>
            <v:rect style="position:absolute;left:2026;top:3381;width:8734;height:3536" filled="true" fillcolor="#eeece1" stroked="false">
              <v:fill type="solid"/>
            </v:rect>
            <v:rect style="position:absolute;left:2019;top:6977;width:8741;height:895" filled="true" fillcolor="#404040" stroked="false">
              <v:fill type="solid"/>
            </v:rect>
            <v:shape style="position:absolute;left:4140;top:3428;width:3759;height:281" coordorigin="4140,3428" coordsize="3759,281" path="m4140,3642l4173,3708,4199,3657,4162,3657,4140,3642xm7898,3627l7876,3642,7839,3642,7865,3693,7891,3642,7854,3642,7832,3627,7898,3627xm7871,3428l4167,3428,4162,3433,4162,3657,4184,3657,4184,3450,7876,3450,7876,3433,7871,3428xm4206,3642l4184,3657,4199,3657,4206,3642xm7876,3450l7854,3450,7854,3642,7876,3642,7876,3450xe" filled="true" fillcolor="#000000" stroked="false">
              <v:path arrowok="t"/>
              <v:fill type="solid"/>
            </v:shape>
            <v:line style="position:absolute" from="4165,4126" to="4165,4342" stroked="true" strokeweight="1.10093pt" strokecolor="#000000"/>
            <v:line style="position:absolute" from="7865,4156" to="7865,4371" stroked="true" strokeweight="1.10093pt" strokecolor="#000000"/>
            <v:line style="position:absolute" from="5171,3913" to="6841,3913" stroked="true" strokeweight="1.100522pt" strokecolor="#000000"/>
            <v:shape style="position:absolute;left:5988;top:3913;width:67;height:1957" coordorigin="5988,3913" coordsize="67,1957" path="m5988,5804l6021,5870,6047,5818,6010,5818,5988,5804xm6026,3913l6004,3913,6010,5818,6047,5818,6047,5818,6032,5818,6026,3913xm6054,5804l6032,5818,6047,5818,6054,5804xe" filled="true" fillcolor="#000000" stroked="false">
              <v:path arrowok="t"/>
              <v:fill type="solid"/>
            </v:shape>
            <v:line style="position:absolute" from="6030,3114" to="6030,3430" stroked="true" strokeweight="1.10093pt" strokecolor="#000000"/>
            <v:shape style="position:absolute;left:5997;top:1778;width:67;height:191" coordorigin="5997,1778" coordsize="67,191" path="m5997,1903l6030,1969,6055,1918,6019,1918,5997,1903xm6041,1778l6019,1778,6019,1918,6041,1918,6041,1778xm6063,1903l6041,1918,6055,1918,6063,1903xe" filled="true" fillcolor="#000000" stroked="false">
              <v:path arrowok="t"/>
              <v:fill type="solid"/>
            </v:shape>
            <v:shape style="position:absolute;left:6011;top:2409;width:67;height:191" coordorigin="6011,2409" coordsize="67,191" path="m6011,2534l6044,2600,6070,2549,6033,2549,6011,2534xm6055,2409l6033,2409,6033,2549,6055,2549,6055,2409xm6077,2534l6055,2549,6070,2549,6077,2534xe" filled="true" fillcolor="#000000" stroked="false">
              <v:path arrowok="t"/>
              <v:fill type="solid"/>
            </v:shape>
            <v:line style="position:absolute" from="8870,1272" to="10763,1272" stroked="true" strokeweight="1.100522pt" strokecolor="#ffffff"/>
            <v:line style="position:absolute" from="8870,6797" to="10763,6797" stroked="true" strokeweight="1.100522pt" strokecolor="#ffffff"/>
            <v:line style="position:absolute" from="3406,1621" to="3406,1898" stroked="true" strokeweight=".733954pt" strokecolor="#000000"/>
            <v:rect style="position:absolute;left:4052;top:6999;width:3919;height:844" filled="true" fillcolor="#ffffff" stroked="false">
              <v:fill type="solid"/>
            </v:rect>
            <v:rect style="position:absolute;left:4052;top:6999;width:3919;height:844" filled="false" stroked="true" strokeweight=".733693pt" strokecolor="#000000"/>
            <v:shape style="position:absolute;left:5982;top:6437;width:67;height:539" coordorigin="5982,6437" coordsize="67,539" path="m5982,6909l6015,6975,6041,6924,6004,6924,5982,6909xm6026,6437l6004,6437,6004,6924,6026,6924,6026,6437xm6048,6909l6026,6924,6041,6924,6048,6909xe" filled="true" fillcolor="#000000" stroked="false">
              <v:path arrowok="t"/>
              <v:fill type="solid"/>
            </v:shape>
            <v:shape style="position:absolute;left:1997;top:7167;width:1637;height:176" type="#_x0000_t75" stroked="false">
              <v:imagedata r:id="rId143" o:title=""/>
            </v:shape>
            <v:shape style="position:absolute;left:1997;top:7321;width:1475;height:176" type="#_x0000_t75" stroked="false">
              <v:imagedata r:id="rId144" o:title=""/>
            </v:shape>
            <v:shape style="position:absolute;left:4459;top:1004;width:1608;height:192" coordorigin="4459,1004" coordsize="1608,192" path="m6000,1133l6039,1196,6059,1146,6024,1146,6000,1133xm6041,1004l4459,1004,4459,1026,6024,1026,6024,1146,6059,1146,6060,1144,6046,1144,6046,1009,6041,1004xm6066,1128l6046,1144,6060,1144,6066,1128xe" filled="true" fillcolor="#000000" stroked="false">
              <v:path arrowok="t"/>
              <v:fill type="solid"/>
            </v:shape>
            <v:shape style="position:absolute;left:4052;top:6947;width:3920;height:925" type="#_x0000_t202" filled="false" stroked="false">
              <v:textbox inset="0,0,0,0">
                <w:txbxContent>
                  <w:p>
                    <w:pPr>
                      <w:spacing w:line="240" w:lineRule="auto" w:before="0"/>
                      <w:rPr>
                        <w:b/>
                        <w:sz w:val="12"/>
                      </w:rPr>
                    </w:pPr>
                  </w:p>
                  <w:p>
                    <w:pPr>
                      <w:spacing w:line="170" w:lineRule="exact" w:before="0"/>
                      <w:ind w:left="50" w:right="0" w:firstLine="0"/>
                      <w:jc w:val="left"/>
                      <w:rPr>
                        <w:rFonts w:ascii="Calibri" w:hAnsi="Calibri"/>
                        <w:b/>
                        <w:sz w:val="14"/>
                      </w:rPr>
                    </w:pPr>
                    <w:r>
                      <w:rPr>
                        <w:rFonts w:ascii="Calibri" w:hAnsi="Calibri"/>
                        <w:b/>
                        <w:sz w:val="14"/>
                      </w:rPr>
                      <w:t>EMISIONES POR FERMENTACIÓN ENTÉRICA (Kg CH</w:t>
                    </w:r>
                    <w:r>
                      <w:rPr>
                        <w:rFonts w:ascii="Calibri" w:hAnsi="Calibri"/>
                        <w:b/>
                        <w:sz w:val="10"/>
                      </w:rPr>
                      <w:t>4 </w:t>
                    </w:r>
                    <w:r>
                      <w:rPr>
                        <w:rFonts w:ascii="Calibri" w:hAnsi="Calibri"/>
                        <w:b/>
                        <w:sz w:val="14"/>
                      </w:rPr>
                      <w:t>/SPLPE • año)</w:t>
                    </w:r>
                  </w:p>
                  <w:p>
                    <w:pPr>
                      <w:spacing w:line="165" w:lineRule="exact" w:before="0"/>
                      <w:ind w:left="50" w:right="0" w:firstLine="0"/>
                      <w:jc w:val="left"/>
                      <w:rPr>
                        <w:rFonts w:ascii="Calibri" w:hAnsi="Calibri"/>
                        <w:sz w:val="14"/>
                      </w:rPr>
                    </w:pPr>
                    <w:r>
                      <w:rPr>
                        <w:rFonts w:ascii="Calibri" w:hAnsi="Calibri"/>
                        <w:b/>
                        <w:sz w:val="14"/>
                      </w:rPr>
                      <w:t>En función de</w:t>
                    </w:r>
                    <w:r>
                      <w:rPr>
                        <w:rFonts w:ascii="Calibri" w:hAnsi="Calibri"/>
                        <w:sz w:val="14"/>
                      </w:rPr>
                      <w:t>:</w:t>
                    </w:r>
                  </w:p>
                  <w:p>
                    <w:pPr>
                      <w:spacing w:line="165" w:lineRule="exact" w:before="0"/>
                      <w:ind w:left="50" w:right="0" w:firstLine="0"/>
                      <w:jc w:val="left"/>
                      <w:rPr>
                        <w:rFonts w:ascii="Calibri" w:hAnsi="Calibri"/>
                        <w:sz w:val="14"/>
                      </w:rPr>
                    </w:pPr>
                    <w:r>
                      <w:rPr>
                        <w:rFonts w:ascii="Calibri" w:hAnsi="Calibri"/>
                        <w:b/>
                        <w:sz w:val="14"/>
                      </w:rPr>
                      <w:t>EB </w:t>
                    </w:r>
                    <w:r>
                      <w:rPr>
                        <w:rFonts w:ascii="Calibri" w:hAnsi="Calibri"/>
                        <w:sz w:val="14"/>
                      </w:rPr>
                      <w:t>= Energía Bruta Ingerida (MJ/SPLPE • año)</w:t>
                    </w:r>
                  </w:p>
                  <w:p>
                    <w:pPr>
                      <w:spacing w:line="170" w:lineRule="exact" w:before="0"/>
                      <w:ind w:left="50" w:right="0" w:firstLine="0"/>
                      <w:jc w:val="left"/>
                      <w:rPr>
                        <w:rFonts w:ascii="Calibri" w:hAnsi="Calibri"/>
                        <w:sz w:val="14"/>
                      </w:rPr>
                    </w:pPr>
                    <w:r>
                      <w:rPr>
                        <w:rFonts w:ascii="Calibri" w:hAnsi="Calibri"/>
                        <w:b/>
                        <w:sz w:val="14"/>
                      </w:rPr>
                      <w:t>Ym </w:t>
                    </w:r>
                    <w:r>
                      <w:rPr>
                        <w:rFonts w:ascii="Calibri" w:hAnsi="Calibri"/>
                        <w:sz w:val="14"/>
                      </w:rPr>
                      <w:t>= Tasa de conversión de metano</w:t>
                    </w:r>
                  </w:p>
                </w:txbxContent>
              </v:textbox>
              <w10:wrap type="none"/>
            </v:shape>
            <v:shape style="position:absolute;left:9178;top:374;width:1533;height:199" type="#_x0000_t202" filled="false" stroked="false">
              <v:textbox inset="0,0,0,0">
                <w:txbxContent>
                  <w:p>
                    <w:pPr>
                      <w:spacing w:line="198" w:lineRule="exact" w:before="0"/>
                      <w:ind w:left="0" w:right="-15" w:firstLine="0"/>
                      <w:jc w:val="left"/>
                      <w:rPr>
                        <w:rFonts w:ascii="Calibri" w:hAnsi="Calibri"/>
                        <w:b/>
                        <w:sz w:val="20"/>
                      </w:rPr>
                    </w:pPr>
                    <w:r>
                      <w:rPr>
                        <w:rFonts w:ascii="Calibri" w:hAnsi="Calibri"/>
                        <w:b/>
                        <w:color w:val="FFFFFF"/>
                        <w:spacing w:val="-3"/>
                        <w:sz w:val="20"/>
                      </w:rPr>
                      <w:t>CARACTERIZACIÓN</w:t>
                    </w:r>
                  </w:p>
                </w:txbxContent>
              </v:textbox>
              <w10:wrap type="none"/>
            </v:shape>
            <v:shape style="position:absolute;left:8851;top:3489;width:1845;height:199" type="#_x0000_t202" filled="false" stroked="false">
              <v:textbox inset="0,0,0,0">
                <w:txbxContent>
                  <w:p>
                    <w:pPr>
                      <w:spacing w:line="198" w:lineRule="exact" w:before="0"/>
                      <w:ind w:left="0" w:right="-2" w:firstLine="0"/>
                      <w:jc w:val="left"/>
                      <w:rPr>
                        <w:rFonts w:ascii="Calibri" w:hAnsi="Calibri"/>
                        <w:b/>
                        <w:sz w:val="20"/>
                      </w:rPr>
                    </w:pPr>
                    <w:r>
                      <w:rPr>
                        <w:rFonts w:ascii="Calibri" w:hAnsi="Calibri"/>
                        <w:b/>
                        <w:w w:val="95"/>
                        <w:sz w:val="20"/>
                      </w:rPr>
                      <w:t>BALANCE  ENERGÉTICO</w:t>
                    </w:r>
                  </w:p>
                </w:txbxContent>
              </v:textbox>
              <w10:wrap type="none"/>
            </v:shape>
            <v:shape style="position:absolute;left:6902;top:6012;width:1735;height:727" type="#_x0000_t202" filled="false" stroked="false">
              <v:textbox inset="0,0,0,0">
                <w:txbxContent>
                  <w:p>
                    <w:pPr>
                      <w:spacing w:line="130" w:lineRule="exact" w:before="0"/>
                      <w:ind w:left="244" w:right="253" w:firstLine="0"/>
                      <w:jc w:val="center"/>
                      <w:rPr>
                        <w:rFonts w:ascii="Calibri" w:hAnsi="Calibri"/>
                        <w:b/>
                        <w:sz w:val="12"/>
                      </w:rPr>
                    </w:pPr>
                    <w:r>
                      <w:rPr>
                        <w:rFonts w:ascii="Calibri" w:hAnsi="Calibri"/>
                        <w:b/>
                        <w:w w:val="105"/>
                        <w:sz w:val="12"/>
                      </w:rPr>
                      <w:t>De la relación entre las</w:t>
                    </w:r>
                  </w:p>
                  <w:p>
                    <w:pPr>
                      <w:spacing w:line="249" w:lineRule="auto" w:before="0"/>
                      <w:ind w:left="-1" w:right="0" w:firstLine="0"/>
                      <w:jc w:val="center"/>
                      <w:rPr>
                        <w:rFonts w:ascii="Calibri" w:hAnsi="Calibri"/>
                        <w:b/>
                        <w:sz w:val="12"/>
                      </w:rPr>
                    </w:pPr>
                    <w:r>
                      <w:rPr>
                        <w:rFonts w:ascii="Calibri" w:hAnsi="Calibri"/>
                        <w:b/>
                        <w:w w:val="105"/>
                        <w:sz w:val="12"/>
                      </w:rPr>
                      <w:t>necesidades energéticas y la energía</w:t>
                    </w:r>
                    <w:r>
                      <w:rPr>
                        <w:rFonts w:ascii="Calibri" w:hAnsi="Calibri"/>
                        <w:b/>
                        <w:spacing w:val="-16"/>
                        <w:w w:val="105"/>
                        <w:sz w:val="12"/>
                      </w:rPr>
                      <w:t> </w:t>
                    </w:r>
                    <w:r>
                      <w:rPr>
                        <w:rFonts w:ascii="Calibri" w:hAnsi="Calibri"/>
                        <w:b/>
                        <w:w w:val="105"/>
                        <w:sz w:val="12"/>
                      </w:rPr>
                      <w:t>suministrada</w:t>
                    </w:r>
                    <w:r>
                      <w:rPr>
                        <w:rFonts w:ascii="Calibri" w:hAnsi="Calibri"/>
                        <w:b/>
                        <w:spacing w:val="-10"/>
                        <w:w w:val="105"/>
                        <w:sz w:val="12"/>
                      </w:rPr>
                      <w:t> </w:t>
                    </w:r>
                    <w:r>
                      <w:rPr>
                        <w:rFonts w:ascii="Calibri" w:hAnsi="Calibri"/>
                        <w:b/>
                        <w:w w:val="105"/>
                        <w:sz w:val="12"/>
                      </w:rPr>
                      <w:t>por</w:t>
                    </w:r>
                    <w:r>
                      <w:rPr>
                        <w:rFonts w:ascii="Calibri" w:hAnsi="Calibri"/>
                        <w:b/>
                        <w:spacing w:val="-9"/>
                        <w:w w:val="105"/>
                        <w:sz w:val="12"/>
                      </w:rPr>
                      <w:t> </w:t>
                    </w:r>
                    <w:r>
                      <w:rPr>
                        <w:rFonts w:ascii="Calibri" w:hAnsi="Calibri"/>
                        <w:b/>
                        <w:w w:val="105"/>
                        <w:sz w:val="12"/>
                      </w:rPr>
                      <w:t>la</w:t>
                    </w:r>
                    <w:r>
                      <w:rPr>
                        <w:rFonts w:ascii="Calibri" w:hAnsi="Calibri"/>
                        <w:b/>
                        <w:spacing w:val="-5"/>
                        <w:w w:val="105"/>
                        <w:sz w:val="12"/>
                      </w:rPr>
                      <w:t> </w:t>
                    </w:r>
                    <w:r>
                      <w:rPr>
                        <w:rFonts w:ascii="Calibri" w:hAnsi="Calibri"/>
                        <w:b/>
                        <w:w w:val="105"/>
                        <w:sz w:val="12"/>
                      </w:rPr>
                      <w:t>dieta, se obtiene las necesidades de ingesta</w:t>
                    </w:r>
                    <w:r>
                      <w:rPr>
                        <w:rFonts w:ascii="Calibri" w:hAnsi="Calibri"/>
                        <w:b/>
                        <w:spacing w:val="-14"/>
                        <w:w w:val="105"/>
                        <w:sz w:val="12"/>
                      </w:rPr>
                      <w:t> </w:t>
                    </w:r>
                    <w:r>
                      <w:rPr>
                        <w:rFonts w:ascii="Calibri" w:hAnsi="Calibri"/>
                        <w:b/>
                        <w:w w:val="105"/>
                        <w:sz w:val="12"/>
                      </w:rPr>
                      <w:t>de</w:t>
                    </w:r>
                    <w:r>
                      <w:rPr>
                        <w:rFonts w:ascii="Calibri" w:hAnsi="Calibri"/>
                        <w:b/>
                        <w:spacing w:val="-2"/>
                        <w:w w:val="105"/>
                        <w:sz w:val="12"/>
                      </w:rPr>
                      <w:t> </w:t>
                    </w:r>
                    <w:r>
                      <w:rPr>
                        <w:rFonts w:ascii="Calibri" w:hAnsi="Calibri"/>
                        <w:b/>
                        <w:w w:val="105"/>
                        <w:sz w:val="12"/>
                      </w:rPr>
                      <w:t>materia</w:t>
                    </w:r>
                    <w:r>
                      <w:rPr>
                        <w:rFonts w:ascii="Calibri" w:hAnsi="Calibri"/>
                        <w:b/>
                        <w:spacing w:val="-14"/>
                        <w:w w:val="105"/>
                        <w:sz w:val="12"/>
                      </w:rPr>
                      <w:t> </w:t>
                    </w:r>
                    <w:r>
                      <w:rPr>
                        <w:rFonts w:ascii="Calibri" w:hAnsi="Calibri"/>
                        <w:b/>
                        <w:w w:val="105"/>
                        <w:sz w:val="12"/>
                      </w:rPr>
                      <w:t>seca</w:t>
                    </w:r>
                  </w:p>
                </w:txbxContent>
              </v:textbox>
              <w10:wrap type="none"/>
            </v:shape>
            <v:shape style="position:absolute;left:2078;top:7089;width:1435;height:272" type="#_x0000_t202" filled="false" stroked="false">
              <v:textbox inset="0,0,0,0">
                <w:txbxContent>
                  <w:p>
                    <w:pPr>
                      <w:spacing w:line="130" w:lineRule="exact" w:before="0"/>
                      <w:ind w:left="0" w:right="0" w:firstLine="0"/>
                      <w:jc w:val="left"/>
                      <w:rPr>
                        <w:rFonts w:ascii="Calibri" w:hAnsi="Calibri"/>
                        <w:b/>
                        <w:sz w:val="12"/>
                      </w:rPr>
                    </w:pPr>
                    <w:r>
                      <w:rPr>
                        <w:rFonts w:ascii="Calibri" w:hAnsi="Calibri"/>
                        <w:b/>
                        <w:color w:val="FFFFFF"/>
                        <w:sz w:val="12"/>
                      </w:rPr>
                      <w:t>FUENTE:  Elaboración propia</w:t>
                    </w:r>
                  </w:p>
                  <w:p>
                    <w:pPr>
                      <w:spacing w:line="142" w:lineRule="exact" w:before="0"/>
                      <w:ind w:left="0" w:right="0" w:firstLine="0"/>
                      <w:jc w:val="left"/>
                      <w:rPr>
                        <w:rFonts w:ascii="Calibri"/>
                        <w:b/>
                        <w:sz w:val="12"/>
                      </w:rPr>
                    </w:pPr>
                    <w:r>
                      <w:rPr>
                        <w:rFonts w:ascii="Calibri"/>
                        <w:b/>
                        <w:color w:val="FFFFFF"/>
                        <w:w w:val="105"/>
                        <w:sz w:val="12"/>
                      </w:rPr>
                      <w:t>con datos del IPCC, 2006.</w:t>
                    </w:r>
                  </w:p>
                </w:txbxContent>
              </v:textbox>
              <w10:wrap type="none"/>
            </v:shape>
            <v:shape style="position:absolute;left:9167;top:7071;width:1528;height:228" type="#_x0000_t202" filled="false" stroked="false">
              <v:textbox inset="0,0,0,0">
                <w:txbxContent>
                  <w:p>
                    <w:pPr>
                      <w:spacing w:line="228" w:lineRule="exact" w:before="0"/>
                      <w:ind w:left="0" w:right="-11" w:firstLine="0"/>
                      <w:jc w:val="left"/>
                      <w:rPr>
                        <w:rFonts w:ascii="Calibri"/>
                        <w:b/>
                        <w:sz w:val="13"/>
                      </w:rPr>
                    </w:pPr>
                    <w:r>
                      <w:rPr>
                        <w:rFonts w:ascii="Calibri"/>
                        <w:b/>
                        <w:color w:val="FFFFFF"/>
                        <w:sz w:val="20"/>
                      </w:rPr>
                      <w:t>EMISIONES DE</w:t>
                    </w:r>
                    <w:r>
                      <w:rPr>
                        <w:rFonts w:ascii="Calibri"/>
                        <w:b/>
                        <w:color w:val="FFFFFF"/>
                        <w:spacing w:val="-26"/>
                        <w:sz w:val="20"/>
                      </w:rPr>
                      <w:t> </w:t>
                    </w:r>
                    <w:r>
                      <w:rPr>
                        <w:rFonts w:ascii="Calibri"/>
                        <w:b/>
                        <w:color w:val="FFFFFF"/>
                        <w:sz w:val="20"/>
                      </w:rPr>
                      <w:t>CH</w:t>
                    </w:r>
                    <w:r>
                      <w:rPr>
                        <w:rFonts w:ascii="Calibri"/>
                        <w:b/>
                        <w:color w:val="FFFFFF"/>
                        <w:position w:val="-3"/>
                        <w:sz w:val="13"/>
                      </w:rPr>
                      <w:t>4</w:t>
                    </w:r>
                  </w:p>
                </w:txbxContent>
              </v:textbox>
              <w10:wrap type="none"/>
            </v:shape>
            <v:shape style="position:absolute;left:2349;top:410;width:2114;height:1211" type="#_x0000_t202" filled="true" fillcolor="#ffffff" stroked="true" strokeweight=".733748pt" strokecolor="#000000">
              <v:textbox inset="0,0,0,0">
                <w:txbxContent>
                  <w:p>
                    <w:pPr>
                      <w:spacing w:line="240" w:lineRule="auto" w:before="0"/>
                      <w:rPr>
                        <w:b/>
                        <w:sz w:val="14"/>
                      </w:rPr>
                    </w:pPr>
                  </w:p>
                  <w:p>
                    <w:pPr>
                      <w:spacing w:line="232" w:lineRule="auto" w:before="104"/>
                      <w:ind w:left="25" w:right="32" w:firstLine="0"/>
                      <w:jc w:val="center"/>
                      <w:rPr>
                        <w:rFonts w:ascii="Calibri" w:hAnsi="Calibri"/>
                        <w:b/>
                        <w:sz w:val="14"/>
                      </w:rPr>
                    </w:pPr>
                    <w:r>
                      <w:rPr>
                        <w:rFonts w:ascii="Calibri" w:hAnsi="Calibri"/>
                        <w:b/>
                        <w:sz w:val="14"/>
                      </w:rPr>
                      <w:t>DATOS OBTENIDOS DE ENCUESTAS APLICADA PARA LA DETERMINACIÓN DEL HATO GANADERO</w:t>
                    </w:r>
                  </w:p>
                </w:txbxContent>
              </v:textbox>
              <v:fill type="solid"/>
              <w10:wrap type="none"/>
            </v:shape>
            <v:shape style="position:absolute;left:5248;top:1210;width:1578;height:558" type="#_x0000_t202" filled="true" fillcolor="#ffffff" stroked="true" strokeweight=".733711pt" strokecolor="#000000">
              <v:textbox inset="0,0,0,0">
                <w:txbxContent>
                  <w:p>
                    <w:pPr>
                      <w:spacing w:line="247" w:lineRule="auto" w:before="50"/>
                      <w:ind w:left="168" w:right="172" w:firstLine="0"/>
                      <w:jc w:val="center"/>
                      <w:rPr>
                        <w:rFonts w:ascii="Calibri" w:hAnsi="Calibri"/>
                        <w:b/>
                        <w:sz w:val="12"/>
                      </w:rPr>
                    </w:pPr>
                    <w:r>
                      <w:rPr>
                        <w:rFonts w:ascii="Calibri" w:hAnsi="Calibri"/>
                        <w:b/>
                        <w:w w:val="105"/>
                        <w:sz w:val="12"/>
                      </w:rPr>
                      <w:t>DETERMINACIÓN DE LA CATEGORÍA </w:t>
                    </w:r>
                    <w:r>
                      <w:rPr>
                        <w:rFonts w:ascii="Calibri" w:hAnsi="Calibri"/>
                        <w:b/>
                        <w:sz w:val="12"/>
                      </w:rPr>
                      <w:t>METODOLÓGICA  IPCC</w:t>
                    </w:r>
                  </w:p>
                </w:txbxContent>
              </v:textbox>
              <v:fill type="solid"/>
              <w10:wrap type="none"/>
            </v:shape>
            <v:shape style="position:absolute;left:2143;top:1899;width:2525;height:1380" type="#_x0000_t202" filled="true" fillcolor="#ffffff" stroked="true" strokeweight=".733744pt" strokecolor="#000000">
              <v:textbox inset="0,0,0,0">
                <w:txbxContent>
                  <w:p>
                    <w:pPr>
                      <w:numPr>
                        <w:ilvl w:val="0"/>
                        <w:numId w:val="7"/>
                      </w:numPr>
                      <w:tabs>
                        <w:tab w:pos="138" w:val="left" w:leader="none"/>
                      </w:tabs>
                      <w:spacing w:line="232" w:lineRule="auto" w:before="100"/>
                      <w:ind w:left="137" w:right="48" w:hanging="96"/>
                      <w:jc w:val="both"/>
                      <w:rPr>
                        <w:rFonts w:ascii="Calibri" w:hAnsi="Calibri"/>
                        <w:sz w:val="14"/>
                      </w:rPr>
                    </w:pPr>
                    <w:r>
                      <w:rPr>
                        <w:rFonts w:ascii="Calibri" w:hAnsi="Calibri"/>
                        <w:sz w:val="14"/>
                      </w:rPr>
                      <w:t>Clasificación de los hatos ganaderos de los Sistemas </w:t>
                    </w:r>
                    <w:r>
                      <w:rPr>
                        <w:rFonts w:ascii="Calibri" w:hAnsi="Calibri"/>
                        <w:spacing w:val="3"/>
                        <w:sz w:val="14"/>
                      </w:rPr>
                      <w:t>de </w:t>
                    </w:r>
                    <w:r>
                      <w:rPr>
                        <w:rFonts w:ascii="Calibri" w:hAnsi="Calibri"/>
                        <w:sz w:val="14"/>
                      </w:rPr>
                      <w:t>Producción Lechera </w:t>
                    </w:r>
                    <w:r>
                      <w:rPr>
                        <w:rFonts w:ascii="Calibri" w:hAnsi="Calibri"/>
                        <w:spacing w:val="-4"/>
                        <w:sz w:val="14"/>
                      </w:rPr>
                      <w:t>en </w:t>
                    </w:r>
                    <w:r>
                      <w:rPr>
                        <w:rFonts w:ascii="Calibri" w:hAnsi="Calibri"/>
                        <w:sz w:val="14"/>
                      </w:rPr>
                      <w:t>Pequeña Escala</w:t>
                    </w:r>
                    <w:r>
                      <w:rPr>
                        <w:rFonts w:ascii="Calibri" w:hAnsi="Calibri"/>
                        <w:spacing w:val="-12"/>
                        <w:sz w:val="14"/>
                      </w:rPr>
                      <w:t> </w:t>
                    </w:r>
                    <w:r>
                      <w:rPr>
                        <w:rFonts w:ascii="Calibri" w:hAnsi="Calibri"/>
                        <w:sz w:val="14"/>
                      </w:rPr>
                      <w:t>(SPPE):</w:t>
                    </w:r>
                  </w:p>
                  <w:p>
                    <w:pPr>
                      <w:spacing w:line="237" w:lineRule="auto" w:before="0"/>
                      <w:ind w:left="247" w:right="33" w:hanging="103"/>
                      <w:jc w:val="both"/>
                      <w:rPr>
                        <w:rFonts w:ascii="Calibri" w:hAnsi="Calibri"/>
                        <w:sz w:val="14"/>
                      </w:rPr>
                    </w:pPr>
                    <w:r>
                      <w:rPr>
                        <w:sz w:val="14"/>
                      </w:rPr>
                      <w:t>–</w:t>
                    </w:r>
                    <w:r>
                      <w:rPr>
                        <w:spacing w:val="-15"/>
                        <w:sz w:val="14"/>
                      </w:rPr>
                      <w:t> </w:t>
                    </w:r>
                    <w:r>
                      <w:rPr>
                        <w:rFonts w:ascii="Calibri" w:hAnsi="Calibri"/>
                        <w:sz w:val="14"/>
                      </w:rPr>
                      <w:t>Peso,</w:t>
                    </w:r>
                    <w:r>
                      <w:rPr>
                        <w:rFonts w:ascii="Calibri" w:hAnsi="Calibri"/>
                        <w:spacing w:val="-9"/>
                        <w:sz w:val="14"/>
                      </w:rPr>
                      <w:t> </w:t>
                    </w:r>
                    <w:r>
                      <w:rPr>
                        <w:rFonts w:ascii="Calibri" w:hAnsi="Calibri"/>
                        <w:sz w:val="14"/>
                      </w:rPr>
                      <w:t>situación</w:t>
                    </w:r>
                    <w:r>
                      <w:rPr>
                        <w:rFonts w:ascii="Calibri" w:hAnsi="Calibri"/>
                        <w:spacing w:val="-10"/>
                        <w:sz w:val="14"/>
                      </w:rPr>
                      <w:t> </w:t>
                    </w:r>
                    <w:r>
                      <w:rPr>
                        <w:rFonts w:ascii="Calibri" w:hAnsi="Calibri"/>
                        <w:sz w:val="14"/>
                      </w:rPr>
                      <w:t>alimentaria,</w:t>
                    </w:r>
                    <w:r>
                      <w:rPr>
                        <w:rFonts w:ascii="Calibri" w:hAnsi="Calibri"/>
                        <w:spacing w:val="-9"/>
                        <w:sz w:val="14"/>
                      </w:rPr>
                      <w:t> </w:t>
                    </w:r>
                    <w:r>
                      <w:rPr>
                        <w:rFonts w:ascii="Calibri" w:hAnsi="Calibri"/>
                        <w:sz w:val="14"/>
                      </w:rPr>
                      <w:t>producción de leche y contenido graso, Porcentaje de hembras que paren en un año, digestibilidad</w:t>
                    </w:r>
                    <w:r>
                      <w:rPr>
                        <w:rFonts w:ascii="Calibri" w:hAnsi="Calibri"/>
                        <w:spacing w:val="-7"/>
                        <w:sz w:val="14"/>
                      </w:rPr>
                      <w:t> </w:t>
                    </w:r>
                    <w:r>
                      <w:rPr>
                        <w:rFonts w:ascii="Calibri" w:hAnsi="Calibri"/>
                        <w:sz w:val="14"/>
                      </w:rPr>
                      <w:t>del</w:t>
                    </w:r>
                    <w:r>
                      <w:rPr>
                        <w:rFonts w:ascii="Calibri" w:hAnsi="Calibri"/>
                        <w:spacing w:val="-16"/>
                        <w:sz w:val="14"/>
                      </w:rPr>
                      <w:t> </w:t>
                    </w:r>
                    <w:r>
                      <w:rPr>
                        <w:rFonts w:ascii="Calibri" w:hAnsi="Calibri"/>
                        <w:sz w:val="14"/>
                      </w:rPr>
                      <w:t>alimento,</w:t>
                    </w:r>
                    <w:r>
                      <w:rPr>
                        <w:rFonts w:ascii="Calibri" w:hAnsi="Calibri"/>
                        <w:spacing w:val="-14"/>
                        <w:sz w:val="14"/>
                      </w:rPr>
                      <w:t> </w:t>
                    </w:r>
                    <w:r>
                      <w:rPr>
                        <w:rFonts w:ascii="Calibri" w:hAnsi="Calibri"/>
                        <w:sz w:val="14"/>
                      </w:rPr>
                      <w:t>etc.</w:t>
                    </w:r>
                  </w:p>
                </w:txbxContent>
              </v:textbox>
              <v:fill type="solid"/>
              <w10:wrap type="none"/>
            </v:shape>
            <v:shape style="position:absolute;left:5248;top:1965;width:1578;height:441" type="#_x0000_t202" filled="true" fillcolor="#ffffff" stroked="true" strokeweight=".733701pt" strokecolor="#000000">
              <v:textbox inset="0,0,0,0">
                <w:txbxContent>
                  <w:p>
                    <w:pPr>
                      <w:spacing w:line="240" w:lineRule="auto" w:before="0"/>
                      <w:rPr>
                        <w:b/>
                        <w:sz w:val="12"/>
                      </w:rPr>
                    </w:pPr>
                  </w:p>
                  <w:p>
                    <w:pPr>
                      <w:spacing w:before="0"/>
                      <w:ind w:left="337" w:right="0" w:firstLine="0"/>
                      <w:jc w:val="left"/>
                      <w:rPr>
                        <w:rFonts w:ascii="Calibri"/>
                        <w:b/>
                        <w:sz w:val="12"/>
                      </w:rPr>
                    </w:pPr>
                    <w:r>
                      <w:rPr>
                        <w:rFonts w:ascii="Calibri"/>
                        <w:b/>
                        <w:w w:val="105"/>
                        <w:sz w:val="12"/>
                      </w:rPr>
                      <w:t>NIVEL 2 DEL IPCC</w:t>
                    </w:r>
                  </w:p>
                </w:txbxContent>
              </v:textbox>
              <v:fill type="solid"/>
              <w10:wrap type="none"/>
            </v:shape>
            <v:shape style="position:absolute;left:5248;top:2596;width:1578;height:609" type="#_x0000_t202" filled="true" fillcolor="#ffffff" stroked="true" strokeweight=".733716pt" strokecolor="#000000">
              <v:textbox inset="0,0,0,0">
                <w:txbxContent>
                  <w:p>
                    <w:pPr>
                      <w:spacing w:line="247" w:lineRule="auto" w:before="77"/>
                      <w:ind w:left="51" w:right="49" w:hanging="4"/>
                      <w:jc w:val="center"/>
                      <w:rPr>
                        <w:rFonts w:ascii="Calibri" w:hAnsi="Calibri"/>
                        <w:b/>
                        <w:sz w:val="12"/>
                      </w:rPr>
                    </w:pPr>
                    <w:r>
                      <w:rPr>
                        <w:rFonts w:ascii="Calibri" w:hAnsi="Calibri"/>
                        <w:b/>
                        <w:w w:val="105"/>
                        <w:sz w:val="12"/>
                      </w:rPr>
                      <w:t>DEFINICIÓN DE </w:t>
                    </w:r>
                    <w:r>
                      <w:rPr>
                        <w:rFonts w:ascii="Calibri" w:hAnsi="Calibri"/>
                        <w:b/>
                        <w:sz w:val="12"/>
                      </w:rPr>
                      <w:t>CARACTERÍSTICAS TÉCNICAS </w:t>
                    </w:r>
                    <w:r>
                      <w:rPr>
                        <w:rFonts w:ascii="Calibri" w:hAnsi="Calibri"/>
                        <w:b/>
                        <w:w w:val="105"/>
                        <w:sz w:val="12"/>
                      </w:rPr>
                      <w:t>PRODUCTIVAS</w:t>
                    </w:r>
                  </w:p>
                </w:txbxContent>
              </v:textbox>
              <v:fill type="solid"/>
              <w10:wrap type="none"/>
            </v:shape>
            <v:shape style="position:absolute;left:3156;top:3697;width:2012;height:426" type="#_x0000_t202" filled="true" fillcolor="#ffffff" stroked="true" strokeweight=".733693pt" strokecolor="#000000">
              <v:textbox inset="0,0,0,0">
                <w:txbxContent>
                  <w:p>
                    <w:pPr>
                      <w:spacing w:before="123"/>
                      <w:ind w:left="43" w:right="0" w:firstLine="0"/>
                      <w:jc w:val="left"/>
                      <w:rPr>
                        <w:rFonts w:ascii="Calibri" w:hAnsi="Calibri"/>
                        <w:b/>
                        <w:sz w:val="14"/>
                      </w:rPr>
                    </w:pPr>
                    <w:r>
                      <w:rPr>
                        <w:rFonts w:ascii="Calibri" w:hAnsi="Calibri"/>
                        <w:b/>
                        <w:sz w:val="14"/>
                      </w:rPr>
                      <w:t>CARACTERÍSTICAS DE LAS DIETAS</w:t>
                    </w:r>
                  </w:p>
                </w:txbxContent>
              </v:textbox>
              <v:fill type="solid"/>
              <w10:wrap type="none"/>
            </v:shape>
            <v:shape style="position:absolute;left:6841;top:3697;width:2026;height:426" type="#_x0000_t202" filled="true" fillcolor="#ffffff" stroked="true" strokeweight=".733693pt" strokecolor="#000000">
              <v:textbox inset="0,0,0,0">
                <w:txbxContent>
                  <w:p>
                    <w:pPr>
                      <w:spacing w:before="123"/>
                      <w:ind w:left="198" w:right="0" w:firstLine="0"/>
                      <w:jc w:val="left"/>
                      <w:rPr>
                        <w:rFonts w:ascii="Calibri" w:hAnsi="Calibri"/>
                        <w:b/>
                        <w:sz w:val="14"/>
                      </w:rPr>
                    </w:pPr>
                    <w:r>
                      <w:rPr>
                        <w:rFonts w:ascii="Calibri" w:hAnsi="Calibri"/>
                        <w:b/>
                        <w:w w:val="95"/>
                        <w:sz w:val="14"/>
                      </w:rPr>
                      <w:t>NECESIDADES  ENERGÉTICAS</w:t>
                    </w:r>
                  </w:p>
                </w:txbxContent>
              </v:textbox>
              <v:fill type="solid"/>
              <w10:wrap type="none"/>
            </v:shape>
            <v:shape style="position:absolute;left:3156;top:4343;width:2012;height:1541" type="#_x0000_t202" filled="true" fillcolor="#ffffff" stroked="true" strokeweight=".733782pt" strokecolor="#000000">
              <v:textbox inset="0,0,0,0">
                <w:txbxContent>
                  <w:p>
                    <w:pPr>
                      <w:spacing w:line="240" w:lineRule="auto" w:before="7"/>
                      <w:rPr>
                        <w:b/>
                        <w:sz w:val="14"/>
                      </w:rPr>
                    </w:pPr>
                  </w:p>
                  <w:p>
                    <w:pPr>
                      <w:numPr>
                        <w:ilvl w:val="0"/>
                        <w:numId w:val="8"/>
                      </w:numPr>
                      <w:tabs>
                        <w:tab w:pos="140" w:val="left" w:leader="none"/>
                      </w:tabs>
                      <w:spacing w:before="0"/>
                      <w:ind w:left="139" w:right="0" w:hanging="96"/>
                      <w:jc w:val="left"/>
                      <w:rPr>
                        <w:rFonts w:ascii="Calibri" w:hAnsi="Calibri"/>
                        <w:sz w:val="12"/>
                      </w:rPr>
                    </w:pPr>
                    <w:r>
                      <w:rPr>
                        <w:rFonts w:ascii="Calibri" w:hAnsi="Calibri"/>
                        <w:w w:val="105"/>
                        <w:sz w:val="12"/>
                      </w:rPr>
                      <w:t>Digestibilidad</w:t>
                    </w:r>
                    <w:r>
                      <w:rPr>
                        <w:rFonts w:ascii="Calibri" w:hAnsi="Calibri"/>
                        <w:spacing w:val="-15"/>
                        <w:w w:val="105"/>
                        <w:sz w:val="12"/>
                      </w:rPr>
                      <w:t> </w:t>
                    </w:r>
                    <w:r>
                      <w:rPr>
                        <w:rFonts w:ascii="Calibri" w:hAnsi="Calibri"/>
                        <w:w w:val="105"/>
                        <w:sz w:val="12"/>
                      </w:rPr>
                      <w:t>de</w:t>
                    </w:r>
                    <w:r>
                      <w:rPr>
                        <w:rFonts w:ascii="Calibri" w:hAnsi="Calibri"/>
                        <w:spacing w:val="-13"/>
                        <w:w w:val="105"/>
                        <w:sz w:val="12"/>
                      </w:rPr>
                      <w:t> </w:t>
                    </w:r>
                    <w:r>
                      <w:rPr>
                        <w:rFonts w:ascii="Calibri" w:hAnsi="Calibri"/>
                        <w:w w:val="105"/>
                        <w:sz w:val="12"/>
                      </w:rPr>
                      <w:t>la</w:t>
                    </w:r>
                    <w:r>
                      <w:rPr>
                        <w:rFonts w:ascii="Calibri" w:hAnsi="Calibri"/>
                        <w:spacing w:val="-12"/>
                        <w:w w:val="105"/>
                        <w:sz w:val="12"/>
                      </w:rPr>
                      <w:t> </w:t>
                    </w:r>
                    <w:r>
                      <w:rPr>
                        <w:rFonts w:ascii="Calibri" w:hAnsi="Calibri"/>
                        <w:w w:val="105"/>
                        <w:sz w:val="12"/>
                      </w:rPr>
                      <w:t>energía</w:t>
                    </w:r>
                  </w:p>
                  <w:p>
                    <w:pPr>
                      <w:numPr>
                        <w:ilvl w:val="0"/>
                        <w:numId w:val="8"/>
                      </w:numPr>
                      <w:tabs>
                        <w:tab w:pos="140" w:val="left" w:leader="none"/>
                      </w:tabs>
                      <w:spacing w:before="0"/>
                      <w:ind w:left="139" w:right="0" w:hanging="96"/>
                      <w:jc w:val="left"/>
                      <w:rPr>
                        <w:rFonts w:ascii="Calibri" w:hAnsi="Calibri"/>
                        <w:sz w:val="12"/>
                      </w:rPr>
                    </w:pPr>
                    <w:r>
                      <w:rPr>
                        <w:rFonts w:ascii="Calibri" w:hAnsi="Calibri"/>
                        <w:w w:val="105"/>
                        <w:sz w:val="12"/>
                      </w:rPr>
                      <w:t>Energía</w:t>
                    </w:r>
                    <w:r>
                      <w:rPr>
                        <w:rFonts w:ascii="Calibri" w:hAnsi="Calibri"/>
                        <w:spacing w:val="-12"/>
                        <w:w w:val="105"/>
                        <w:sz w:val="12"/>
                      </w:rPr>
                      <w:t> </w:t>
                    </w:r>
                    <w:r>
                      <w:rPr>
                        <w:rFonts w:ascii="Calibri" w:hAnsi="Calibri"/>
                        <w:w w:val="105"/>
                        <w:sz w:val="12"/>
                      </w:rPr>
                      <w:t>bruta</w:t>
                    </w:r>
                  </w:p>
                  <w:p>
                    <w:pPr>
                      <w:numPr>
                        <w:ilvl w:val="0"/>
                        <w:numId w:val="8"/>
                      </w:numPr>
                      <w:tabs>
                        <w:tab w:pos="140" w:val="left" w:leader="none"/>
                      </w:tabs>
                      <w:spacing w:before="7"/>
                      <w:ind w:left="139" w:right="0" w:hanging="96"/>
                      <w:jc w:val="left"/>
                      <w:rPr>
                        <w:rFonts w:ascii="Calibri" w:hAnsi="Calibri"/>
                        <w:sz w:val="12"/>
                      </w:rPr>
                    </w:pPr>
                    <w:r>
                      <w:rPr>
                        <w:rFonts w:ascii="Calibri" w:hAnsi="Calibri"/>
                        <w:w w:val="105"/>
                        <w:sz w:val="12"/>
                      </w:rPr>
                      <w:t>Proteína</w:t>
                    </w:r>
                    <w:r>
                      <w:rPr>
                        <w:rFonts w:ascii="Calibri" w:hAnsi="Calibri"/>
                        <w:spacing w:val="-15"/>
                        <w:w w:val="105"/>
                        <w:sz w:val="12"/>
                      </w:rPr>
                      <w:t> </w:t>
                    </w:r>
                    <w:r>
                      <w:rPr>
                        <w:rFonts w:ascii="Calibri" w:hAnsi="Calibri"/>
                        <w:w w:val="105"/>
                        <w:sz w:val="12"/>
                      </w:rPr>
                      <w:t>bruta</w:t>
                    </w:r>
                  </w:p>
                  <w:p>
                    <w:pPr>
                      <w:numPr>
                        <w:ilvl w:val="0"/>
                        <w:numId w:val="8"/>
                      </w:numPr>
                      <w:tabs>
                        <w:tab w:pos="140" w:val="left" w:leader="none"/>
                      </w:tabs>
                      <w:spacing w:before="0"/>
                      <w:ind w:left="139" w:right="0" w:hanging="96"/>
                      <w:jc w:val="left"/>
                      <w:rPr>
                        <w:rFonts w:ascii="Calibri" w:hAnsi="Calibri"/>
                        <w:sz w:val="12"/>
                      </w:rPr>
                    </w:pPr>
                    <w:r>
                      <w:rPr>
                        <w:rFonts w:ascii="Calibri" w:hAnsi="Calibri"/>
                        <w:w w:val="105"/>
                        <w:sz w:val="12"/>
                      </w:rPr>
                      <w:t>Energía</w:t>
                    </w:r>
                    <w:r>
                      <w:rPr>
                        <w:rFonts w:ascii="Calibri" w:hAnsi="Calibri"/>
                        <w:spacing w:val="-11"/>
                        <w:w w:val="105"/>
                        <w:sz w:val="12"/>
                      </w:rPr>
                      <w:t> </w:t>
                    </w:r>
                    <w:r>
                      <w:rPr>
                        <w:rFonts w:ascii="Calibri" w:hAnsi="Calibri"/>
                        <w:w w:val="105"/>
                        <w:sz w:val="12"/>
                      </w:rPr>
                      <w:t>de</w:t>
                    </w:r>
                    <w:r>
                      <w:rPr>
                        <w:rFonts w:ascii="Calibri" w:hAnsi="Calibri"/>
                        <w:spacing w:val="-13"/>
                        <w:w w:val="105"/>
                        <w:sz w:val="12"/>
                      </w:rPr>
                      <w:t> </w:t>
                    </w:r>
                    <w:r>
                      <w:rPr>
                        <w:rFonts w:ascii="Calibri" w:hAnsi="Calibri"/>
                        <w:w w:val="105"/>
                        <w:sz w:val="12"/>
                      </w:rPr>
                      <w:t>mantenimiento</w:t>
                    </w:r>
                  </w:p>
                  <w:p>
                    <w:pPr>
                      <w:numPr>
                        <w:ilvl w:val="0"/>
                        <w:numId w:val="8"/>
                      </w:numPr>
                      <w:tabs>
                        <w:tab w:pos="140" w:val="left" w:leader="none"/>
                      </w:tabs>
                      <w:spacing w:before="7"/>
                      <w:ind w:left="139" w:right="0" w:hanging="96"/>
                      <w:jc w:val="left"/>
                      <w:rPr>
                        <w:rFonts w:ascii="Calibri" w:hAnsi="Calibri"/>
                        <w:sz w:val="12"/>
                      </w:rPr>
                    </w:pPr>
                    <w:r>
                      <w:rPr>
                        <w:rFonts w:ascii="Calibri" w:hAnsi="Calibri"/>
                        <w:w w:val="105"/>
                        <w:sz w:val="12"/>
                      </w:rPr>
                      <w:t>Energía</w:t>
                    </w:r>
                    <w:r>
                      <w:rPr>
                        <w:rFonts w:ascii="Calibri" w:hAnsi="Calibri"/>
                        <w:spacing w:val="-14"/>
                        <w:w w:val="105"/>
                        <w:sz w:val="12"/>
                      </w:rPr>
                      <w:t> </w:t>
                    </w:r>
                    <w:r>
                      <w:rPr>
                        <w:rFonts w:ascii="Calibri" w:hAnsi="Calibri"/>
                        <w:w w:val="105"/>
                        <w:sz w:val="12"/>
                      </w:rPr>
                      <w:t>de</w:t>
                    </w:r>
                    <w:r>
                      <w:rPr>
                        <w:rFonts w:ascii="Calibri" w:hAnsi="Calibri"/>
                        <w:spacing w:val="-16"/>
                        <w:w w:val="105"/>
                        <w:sz w:val="12"/>
                      </w:rPr>
                      <w:t> </w:t>
                    </w:r>
                    <w:r>
                      <w:rPr>
                        <w:rFonts w:ascii="Calibri" w:hAnsi="Calibri"/>
                        <w:w w:val="105"/>
                        <w:sz w:val="12"/>
                      </w:rPr>
                      <w:t>crecimiento</w:t>
                    </w:r>
                  </w:p>
                  <w:p>
                    <w:pPr>
                      <w:numPr>
                        <w:ilvl w:val="0"/>
                        <w:numId w:val="8"/>
                      </w:numPr>
                      <w:tabs>
                        <w:tab w:pos="140" w:val="left" w:leader="none"/>
                      </w:tabs>
                      <w:spacing w:before="0"/>
                      <w:ind w:left="139" w:right="0" w:hanging="96"/>
                      <w:jc w:val="left"/>
                      <w:rPr>
                        <w:rFonts w:ascii="Calibri" w:hAnsi="Calibri"/>
                        <w:sz w:val="12"/>
                      </w:rPr>
                    </w:pPr>
                    <w:r>
                      <w:rPr>
                        <w:rFonts w:ascii="Calibri" w:hAnsi="Calibri"/>
                        <w:w w:val="105"/>
                        <w:sz w:val="12"/>
                      </w:rPr>
                      <w:t>Energía</w:t>
                    </w:r>
                    <w:r>
                      <w:rPr>
                        <w:rFonts w:ascii="Calibri" w:hAnsi="Calibri"/>
                        <w:spacing w:val="-13"/>
                        <w:w w:val="105"/>
                        <w:sz w:val="12"/>
                      </w:rPr>
                      <w:t> </w:t>
                    </w:r>
                    <w:r>
                      <w:rPr>
                        <w:rFonts w:ascii="Calibri" w:hAnsi="Calibri"/>
                        <w:w w:val="105"/>
                        <w:sz w:val="12"/>
                      </w:rPr>
                      <w:t>de</w:t>
                    </w:r>
                    <w:r>
                      <w:rPr>
                        <w:rFonts w:ascii="Calibri" w:hAnsi="Calibri"/>
                        <w:spacing w:val="-14"/>
                        <w:w w:val="105"/>
                        <w:sz w:val="12"/>
                      </w:rPr>
                      <w:t> </w:t>
                    </w:r>
                    <w:r>
                      <w:rPr>
                        <w:rFonts w:ascii="Calibri" w:hAnsi="Calibri"/>
                        <w:w w:val="105"/>
                        <w:sz w:val="12"/>
                      </w:rPr>
                      <w:t>lactación</w:t>
                    </w:r>
                  </w:p>
                  <w:p>
                    <w:pPr>
                      <w:numPr>
                        <w:ilvl w:val="0"/>
                        <w:numId w:val="8"/>
                      </w:numPr>
                      <w:tabs>
                        <w:tab w:pos="140" w:val="left" w:leader="none"/>
                      </w:tabs>
                      <w:spacing w:before="0"/>
                      <w:ind w:left="139" w:right="0" w:hanging="96"/>
                      <w:jc w:val="left"/>
                      <w:rPr>
                        <w:rFonts w:ascii="Calibri" w:hAnsi="Calibri"/>
                        <w:sz w:val="12"/>
                      </w:rPr>
                    </w:pPr>
                    <w:r>
                      <w:rPr>
                        <w:rFonts w:ascii="Calibri" w:hAnsi="Calibri"/>
                        <w:w w:val="105"/>
                        <w:sz w:val="12"/>
                      </w:rPr>
                      <w:t>Energía</w:t>
                    </w:r>
                    <w:r>
                      <w:rPr>
                        <w:rFonts w:ascii="Calibri" w:hAnsi="Calibri"/>
                        <w:spacing w:val="-12"/>
                        <w:w w:val="105"/>
                        <w:sz w:val="12"/>
                      </w:rPr>
                      <w:t> </w:t>
                    </w:r>
                    <w:r>
                      <w:rPr>
                        <w:rFonts w:ascii="Calibri" w:hAnsi="Calibri"/>
                        <w:w w:val="105"/>
                        <w:sz w:val="12"/>
                      </w:rPr>
                      <w:t>de</w:t>
                    </w:r>
                    <w:r>
                      <w:rPr>
                        <w:rFonts w:ascii="Calibri" w:hAnsi="Calibri"/>
                        <w:spacing w:val="-14"/>
                        <w:w w:val="105"/>
                        <w:sz w:val="12"/>
                      </w:rPr>
                      <w:t> </w:t>
                    </w:r>
                    <w:r>
                      <w:rPr>
                        <w:rFonts w:ascii="Calibri" w:hAnsi="Calibri"/>
                        <w:w w:val="105"/>
                        <w:sz w:val="12"/>
                      </w:rPr>
                      <w:t>gestación</w:t>
                    </w:r>
                  </w:p>
                  <w:p>
                    <w:pPr>
                      <w:numPr>
                        <w:ilvl w:val="0"/>
                        <w:numId w:val="8"/>
                      </w:numPr>
                      <w:tabs>
                        <w:tab w:pos="140" w:val="left" w:leader="none"/>
                      </w:tabs>
                      <w:spacing w:before="7"/>
                      <w:ind w:left="139" w:right="0" w:hanging="96"/>
                      <w:jc w:val="left"/>
                      <w:rPr>
                        <w:rFonts w:ascii="Calibri"/>
                        <w:sz w:val="12"/>
                      </w:rPr>
                    </w:pPr>
                    <w:r>
                      <w:rPr>
                        <w:rFonts w:ascii="Calibri"/>
                        <w:w w:val="105"/>
                        <w:sz w:val="12"/>
                      </w:rPr>
                      <w:t>Etc.</w:t>
                    </w:r>
                  </w:p>
                </w:txbxContent>
              </v:textbox>
              <v:fill type="solid"/>
              <w10:wrap type="none"/>
            </v:shape>
            <v:shape style="position:absolute;left:6841;top:4343;width:2026;height:1527" type="#_x0000_t202" filled="true" fillcolor="#ffffff" stroked="true" strokeweight=".73378pt" strokecolor="#000000">
              <v:textbox inset="0,0,0,0">
                <w:txbxContent>
                  <w:p>
                    <w:pPr>
                      <w:spacing w:line="240" w:lineRule="auto" w:before="7"/>
                      <w:rPr>
                        <w:b/>
                        <w:sz w:val="14"/>
                      </w:rPr>
                    </w:pPr>
                  </w:p>
                  <w:p>
                    <w:pPr>
                      <w:numPr>
                        <w:ilvl w:val="0"/>
                        <w:numId w:val="9"/>
                      </w:numPr>
                      <w:tabs>
                        <w:tab w:pos="140" w:val="left" w:leader="none"/>
                      </w:tabs>
                      <w:spacing w:line="170" w:lineRule="exact" w:before="0"/>
                      <w:ind w:left="139" w:right="0" w:hanging="96"/>
                      <w:jc w:val="left"/>
                      <w:rPr>
                        <w:rFonts w:ascii="Calibri" w:hAnsi="Calibri"/>
                        <w:sz w:val="14"/>
                      </w:rPr>
                    </w:pPr>
                    <w:r>
                      <w:rPr>
                        <w:rFonts w:ascii="Calibri" w:hAnsi="Calibri"/>
                        <w:sz w:val="14"/>
                      </w:rPr>
                      <w:t>Energía</w:t>
                    </w:r>
                    <w:r>
                      <w:rPr>
                        <w:rFonts w:ascii="Calibri" w:hAnsi="Calibri"/>
                        <w:spacing w:val="-17"/>
                        <w:sz w:val="14"/>
                      </w:rPr>
                      <w:t> </w:t>
                    </w:r>
                    <w:r>
                      <w:rPr>
                        <w:rFonts w:ascii="Calibri" w:hAnsi="Calibri"/>
                        <w:sz w:val="14"/>
                      </w:rPr>
                      <w:t>de</w:t>
                    </w:r>
                    <w:r>
                      <w:rPr>
                        <w:rFonts w:ascii="Calibri" w:hAnsi="Calibri"/>
                        <w:spacing w:val="-18"/>
                        <w:sz w:val="14"/>
                      </w:rPr>
                      <w:t> </w:t>
                    </w:r>
                    <w:r>
                      <w:rPr>
                        <w:rFonts w:ascii="Calibri" w:hAnsi="Calibri"/>
                        <w:sz w:val="14"/>
                      </w:rPr>
                      <w:t>mantenimiento</w:t>
                    </w:r>
                  </w:p>
                  <w:p>
                    <w:pPr>
                      <w:numPr>
                        <w:ilvl w:val="0"/>
                        <w:numId w:val="9"/>
                      </w:numPr>
                      <w:tabs>
                        <w:tab w:pos="140" w:val="left" w:leader="none"/>
                      </w:tabs>
                      <w:spacing w:line="165" w:lineRule="exact" w:before="0"/>
                      <w:ind w:left="139" w:right="0" w:hanging="96"/>
                      <w:jc w:val="left"/>
                      <w:rPr>
                        <w:rFonts w:ascii="Calibri" w:hAnsi="Calibri"/>
                        <w:sz w:val="14"/>
                      </w:rPr>
                    </w:pPr>
                    <w:r>
                      <w:rPr>
                        <w:rFonts w:ascii="Calibri" w:hAnsi="Calibri"/>
                        <w:sz w:val="14"/>
                      </w:rPr>
                      <w:t>Energía para actividad</w:t>
                    </w:r>
                    <w:r>
                      <w:rPr>
                        <w:rFonts w:ascii="Calibri" w:hAnsi="Calibri"/>
                        <w:spacing w:val="-21"/>
                        <w:sz w:val="14"/>
                      </w:rPr>
                      <w:t> </w:t>
                    </w:r>
                    <w:r>
                      <w:rPr>
                        <w:rFonts w:ascii="Calibri" w:hAnsi="Calibri"/>
                        <w:sz w:val="14"/>
                      </w:rPr>
                      <w:t>diaria</w:t>
                    </w:r>
                  </w:p>
                  <w:p>
                    <w:pPr>
                      <w:numPr>
                        <w:ilvl w:val="0"/>
                        <w:numId w:val="9"/>
                      </w:numPr>
                      <w:tabs>
                        <w:tab w:pos="140" w:val="left" w:leader="none"/>
                      </w:tabs>
                      <w:spacing w:line="165" w:lineRule="exact" w:before="0"/>
                      <w:ind w:left="139" w:right="0" w:hanging="96"/>
                      <w:jc w:val="left"/>
                      <w:rPr>
                        <w:rFonts w:ascii="Calibri" w:hAnsi="Calibri"/>
                        <w:sz w:val="14"/>
                      </w:rPr>
                    </w:pPr>
                    <w:r>
                      <w:rPr>
                        <w:rFonts w:ascii="Calibri" w:hAnsi="Calibri"/>
                        <w:sz w:val="14"/>
                      </w:rPr>
                      <w:t>Energía</w:t>
                    </w:r>
                    <w:r>
                      <w:rPr>
                        <w:rFonts w:ascii="Calibri" w:hAnsi="Calibri"/>
                        <w:spacing w:val="-9"/>
                        <w:sz w:val="14"/>
                      </w:rPr>
                      <w:t> </w:t>
                    </w:r>
                    <w:r>
                      <w:rPr>
                        <w:rFonts w:ascii="Calibri" w:hAnsi="Calibri"/>
                        <w:sz w:val="14"/>
                      </w:rPr>
                      <w:t>para</w:t>
                    </w:r>
                    <w:r>
                      <w:rPr>
                        <w:rFonts w:ascii="Calibri" w:hAnsi="Calibri"/>
                        <w:spacing w:val="-14"/>
                        <w:sz w:val="14"/>
                      </w:rPr>
                      <w:t> </w:t>
                    </w:r>
                    <w:r>
                      <w:rPr>
                        <w:rFonts w:ascii="Calibri" w:hAnsi="Calibri"/>
                        <w:sz w:val="14"/>
                      </w:rPr>
                      <w:t>el</w:t>
                    </w:r>
                    <w:r>
                      <w:rPr>
                        <w:rFonts w:ascii="Calibri" w:hAnsi="Calibri"/>
                        <w:spacing w:val="-11"/>
                        <w:sz w:val="14"/>
                      </w:rPr>
                      <w:t> </w:t>
                    </w:r>
                    <w:r>
                      <w:rPr>
                        <w:rFonts w:ascii="Calibri" w:hAnsi="Calibri"/>
                        <w:sz w:val="14"/>
                      </w:rPr>
                      <w:t>crecimiento</w:t>
                    </w:r>
                  </w:p>
                  <w:p>
                    <w:pPr>
                      <w:numPr>
                        <w:ilvl w:val="0"/>
                        <w:numId w:val="9"/>
                      </w:numPr>
                      <w:tabs>
                        <w:tab w:pos="140" w:val="left" w:leader="none"/>
                      </w:tabs>
                      <w:spacing w:line="169" w:lineRule="exact" w:before="0"/>
                      <w:ind w:left="139" w:right="0" w:hanging="96"/>
                      <w:jc w:val="left"/>
                      <w:rPr>
                        <w:rFonts w:ascii="Calibri" w:hAnsi="Calibri"/>
                        <w:sz w:val="14"/>
                      </w:rPr>
                    </w:pPr>
                    <w:r>
                      <w:rPr>
                        <w:rFonts w:ascii="Calibri" w:hAnsi="Calibri"/>
                        <w:sz w:val="14"/>
                      </w:rPr>
                      <w:t>Energía de</w:t>
                    </w:r>
                    <w:r>
                      <w:rPr>
                        <w:rFonts w:ascii="Calibri" w:hAnsi="Calibri"/>
                        <w:spacing w:val="-22"/>
                        <w:sz w:val="14"/>
                      </w:rPr>
                      <w:t> </w:t>
                    </w:r>
                    <w:r>
                      <w:rPr>
                        <w:rFonts w:ascii="Calibri" w:hAnsi="Calibri"/>
                        <w:sz w:val="14"/>
                      </w:rPr>
                      <w:t>lactación</w:t>
                    </w:r>
                  </w:p>
                  <w:p>
                    <w:pPr>
                      <w:numPr>
                        <w:ilvl w:val="0"/>
                        <w:numId w:val="9"/>
                      </w:numPr>
                      <w:tabs>
                        <w:tab w:pos="140" w:val="left" w:leader="none"/>
                      </w:tabs>
                      <w:spacing w:line="169" w:lineRule="exact" w:before="0"/>
                      <w:ind w:left="139" w:right="0" w:hanging="96"/>
                      <w:jc w:val="left"/>
                      <w:rPr>
                        <w:rFonts w:ascii="Calibri" w:hAnsi="Calibri"/>
                        <w:sz w:val="14"/>
                      </w:rPr>
                    </w:pPr>
                    <w:r>
                      <w:rPr>
                        <w:rFonts w:ascii="Calibri" w:hAnsi="Calibri"/>
                        <w:sz w:val="14"/>
                      </w:rPr>
                      <w:t>Energía de</w:t>
                    </w:r>
                    <w:r>
                      <w:rPr>
                        <w:rFonts w:ascii="Calibri" w:hAnsi="Calibri"/>
                        <w:spacing w:val="-25"/>
                        <w:sz w:val="14"/>
                      </w:rPr>
                      <w:t> </w:t>
                    </w:r>
                    <w:r>
                      <w:rPr>
                        <w:rFonts w:ascii="Calibri" w:hAnsi="Calibri"/>
                        <w:sz w:val="14"/>
                      </w:rPr>
                      <w:t>gestación</w:t>
                    </w:r>
                  </w:p>
                  <w:p>
                    <w:pPr>
                      <w:numPr>
                        <w:ilvl w:val="0"/>
                        <w:numId w:val="9"/>
                      </w:numPr>
                      <w:tabs>
                        <w:tab w:pos="140" w:val="left" w:leader="none"/>
                      </w:tabs>
                      <w:spacing w:line="169" w:lineRule="exact" w:before="0"/>
                      <w:ind w:left="139" w:right="0" w:hanging="96"/>
                      <w:jc w:val="left"/>
                      <w:rPr>
                        <w:rFonts w:ascii="Calibri" w:hAnsi="Calibri"/>
                        <w:sz w:val="14"/>
                      </w:rPr>
                    </w:pPr>
                    <w:r>
                      <w:rPr>
                        <w:rFonts w:ascii="Calibri" w:hAnsi="Calibri"/>
                        <w:sz w:val="14"/>
                      </w:rPr>
                      <w:t>Energía</w:t>
                    </w:r>
                    <w:r>
                      <w:rPr>
                        <w:rFonts w:ascii="Calibri" w:hAnsi="Calibri"/>
                        <w:spacing w:val="-4"/>
                        <w:sz w:val="14"/>
                      </w:rPr>
                      <w:t> </w:t>
                    </w:r>
                    <w:r>
                      <w:rPr>
                        <w:rFonts w:ascii="Calibri" w:hAnsi="Calibri"/>
                        <w:sz w:val="14"/>
                      </w:rPr>
                      <w:t>de</w:t>
                    </w:r>
                    <w:r>
                      <w:rPr>
                        <w:rFonts w:ascii="Calibri" w:hAnsi="Calibri"/>
                        <w:spacing w:val="-7"/>
                        <w:sz w:val="14"/>
                      </w:rPr>
                      <w:t> </w:t>
                    </w:r>
                    <w:r>
                      <w:rPr>
                        <w:rFonts w:ascii="Calibri" w:hAnsi="Calibri"/>
                        <w:sz w:val="14"/>
                      </w:rPr>
                      <w:t>producción</w:t>
                    </w:r>
                    <w:r>
                      <w:rPr>
                        <w:rFonts w:ascii="Calibri" w:hAnsi="Calibri"/>
                        <w:spacing w:val="-10"/>
                        <w:sz w:val="14"/>
                      </w:rPr>
                      <w:t> </w:t>
                    </w:r>
                    <w:r>
                      <w:rPr>
                        <w:rFonts w:ascii="Calibri" w:hAnsi="Calibri"/>
                        <w:sz w:val="14"/>
                      </w:rPr>
                      <w:t>de</w:t>
                    </w:r>
                    <w:r>
                      <w:rPr>
                        <w:rFonts w:ascii="Calibri" w:hAnsi="Calibri"/>
                        <w:spacing w:val="-12"/>
                        <w:sz w:val="14"/>
                      </w:rPr>
                      <w:t> </w:t>
                    </w:r>
                    <w:r>
                      <w:rPr>
                        <w:rFonts w:ascii="Calibri" w:hAnsi="Calibri"/>
                        <w:sz w:val="14"/>
                      </w:rPr>
                      <w:t>leche</w:t>
                    </w:r>
                  </w:p>
                  <w:p>
                    <w:pPr>
                      <w:numPr>
                        <w:ilvl w:val="0"/>
                        <w:numId w:val="9"/>
                      </w:numPr>
                      <w:tabs>
                        <w:tab w:pos="140" w:val="left" w:leader="none"/>
                      </w:tabs>
                      <w:spacing w:line="170" w:lineRule="exact" w:before="0"/>
                      <w:ind w:left="139" w:right="0" w:hanging="96"/>
                      <w:jc w:val="left"/>
                      <w:rPr>
                        <w:rFonts w:ascii="Calibri"/>
                        <w:sz w:val="14"/>
                      </w:rPr>
                    </w:pPr>
                    <w:r>
                      <w:rPr>
                        <w:rFonts w:ascii="Calibri"/>
                        <w:sz w:val="14"/>
                      </w:rPr>
                      <w:t>Etc.</w:t>
                    </w:r>
                  </w:p>
                </w:txbxContent>
              </v:textbox>
              <v:fill type="solid"/>
              <w10:wrap type="none"/>
            </v:shape>
            <v:shape style="position:absolute;left:5336;top:5869;width:1366;height:565" type="#_x0000_t202" filled="true" fillcolor="#ffffff" stroked="true" strokeweight=".733721pt" strokecolor="#000000">
              <v:textbox inset="0,0,0,0">
                <w:txbxContent>
                  <w:p>
                    <w:pPr>
                      <w:spacing w:line="170" w:lineRule="exact" w:before="107"/>
                      <w:ind w:left="21" w:right="31" w:firstLine="0"/>
                      <w:jc w:val="center"/>
                      <w:rPr>
                        <w:rFonts w:ascii="Calibri"/>
                        <w:b/>
                        <w:sz w:val="14"/>
                      </w:rPr>
                    </w:pPr>
                    <w:r>
                      <w:rPr>
                        <w:rFonts w:ascii="Calibri"/>
                        <w:b/>
                        <w:sz w:val="14"/>
                      </w:rPr>
                      <w:t>INGESTA DE MATERIA</w:t>
                    </w:r>
                  </w:p>
                  <w:p>
                    <w:pPr>
                      <w:spacing w:line="170" w:lineRule="exact" w:before="0"/>
                      <w:ind w:left="21" w:right="27" w:firstLine="0"/>
                      <w:jc w:val="center"/>
                      <w:rPr>
                        <w:rFonts w:ascii="Calibri" w:hAnsi="Calibri"/>
                        <w:b/>
                        <w:sz w:val="14"/>
                      </w:rPr>
                    </w:pPr>
                    <w:r>
                      <w:rPr>
                        <w:rFonts w:ascii="Calibri" w:hAnsi="Calibri"/>
                        <w:b/>
                        <w:sz w:val="14"/>
                      </w:rPr>
                      <w:t>SECA (Kg/año)</w:t>
                    </w:r>
                  </w:p>
                </w:txbxContent>
              </v:textbox>
              <v:fill type="solid"/>
              <w10:wrap type="none"/>
            </v:shape>
            <v:shape style="position:absolute;left:8977;top:1357;width:1681;height:565" type="#_x0000_t202" filled="true" fillcolor="#ffffff" stroked="false">
              <v:textbox inset="0,0,0,0">
                <w:txbxContent>
                  <w:p>
                    <w:pPr>
                      <w:spacing w:before="62"/>
                      <w:ind w:left="57" w:right="0" w:firstLine="0"/>
                      <w:jc w:val="left"/>
                      <w:rPr>
                        <w:rFonts w:ascii="Calibri" w:hAnsi="Calibri"/>
                        <w:b/>
                        <w:sz w:val="12"/>
                      </w:rPr>
                    </w:pPr>
                    <w:r>
                      <w:rPr>
                        <w:rFonts w:ascii="Calibri" w:hAnsi="Calibri"/>
                        <w:b/>
                        <w:w w:val="105"/>
                        <w:sz w:val="12"/>
                        <w:u w:val="single"/>
                      </w:rPr>
                      <w:t>TIPO DE METODOLOGÍA</w:t>
                    </w:r>
                  </w:p>
                  <w:p>
                    <w:pPr>
                      <w:numPr>
                        <w:ilvl w:val="0"/>
                        <w:numId w:val="10"/>
                      </w:numPr>
                      <w:tabs>
                        <w:tab w:pos="154" w:val="left" w:leader="none"/>
                      </w:tabs>
                      <w:spacing w:line="252" w:lineRule="auto" w:before="0"/>
                      <w:ind w:left="153" w:right="468" w:hanging="96"/>
                      <w:jc w:val="left"/>
                      <w:rPr>
                        <w:rFonts w:ascii="Calibri" w:hAnsi="Calibri"/>
                        <w:sz w:val="12"/>
                      </w:rPr>
                    </w:pPr>
                    <w:r>
                      <w:rPr>
                        <w:rFonts w:ascii="Calibri" w:hAnsi="Calibri"/>
                        <w:w w:val="105"/>
                        <w:sz w:val="12"/>
                      </w:rPr>
                      <w:t>Método matemático factorial nivel 2 IPCC</w:t>
                    </w:r>
                  </w:p>
                </w:txbxContent>
              </v:textbox>
              <v:fill type="solid"/>
              <w10:wrap type="none"/>
            </v:shape>
            <v:shape style="position:absolute;left:8977;top:5979;width:1681;height:778" type="#_x0000_t202" filled="true" fillcolor="#ffffff" stroked="false">
              <v:textbox inset="0,0,0,0">
                <w:txbxContent>
                  <w:p>
                    <w:pPr>
                      <w:spacing w:before="91"/>
                      <w:ind w:left="57" w:right="0" w:firstLine="0"/>
                      <w:jc w:val="left"/>
                      <w:rPr>
                        <w:rFonts w:ascii="Calibri" w:hAnsi="Calibri"/>
                        <w:b/>
                        <w:sz w:val="12"/>
                      </w:rPr>
                    </w:pPr>
                    <w:r>
                      <w:rPr>
                        <w:rFonts w:ascii="Calibri" w:hAnsi="Calibri"/>
                        <w:b/>
                        <w:sz w:val="12"/>
                        <w:u w:val="single"/>
                      </w:rPr>
                      <w:t>MEJORA  METODOLÓGICA</w:t>
                    </w:r>
                  </w:p>
                  <w:p>
                    <w:pPr>
                      <w:numPr>
                        <w:ilvl w:val="0"/>
                        <w:numId w:val="11"/>
                      </w:numPr>
                      <w:tabs>
                        <w:tab w:pos="154" w:val="left" w:leader="none"/>
                      </w:tabs>
                      <w:spacing w:line="247" w:lineRule="auto" w:before="0"/>
                      <w:ind w:left="153" w:right="93" w:hanging="96"/>
                      <w:jc w:val="left"/>
                      <w:rPr>
                        <w:rFonts w:ascii="Calibri" w:hAnsi="Calibri"/>
                        <w:i/>
                        <w:sz w:val="12"/>
                      </w:rPr>
                    </w:pPr>
                    <w:r>
                      <w:rPr>
                        <w:rFonts w:ascii="Calibri" w:hAnsi="Calibri"/>
                        <w:w w:val="105"/>
                        <w:sz w:val="12"/>
                      </w:rPr>
                      <w:t>Determinación de </w:t>
                    </w:r>
                    <w:r>
                      <w:rPr>
                        <w:rFonts w:ascii="Calibri" w:hAnsi="Calibri"/>
                        <w:spacing w:val="-3"/>
                        <w:w w:val="105"/>
                        <w:sz w:val="12"/>
                      </w:rPr>
                      <w:t>Ym, </w:t>
                    </w:r>
                    <w:r>
                      <w:rPr>
                        <w:rFonts w:ascii="Calibri" w:hAnsi="Calibri"/>
                        <w:w w:val="105"/>
                        <w:sz w:val="12"/>
                      </w:rPr>
                      <w:t>utilizando la ecuación de Cambra-López,</w:t>
                    </w:r>
                    <w:r>
                      <w:rPr>
                        <w:rFonts w:ascii="Calibri" w:hAnsi="Calibri"/>
                        <w:spacing w:val="-9"/>
                        <w:w w:val="105"/>
                        <w:sz w:val="12"/>
                      </w:rPr>
                      <w:t> </w:t>
                    </w:r>
                    <w:r>
                      <w:rPr>
                        <w:rFonts w:ascii="Calibri" w:hAnsi="Calibri"/>
                        <w:i/>
                        <w:w w:val="105"/>
                        <w:sz w:val="12"/>
                      </w:rPr>
                      <w:t>et</w:t>
                    </w:r>
                    <w:r>
                      <w:rPr>
                        <w:rFonts w:ascii="Calibri" w:hAnsi="Calibri"/>
                        <w:i/>
                        <w:spacing w:val="-6"/>
                        <w:w w:val="105"/>
                        <w:sz w:val="12"/>
                      </w:rPr>
                      <w:t> </w:t>
                    </w:r>
                    <w:r>
                      <w:rPr>
                        <w:rFonts w:ascii="Calibri" w:hAnsi="Calibri"/>
                        <w:i/>
                        <w:w w:val="105"/>
                        <w:sz w:val="12"/>
                      </w:rPr>
                      <w:t>al.</w:t>
                    </w:r>
                    <w:r>
                      <w:rPr>
                        <w:rFonts w:ascii="Calibri" w:hAnsi="Calibri"/>
                        <w:i/>
                        <w:spacing w:val="-15"/>
                        <w:w w:val="105"/>
                        <w:sz w:val="12"/>
                      </w:rPr>
                      <w:t> </w:t>
                    </w:r>
                    <w:r>
                      <w:rPr>
                        <w:rFonts w:ascii="Calibri" w:hAnsi="Calibri"/>
                        <w:i/>
                        <w:w w:val="105"/>
                        <w:sz w:val="12"/>
                      </w:rPr>
                      <w:t>(2008).</w:t>
                    </w:r>
                  </w:p>
                </w:txbxContent>
              </v:textbox>
              <v:fill type="solid"/>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7"/>
        </w:rPr>
      </w:pPr>
    </w:p>
    <w:p>
      <w:pPr>
        <w:pStyle w:val="Heading2"/>
        <w:numPr>
          <w:ilvl w:val="1"/>
          <w:numId w:val="12"/>
        </w:numPr>
        <w:tabs>
          <w:tab w:pos="900" w:val="left" w:leader="none"/>
        </w:tabs>
        <w:spacing w:line="240" w:lineRule="auto" w:before="67" w:after="0"/>
        <w:ind w:left="899" w:right="0" w:hanging="623"/>
        <w:jc w:val="both"/>
      </w:pPr>
      <w:bookmarkStart w:name="_TOC_250010" w:id="20"/>
      <w:r>
        <w:rPr/>
        <w:t>Área de</w:t>
      </w:r>
      <w:r>
        <w:rPr>
          <w:spacing w:val="65"/>
        </w:rPr>
        <w:t> </w:t>
      </w:r>
      <w:bookmarkEnd w:id="20"/>
      <w:r>
        <w:rPr/>
        <w:t>estudio</w:t>
      </w:r>
    </w:p>
    <w:p>
      <w:pPr>
        <w:pStyle w:val="BodyText"/>
        <w:spacing w:line="355" w:lineRule="auto" w:before="184"/>
        <w:ind w:left="276" w:right="143"/>
        <w:jc w:val="both"/>
      </w:pPr>
      <w:r>
        <w:rPr/>
        <w:t>El estudio se realizó en la Zona Suroriente del Estado de México en los Municipios de Amecameca, entre las coordenadas 19° 03’ y 19° 12’ de latitud norte; y 98° 37’ y 98° 50’ de longitud oeste; altitud entre 2400 y 4700 m. y Ayapango entre las coordenadas</w:t>
      </w:r>
      <w:r>
        <w:rPr>
          <w:spacing w:val="-4"/>
        </w:rPr>
        <w:t> </w:t>
      </w:r>
      <w:r>
        <w:rPr/>
        <w:t>19°</w:t>
      </w:r>
      <w:r>
        <w:rPr>
          <w:spacing w:val="-4"/>
        </w:rPr>
        <w:t> </w:t>
      </w:r>
      <w:r>
        <w:rPr/>
        <w:t>05’</w:t>
      </w:r>
      <w:r>
        <w:rPr>
          <w:spacing w:val="-4"/>
        </w:rPr>
        <w:t> </w:t>
      </w:r>
      <w:r>
        <w:rPr/>
        <w:t>y</w:t>
      </w:r>
      <w:r>
        <w:rPr>
          <w:spacing w:val="-4"/>
        </w:rPr>
        <w:t> </w:t>
      </w:r>
      <w:r>
        <w:rPr/>
        <w:t>19°</w:t>
      </w:r>
      <w:r>
        <w:rPr>
          <w:spacing w:val="-4"/>
        </w:rPr>
        <w:t> </w:t>
      </w:r>
      <w:r>
        <w:rPr/>
        <w:t>11’</w:t>
      </w:r>
      <w:r>
        <w:rPr>
          <w:spacing w:val="-4"/>
        </w:rPr>
        <w:t> </w:t>
      </w:r>
      <w:r>
        <w:rPr/>
        <w:t>de</w:t>
      </w:r>
      <w:r>
        <w:rPr>
          <w:spacing w:val="-4"/>
        </w:rPr>
        <w:t> </w:t>
      </w:r>
      <w:r>
        <w:rPr/>
        <w:t>latitud</w:t>
      </w:r>
      <w:r>
        <w:rPr>
          <w:spacing w:val="-4"/>
        </w:rPr>
        <w:t> </w:t>
      </w:r>
      <w:r>
        <w:rPr/>
        <w:t>norte,</w:t>
      </w:r>
      <w:r>
        <w:rPr>
          <w:spacing w:val="-4"/>
        </w:rPr>
        <w:t> </w:t>
      </w:r>
      <w:r>
        <w:rPr/>
        <w:t>y</w:t>
      </w:r>
      <w:r>
        <w:rPr>
          <w:spacing w:val="-4"/>
        </w:rPr>
        <w:t> </w:t>
      </w:r>
      <w:r>
        <w:rPr/>
        <w:t>98°</w:t>
      </w:r>
      <w:r>
        <w:rPr>
          <w:spacing w:val="-4"/>
        </w:rPr>
        <w:t> </w:t>
      </w:r>
      <w:r>
        <w:rPr/>
        <w:t>46’</w:t>
      </w:r>
      <w:r>
        <w:rPr>
          <w:spacing w:val="-4"/>
        </w:rPr>
        <w:t> </w:t>
      </w:r>
      <w:r>
        <w:rPr/>
        <w:t>y</w:t>
      </w:r>
      <w:r>
        <w:rPr>
          <w:spacing w:val="-4"/>
        </w:rPr>
        <w:t> </w:t>
      </w:r>
      <w:r>
        <w:rPr/>
        <w:t>98°</w:t>
      </w:r>
      <w:r>
        <w:rPr>
          <w:spacing w:val="-4"/>
        </w:rPr>
        <w:t> </w:t>
      </w:r>
      <w:r>
        <w:rPr/>
        <w:t>52’</w:t>
      </w:r>
      <w:r>
        <w:rPr>
          <w:spacing w:val="-4"/>
        </w:rPr>
        <w:t> </w:t>
      </w:r>
      <w:r>
        <w:rPr/>
        <w:t>de</w:t>
      </w:r>
      <w:r>
        <w:rPr>
          <w:spacing w:val="-4"/>
        </w:rPr>
        <w:t> </w:t>
      </w:r>
      <w:r>
        <w:rPr/>
        <w:t>longitud</w:t>
      </w:r>
      <w:r>
        <w:rPr>
          <w:spacing w:val="-4"/>
        </w:rPr>
        <w:t> </w:t>
      </w:r>
      <w:r>
        <w:rPr/>
        <w:t>oeste; altitud entre 2300 y 2900 m. con una temperatura media anual de 21.6</w:t>
      </w:r>
      <w:r>
        <w:rPr>
          <w:position w:val="11"/>
          <w:sz w:val="16"/>
        </w:rPr>
        <w:t>O</w:t>
      </w:r>
      <w:r>
        <w:rPr/>
        <w:t>C. Estas localidades presentan un clima templado subhúmedo con lluvias en verano C (w2) (García, 1988; INEGI, 2009) (Figuras 13 y</w:t>
      </w:r>
      <w:r>
        <w:rPr>
          <w:spacing w:val="-2"/>
        </w:rPr>
        <w:t> </w:t>
      </w:r>
      <w:r>
        <w:rPr/>
        <w:t>14).</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Heading6"/>
        <w:tabs>
          <w:tab w:pos="2081" w:val="left" w:leader="none"/>
        </w:tabs>
        <w:spacing w:before="69" w:after="6"/>
        <w:ind w:left="730"/>
        <w:jc w:val="left"/>
      </w:pPr>
      <w:r>
        <w:rPr>
          <w:color w:val="943634"/>
        </w:rPr>
        <w:t>Figura</w:t>
      </w:r>
      <w:r>
        <w:rPr>
          <w:color w:val="943634"/>
          <w:spacing w:val="-2"/>
        </w:rPr>
        <w:t> </w:t>
      </w:r>
      <w:r>
        <w:rPr>
          <w:color w:val="943634"/>
        </w:rPr>
        <w:t>13.</w:t>
        <w:tab/>
      </w:r>
      <w:r>
        <w:rPr/>
        <w:t>Localización Geográfica del Estado de México.</w:t>
      </w:r>
    </w:p>
    <w:p>
      <w:pPr>
        <w:pStyle w:val="BodyText"/>
        <w:spacing w:line="44" w:lineRule="exact"/>
        <w:ind w:left="259"/>
        <w:rPr>
          <w:sz w:val="4"/>
        </w:rPr>
      </w:pPr>
      <w:r>
        <w:rPr>
          <w:position w:val="0"/>
          <w:sz w:val="4"/>
        </w:rPr>
        <w:pict>
          <v:group style="width:86.95pt;height:2.2pt;mso-position-horizontal-relative:char;mso-position-vertical-relative:line" coordorigin="0,0" coordsize="1739,44">
            <v:line style="position:absolute" from="22,22" to="1716,22" stroked="true" strokeweight="2.16pt" strokecolor="#943634"/>
          </v:group>
        </w:pict>
      </w:r>
      <w:r>
        <w:rPr>
          <w:position w:val="0"/>
          <w:sz w:val="4"/>
        </w:rPr>
      </w:r>
    </w:p>
    <w:p>
      <w:pPr>
        <w:pStyle w:val="BodyText"/>
        <w:spacing w:before="9"/>
        <w:rPr>
          <w:b/>
          <w:sz w:val="20"/>
        </w:rPr>
      </w:pPr>
      <w:r>
        <w:rPr/>
        <w:drawing>
          <wp:anchor distT="0" distB="0" distL="0" distR="0" allowOverlap="1" layoutInCell="1" locked="0" behindDoc="0" simplePos="0" relativeHeight="4408">
            <wp:simplePos x="0" y="0"/>
            <wp:positionH relativeFrom="page">
              <wp:posOffset>1837847</wp:posOffset>
            </wp:positionH>
            <wp:positionV relativeFrom="paragraph">
              <wp:posOffset>176529</wp:posOffset>
            </wp:positionV>
            <wp:extent cx="4454807" cy="3379089"/>
            <wp:effectExtent l="0" t="0" r="0" b="0"/>
            <wp:wrapTopAndBottom/>
            <wp:docPr id="19" name="image109.jpeg" descr=""/>
            <wp:cNvGraphicFramePr>
              <a:graphicFrameLocks noChangeAspect="1"/>
            </wp:cNvGraphicFramePr>
            <a:graphic>
              <a:graphicData uri="http://schemas.openxmlformats.org/drawingml/2006/picture">
                <pic:pic>
                  <pic:nvPicPr>
                    <pic:cNvPr id="20" name="image109.jpeg"/>
                    <pic:cNvPicPr/>
                  </pic:nvPicPr>
                  <pic:blipFill>
                    <a:blip r:embed="rId146" cstate="print"/>
                    <a:stretch>
                      <a:fillRect/>
                    </a:stretch>
                  </pic:blipFill>
                  <pic:spPr>
                    <a:xfrm>
                      <a:off x="0" y="0"/>
                      <a:ext cx="4454807" cy="3379089"/>
                    </a:xfrm>
                    <a:prstGeom prst="rect">
                      <a:avLst/>
                    </a:prstGeom>
                  </pic:spPr>
                </pic:pic>
              </a:graphicData>
            </a:graphic>
          </wp:anchor>
        </w:drawing>
      </w:r>
    </w:p>
    <w:p>
      <w:pPr>
        <w:spacing w:before="130"/>
        <w:ind w:left="1325" w:right="0" w:firstLine="0"/>
        <w:jc w:val="left"/>
        <w:rPr>
          <w:sz w:val="19"/>
        </w:rPr>
      </w:pPr>
      <w:r>
        <w:rPr>
          <w:b/>
          <w:w w:val="105"/>
          <w:sz w:val="19"/>
        </w:rPr>
        <w:t>Fuente: </w:t>
      </w:r>
      <w:r>
        <w:rPr>
          <w:w w:val="105"/>
          <w:sz w:val="19"/>
        </w:rPr>
        <w:t>INEGI (2005).</w:t>
      </w:r>
    </w:p>
    <w:p>
      <w:pPr>
        <w:pStyle w:val="BodyText"/>
        <w:rPr>
          <w:sz w:val="20"/>
        </w:rPr>
      </w:pPr>
    </w:p>
    <w:p>
      <w:pPr>
        <w:pStyle w:val="BodyText"/>
        <w:spacing w:before="10"/>
        <w:rPr>
          <w:sz w:val="20"/>
        </w:rPr>
      </w:pPr>
    </w:p>
    <w:p>
      <w:pPr>
        <w:pStyle w:val="Heading6"/>
        <w:tabs>
          <w:tab w:pos="2081" w:val="left" w:leader="none"/>
        </w:tabs>
        <w:spacing w:line="274" w:lineRule="exact"/>
        <w:ind w:left="2081" w:right="258" w:hanging="1352"/>
        <w:jc w:val="left"/>
      </w:pPr>
      <w:r>
        <w:rPr/>
        <w:drawing>
          <wp:anchor distT="0" distB="0" distL="0" distR="0" allowOverlap="1" layoutInCell="1" locked="0" behindDoc="0" simplePos="0" relativeHeight="4432">
            <wp:simplePos x="0" y="0"/>
            <wp:positionH relativeFrom="page">
              <wp:posOffset>1883567</wp:posOffset>
            </wp:positionH>
            <wp:positionV relativeFrom="paragraph">
              <wp:posOffset>376935</wp:posOffset>
            </wp:positionV>
            <wp:extent cx="4303052" cy="3362134"/>
            <wp:effectExtent l="0" t="0" r="0" b="0"/>
            <wp:wrapTopAndBottom/>
            <wp:docPr id="21" name="image110.jpeg" descr=""/>
            <wp:cNvGraphicFramePr>
              <a:graphicFrameLocks noChangeAspect="1"/>
            </wp:cNvGraphicFramePr>
            <a:graphic>
              <a:graphicData uri="http://schemas.openxmlformats.org/drawingml/2006/picture">
                <pic:pic>
                  <pic:nvPicPr>
                    <pic:cNvPr id="22" name="image110.jpeg"/>
                    <pic:cNvPicPr/>
                  </pic:nvPicPr>
                  <pic:blipFill>
                    <a:blip r:embed="rId147" cstate="print"/>
                    <a:stretch>
                      <a:fillRect/>
                    </a:stretch>
                  </pic:blipFill>
                  <pic:spPr>
                    <a:xfrm>
                      <a:off x="0" y="0"/>
                      <a:ext cx="4303052" cy="3362134"/>
                    </a:xfrm>
                    <a:prstGeom prst="rect">
                      <a:avLst/>
                    </a:prstGeom>
                  </pic:spPr>
                </pic:pic>
              </a:graphicData>
            </a:graphic>
          </wp:anchor>
        </w:drawing>
      </w:r>
      <w:r>
        <w:rPr/>
        <w:pict>
          <v:line style="position:absolute;mso-position-horizontal-relative:page;mso-position-vertical-relative:paragraph;z-index:-307576" from="100.072403pt,14.679997pt" to="184.792403pt,14.679997pt" stroked="true" strokeweight="2.16pt" strokecolor="#943634">
            <w10:wrap type="none"/>
          </v:line>
        </w:pict>
      </w:r>
      <w:r>
        <w:rPr>
          <w:color w:val="943634"/>
        </w:rPr>
        <w:t>Figura</w:t>
      </w:r>
      <w:r>
        <w:rPr>
          <w:color w:val="943634"/>
          <w:spacing w:val="-2"/>
        </w:rPr>
        <w:t> </w:t>
      </w:r>
      <w:r>
        <w:rPr>
          <w:color w:val="943634"/>
        </w:rPr>
        <w:t>14.</w:t>
        <w:tab/>
      </w:r>
      <w:r>
        <w:rPr/>
        <w:t>Área</w:t>
      </w:r>
      <w:r>
        <w:rPr>
          <w:spacing w:val="-9"/>
        </w:rPr>
        <w:t> </w:t>
      </w:r>
      <w:r>
        <w:rPr/>
        <w:t>de</w:t>
      </w:r>
      <w:r>
        <w:rPr>
          <w:spacing w:val="-9"/>
        </w:rPr>
        <w:t> </w:t>
      </w:r>
      <w:r>
        <w:rPr/>
        <w:t>estudio.</w:t>
      </w:r>
      <w:r>
        <w:rPr>
          <w:spacing w:val="-9"/>
        </w:rPr>
        <w:t> </w:t>
      </w:r>
      <w:r>
        <w:rPr/>
        <w:t>Localización</w:t>
      </w:r>
      <w:r>
        <w:rPr>
          <w:spacing w:val="-9"/>
        </w:rPr>
        <w:t> </w:t>
      </w:r>
      <w:r>
        <w:rPr/>
        <w:t>Geográfica</w:t>
      </w:r>
      <w:r>
        <w:rPr>
          <w:spacing w:val="-9"/>
        </w:rPr>
        <w:t> </w:t>
      </w:r>
      <w:r>
        <w:rPr/>
        <w:t>de</w:t>
      </w:r>
      <w:r>
        <w:rPr>
          <w:spacing w:val="-9"/>
        </w:rPr>
        <w:t> </w:t>
      </w:r>
      <w:r>
        <w:rPr/>
        <w:t>los</w:t>
      </w:r>
      <w:r>
        <w:rPr>
          <w:spacing w:val="-9"/>
        </w:rPr>
        <w:t> </w:t>
      </w:r>
      <w:r>
        <w:rPr/>
        <w:t>Municipio</w:t>
      </w:r>
      <w:r>
        <w:rPr>
          <w:spacing w:val="-9"/>
        </w:rPr>
        <w:t> </w:t>
      </w:r>
      <w:r>
        <w:rPr/>
        <w:t>de Amecameca y Ayapango, Estado de</w:t>
      </w:r>
      <w:r>
        <w:rPr>
          <w:spacing w:val="-9"/>
        </w:rPr>
        <w:t> </w:t>
      </w:r>
      <w:r>
        <w:rPr/>
        <w:t>México.</w:t>
      </w:r>
    </w:p>
    <w:p>
      <w:pPr>
        <w:spacing w:before="80"/>
        <w:ind w:left="1353" w:right="0" w:firstLine="0"/>
        <w:jc w:val="left"/>
        <w:rPr>
          <w:sz w:val="19"/>
        </w:rPr>
      </w:pPr>
      <w:r>
        <w:rPr>
          <w:b/>
          <w:w w:val="105"/>
          <w:sz w:val="19"/>
        </w:rPr>
        <w:t>Fuente: </w:t>
      </w:r>
      <w:r>
        <w:rPr>
          <w:w w:val="105"/>
          <w:sz w:val="19"/>
        </w:rPr>
        <w:t>elaboración propia.</w:t>
      </w:r>
    </w:p>
    <w:p>
      <w:pPr>
        <w:spacing w:after="0"/>
        <w:jc w:val="left"/>
        <w:rPr>
          <w:sz w:val="19"/>
        </w:rPr>
        <w:sectPr>
          <w:headerReference w:type="default" r:id="rId145"/>
          <w:pgSz w:w="12240" w:h="15840"/>
          <w:pgMar w:header="741" w:footer="739" w:top="1220" w:bottom="920" w:left="1720" w:right="1260"/>
        </w:sectPr>
      </w:pPr>
    </w:p>
    <w:p>
      <w:pPr>
        <w:pStyle w:val="BodyText"/>
        <w:spacing w:before="7"/>
        <w:rPr>
          <w:sz w:val="12"/>
        </w:rPr>
      </w:pPr>
    </w:p>
    <w:p>
      <w:pPr>
        <w:pStyle w:val="Heading2"/>
        <w:numPr>
          <w:ilvl w:val="1"/>
          <w:numId w:val="12"/>
        </w:numPr>
        <w:tabs>
          <w:tab w:pos="900" w:val="left" w:leader="none"/>
        </w:tabs>
        <w:spacing w:line="240" w:lineRule="auto" w:before="66" w:after="0"/>
        <w:ind w:left="899" w:right="0" w:hanging="623"/>
        <w:jc w:val="both"/>
      </w:pPr>
      <w:bookmarkStart w:name="_TOC_250009" w:id="21"/>
      <w:r>
        <w:rPr/>
        <w:t>Obtención de los </w:t>
      </w:r>
      <w:r>
        <w:rPr>
          <w:spacing w:val="9"/>
        </w:rPr>
        <w:t> </w:t>
      </w:r>
      <w:bookmarkEnd w:id="21"/>
      <w:r>
        <w:rPr/>
        <w:t>datos</w:t>
      </w:r>
    </w:p>
    <w:p>
      <w:pPr>
        <w:pStyle w:val="Heading4"/>
        <w:numPr>
          <w:ilvl w:val="2"/>
          <w:numId w:val="12"/>
        </w:numPr>
        <w:tabs>
          <w:tab w:pos="1055" w:val="left" w:leader="none"/>
        </w:tabs>
        <w:spacing w:line="240" w:lineRule="auto" w:before="185" w:after="0"/>
        <w:ind w:left="1055" w:right="0" w:hanging="779"/>
        <w:jc w:val="both"/>
      </w:pPr>
      <w:bookmarkStart w:name="_TOC_250008" w:id="22"/>
      <w:r>
        <w:rPr/>
        <w:t>Sistema</w:t>
      </w:r>
      <w:r>
        <w:rPr>
          <w:spacing w:val="-9"/>
        </w:rPr>
        <w:t> </w:t>
      </w:r>
      <w:bookmarkEnd w:id="22"/>
      <w:r>
        <w:rPr/>
        <w:t>ganadero</w:t>
      </w:r>
    </w:p>
    <w:p>
      <w:pPr>
        <w:pStyle w:val="BodyText"/>
        <w:spacing w:line="360" w:lineRule="auto" w:before="162"/>
        <w:ind w:left="276" w:right="143"/>
        <w:jc w:val="both"/>
      </w:pPr>
      <w:r>
        <w:rPr/>
        <w:t>Se estudiaron 21 unidades de producción lechera en pequeña escala (UPLPE) estabuladas (Figura 15), obteniendo:</w:t>
      </w:r>
    </w:p>
    <w:p>
      <w:pPr>
        <w:pStyle w:val="BodyText"/>
      </w:pPr>
    </w:p>
    <w:p>
      <w:pPr>
        <w:pStyle w:val="Heading4"/>
        <w:numPr>
          <w:ilvl w:val="2"/>
          <w:numId w:val="12"/>
        </w:numPr>
        <w:tabs>
          <w:tab w:pos="1055" w:val="left" w:leader="none"/>
        </w:tabs>
        <w:spacing w:line="240" w:lineRule="auto" w:before="145" w:after="0"/>
        <w:ind w:left="1055" w:right="0" w:hanging="779"/>
        <w:jc w:val="both"/>
      </w:pPr>
      <w:bookmarkStart w:name="_TOC_250007" w:id="23"/>
      <w:r>
        <w:rPr/>
        <w:t>Clasificación y estructura del hato</w:t>
      </w:r>
      <w:r>
        <w:rPr>
          <w:spacing w:val="-20"/>
        </w:rPr>
        <w:t> </w:t>
      </w:r>
      <w:bookmarkEnd w:id="23"/>
      <w:r>
        <w:rPr/>
        <w:t>ganadero.</w:t>
      </w:r>
    </w:p>
    <w:p>
      <w:pPr>
        <w:pStyle w:val="BodyText"/>
        <w:spacing w:line="360" w:lineRule="auto" w:before="157"/>
        <w:ind w:left="276" w:right="143"/>
        <w:jc w:val="both"/>
      </w:pPr>
      <w:r>
        <w:rPr/>
        <w:t>La cantidad y clasificación de los animales es necesaria ya que la metodología del IPCC</w:t>
      </w:r>
      <w:r>
        <w:rPr>
          <w:spacing w:val="-7"/>
        </w:rPr>
        <w:t> </w:t>
      </w:r>
      <w:r>
        <w:rPr/>
        <w:t>consiste</w:t>
      </w:r>
      <w:r>
        <w:rPr>
          <w:spacing w:val="-7"/>
        </w:rPr>
        <w:t> </w:t>
      </w:r>
      <w:r>
        <w:rPr/>
        <w:t>en</w:t>
      </w:r>
      <w:r>
        <w:rPr>
          <w:spacing w:val="-7"/>
        </w:rPr>
        <w:t> </w:t>
      </w:r>
      <w:r>
        <w:rPr/>
        <w:t>multiplicar</w:t>
      </w:r>
      <w:r>
        <w:rPr>
          <w:spacing w:val="-7"/>
        </w:rPr>
        <w:t> </w:t>
      </w:r>
      <w:r>
        <w:rPr/>
        <w:t>el</w:t>
      </w:r>
      <w:r>
        <w:rPr>
          <w:spacing w:val="-7"/>
        </w:rPr>
        <w:t> </w:t>
      </w:r>
      <w:r>
        <w:rPr/>
        <w:t>número</w:t>
      </w:r>
      <w:r>
        <w:rPr>
          <w:spacing w:val="-7"/>
        </w:rPr>
        <w:t> </w:t>
      </w:r>
      <w:r>
        <w:rPr/>
        <w:t>de</w:t>
      </w:r>
      <w:r>
        <w:rPr>
          <w:spacing w:val="-7"/>
        </w:rPr>
        <w:t> </w:t>
      </w:r>
      <w:r>
        <w:rPr/>
        <w:t>animales</w:t>
      </w:r>
      <w:r>
        <w:rPr>
          <w:spacing w:val="-7"/>
        </w:rPr>
        <w:t> </w:t>
      </w:r>
      <w:r>
        <w:rPr/>
        <w:t>por</w:t>
      </w:r>
      <w:r>
        <w:rPr>
          <w:spacing w:val="-7"/>
        </w:rPr>
        <w:t> </w:t>
      </w:r>
      <w:r>
        <w:rPr/>
        <w:t>el</w:t>
      </w:r>
      <w:r>
        <w:rPr>
          <w:spacing w:val="-7"/>
        </w:rPr>
        <w:t> </w:t>
      </w:r>
      <w:r>
        <w:rPr/>
        <w:t>factor</w:t>
      </w:r>
      <w:r>
        <w:rPr>
          <w:spacing w:val="-7"/>
        </w:rPr>
        <w:t> </w:t>
      </w:r>
      <w:r>
        <w:rPr/>
        <w:t>de</w:t>
      </w:r>
      <w:r>
        <w:rPr>
          <w:spacing w:val="-7"/>
        </w:rPr>
        <w:t> </w:t>
      </w:r>
      <w:r>
        <w:rPr/>
        <w:t>emisión</w:t>
      </w:r>
      <w:r>
        <w:rPr>
          <w:spacing w:val="-7"/>
        </w:rPr>
        <w:t> </w:t>
      </w:r>
      <w:r>
        <w:rPr/>
        <w:t>(FE)</w:t>
      </w:r>
      <w:r>
        <w:rPr>
          <w:spacing w:val="-7"/>
        </w:rPr>
        <w:t> </w:t>
      </w:r>
      <w:r>
        <w:rPr/>
        <w:t>de CH</w:t>
      </w:r>
      <w:r>
        <w:rPr>
          <w:position w:val="-2"/>
          <w:sz w:val="16"/>
        </w:rPr>
        <w:t>4 </w:t>
      </w:r>
      <w:r>
        <w:rPr/>
        <w:t>que difiere en función a la subcategoría y condiciones del sistema. Por lo que el hato ganadero se clasifico en cinco subcategorías de acuerdo a su estado fisiológico (edad, sexo, tipo de producción, etc.), agrupándose en: 1) Vaca en producción.</w:t>
      </w:r>
      <w:r>
        <w:rPr>
          <w:spacing w:val="-8"/>
        </w:rPr>
        <w:t> </w:t>
      </w:r>
      <w:r>
        <w:rPr/>
        <w:t>Todas</w:t>
      </w:r>
      <w:r>
        <w:rPr>
          <w:spacing w:val="-8"/>
        </w:rPr>
        <w:t> </w:t>
      </w:r>
      <w:r>
        <w:rPr/>
        <w:t>las</w:t>
      </w:r>
      <w:r>
        <w:rPr>
          <w:spacing w:val="-8"/>
        </w:rPr>
        <w:t> </w:t>
      </w:r>
      <w:r>
        <w:rPr/>
        <w:t>hembras</w:t>
      </w:r>
      <w:r>
        <w:rPr>
          <w:spacing w:val="-8"/>
        </w:rPr>
        <w:t> </w:t>
      </w:r>
      <w:r>
        <w:rPr/>
        <w:t>paridas</w:t>
      </w:r>
      <w:r>
        <w:rPr>
          <w:spacing w:val="-8"/>
        </w:rPr>
        <w:t> </w:t>
      </w:r>
      <w:r>
        <w:rPr/>
        <w:t>y</w:t>
      </w:r>
      <w:r>
        <w:rPr>
          <w:spacing w:val="-8"/>
        </w:rPr>
        <w:t> </w:t>
      </w:r>
      <w:r>
        <w:rPr/>
        <w:t>en</w:t>
      </w:r>
      <w:r>
        <w:rPr>
          <w:spacing w:val="-8"/>
        </w:rPr>
        <w:t> </w:t>
      </w:r>
      <w:r>
        <w:rPr/>
        <w:t>producción;</w:t>
      </w:r>
      <w:r>
        <w:rPr>
          <w:spacing w:val="-8"/>
        </w:rPr>
        <w:t> </w:t>
      </w:r>
      <w:r>
        <w:rPr/>
        <w:t>2)</w:t>
      </w:r>
      <w:r>
        <w:rPr>
          <w:spacing w:val="-8"/>
        </w:rPr>
        <w:t> </w:t>
      </w:r>
      <w:r>
        <w:rPr/>
        <w:t>Vacas</w:t>
      </w:r>
      <w:r>
        <w:rPr>
          <w:spacing w:val="-8"/>
        </w:rPr>
        <w:t> </w:t>
      </w:r>
      <w:r>
        <w:rPr/>
        <w:t>secas.</w:t>
      </w:r>
      <w:r>
        <w:rPr>
          <w:spacing w:val="-8"/>
        </w:rPr>
        <w:t> </w:t>
      </w:r>
      <w:r>
        <w:rPr/>
        <w:t>Todas</w:t>
      </w:r>
      <w:r>
        <w:rPr>
          <w:spacing w:val="-8"/>
        </w:rPr>
        <w:t> </w:t>
      </w:r>
      <w:r>
        <w:rPr/>
        <w:t>las hembras próximas a parto y que ya no producen; 3) Vaquilla. Novilla que se diagnosticó como preñada y es su primer parto; 4) Novilla. Después del primer año de</w:t>
      </w:r>
      <w:r>
        <w:rPr>
          <w:spacing w:val="-7"/>
        </w:rPr>
        <w:t> </w:t>
      </w:r>
      <w:r>
        <w:rPr/>
        <w:t>vida;</w:t>
      </w:r>
      <w:r>
        <w:rPr>
          <w:spacing w:val="-7"/>
        </w:rPr>
        <w:t> </w:t>
      </w:r>
      <w:r>
        <w:rPr/>
        <w:t>5)</w:t>
      </w:r>
      <w:r>
        <w:rPr>
          <w:spacing w:val="-7"/>
        </w:rPr>
        <w:t> </w:t>
      </w:r>
      <w:r>
        <w:rPr/>
        <w:t>Ternera.</w:t>
      </w:r>
      <w:r>
        <w:rPr>
          <w:spacing w:val="-7"/>
        </w:rPr>
        <w:t> </w:t>
      </w:r>
      <w:r>
        <w:rPr/>
        <w:t>Del</w:t>
      </w:r>
      <w:r>
        <w:rPr>
          <w:spacing w:val="-7"/>
        </w:rPr>
        <w:t> </w:t>
      </w:r>
      <w:r>
        <w:rPr/>
        <w:t>destete</w:t>
      </w:r>
      <w:r>
        <w:rPr>
          <w:spacing w:val="-7"/>
        </w:rPr>
        <w:t> </w:t>
      </w:r>
      <w:r>
        <w:rPr/>
        <w:t>al</w:t>
      </w:r>
      <w:r>
        <w:rPr>
          <w:spacing w:val="-7"/>
        </w:rPr>
        <w:t> </w:t>
      </w:r>
      <w:r>
        <w:rPr/>
        <w:t>año</w:t>
      </w:r>
      <w:r>
        <w:rPr>
          <w:spacing w:val="-7"/>
        </w:rPr>
        <w:t> </w:t>
      </w:r>
      <w:r>
        <w:rPr/>
        <w:t>de</w:t>
      </w:r>
      <w:r>
        <w:rPr>
          <w:spacing w:val="-7"/>
        </w:rPr>
        <w:t> </w:t>
      </w:r>
      <w:r>
        <w:rPr/>
        <w:t>vida,</w:t>
      </w:r>
      <w:r>
        <w:rPr>
          <w:spacing w:val="-7"/>
        </w:rPr>
        <w:t> </w:t>
      </w:r>
      <w:r>
        <w:rPr/>
        <w:t>a</w:t>
      </w:r>
      <w:r>
        <w:rPr>
          <w:spacing w:val="-7"/>
        </w:rPr>
        <w:t> </w:t>
      </w:r>
      <w:r>
        <w:rPr/>
        <w:t>su</w:t>
      </w:r>
      <w:r>
        <w:rPr>
          <w:spacing w:val="-7"/>
        </w:rPr>
        <w:t> </w:t>
      </w:r>
      <w:r>
        <w:rPr/>
        <w:t>primera</w:t>
      </w:r>
      <w:r>
        <w:rPr>
          <w:spacing w:val="-7"/>
        </w:rPr>
        <w:t> </w:t>
      </w:r>
      <w:r>
        <w:rPr/>
        <w:t>inseminación</w:t>
      </w:r>
      <w:r>
        <w:rPr>
          <w:spacing w:val="-7"/>
        </w:rPr>
        <w:t> </w:t>
      </w:r>
      <w:r>
        <w:rPr/>
        <w:t>o</w:t>
      </w:r>
      <w:r>
        <w:rPr>
          <w:spacing w:val="-7"/>
        </w:rPr>
        <w:t> </w:t>
      </w:r>
      <w:r>
        <w:rPr/>
        <w:t>cuando su peso sea de 350 kg.</w:t>
      </w:r>
    </w:p>
    <w:p>
      <w:pPr>
        <w:pStyle w:val="BodyText"/>
        <w:spacing w:line="360" w:lineRule="auto" w:before="2"/>
        <w:ind w:left="276" w:right="144"/>
        <w:jc w:val="both"/>
      </w:pPr>
      <w:r>
        <w:rPr/>
        <w:t>De las veintiún unidades de producción lechera, se conformó un hato con 348 cabezas, de las cuales 188 fueron vaca en producción, 38 vaca seca, 22 vaquillas, 34 novillas y 66 terneras.</w:t>
      </w:r>
    </w:p>
    <w:p>
      <w:pPr>
        <w:pStyle w:val="BodyText"/>
      </w:pPr>
    </w:p>
    <w:p>
      <w:pPr>
        <w:pStyle w:val="Heading4"/>
        <w:numPr>
          <w:ilvl w:val="2"/>
          <w:numId w:val="12"/>
        </w:numPr>
        <w:tabs>
          <w:tab w:pos="1055" w:val="left" w:leader="none"/>
        </w:tabs>
        <w:spacing w:line="240" w:lineRule="auto" w:before="145" w:after="0"/>
        <w:ind w:left="1055" w:right="0" w:hanging="779"/>
        <w:jc w:val="both"/>
      </w:pPr>
      <w:bookmarkStart w:name="_TOC_250006" w:id="24"/>
      <w:r>
        <w:rPr/>
        <w:t>Producción de leche y</w:t>
      </w:r>
      <w:r>
        <w:rPr>
          <w:spacing w:val="-12"/>
        </w:rPr>
        <w:t> </w:t>
      </w:r>
      <w:bookmarkEnd w:id="24"/>
      <w:r>
        <w:rPr/>
        <w:t>composición.</w:t>
      </w:r>
    </w:p>
    <w:p>
      <w:pPr>
        <w:pStyle w:val="BodyText"/>
        <w:spacing w:line="360" w:lineRule="auto" w:before="157"/>
        <w:ind w:left="276" w:right="144"/>
        <w:jc w:val="both"/>
      </w:pPr>
      <w:r>
        <w:rPr/>
        <w:t>Se obtuvo del promedio de la producción de leche al día de las 188 vacas productoras de las 21 unidad de producción lechera estudiadas. La producción de leche se midió en kg/vaca/día. Para obtener el porcentaje de grasa contenido en leche se utilizó el analizador Milkoscope modelo julie C2.</w:t>
      </w:r>
    </w:p>
    <w:p>
      <w:pPr>
        <w:pStyle w:val="BodyText"/>
      </w:pPr>
    </w:p>
    <w:p>
      <w:pPr>
        <w:pStyle w:val="Heading4"/>
        <w:numPr>
          <w:ilvl w:val="2"/>
          <w:numId w:val="12"/>
        </w:numPr>
        <w:tabs>
          <w:tab w:pos="1055" w:val="left" w:leader="none"/>
        </w:tabs>
        <w:spacing w:line="240" w:lineRule="auto" w:before="145" w:after="0"/>
        <w:ind w:left="1055" w:right="0" w:hanging="779"/>
        <w:jc w:val="both"/>
      </w:pPr>
      <w:bookmarkStart w:name="_TOC_250005" w:id="25"/>
      <w:r>
        <w:rPr/>
        <w:t>Gestión de la</w:t>
      </w:r>
      <w:r>
        <w:rPr>
          <w:spacing w:val="-17"/>
        </w:rPr>
        <w:t> </w:t>
      </w:r>
      <w:bookmarkEnd w:id="25"/>
      <w:r>
        <w:rPr/>
        <w:t>alimentación</w:t>
      </w:r>
    </w:p>
    <w:p>
      <w:pPr>
        <w:pStyle w:val="BodyText"/>
        <w:spacing w:line="360" w:lineRule="auto" w:before="157"/>
        <w:ind w:left="276" w:right="144"/>
        <w:jc w:val="both"/>
      </w:pPr>
      <w:r>
        <w:rPr/>
        <w:t>Se clasificó y se pesó la cantidad de alimento que consumía el ganado en kg/vaca/día, durante un año. La alimentación de la ganadería bovina de los Municipios de Amecameca y Ayapango se basa en una dieta estandarizada para</w:t>
      </w:r>
      <w:r>
        <w:rPr>
          <w:spacing w:val="-37"/>
        </w:rPr>
        <w:t> </w:t>
      </w:r>
      <w:r>
        <w:rPr/>
        <w:t>el</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4"/>
        <w:jc w:val="both"/>
      </w:pPr>
      <w:r>
        <w:rPr/>
        <w:t>año que consiste en concentrado comercial (proteína cruda 18.00%, grasa cruda 4.00%, fibra cruda 8.50%, cenizas 6.50%, humedad 12.00% y extracto libre de nitrógrno 51.00%), gramíneas como grano de maíz molido (</w:t>
      </w:r>
      <w:r>
        <w:rPr>
          <w:i/>
        </w:rPr>
        <w:t>Zea maíz</w:t>
      </w:r>
      <w:r>
        <w:rPr/>
        <w:t>), ensilado de maíz, rastrojo de maíz, cereal forrajero avena (</w:t>
      </w:r>
      <w:r>
        <w:rPr>
          <w:i/>
        </w:rPr>
        <w:t>Avena sativa</w:t>
      </w:r>
      <w:r>
        <w:rPr/>
        <w:t>) henificada, leguminosas</w:t>
      </w:r>
      <w:r>
        <w:rPr>
          <w:spacing w:val="-9"/>
        </w:rPr>
        <w:t> </w:t>
      </w:r>
      <w:r>
        <w:rPr/>
        <w:t>forrajeras</w:t>
      </w:r>
      <w:r>
        <w:rPr>
          <w:spacing w:val="-9"/>
        </w:rPr>
        <w:t> </w:t>
      </w:r>
      <w:r>
        <w:rPr/>
        <w:t>como</w:t>
      </w:r>
      <w:r>
        <w:rPr>
          <w:spacing w:val="-9"/>
        </w:rPr>
        <w:t> </w:t>
      </w:r>
      <w:r>
        <w:rPr/>
        <w:t>el</w:t>
      </w:r>
      <w:r>
        <w:rPr>
          <w:spacing w:val="-9"/>
        </w:rPr>
        <w:t> </w:t>
      </w:r>
      <w:r>
        <w:rPr/>
        <w:t>ebo</w:t>
      </w:r>
      <w:r>
        <w:rPr>
          <w:spacing w:val="-9"/>
        </w:rPr>
        <w:t> </w:t>
      </w:r>
      <w:r>
        <w:rPr/>
        <w:t>(</w:t>
      </w:r>
      <w:r>
        <w:rPr>
          <w:i/>
        </w:rPr>
        <w:t>Vicia</w:t>
      </w:r>
      <w:r>
        <w:rPr>
          <w:i/>
          <w:spacing w:val="-9"/>
        </w:rPr>
        <w:t> </w:t>
      </w:r>
      <w:r>
        <w:rPr>
          <w:i/>
        </w:rPr>
        <w:t>villosa</w:t>
      </w:r>
      <w:r>
        <w:rPr/>
        <w:t>)</w:t>
      </w:r>
      <w:r>
        <w:rPr>
          <w:spacing w:val="-9"/>
        </w:rPr>
        <w:t> </w:t>
      </w:r>
      <w:r>
        <w:rPr/>
        <w:t>y</w:t>
      </w:r>
      <w:r>
        <w:rPr>
          <w:spacing w:val="-9"/>
        </w:rPr>
        <w:t> </w:t>
      </w:r>
      <w:r>
        <w:rPr/>
        <w:t>la</w:t>
      </w:r>
      <w:r>
        <w:rPr>
          <w:spacing w:val="-9"/>
        </w:rPr>
        <w:t> </w:t>
      </w:r>
      <w:r>
        <w:rPr/>
        <w:t>alfalfa</w:t>
      </w:r>
      <w:r>
        <w:rPr>
          <w:spacing w:val="-9"/>
        </w:rPr>
        <w:t> </w:t>
      </w:r>
      <w:r>
        <w:rPr/>
        <w:t>(</w:t>
      </w:r>
      <w:r>
        <w:rPr>
          <w:i/>
        </w:rPr>
        <w:t>Medicago</w:t>
      </w:r>
      <w:r>
        <w:rPr>
          <w:i/>
          <w:spacing w:val="-9"/>
        </w:rPr>
        <w:t> </w:t>
      </w:r>
      <w:r>
        <w:rPr>
          <w:i/>
        </w:rPr>
        <w:t>sativa</w:t>
      </w:r>
      <w:r>
        <w:rPr/>
        <w:t>),</w:t>
      </w:r>
      <w:r>
        <w:rPr>
          <w:spacing w:val="-9"/>
        </w:rPr>
        <w:t> </w:t>
      </w:r>
      <w:r>
        <w:rPr/>
        <w:t>que varía de acuerdo a la estacionalidad del año. Por otra parte, los porcentajes de inclusión de la dieta en los animales, presentaron variaciones en cada una de las unidades de producción</w:t>
      </w:r>
      <w:r>
        <w:rPr>
          <w:spacing w:val="-2"/>
        </w:rPr>
        <w:t> </w:t>
      </w:r>
      <w:r>
        <w:rPr/>
        <w:t>lechera.</w:t>
      </w:r>
    </w:p>
    <w:p>
      <w:pPr>
        <w:pStyle w:val="BodyText"/>
      </w:pPr>
    </w:p>
    <w:p>
      <w:pPr>
        <w:pStyle w:val="Heading6"/>
        <w:spacing w:before="144"/>
        <w:ind w:left="2081" w:right="258" w:hanging="1352"/>
      </w:pPr>
      <w:r>
        <w:rPr/>
        <w:pict>
          <v:line style="position:absolute;mso-position-horizontal-relative:page;mso-position-vertical-relative:paragraph;z-index:-307552" from="100.072403pt,22.17584pt" to="184.792403pt,22.17584pt" stroked="true" strokeweight="2.16pt" strokecolor="#943634">
            <w10:wrap type="none"/>
          </v:line>
        </w:pict>
      </w:r>
      <w:r>
        <w:rPr>
          <w:color w:val="943634"/>
        </w:rPr>
        <w:t>Figura 15. </w:t>
      </w:r>
      <w:r>
        <w:rPr/>
        <w:t>Localización Geográfica de las Unidades de Producción lechera en pequeña escala en los Municipios de</w:t>
      </w:r>
      <w:r>
        <w:rPr>
          <w:spacing w:val="-24"/>
        </w:rPr>
        <w:t> </w:t>
      </w:r>
      <w:r>
        <w:rPr/>
        <w:t>Amecameca y Ayapango, Estado de México.</w:t>
      </w:r>
    </w:p>
    <w:p>
      <w:pPr>
        <w:pStyle w:val="BodyText"/>
        <w:ind w:left="286"/>
        <w:rPr>
          <w:sz w:val="20"/>
        </w:rPr>
      </w:pPr>
      <w:r>
        <w:rPr>
          <w:sz w:val="20"/>
        </w:rPr>
        <w:drawing>
          <wp:inline distT="0" distB="0" distL="0" distR="0">
            <wp:extent cx="5492457" cy="4284535"/>
            <wp:effectExtent l="0" t="0" r="0" b="0"/>
            <wp:docPr id="23" name="image111.png" descr=""/>
            <wp:cNvGraphicFramePr>
              <a:graphicFrameLocks noChangeAspect="1"/>
            </wp:cNvGraphicFramePr>
            <a:graphic>
              <a:graphicData uri="http://schemas.openxmlformats.org/drawingml/2006/picture">
                <pic:pic>
                  <pic:nvPicPr>
                    <pic:cNvPr id="24" name="image111.png"/>
                    <pic:cNvPicPr/>
                  </pic:nvPicPr>
                  <pic:blipFill>
                    <a:blip r:embed="rId148" cstate="print"/>
                    <a:stretch>
                      <a:fillRect/>
                    </a:stretch>
                  </pic:blipFill>
                  <pic:spPr>
                    <a:xfrm>
                      <a:off x="0" y="0"/>
                      <a:ext cx="5492457" cy="4284535"/>
                    </a:xfrm>
                    <a:prstGeom prst="rect">
                      <a:avLst/>
                    </a:prstGeom>
                  </pic:spPr>
                </pic:pic>
              </a:graphicData>
            </a:graphic>
          </wp:inline>
        </w:drawing>
      </w:r>
      <w:r>
        <w:rPr>
          <w:sz w:val="20"/>
        </w:rPr>
      </w:r>
    </w:p>
    <w:p>
      <w:pPr>
        <w:spacing w:before="134"/>
        <w:ind w:left="276" w:right="0" w:firstLine="0"/>
        <w:jc w:val="both"/>
        <w:rPr>
          <w:sz w:val="19"/>
        </w:rPr>
      </w:pPr>
      <w:r>
        <w:rPr>
          <w:b/>
          <w:w w:val="105"/>
          <w:sz w:val="19"/>
        </w:rPr>
        <w:t>Fuente: </w:t>
      </w:r>
      <w:r>
        <w:rPr>
          <w:w w:val="105"/>
          <w:sz w:val="19"/>
        </w:rPr>
        <w:t>elaboración propia.</w:t>
      </w:r>
    </w:p>
    <w:p>
      <w:pPr>
        <w:spacing w:after="0"/>
        <w:jc w:val="both"/>
        <w:rPr>
          <w:sz w:val="19"/>
        </w:rPr>
        <w:sectPr>
          <w:pgSz w:w="12240" w:h="15840"/>
          <w:pgMar w:header="741" w:footer="739" w:top="1220" w:bottom="920" w:left="1720" w:right="1260"/>
        </w:sectPr>
      </w:pPr>
    </w:p>
    <w:p>
      <w:pPr>
        <w:pStyle w:val="BodyText"/>
        <w:rPr>
          <w:sz w:val="12"/>
        </w:rPr>
      </w:pPr>
    </w:p>
    <w:p>
      <w:pPr>
        <w:pStyle w:val="Heading4"/>
        <w:numPr>
          <w:ilvl w:val="2"/>
          <w:numId w:val="12"/>
        </w:numPr>
        <w:tabs>
          <w:tab w:pos="1055" w:val="left" w:leader="none"/>
        </w:tabs>
        <w:spacing w:line="240" w:lineRule="auto" w:before="63" w:after="0"/>
        <w:ind w:left="1055" w:right="0" w:hanging="779"/>
        <w:jc w:val="both"/>
      </w:pPr>
      <w:bookmarkStart w:name="_TOC_250004" w:id="26"/>
      <w:r>
        <w:rPr/>
        <w:t>Emisión de</w:t>
      </w:r>
      <w:r>
        <w:rPr>
          <w:spacing w:val="-6"/>
        </w:rPr>
        <w:t> </w:t>
      </w:r>
      <w:bookmarkEnd w:id="26"/>
      <w:r>
        <w:rPr/>
        <w:t>metano</w:t>
      </w:r>
    </w:p>
    <w:p>
      <w:pPr>
        <w:pStyle w:val="BodyText"/>
        <w:spacing w:line="355" w:lineRule="auto" w:before="162"/>
        <w:ind w:left="276" w:right="143"/>
        <w:jc w:val="both"/>
      </w:pPr>
      <w:r>
        <w:rPr/>
        <w:t>La</w:t>
      </w:r>
      <w:r>
        <w:rPr>
          <w:spacing w:val="-7"/>
        </w:rPr>
        <w:t> </w:t>
      </w:r>
      <w:r>
        <w:rPr/>
        <w:t>emisión</w:t>
      </w:r>
      <w:r>
        <w:rPr>
          <w:spacing w:val="-7"/>
        </w:rPr>
        <w:t> </w:t>
      </w:r>
      <w:r>
        <w:rPr/>
        <w:t>de</w:t>
      </w:r>
      <w:r>
        <w:rPr>
          <w:spacing w:val="-7"/>
        </w:rPr>
        <w:t> </w:t>
      </w:r>
      <w:r>
        <w:rPr/>
        <w:t>metano</w:t>
      </w:r>
      <w:r>
        <w:rPr>
          <w:spacing w:val="-7"/>
        </w:rPr>
        <w:t> </w:t>
      </w:r>
      <w:r>
        <w:rPr/>
        <w:t>entérico</w:t>
      </w:r>
      <w:r>
        <w:rPr>
          <w:spacing w:val="-7"/>
        </w:rPr>
        <w:t> </w:t>
      </w:r>
      <w:r>
        <w:rPr/>
        <w:t>representa</w:t>
      </w:r>
      <w:r>
        <w:rPr>
          <w:spacing w:val="-7"/>
        </w:rPr>
        <w:t> </w:t>
      </w:r>
      <w:r>
        <w:rPr/>
        <w:t>energía</w:t>
      </w:r>
      <w:r>
        <w:rPr>
          <w:spacing w:val="-7"/>
        </w:rPr>
        <w:t> </w:t>
      </w:r>
      <w:r>
        <w:rPr/>
        <w:t>alimenticia</w:t>
      </w:r>
      <w:r>
        <w:rPr>
          <w:spacing w:val="-7"/>
        </w:rPr>
        <w:t> </w:t>
      </w:r>
      <w:r>
        <w:rPr/>
        <w:t>que</w:t>
      </w:r>
      <w:r>
        <w:rPr>
          <w:spacing w:val="-7"/>
        </w:rPr>
        <w:t> </w:t>
      </w:r>
      <w:r>
        <w:rPr/>
        <w:t>se</w:t>
      </w:r>
      <w:r>
        <w:rPr>
          <w:spacing w:val="-7"/>
        </w:rPr>
        <w:t> </w:t>
      </w:r>
      <w:r>
        <w:rPr/>
        <w:t>transforma</w:t>
      </w:r>
      <w:r>
        <w:rPr>
          <w:spacing w:val="-7"/>
        </w:rPr>
        <w:t> </w:t>
      </w:r>
      <w:r>
        <w:rPr/>
        <w:t>en forma de gas y no es aprovechada por el animal, por lo que para la estimación de este gas se calculó la EB para vacunos y el FE de CH</w:t>
      </w:r>
      <w:r>
        <w:rPr>
          <w:position w:val="-2"/>
          <w:sz w:val="16"/>
        </w:rPr>
        <w:t>4</w:t>
      </w:r>
      <w:r>
        <w:rPr/>
        <w:t>. Para estimar las</w:t>
      </w:r>
      <w:r>
        <w:rPr>
          <w:spacing w:val="-22"/>
        </w:rPr>
        <w:t> </w:t>
      </w:r>
      <w:r>
        <w:rPr/>
        <w:t>emisiones de CH</w:t>
      </w:r>
      <w:r>
        <w:rPr>
          <w:position w:val="-2"/>
          <w:sz w:val="16"/>
        </w:rPr>
        <w:t>4 </w:t>
      </w:r>
      <w:r>
        <w:rPr/>
        <w:t>entérico del ganado bovino se utilizó el Nivel 2 de la metodología recomendada por las Directrices del Panel Intergubernamental de Expertos sobre Cambio Climático (IPCC, 2006), para cada una de las subcategorías</w:t>
      </w:r>
      <w:r>
        <w:rPr>
          <w:spacing w:val="-2"/>
        </w:rPr>
        <w:t> </w:t>
      </w:r>
      <w:r>
        <w:rPr/>
        <w:t>animales.</w:t>
      </w:r>
    </w:p>
    <w:p>
      <w:pPr>
        <w:pStyle w:val="BodyText"/>
      </w:pPr>
    </w:p>
    <w:p>
      <w:pPr>
        <w:pStyle w:val="Heading4"/>
        <w:numPr>
          <w:ilvl w:val="2"/>
          <w:numId w:val="12"/>
        </w:numPr>
        <w:tabs>
          <w:tab w:pos="1055" w:val="left" w:leader="none"/>
        </w:tabs>
        <w:spacing w:line="240" w:lineRule="auto" w:before="150" w:after="0"/>
        <w:ind w:left="1054" w:right="0" w:hanging="778"/>
        <w:jc w:val="both"/>
      </w:pPr>
      <w:bookmarkStart w:name="_TOC_250003" w:id="27"/>
      <w:r>
        <w:rPr/>
        <w:t>Energía bruta (EB) y digestibilidad</w:t>
      </w:r>
      <w:r>
        <w:rPr>
          <w:spacing w:val="-21"/>
        </w:rPr>
        <w:t> </w:t>
      </w:r>
      <w:bookmarkEnd w:id="27"/>
      <w:r>
        <w:rPr/>
        <w:t>(ED%)</w:t>
      </w:r>
    </w:p>
    <w:p>
      <w:pPr>
        <w:pStyle w:val="BodyText"/>
        <w:spacing w:line="360" w:lineRule="auto" w:before="157"/>
        <w:ind w:left="276" w:right="143"/>
        <w:jc w:val="both"/>
      </w:pPr>
      <w:r>
        <w:rPr/>
        <w:t>La ingesta de EB es la cantidad de energía consumida por un animal con el fin de cumplir su mantenimiento, actividad, crecimiento, lactancia, gestación y otros requerimientos. Para obtener la EB utilizada por cada categoría animal, se utilizó</w:t>
      </w:r>
      <w:r>
        <w:rPr>
          <w:spacing w:val="-24"/>
        </w:rPr>
        <w:t> </w:t>
      </w:r>
      <w:r>
        <w:rPr/>
        <w:t>la fórmula</w:t>
      </w:r>
      <w:r>
        <w:rPr>
          <w:spacing w:val="-14"/>
        </w:rPr>
        <w:t> </w:t>
      </w:r>
      <w:r>
        <w:rPr/>
        <w:t>de</w:t>
      </w:r>
      <w:r>
        <w:rPr>
          <w:spacing w:val="-14"/>
        </w:rPr>
        <w:t> </w:t>
      </w:r>
      <w:r>
        <w:rPr/>
        <w:t>cálculo</w:t>
      </w:r>
      <w:r>
        <w:rPr>
          <w:spacing w:val="-14"/>
        </w:rPr>
        <w:t> </w:t>
      </w:r>
      <w:r>
        <w:rPr/>
        <w:t>de</w:t>
      </w:r>
      <w:r>
        <w:rPr>
          <w:spacing w:val="-14"/>
        </w:rPr>
        <w:t> </w:t>
      </w:r>
      <w:r>
        <w:rPr/>
        <w:t>las</w:t>
      </w:r>
      <w:r>
        <w:rPr>
          <w:spacing w:val="-14"/>
        </w:rPr>
        <w:t> </w:t>
      </w:r>
      <w:r>
        <w:rPr/>
        <w:t>Directrices</w:t>
      </w:r>
      <w:r>
        <w:rPr>
          <w:spacing w:val="-14"/>
        </w:rPr>
        <w:t> </w:t>
      </w:r>
      <w:r>
        <w:rPr/>
        <w:t>del</w:t>
      </w:r>
      <w:r>
        <w:rPr>
          <w:spacing w:val="-14"/>
        </w:rPr>
        <w:t> </w:t>
      </w:r>
      <w:r>
        <w:rPr/>
        <w:t>IPCC</w:t>
      </w:r>
      <w:r>
        <w:rPr>
          <w:spacing w:val="-14"/>
        </w:rPr>
        <w:t> </w:t>
      </w:r>
      <w:r>
        <w:rPr/>
        <w:t>(2006)</w:t>
      </w:r>
      <w:r>
        <w:rPr>
          <w:spacing w:val="-14"/>
        </w:rPr>
        <w:t> </w:t>
      </w:r>
      <w:r>
        <w:rPr/>
        <w:t>para</w:t>
      </w:r>
      <w:r>
        <w:rPr>
          <w:spacing w:val="-14"/>
        </w:rPr>
        <w:t> </w:t>
      </w:r>
      <w:r>
        <w:rPr/>
        <w:t>los</w:t>
      </w:r>
      <w:r>
        <w:rPr>
          <w:spacing w:val="-14"/>
        </w:rPr>
        <w:t> </w:t>
      </w:r>
      <w:r>
        <w:rPr/>
        <w:t>inventarios</w:t>
      </w:r>
      <w:r>
        <w:rPr>
          <w:spacing w:val="-14"/>
        </w:rPr>
        <w:t> </w:t>
      </w:r>
      <w:r>
        <w:rPr/>
        <w:t>nacionales de GEI y las ecuaciones del sistema nutricional </w:t>
      </w:r>
      <w:r>
        <w:rPr>
          <w:i/>
        </w:rPr>
        <w:t>National Research Council </w:t>
      </w:r>
      <w:r>
        <w:rPr/>
        <w:t>(NRC, por sus siglas en inglés) (NRC, 1996; NRC, 2001). La ecuación (1) muestra la ecuación general y las relaciones para determinar la ingesta de EB para cada subcategoría animal (Anexo</w:t>
      </w:r>
      <w:r>
        <w:rPr>
          <w:spacing w:val="-2"/>
        </w:rPr>
        <w:t> </w:t>
      </w:r>
      <w:r>
        <w:rPr/>
        <w:t>2).</w:t>
      </w:r>
    </w:p>
    <w:p>
      <w:pPr>
        <w:pStyle w:val="BodyText"/>
        <w:rPr>
          <w:sz w:val="20"/>
        </w:rPr>
      </w:pPr>
    </w:p>
    <w:p>
      <w:pPr>
        <w:pStyle w:val="BodyText"/>
        <w:rPr>
          <w:sz w:val="20"/>
        </w:rPr>
      </w:pPr>
    </w:p>
    <w:p>
      <w:pPr>
        <w:pStyle w:val="BodyText"/>
        <w:spacing w:before="8"/>
        <w:rPr>
          <w:sz w:val="19"/>
        </w:rPr>
      </w:pPr>
    </w:p>
    <w:p>
      <w:pPr>
        <w:spacing w:after="0"/>
        <w:rPr>
          <w:sz w:val="19"/>
        </w:rPr>
        <w:sectPr>
          <w:footerReference w:type="default" r:id="rId149"/>
          <w:pgSz w:w="12240" w:h="15840"/>
          <w:pgMar w:footer="739" w:header="741" w:top="1220" w:bottom="920" w:left="1720" w:right="1260"/>
        </w:sectPr>
      </w:pPr>
    </w:p>
    <w:p>
      <w:pPr>
        <w:pStyle w:val="BodyText"/>
        <w:spacing w:before="148"/>
        <w:ind w:left="422"/>
        <w:rPr>
          <w:rFonts w:ascii="Cambria Math"/>
        </w:rPr>
      </w:pPr>
      <w:r>
        <w:rPr/>
        <w:pict>
          <v:group style="position:absolute;margin-left:142.098404pt;margin-top:-13.40461pt;width:265.2pt;height:54.45pt;mso-position-horizontal-relative:page;mso-position-vertical-relative:paragraph;z-index:4576" coordorigin="2842,-268" coordsize="5304,1089">
            <v:line style="position:absolute" from="2849,814" to="2918,814" stroked="true" strokeweight=".7pt" strokecolor="#000000"/>
            <v:line style="position:absolute" from="2862,-191" to="2862,807" stroked="true" strokeweight="1.289pt" strokecolor="#000000"/>
            <v:line style="position:absolute" from="2849,-198" to="2918,-198" stroked="true" strokeweight=".7pt" strokecolor="#000000"/>
            <v:shape style="position:absolute;left:2967;top:-203;width:92;height:475" coordorigin="2967,-203" coordsize="92,475" path="m3051,-203l3005,-144,2981,-85,2969,-9,2967,34,2969,77,2981,152,3005,212,3051,271,3058,263,3044,247,3031,228,3001,147,2991,75,2990,34,2991,-7,3001,-79,3019,-137,3058,-195,3051,-203xe" filled="true" fillcolor="#000000" stroked="false">
              <v:path arrowok="t"/>
              <v:fill type="solid"/>
            </v:shape>
            <v:line style="position:absolute" from="3067,33" to="6936,33" stroked="true" strokeweight=".72pt" strokecolor="#000000"/>
            <v:shape style="position:absolute;left:6939;top:-203;width:92;height:475" coordorigin="6939,-203" coordsize="92,475" path="m6945,-203l6939,-195,6953,-180,6966,-160,6996,-79,7006,-7,7007,34,7006,75,6996,147,6977,205,6939,263,6945,271,6991,212,7016,152,7028,77,7030,34,7028,-9,7016,-85,6991,-144,6962,-188,6945,-203xe" filled="true" fillcolor="#000000" stroked="false">
              <v:path arrowok="t"/>
              <v:fill type="solid"/>
            </v:shape>
            <v:line style="position:absolute" from="5227,580" to="5755,580" stroked="true" strokeweight=".72pt" strokecolor="#000000"/>
            <v:shape style="position:absolute;left:7359;top:-203;width:92;height:475" coordorigin="7359,-203" coordsize="92,475" path="m7443,-203l7397,-144,7373,-85,7361,-9,7359,34,7361,77,7373,152,7397,212,7443,271,7450,263,7436,247,7423,228,7393,147,7383,75,7382,34,7383,-7,7393,-79,7411,-137,7450,-195,7443,-203xe" filled="true" fillcolor="#000000" stroked="false">
              <v:path arrowok="t"/>
              <v:fill type="solid"/>
            </v:shape>
            <v:line style="position:absolute" from="7454,33" to="7920,33" stroked="true" strokeweight=".72pt" strokecolor="#000000"/>
            <v:shape style="position:absolute;left:7927;top:-203;width:92;height:475" coordorigin="7927,-203" coordsize="92,475" path="m7934,-203l7927,-195,7942,-180,7955,-160,7985,-79,7995,-7,7996,34,7995,75,7985,147,7966,205,7927,263,7934,271,7980,212,8004,152,8017,77,8019,34,8017,-9,8004,-85,7980,-144,7951,-188,7934,-203xe" filled="true" fillcolor="#000000" stroked="false">
              <v:path arrowok="t"/>
              <v:fill type="solid"/>
            </v:shape>
            <v:line style="position:absolute" from="2923,306" to="8064,306" stroked="true" strokeweight=".72pt" strokecolor="#000000"/>
            <v:line style="position:absolute" from="8069,814" to="8138,814" stroked="true" strokeweight=".7pt" strokecolor="#000000"/>
            <v:line style="position:absolute" from="8125,-191" to="8125,807" stroked="true" strokeweight="1.289pt" strokecolor="#000000"/>
            <v:line style="position:absolute" from="8069,-198" to="8138,-198" stroked="true" strokeweight=".7pt" strokecolor="#000000"/>
            <v:shape style="position:absolute;left:3066;top:-268;width:3854;height:1083" type="#_x0000_t202" filled="false" stroked="false">
              <v:textbox inset="0,0,0,0">
                <w:txbxContent>
                  <w:p>
                    <w:pPr>
                      <w:spacing w:line="271" w:lineRule="exact" w:before="0"/>
                      <w:ind w:left="-1" w:right="0" w:firstLine="0"/>
                      <w:jc w:val="center"/>
                      <w:rPr>
                        <w:rFonts w:ascii="Cambria Math"/>
                        <w:sz w:val="16"/>
                      </w:rPr>
                    </w:pPr>
                    <w:r>
                      <w:rPr>
                        <w:rFonts w:ascii="Cambria Math"/>
                        <w:spacing w:val="-5"/>
                        <w:w w:val="120"/>
                        <w:sz w:val="24"/>
                      </w:rPr>
                      <w:t>EC</w:t>
                    </w:r>
                    <w:r>
                      <w:rPr>
                        <w:rFonts w:ascii="Cambria Math"/>
                        <w:spacing w:val="-5"/>
                        <w:w w:val="120"/>
                        <w:position w:val="-4"/>
                        <w:sz w:val="16"/>
                      </w:rPr>
                      <w:t>F  </w:t>
                    </w:r>
                    <w:r>
                      <w:rPr>
                        <w:rFonts w:ascii="Cambria Math"/>
                        <w:w w:val="105"/>
                        <w:sz w:val="24"/>
                      </w:rPr>
                      <w:t>+ </w:t>
                    </w:r>
                    <w:r>
                      <w:rPr>
                        <w:rFonts w:ascii="Cambria Math"/>
                        <w:spacing w:val="-5"/>
                        <w:w w:val="105"/>
                        <w:sz w:val="24"/>
                      </w:rPr>
                      <w:t>EC</w:t>
                    </w:r>
                    <w:r>
                      <w:rPr>
                        <w:rFonts w:ascii="Cambria Math"/>
                        <w:spacing w:val="-5"/>
                        <w:w w:val="105"/>
                        <w:position w:val="-4"/>
                        <w:sz w:val="16"/>
                      </w:rPr>
                      <w:t>H   </w:t>
                    </w:r>
                    <w:r>
                      <w:rPr>
                        <w:rFonts w:ascii="Cambria Math"/>
                        <w:w w:val="105"/>
                        <w:sz w:val="24"/>
                      </w:rPr>
                      <w:t>+ </w:t>
                    </w:r>
                    <w:r>
                      <w:rPr>
                        <w:rFonts w:ascii="Cambria Math"/>
                        <w:spacing w:val="-5"/>
                        <w:w w:val="105"/>
                        <w:sz w:val="24"/>
                      </w:rPr>
                      <w:t>EC</w:t>
                    </w:r>
                    <w:r>
                      <w:rPr>
                        <w:rFonts w:ascii="Cambria Math"/>
                        <w:spacing w:val="-5"/>
                        <w:w w:val="105"/>
                        <w:position w:val="-4"/>
                        <w:sz w:val="16"/>
                      </w:rPr>
                      <w:t>I   </w:t>
                    </w:r>
                    <w:r>
                      <w:rPr>
                        <w:rFonts w:ascii="Cambria Math"/>
                        <w:w w:val="105"/>
                        <w:sz w:val="24"/>
                      </w:rPr>
                      <w:t>+ EC</w:t>
                    </w:r>
                    <w:r>
                      <w:rPr>
                        <w:rFonts w:ascii="Cambria Math"/>
                        <w:w w:val="105"/>
                        <w:position w:val="-4"/>
                        <w:sz w:val="16"/>
                      </w:rPr>
                      <w:t>JKHLHMN  </w:t>
                    </w:r>
                    <w:r>
                      <w:rPr>
                        <w:rFonts w:ascii="Cambria Math"/>
                        <w:w w:val="105"/>
                        <w:sz w:val="24"/>
                      </w:rPr>
                      <w:t>+</w:t>
                    </w:r>
                    <w:r>
                      <w:rPr>
                        <w:rFonts w:ascii="Cambria Math"/>
                        <w:spacing w:val="4"/>
                        <w:w w:val="105"/>
                        <w:sz w:val="24"/>
                      </w:rPr>
                      <w:t> </w:t>
                    </w:r>
                    <w:r>
                      <w:rPr>
                        <w:rFonts w:ascii="Cambria Math"/>
                        <w:spacing w:val="-5"/>
                        <w:w w:val="105"/>
                        <w:sz w:val="24"/>
                      </w:rPr>
                      <w:t>EC</w:t>
                    </w:r>
                    <w:r>
                      <w:rPr>
                        <w:rFonts w:ascii="Cambria Math"/>
                        <w:spacing w:val="-5"/>
                        <w:w w:val="105"/>
                        <w:position w:val="-4"/>
                        <w:sz w:val="16"/>
                      </w:rPr>
                      <w:t>O</w:t>
                    </w:r>
                  </w:p>
                  <w:p>
                    <w:pPr>
                      <w:spacing w:line="272" w:lineRule="exact" w:before="0"/>
                      <w:ind w:left="7" w:right="0" w:firstLine="0"/>
                      <w:jc w:val="center"/>
                      <w:rPr>
                        <w:rFonts w:ascii="Cambria Math"/>
                        <w:sz w:val="24"/>
                      </w:rPr>
                    </w:pPr>
                    <w:r>
                      <w:rPr>
                        <w:rFonts w:ascii="Cambria Math"/>
                        <w:w w:val="120"/>
                        <w:sz w:val="24"/>
                      </w:rPr>
                      <w:t>PCQ</w:t>
                    </w:r>
                  </w:p>
                  <w:p>
                    <w:pPr>
                      <w:spacing w:line="262" w:lineRule="exact" w:before="23"/>
                      <w:ind w:left="2228" w:right="1156" w:hanging="66"/>
                      <w:jc w:val="left"/>
                      <w:rPr>
                        <w:rFonts w:ascii="Cambria Math"/>
                        <w:sz w:val="24"/>
                      </w:rPr>
                    </w:pPr>
                    <w:r>
                      <w:rPr>
                        <w:rFonts w:ascii="Cambria Math"/>
                        <w:w w:val="105"/>
                        <w:sz w:val="24"/>
                      </w:rPr>
                      <w:t>CT% 100</w:t>
                    </w:r>
                  </w:p>
                </w:txbxContent>
              </v:textbox>
              <w10:wrap type="none"/>
            </v:shape>
            <v:shape style="position:absolute;left:7105;top:-94;width:180;height:240" type="#_x0000_t202" filled="false" stroked="false">
              <v:textbox inset="0,0,0,0">
                <w:txbxContent>
                  <w:p>
                    <w:pPr>
                      <w:spacing w:line="240" w:lineRule="exact" w:before="0"/>
                      <w:ind w:left="0" w:right="0" w:firstLine="0"/>
                      <w:jc w:val="left"/>
                      <w:rPr>
                        <w:rFonts w:ascii="Cambria Math"/>
                        <w:sz w:val="24"/>
                      </w:rPr>
                    </w:pPr>
                    <w:r>
                      <w:rPr>
                        <w:rFonts w:ascii="Cambria Math"/>
                        <w:sz w:val="24"/>
                      </w:rPr>
                      <w:t>+</w:t>
                    </w:r>
                  </w:p>
                </w:txbxContent>
              </v:textbox>
              <w10:wrap type="none"/>
            </v:shape>
            <v:shape style="position:absolute;left:7456;top:-268;width:454;height:535" type="#_x0000_t202" filled="false" stroked="false">
              <v:textbox inset="0,0,0,0">
                <w:txbxContent>
                  <w:p>
                    <w:pPr>
                      <w:spacing w:line="271" w:lineRule="exact" w:before="0"/>
                      <w:ind w:left="0" w:right="-13" w:firstLine="18"/>
                      <w:jc w:val="left"/>
                      <w:rPr>
                        <w:rFonts w:ascii="Cambria Math"/>
                        <w:sz w:val="16"/>
                      </w:rPr>
                    </w:pPr>
                    <w:r>
                      <w:rPr>
                        <w:rFonts w:ascii="Cambria Math"/>
                        <w:w w:val="115"/>
                        <w:sz w:val="24"/>
                      </w:rPr>
                      <w:t>EC</w:t>
                    </w:r>
                    <w:r>
                      <w:rPr>
                        <w:rFonts w:ascii="Cambria Math"/>
                        <w:w w:val="115"/>
                        <w:position w:val="-4"/>
                        <w:sz w:val="16"/>
                      </w:rPr>
                      <w:t>R</w:t>
                    </w:r>
                  </w:p>
                  <w:p>
                    <w:pPr>
                      <w:spacing w:line="264" w:lineRule="exact" w:before="0"/>
                      <w:ind w:left="0" w:right="-15" w:firstLine="0"/>
                      <w:jc w:val="left"/>
                      <w:rPr>
                        <w:rFonts w:ascii="Cambria Math"/>
                        <w:sz w:val="24"/>
                      </w:rPr>
                    </w:pPr>
                    <w:r>
                      <w:rPr>
                        <w:rFonts w:ascii="Cambria Math"/>
                        <w:w w:val="115"/>
                        <w:sz w:val="24"/>
                      </w:rPr>
                      <w:t>PCS</w:t>
                    </w:r>
                  </w:p>
                </w:txbxContent>
              </v:textbox>
              <w10:wrap type="none"/>
            </v:shape>
            <w10:wrap type="none"/>
          </v:group>
        </w:pict>
      </w:r>
      <w:r>
        <w:rPr>
          <w:rFonts w:ascii="Cambria Math"/>
        </w:rPr>
        <w:t>CD =</w:t>
      </w:r>
    </w:p>
    <w:p>
      <w:pPr>
        <w:pStyle w:val="Heading6"/>
        <w:spacing w:before="70"/>
        <w:ind w:left="422"/>
        <w:jc w:val="left"/>
      </w:pPr>
      <w:r>
        <w:rPr>
          <w:b w:val="0"/>
        </w:rPr>
        <w:br w:type="column"/>
      </w:r>
      <w:r>
        <w:rPr>
          <w:color w:val="943634"/>
        </w:rPr>
        <w:t>Ecuación (1)</w:t>
      </w:r>
    </w:p>
    <w:p>
      <w:pPr>
        <w:spacing w:after="0"/>
        <w:jc w:val="left"/>
        <w:sectPr>
          <w:type w:val="continuous"/>
          <w:pgSz w:w="12240" w:h="15840"/>
          <w:pgMar w:top="1420" w:bottom="280" w:left="1720" w:right="1260"/>
          <w:cols w:num="2" w:equalWidth="0">
            <w:col w:w="983" w:space="6159"/>
            <w:col w:w="2118"/>
          </w:cols>
        </w:sectPr>
      </w:pPr>
    </w:p>
    <w:p>
      <w:pPr>
        <w:pStyle w:val="BodyText"/>
        <w:rPr>
          <w:b/>
          <w:sz w:val="20"/>
        </w:rPr>
      </w:pPr>
    </w:p>
    <w:p>
      <w:pPr>
        <w:pStyle w:val="BodyText"/>
        <w:rPr>
          <w:b/>
          <w:sz w:val="20"/>
        </w:rPr>
      </w:pPr>
    </w:p>
    <w:p>
      <w:pPr>
        <w:spacing w:before="207"/>
        <w:ind w:left="276" w:right="0" w:firstLine="0"/>
        <w:jc w:val="left"/>
        <w:rPr>
          <w:b/>
          <w:sz w:val="24"/>
        </w:rPr>
      </w:pPr>
      <w:r>
        <w:rPr>
          <w:b/>
          <w:sz w:val="24"/>
        </w:rPr>
        <w:t>Donde:</w:t>
      </w:r>
    </w:p>
    <w:p>
      <w:pPr>
        <w:pStyle w:val="BodyText"/>
        <w:spacing w:before="11"/>
        <w:rPr>
          <w:b/>
          <w:sz w:val="20"/>
        </w:rPr>
      </w:pPr>
    </w:p>
    <w:p>
      <w:pPr>
        <w:spacing w:before="0"/>
        <w:ind w:left="276" w:right="0" w:firstLine="0"/>
        <w:jc w:val="left"/>
        <w:rPr>
          <w:b/>
          <w:sz w:val="24"/>
        </w:rPr>
      </w:pPr>
      <w:r>
        <w:rPr>
          <w:b/>
          <w:sz w:val="24"/>
        </w:rPr>
        <w:t>GE = energía bruta, MJ día</w:t>
      </w:r>
      <w:r>
        <w:rPr>
          <w:b/>
          <w:position w:val="11"/>
          <w:sz w:val="16"/>
        </w:rPr>
        <w:t>-1</w:t>
      </w:r>
      <w:r>
        <w:rPr>
          <w:b/>
          <w:sz w:val="24"/>
        </w:rPr>
        <w:t>.</w:t>
      </w:r>
    </w:p>
    <w:p>
      <w:pPr>
        <w:pStyle w:val="BodyText"/>
        <w:spacing w:line="316" w:lineRule="exact" w:before="13"/>
        <w:ind w:left="276" w:right="744"/>
      </w:pPr>
      <w:r>
        <w:rPr/>
        <w:t>NE</w:t>
      </w:r>
      <w:r>
        <w:rPr>
          <w:position w:val="-2"/>
          <w:sz w:val="16"/>
        </w:rPr>
        <w:t>m </w:t>
      </w:r>
      <w:r>
        <w:rPr/>
        <w:t>= energía neta requerida por el animal para mantenimiento, MJ día</w:t>
      </w:r>
      <w:r>
        <w:rPr>
          <w:position w:val="11"/>
          <w:sz w:val="16"/>
        </w:rPr>
        <w:t>-1</w:t>
      </w:r>
      <w:r>
        <w:rPr/>
        <w:t>. NE</w:t>
      </w:r>
      <w:r>
        <w:rPr>
          <w:position w:val="-2"/>
          <w:sz w:val="16"/>
        </w:rPr>
        <w:t>a </w:t>
      </w:r>
      <w:r>
        <w:rPr/>
        <w:t>= energía neta para actividad animal, MJ día</w:t>
      </w:r>
      <w:r>
        <w:rPr>
          <w:position w:val="11"/>
          <w:sz w:val="16"/>
        </w:rPr>
        <w:t>-1</w:t>
      </w:r>
      <w:r>
        <w:rPr/>
        <w:t>.</w:t>
      </w:r>
    </w:p>
    <w:p>
      <w:pPr>
        <w:pStyle w:val="BodyText"/>
        <w:spacing w:line="316" w:lineRule="exact"/>
        <w:ind w:left="276" w:right="3766"/>
      </w:pPr>
      <w:r>
        <w:rPr/>
        <w:t>NE</w:t>
      </w:r>
      <w:r>
        <w:rPr>
          <w:position w:val="-2"/>
          <w:sz w:val="16"/>
        </w:rPr>
        <w:t>l </w:t>
      </w:r>
      <w:r>
        <w:rPr/>
        <w:t>= energía neta para lactancia, MJ día</w:t>
      </w:r>
      <w:r>
        <w:rPr>
          <w:position w:val="11"/>
          <w:sz w:val="16"/>
        </w:rPr>
        <w:t>-1</w:t>
      </w:r>
      <w:r>
        <w:rPr/>
        <w:t>. NE</w:t>
      </w:r>
      <w:r>
        <w:rPr>
          <w:position w:val="-2"/>
          <w:sz w:val="16"/>
        </w:rPr>
        <w:t>trabajo </w:t>
      </w:r>
      <w:r>
        <w:rPr/>
        <w:t>= energía neta para trabajo, MJ día</w:t>
      </w:r>
      <w:r>
        <w:rPr>
          <w:position w:val="11"/>
          <w:sz w:val="16"/>
        </w:rPr>
        <w:t>-1</w:t>
      </w:r>
      <w:r>
        <w:rPr/>
        <w:t>.</w:t>
      </w:r>
    </w:p>
    <w:p>
      <w:pPr>
        <w:pStyle w:val="BodyText"/>
        <w:spacing w:line="316" w:lineRule="exact" w:before="5"/>
        <w:ind w:left="276" w:right="3069"/>
      </w:pPr>
      <w:r>
        <w:rPr/>
        <w:t>NE</w:t>
      </w:r>
      <w:r>
        <w:rPr>
          <w:position w:val="-2"/>
          <w:sz w:val="16"/>
        </w:rPr>
        <w:t>p </w:t>
      </w:r>
      <w:r>
        <w:rPr/>
        <w:t>= energía neta requerida para preñez, MJ día</w:t>
      </w:r>
      <w:r>
        <w:rPr>
          <w:position w:val="11"/>
          <w:sz w:val="16"/>
        </w:rPr>
        <w:t>-1</w:t>
      </w:r>
      <w:r>
        <w:rPr/>
        <w:t>. NE</w:t>
      </w:r>
      <w:r>
        <w:rPr>
          <w:position w:val="-2"/>
          <w:sz w:val="16"/>
        </w:rPr>
        <w:t>g </w:t>
      </w:r>
      <w:r>
        <w:rPr/>
        <w:t>= energía neta para el crecimiento, MJ día</w:t>
      </w:r>
      <w:r>
        <w:rPr>
          <w:position w:val="11"/>
          <w:sz w:val="16"/>
        </w:rPr>
        <w:t>-1</w:t>
      </w:r>
      <w:r>
        <w:rPr/>
        <w:t>.</w:t>
      </w:r>
    </w:p>
    <w:p>
      <w:pPr>
        <w:pStyle w:val="BodyText"/>
        <w:spacing w:line="276" w:lineRule="auto" w:before="28"/>
        <w:ind w:left="276" w:right="125"/>
      </w:pPr>
      <w:r>
        <w:rPr/>
        <w:t>REM = relación entre la energía neta disponible en una dieta para mantenimiento y la energía digerible consumida.</w:t>
      </w:r>
    </w:p>
    <w:p>
      <w:pPr>
        <w:pStyle w:val="BodyText"/>
        <w:spacing w:line="276" w:lineRule="auto"/>
        <w:ind w:left="276"/>
      </w:pPr>
      <w:r>
        <w:rPr/>
        <w:t>REG = relación entre la energía neta disponible en una dieta para crecimiento y la energía digerible consumida.</w:t>
      </w:r>
    </w:p>
    <w:p>
      <w:pPr>
        <w:spacing w:after="0" w:line="276" w:lineRule="auto"/>
        <w:sectPr>
          <w:type w:val="continuous"/>
          <w:pgSz w:w="12240" w:h="15840"/>
          <w:pgMar w:top="1420" w:bottom="280" w:left="1720" w:right="1260"/>
        </w:sectPr>
      </w:pPr>
    </w:p>
    <w:p>
      <w:pPr>
        <w:pStyle w:val="BodyText"/>
        <w:spacing w:before="4"/>
        <w:rPr>
          <w:sz w:val="11"/>
        </w:rPr>
      </w:pPr>
    </w:p>
    <w:p>
      <w:pPr>
        <w:pStyle w:val="BodyText"/>
        <w:spacing w:before="69"/>
        <w:ind w:left="276"/>
        <w:jc w:val="both"/>
      </w:pPr>
      <w:r>
        <w:rPr/>
        <w:t>ED% = energía digerible expresada como porcentaje de la energía bruta.</w:t>
      </w:r>
    </w:p>
    <w:p>
      <w:pPr>
        <w:pStyle w:val="BodyText"/>
      </w:pPr>
    </w:p>
    <w:p>
      <w:pPr>
        <w:pStyle w:val="BodyText"/>
        <w:spacing w:line="360" w:lineRule="auto" w:before="182"/>
        <w:ind w:left="276" w:right="144"/>
        <w:jc w:val="both"/>
      </w:pPr>
      <w:r>
        <w:rPr/>
        <w:t>También</w:t>
      </w:r>
      <w:r>
        <w:rPr>
          <w:spacing w:val="-9"/>
        </w:rPr>
        <w:t> </w:t>
      </w:r>
      <w:r>
        <w:rPr/>
        <w:t>se</w:t>
      </w:r>
      <w:r>
        <w:rPr>
          <w:spacing w:val="-9"/>
        </w:rPr>
        <w:t> </w:t>
      </w:r>
      <w:r>
        <w:rPr/>
        <w:t>utilizó</w:t>
      </w:r>
      <w:r>
        <w:rPr>
          <w:spacing w:val="-9"/>
        </w:rPr>
        <w:t> </w:t>
      </w:r>
      <w:r>
        <w:rPr/>
        <w:t>la</w:t>
      </w:r>
      <w:r>
        <w:rPr>
          <w:spacing w:val="-9"/>
        </w:rPr>
        <w:t> </w:t>
      </w:r>
      <w:r>
        <w:rPr/>
        <w:t>técnica</w:t>
      </w:r>
      <w:r>
        <w:rPr>
          <w:spacing w:val="-9"/>
        </w:rPr>
        <w:t> </w:t>
      </w:r>
      <w:r>
        <w:rPr/>
        <w:t>de</w:t>
      </w:r>
      <w:r>
        <w:rPr>
          <w:spacing w:val="-9"/>
        </w:rPr>
        <w:t> </w:t>
      </w:r>
      <w:r>
        <w:rPr/>
        <w:t>Tilley</w:t>
      </w:r>
      <w:r>
        <w:rPr>
          <w:spacing w:val="-9"/>
        </w:rPr>
        <w:t> </w:t>
      </w:r>
      <w:r>
        <w:rPr/>
        <w:t>and</w:t>
      </w:r>
      <w:r>
        <w:rPr>
          <w:spacing w:val="-9"/>
        </w:rPr>
        <w:t> </w:t>
      </w:r>
      <w:r>
        <w:rPr/>
        <w:t>Terry</w:t>
      </w:r>
      <w:r>
        <w:rPr>
          <w:spacing w:val="-9"/>
        </w:rPr>
        <w:t> </w:t>
      </w:r>
      <w:r>
        <w:rPr/>
        <w:t>(1963)</w:t>
      </w:r>
      <w:r>
        <w:rPr>
          <w:spacing w:val="-9"/>
        </w:rPr>
        <w:t> </w:t>
      </w:r>
      <w:r>
        <w:rPr/>
        <w:t>para</w:t>
      </w:r>
      <w:r>
        <w:rPr>
          <w:spacing w:val="-9"/>
        </w:rPr>
        <w:t> </w:t>
      </w:r>
      <w:r>
        <w:rPr/>
        <w:t>estimar</w:t>
      </w:r>
      <w:r>
        <w:rPr>
          <w:spacing w:val="-9"/>
        </w:rPr>
        <w:t> </w:t>
      </w:r>
      <w:r>
        <w:rPr/>
        <w:t>la</w:t>
      </w:r>
      <w:r>
        <w:rPr>
          <w:spacing w:val="-9"/>
        </w:rPr>
        <w:t> </w:t>
      </w:r>
      <w:r>
        <w:rPr/>
        <w:t>digestibilidad de</w:t>
      </w:r>
      <w:r>
        <w:rPr>
          <w:spacing w:val="-10"/>
        </w:rPr>
        <w:t> </w:t>
      </w:r>
      <w:r>
        <w:rPr/>
        <w:t>las</w:t>
      </w:r>
      <w:r>
        <w:rPr>
          <w:spacing w:val="-10"/>
        </w:rPr>
        <w:t> </w:t>
      </w:r>
      <w:r>
        <w:rPr/>
        <w:t>dietas,</w:t>
      </w:r>
      <w:r>
        <w:rPr>
          <w:spacing w:val="-10"/>
        </w:rPr>
        <w:t> </w:t>
      </w:r>
      <w:r>
        <w:rPr/>
        <w:t>de</w:t>
      </w:r>
      <w:r>
        <w:rPr>
          <w:spacing w:val="-10"/>
        </w:rPr>
        <w:t> </w:t>
      </w:r>
      <w:r>
        <w:rPr/>
        <w:t>igual</w:t>
      </w:r>
      <w:r>
        <w:rPr>
          <w:spacing w:val="-10"/>
        </w:rPr>
        <w:t> </w:t>
      </w:r>
      <w:r>
        <w:rPr/>
        <w:t>manera</w:t>
      </w:r>
      <w:r>
        <w:rPr>
          <w:spacing w:val="-10"/>
        </w:rPr>
        <w:t> </w:t>
      </w:r>
      <w:r>
        <w:rPr/>
        <w:t>a</w:t>
      </w:r>
      <w:r>
        <w:rPr>
          <w:spacing w:val="-10"/>
        </w:rPr>
        <w:t> </w:t>
      </w:r>
      <w:r>
        <w:rPr/>
        <w:t>través</w:t>
      </w:r>
      <w:r>
        <w:rPr>
          <w:spacing w:val="-10"/>
        </w:rPr>
        <w:t> </w:t>
      </w:r>
      <w:r>
        <w:rPr/>
        <w:t>de</w:t>
      </w:r>
      <w:r>
        <w:rPr>
          <w:spacing w:val="-10"/>
        </w:rPr>
        <w:t> </w:t>
      </w:r>
      <w:r>
        <w:rPr/>
        <w:t>una</w:t>
      </w:r>
      <w:r>
        <w:rPr>
          <w:spacing w:val="-10"/>
        </w:rPr>
        <w:t> </w:t>
      </w:r>
      <w:r>
        <w:rPr/>
        <w:t>bomba</w:t>
      </w:r>
      <w:r>
        <w:rPr>
          <w:spacing w:val="-10"/>
        </w:rPr>
        <w:t> </w:t>
      </w:r>
      <w:r>
        <w:rPr/>
        <w:t>calorimétrica</w:t>
      </w:r>
      <w:r>
        <w:rPr>
          <w:spacing w:val="-10"/>
        </w:rPr>
        <w:t> </w:t>
      </w:r>
      <w:r>
        <w:rPr/>
        <w:t>se</w:t>
      </w:r>
      <w:r>
        <w:rPr>
          <w:spacing w:val="-10"/>
        </w:rPr>
        <w:t> </w:t>
      </w:r>
      <w:r>
        <w:rPr/>
        <w:t>obtuvo</w:t>
      </w:r>
      <w:r>
        <w:rPr>
          <w:spacing w:val="-10"/>
        </w:rPr>
        <w:t> </w:t>
      </w:r>
      <w:r>
        <w:rPr/>
        <w:t>la</w:t>
      </w:r>
      <w:r>
        <w:rPr>
          <w:spacing w:val="-10"/>
        </w:rPr>
        <w:t> </w:t>
      </w:r>
      <w:r>
        <w:rPr/>
        <w:t>EB, con ambas se calculó la ED%, con la finalidad de realizar una comparación entre esta técnica y las ecuaciones del IPCC. Así mismo, se estimó la ingesta de</w:t>
      </w:r>
      <w:r>
        <w:rPr>
          <w:spacing w:val="-28"/>
        </w:rPr>
        <w:t> </w:t>
      </w:r>
      <w:r>
        <w:rPr/>
        <w:t>materia seca (IMS).</w:t>
      </w:r>
    </w:p>
    <w:p>
      <w:pPr>
        <w:pStyle w:val="BodyText"/>
      </w:pPr>
    </w:p>
    <w:p>
      <w:pPr>
        <w:pStyle w:val="Heading4"/>
        <w:numPr>
          <w:ilvl w:val="2"/>
          <w:numId w:val="12"/>
        </w:numPr>
        <w:tabs>
          <w:tab w:pos="1055" w:val="left" w:leader="none"/>
        </w:tabs>
        <w:spacing w:line="240" w:lineRule="auto" w:before="140" w:after="0"/>
        <w:ind w:left="1055" w:right="0" w:hanging="779"/>
        <w:jc w:val="both"/>
      </w:pPr>
      <w:bookmarkStart w:name="_TOC_250002" w:id="28"/>
      <w:r>
        <w:rPr/>
        <w:t>Factor de emisión de CH</w:t>
      </w:r>
      <w:r>
        <w:rPr>
          <w:position w:val="-3"/>
          <w:sz w:val="17"/>
        </w:rPr>
        <w:t>4</w:t>
      </w:r>
      <w:r>
        <w:rPr>
          <w:spacing w:val="26"/>
          <w:position w:val="-3"/>
          <w:sz w:val="17"/>
        </w:rPr>
        <w:t> </w:t>
      </w:r>
      <w:bookmarkEnd w:id="28"/>
      <w:r>
        <w:rPr/>
        <w:t>(FE).</w:t>
      </w:r>
    </w:p>
    <w:p>
      <w:pPr>
        <w:pStyle w:val="BodyText"/>
        <w:spacing w:line="357" w:lineRule="auto" w:before="145"/>
        <w:ind w:left="276" w:right="143"/>
        <w:jc w:val="both"/>
      </w:pPr>
      <w:r>
        <w:rPr/>
        <w:t>El</w:t>
      </w:r>
      <w:r>
        <w:rPr>
          <w:spacing w:val="-7"/>
        </w:rPr>
        <w:t> </w:t>
      </w:r>
      <w:r>
        <w:rPr/>
        <w:t>metano</w:t>
      </w:r>
      <w:r>
        <w:rPr>
          <w:spacing w:val="-7"/>
        </w:rPr>
        <w:t> </w:t>
      </w:r>
      <w:r>
        <w:rPr/>
        <w:t>se</w:t>
      </w:r>
      <w:r>
        <w:rPr>
          <w:spacing w:val="-7"/>
        </w:rPr>
        <w:t> </w:t>
      </w:r>
      <w:r>
        <w:rPr/>
        <w:t>deriva</w:t>
      </w:r>
      <w:r>
        <w:rPr>
          <w:spacing w:val="-7"/>
        </w:rPr>
        <w:t> </w:t>
      </w:r>
      <w:r>
        <w:rPr/>
        <w:t>de</w:t>
      </w:r>
      <w:r>
        <w:rPr>
          <w:spacing w:val="-7"/>
        </w:rPr>
        <w:t> </w:t>
      </w:r>
      <w:r>
        <w:rPr/>
        <w:t>la</w:t>
      </w:r>
      <w:r>
        <w:rPr>
          <w:spacing w:val="-7"/>
        </w:rPr>
        <w:t> </w:t>
      </w:r>
      <w:r>
        <w:rPr/>
        <w:t>energía</w:t>
      </w:r>
      <w:r>
        <w:rPr>
          <w:spacing w:val="-7"/>
        </w:rPr>
        <w:t> </w:t>
      </w:r>
      <w:r>
        <w:rPr/>
        <w:t>de</w:t>
      </w:r>
      <w:r>
        <w:rPr>
          <w:spacing w:val="-7"/>
        </w:rPr>
        <w:t> </w:t>
      </w:r>
      <w:r>
        <w:rPr/>
        <w:t>la</w:t>
      </w:r>
      <w:r>
        <w:rPr>
          <w:spacing w:val="-7"/>
        </w:rPr>
        <w:t> </w:t>
      </w:r>
      <w:r>
        <w:rPr/>
        <w:t>alimentación,</w:t>
      </w:r>
      <w:r>
        <w:rPr>
          <w:spacing w:val="-7"/>
        </w:rPr>
        <w:t> </w:t>
      </w:r>
      <w:r>
        <w:rPr/>
        <w:t>por</w:t>
      </w:r>
      <w:r>
        <w:rPr>
          <w:spacing w:val="-7"/>
        </w:rPr>
        <w:t> </w:t>
      </w:r>
      <w:r>
        <w:rPr/>
        <w:t>lo</w:t>
      </w:r>
      <w:r>
        <w:rPr>
          <w:spacing w:val="-7"/>
        </w:rPr>
        <w:t> </w:t>
      </w:r>
      <w:r>
        <w:rPr/>
        <w:t>que</w:t>
      </w:r>
      <w:r>
        <w:rPr>
          <w:spacing w:val="-7"/>
        </w:rPr>
        <w:t> </w:t>
      </w:r>
      <w:r>
        <w:rPr/>
        <w:t>el</w:t>
      </w:r>
      <w:r>
        <w:rPr>
          <w:spacing w:val="-7"/>
        </w:rPr>
        <w:t> </w:t>
      </w:r>
      <w:r>
        <w:rPr/>
        <w:t>factor</w:t>
      </w:r>
      <w:r>
        <w:rPr>
          <w:spacing w:val="-7"/>
        </w:rPr>
        <w:t> </w:t>
      </w:r>
      <w:r>
        <w:rPr/>
        <w:t>de</w:t>
      </w:r>
      <w:r>
        <w:rPr>
          <w:spacing w:val="-7"/>
        </w:rPr>
        <w:t> </w:t>
      </w:r>
      <w:r>
        <w:rPr/>
        <w:t>emisión de CH</w:t>
      </w:r>
      <w:r>
        <w:rPr>
          <w:position w:val="-2"/>
          <w:sz w:val="16"/>
        </w:rPr>
        <w:t>4 </w:t>
      </w:r>
      <w:r>
        <w:rPr/>
        <w:t>se considera proporcional a la ingesta de energía bruta (EB) en la alimentación (IPCC, 2006; Cóndor, 2008). Los factores de emisión para cada subcategoría de ganado se estimaron sobre la base de ingesta de energía bruta y el factor de conversión de metano (Ym), por un periodo de un año (365 días), utilizando la ecuación (2) del IPCC</w:t>
      </w:r>
      <w:r>
        <w:rPr>
          <w:spacing w:val="-1"/>
        </w:rPr>
        <w:t> </w:t>
      </w:r>
      <w:r>
        <w:rPr/>
        <w:t>(2006).</w:t>
      </w:r>
    </w:p>
    <w:p>
      <w:pPr>
        <w:pStyle w:val="BodyText"/>
        <w:spacing w:before="2"/>
        <w:rPr>
          <w:sz w:val="16"/>
        </w:rPr>
      </w:pPr>
    </w:p>
    <w:p>
      <w:pPr>
        <w:pStyle w:val="BodyText"/>
        <w:tabs>
          <w:tab w:pos="2660" w:val="left" w:leader="none"/>
          <w:tab w:pos="3168" w:val="left" w:leader="none"/>
        </w:tabs>
        <w:spacing w:line="294" w:lineRule="exact" w:before="69"/>
        <w:ind w:left="1905"/>
        <w:rPr>
          <w:rFonts w:ascii="Cambria Math" w:hAnsi="Cambria Math"/>
        </w:rPr>
      </w:pPr>
      <w:r>
        <w:rPr/>
        <w:pict>
          <v:group style="position:absolute;margin-left:177.372498pt;margin-top:8.189539pt;width:4.05pt;height:44.1pt;mso-position-horizontal-relative:page;mso-position-vertical-relative:paragraph;z-index:-307432" coordorigin="3547,164" coordsize="81,882">
            <v:line style="position:absolute" from="3554,1039" to="3621,1039" stroked="true" strokeweight=".7pt" strokecolor="#000000"/>
            <v:line style="position:absolute" from="3567,178" to="3567,1032" stroked="true" strokeweight="1.218800pt" strokecolor="#000000"/>
            <v:line style="position:absolute" from="3554,171" to="3621,171" stroked="true" strokeweight=".7pt" strokecolor="#000000"/>
            <w10:wrap type="none"/>
          </v:group>
        </w:pict>
      </w:r>
      <w:r>
        <w:rPr/>
        <w:pict>
          <v:group style="position:absolute;margin-left:211.0242pt;margin-top:8.571838pt;width:29.75pt;height:19.8pt;mso-position-horizontal-relative:page;mso-position-vertical-relative:paragraph;z-index:-307408" coordorigin="4220,171" coordsize="595,396">
            <v:shape style="position:absolute;left:4220;top:171;width:90;height:396" coordorigin="4220,171" coordsize="90,396" path="m4306,171l4256,220,4226,302,4220,369,4222,404,4233,466,4271,539,4306,567,4310,558,4295,546,4282,530,4253,462,4243,369,4244,336,4253,276,4282,208,4310,181,4306,171xe" filled="true" fillcolor="#000000" stroked="false">
              <v:path arrowok="t"/>
              <v:fill type="solid"/>
            </v:shape>
            <v:line style="position:absolute" from="4320,368" to="4718,368" stroked="true" strokeweight=".72pt" strokecolor="#000000"/>
            <v:shape style="position:absolute;left:4726;top:171;width:90;height:396" coordorigin="4726,171" coordsize="90,396" path="m4730,171l4726,181,4741,193,4754,208,4783,276,4792,336,4793,369,4792,403,4775,488,4741,546,4726,558,4730,567,4780,519,4809,436,4815,369,4814,335,4802,272,4765,200,4748,183,4730,171xe" filled="true" fillcolor="#000000" stroked="false">
              <v:path arrowok="t"/>
              <v:fill type="solid"/>
            </v:shape>
            <w10:wrap type="none"/>
          </v:group>
        </w:pict>
      </w:r>
      <w:r>
        <w:rPr/>
        <w:pict>
          <v:group style="position:absolute;margin-left:272.306091pt;margin-top:8.189539pt;width:4.05pt;height:44.1pt;mso-position-horizontal-relative:page;mso-position-vertical-relative:paragraph;z-index:-307384" coordorigin="5446,164" coordsize="81,882">
            <v:line style="position:absolute" from="5453,1039" to="5519,1039" stroked="true" strokeweight=".7pt" strokecolor="#000000"/>
            <v:line style="position:absolute" from="5507,178" to="5507,1032" stroked="true" strokeweight="1.218800pt" strokecolor="#000000"/>
            <v:line style="position:absolute" from="5453,171" to="5519,171" stroked="true" strokeweight=".7pt" strokecolor="#000000"/>
            <w10:wrap type="none"/>
          </v:group>
        </w:pict>
      </w:r>
      <w:r>
        <w:rPr>
          <w:rFonts w:ascii="Cambria Math" w:hAnsi="Cambria Math"/>
          <w:w w:val="110"/>
        </w:rPr>
        <w:t>SC </w:t>
      </w:r>
      <w:r>
        <w:rPr>
          <w:rFonts w:ascii="Cambria Math" w:hAnsi="Cambria Math"/>
          <w:spacing w:val="2"/>
          <w:w w:val="110"/>
        </w:rPr>
        <w:t> </w:t>
      </w:r>
      <w:r>
        <w:rPr>
          <w:rFonts w:ascii="Cambria Math" w:hAnsi="Cambria Math"/>
          <w:w w:val="110"/>
        </w:rPr>
        <w:t>•</w:t>
        <w:tab/>
      </w:r>
      <w:r>
        <w:rPr>
          <w:rFonts w:ascii="Cambria Math" w:hAnsi="Cambria Math"/>
          <w:spacing w:val="-20"/>
          <w:w w:val="125"/>
          <w:position w:val="14"/>
        </w:rPr>
        <w:t>Z</w:t>
      </w:r>
      <w:r>
        <w:rPr>
          <w:rFonts w:ascii="Cambria Math" w:hAnsi="Cambria Math"/>
          <w:spacing w:val="-20"/>
          <w:w w:val="125"/>
          <w:position w:val="9"/>
          <w:sz w:val="16"/>
        </w:rPr>
        <w:t>F</w:t>
        <w:tab/>
      </w:r>
      <w:r>
        <w:rPr>
          <w:rFonts w:ascii="Cambria Math" w:hAnsi="Cambria Math"/>
          <w:w w:val="105"/>
        </w:rPr>
        <w:t>•</w:t>
      </w:r>
      <w:r>
        <w:rPr>
          <w:rFonts w:ascii="Cambria Math" w:hAnsi="Cambria Math"/>
          <w:spacing w:val="-28"/>
          <w:w w:val="105"/>
        </w:rPr>
        <w:t> </w:t>
      </w:r>
      <w:r>
        <w:rPr>
          <w:rFonts w:ascii="Cambria Math" w:hAnsi="Cambria Math"/>
          <w:w w:val="105"/>
        </w:rPr>
        <w:t>365</w:t>
      </w:r>
    </w:p>
    <w:p>
      <w:pPr>
        <w:spacing w:after="0" w:line="294" w:lineRule="exact"/>
        <w:rPr>
          <w:rFonts w:ascii="Cambria Math" w:hAnsi="Cambria Math"/>
        </w:rPr>
        <w:sectPr>
          <w:footerReference w:type="default" r:id="rId150"/>
          <w:pgSz w:w="12240" w:h="15840"/>
          <w:pgMar w:footer="739" w:header="741" w:top="1220" w:bottom="920" w:left="1720" w:right="1260"/>
          <w:pgNumType w:start="71"/>
        </w:sectPr>
      </w:pPr>
    </w:p>
    <w:p>
      <w:pPr>
        <w:pStyle w:val="BodyText"/>
        <w:spacing w:before="82"/>
        <w:jc w:val="right"/>
        <w:rPr>
          <w:rFonts w:ascii="Cambria Math"/>
        </w:rPr>
      </w:pPr>
      <w:r>
        <w:rPr>
          <w:rFonts w:ascii="Cambria Math"/>
          <w:w w:val="105"/>
        </w:rPr>
        <w:t>CX =</w:t>
      </w:r>
    </w:p>
    <w:p>
      <w:pPr>
        <w:pStyle w:val="BodyText"/>
        <w:tabs>
          <w:tab w:pos="871" w:val="left" w:leader="none"/>
          <w:tab w:pos="2000" w:val="left" w:leader="none"/>
        </w:tabs>
        <w:spacing w:line="245" w:lineRule="exact"/>
        <w:ind w:left="175"/>
        <w:jc w:val="center"/>
        <w:rPr>
          <w:rFonts w:ascii="Cambria Math"/>
        </w:rPr>
      </w:pPr>
      <w:r>
        <w:rPr/>
        <w:br w:type="column"/>
      </w:r>
      <w:r>
        <w:rPr>
          <w:rFonts w:ascii="Times New Roman"/>
          <w:u w:val="single"/>
        </w:rPr>
        <w:t> </w:t>
        <w:tab/>
      </w:r>
      <w:r>
        <w:rPr>
          <w:rFonts w:ascii="Cambria Math"/>
          <w:u w:val="single"/>
        </w:rPr>
        <w:t>100</w:t>
        <w:tab/>
      </w:r>
    </w:p>
    <w:p>
      <w:pPr>
        <w:pStyle w:val="BodyText"/>
        <w:spacing w:line="279" w:lineRule="exact"/>
        <w:ind w:left="176"/>
        <w:jc w:val="center"/>
        <w:rPr>
          <w:rFonts w:ascii="Cambria Math"/>
        </w:rPr>
      </w:pPr>
      <w:r>
        <w:rPr>
          <w:rFonts w:ascii="Cambria Math"/>
        </w:rPr>
        <w:t>55.65</w:t>
      </w:r>
    </w:p>
    <w:p>
      <w:pPr>
        <w:pStyle w:val="Heading6"/>
        <w:spacing w:before="70"/>
        <w:ind w:left="1136"/>
        <w:jc w:val="left"/>
      </w:pPr>
      <w:r>
        <w:rPr>
          <w:b w:val="0"/>
        </w:rPr>
        <w:br w:type="column"/>
      </w:r>
      <w:r>
        <w:rPr>
          <w:color w:val="943634"/>
        </w:rPr>
        <w:t>Ecuación (2)</w:t>
      </w:r>
    </w:p>
    <w:p>
      <w:pPr>
        <w:spacing w:after="0"/>
        <w:jc w:val="left"/>
        <w:sectPr>
          <w:type w:val="continuous"/>
          <w:pgSz w:w="12240" w:h="15840"/>
          <w:pgMar w:top="1420" w:bottom="280" w:left="1720" w:right="1260"/>
          <w:cols w:num="3" w:equalWidth="0">
            <w:col w:w="1688" w:space="40"/>
            <w:col w:w="2001" w:space="2700"/>
            <w:col w:w="2831"/>
          </w:cols>
        </w:sectPr>
      </w:pPr>
    </w:p>
    <w:p>
      <w:pPr>
        <w:pStyle w:val="BodyText"/>
        <w:rPr>
          <w:b/>
          <w:sz w:val="20"/>
        </w:rPr>
      </w:pPr>
    </w:p>
    <w:p>
      <w:pPr>
        <w:spacing w:before="200"/>
        <w:ind w:left="276" w:right="0" w:firstLine="0"/>
        <w:jc w:val="both"/>
        <w:rPr>
          <w:b/>
          <w:sz w:val="24"/>
        </w:rPr>
      </w:pPr>
      <w:r>
        <w:rPr>
          <w:b/>
          <w:sz w:val="24"/>
        </w:rPr>
        <w:t>Donde:</w:t>
      </w:r>
    </w:p>
    <w:p>
      <w:pPr>
        <w:pStyle w:val="BodyText"/>
        <w:spacing w:before="3"/>
        <w:rPr>
          <w:b/>
          <w:sz w:val="28"/>
        </w:rPr>
      </w:pPr>
    </w:p>
    <w:p>
      <w:pPr>
        <w:pStyle w:val="BodyText"/>
        <w:spacing w:line="322" w:lineRule="exact"/>
        <w:ind w:left="276" w:right="3766"/>
        <w:rPr>
          <w:sz w:val="16"/>
        </w:rPr>
      </w:pPr>
      <w:r>
        <w:rPr/>
        <w:t>EF = factor de emisión, kg. CH</w:t>
      </w:r>
      <w:r>
        <w:rPr>
          <w:position w:val="-2"/>
          <w:sz w:val="16"/>
        </w:rPr>
        <w:t>4 </w:t>
      </w:r>
      <w:r>
        <w:rPr/>
        <w:t>cabeza</w:t>
      </w:r>
      <w:r>
        <w:rPr>
          <w:position w:val="11"/>
          <w:sz w:val="16"/>
        </w:rPr>
        <w:t>-1 </w:t>
      </w:r>
      <w:r>
        <w:rPr/>
        <w:t>año</w:t>
      </w:r>
      <w:r>
        <w:rPr>
          <w:position w:val="11"/>
          <w:sz w:val="16"/>
        </w:rPr>
        <w:t>-1</w:t>
      </w:r>
      <w:r>
        <w:rPr/>
        <w:t>. GE = ingesta de energía bruta, MJ cabeza</w:t>
      </w:r>
      <w:r>
        <w:rPr>
          <w:position w:val="11"/>
          <w:sz w:val="16"/>
        </w:rPr>
        <w:t>-1 </w:t>
      </w:r>
      <w:r>
        <w:rPr/>
        <w:t>día</w:t>
      </w:r>
      <w:r>
        <w:rPr>
          <w:position w:val="11"/>
          <w:sz w:val="16"/>
        </w:rPr>
        <w:t>-1</w:t>
      </w:r>
    </w:p>
    <w:p>
      <w:pPr>
        <w:pStyle w:val="BodyText"/>
        <w:spacing w:line="264" w:lineRule="auto" w:before="27"/>
        <w:ind w:left="276" w:right="144"/>
        <w:jc w:val="both"/>
      </w:pPr>
      <w:r>
        <w:rPr/>
        <w:t>Ym = factor de conversión en CH</w:t>
      </w:r>
      <w:r>
        <w:rPr>
          <w:position w:val="-2"/>
          <w:sz w:val="16"/>
        </w:rPr>
        <w:t>4</w:t>
      </w:r>
      <w:r>
        <w:rPr/>
        <w:t>, porcentaje de la GE del alimento convertida en CH</w:t>
      </w:r>
      <w:r>
        <w:rPr>
          <w:position w:val="-2"/>
          <w:sz w:val="16"/>
        </w:rPr>
        <w:t>4</w:t>
      </w:r>
      <w:r>
        <w:rPr/>
        <w:t>. (Para lechero se utilizó 6.5 % ± 1 % y la ecuación de Cambra-López </w:t>
      </w:r>
      <w:r>
        <w:rPr>
          <w:i/>
        </w:rPr>
        <w:t>et al.</w:t>
      </w:r>
      <w:r>
        <w:rPr/>
        <w:t>, (2006)).</w:t>
      </w:r>
    </w:p>
    <w:p>
      <w:pPr>
        <w:pStyle w:val="BodyText"/>
        <w:spacing w:before="14"/>
        <w:ind w:left="276"/>
        <w:jc w:val="both"/>
      </w:pPr>
      <w:r>
        <w:rPr/>
        <w:t>365 = Días del año.</w:t>
      </w:r>
    </w:p>
    <w:p>
      <w:pPr>
        <w:pStyle w:val="BodyText"/>
        <w:spacing w:before="41"/>
        <w:ind w:left="276"/>
        <w:jc w:val="both"/>
      </w:pPr>
      <w:r>
        <w:rPr/>
        <w:t>El factor 55.65 (MJ/kg CH</w:t>
      </w:r>
      <w:r>
        <w:rPr>
          <w:position w:val="-2"/>
          <w:sz w:val="16"/>
        </w:rPr>
        <w:t>4</w:t>
      </w:r>
      <w:r>
        <w:rPr/>
        <w:t>) es el contenido de energía del metano.</w:t>
      </w:r>
    </w:p>
    <w:p>
      <w:pPr>
        <w:pStyle w:val="BodyText"/>
      </w:pPr>
    </w:p>
    <w:p>
      <w:pPr>
        <w:pStyle w:val="BodyText"/>
      </w:pPr>
    </w:p>
    <w:p>
      <w:pPr>
        <w:pStyle w:val="Heading4"/>
        <w:numPr>
          <w:ilvl w:val="2"/>
          <w:numId w:val="13"/>
        </w:numPr>
        <w:tabs>
          <w:tab w:pos="1055" w:val="left" w:leader="none"/>
        </w:tabs>
        <w:spacing w:line="240" w:lineRule="auto" w:before="211" w:after="0"/>
        <w:ind w:left="1055" w:right="0" w:hanging="779"/>
        <w:jc w:val="both"/>
      </w:pPr>
      <w:r>
        <w:rPr/>
        <w:t>Factor de conversión de metano</w:t>
      </w:r>
      <w:r>
        <w:rPr>
          <w:spacing w:val="-17"/>
        </w:rPr>
        <w:t> </w:t>
      </w:r>
      <w:r>
        <w:rPr/>
        <w:t>(Ym).</w:t>
      </w:r>
    </w:p>
    <w:p>
      <w:pPr>
        <w:pStyle w:val="BodyText"/>
        <w:spacing w:line="355" w:lineRule="auto" w:before="157"/>
        <w:ind w:left="276" w:right="145"/>
        <w:jc w:val="both"/>
      </w:pPr>
      <w:r>
        <w:rPr/>
        <w:t>Se calculó a través de las directrices del IPCC (2006), el Ym se expresa como la fracción</w:t>
      </w:r>
      <w:r>
        <w:rPr>
          <w:spacing w:val="-18"/>
        </w:rPr>
        <w:t> </w:t>
      </w:r>
      <w:r>
        <w:rPr/>
        <w:t>de</w:t>
      </w:r>
      <w:r>
        <w:rPr>
          <w:spacing w:val="-18"/>
        </w:rPr>
        <w:t> </w:t>
      </w:r>
      <w:r>
        <w:rPr/>
        <w:t>EB</w:t>
      </w:r>
      <w:r>
        <w:rPr>
          <w:spacing w:val="-18"/>
        </w:rPr>
        <w:t> </w:t>
      </w:r>
      <w:r>
        <w:rPr/>
        <w:t>del</w:t>
      </w:r>
      <w:r>
        <w:rPr>
          <w:spacing w:val="-18"/>
        </w:rPr>
        <w:t> </w:t>
      </w:r>
      <w:r>
        <w:rPr/>
        <w:t>alimento</w:t>
      </w:r>
      <w:r>
        <w:rPr>
          <w:spacing w:val="-18"/>
        </w:rPr>
        <w:t> </w:t>
      </w:r>
      <w:r>
        <w:rPr/>
        <w:t>que</w:t>
      </w:r>
      <w:r>
        <w:rPr>
          <w:spacing w:val="-18"/>
        </w:rPr>
        <w:t> </w:t>
      </w:r>
      <w:r>
        <w:rPr/>
        <w:t>se</w:t>
      </w:r>
      <w:r>
        <w:rPr>
          <w:spacing w:val="-18"/>
        </w:rPr>
        <w:t> </w:t>
      </w:r>
      <w:r>
        <w:rPr/>
        <w:t>transforma</w:t>
      </w:r>
      <w:r>
        <w:rPr>
          <w:spacing w:val="-18"/>
        </w:rPr>
        <w:t> </w:t>
      </w:r>
      <w:r>
        <w:rPr/>
        <w:t>en</w:t>
      </w:r>
      <w:r>
        <w:rPr>
          <w:spacing w:val="-18"/>
        </w:rPr>
        <w:t> </w:t>
      </w:r>
      <w:r>
        <w:rPr/>
        <w:t>CH</w:t>
      </w:r>
      <w:r>
        <w:rPr>
          <w:position w:val="-2"/>
          <w:sz w:val="16"/>
        </w:rPr>
        <w:t>4</w:t>
      </w:r>
      <w:r>
        <w:rPr/>
        <w:t>.</w:t>
      </w:r>
      <w:r>
        <w:rPr>
          <w:spacing w:val="-18"/>
        </w:rPr>
        <w:t> </w:t>
      </w:r>
      <w:r>
        <w:rPr/>
        <w:t>El</w:t>
      </w:r>
      <w:r>
        <w:rPr>
          <w:spacing w:val="-18"/>
        </w:rPr>
        <w:t> </w:t>
      </w:r>
      <w:r>
        <w:rPr/>
        <w:t>Ym,</w:t>
      </w:r>
      <w:r>
        <w:rPr>
          <w:spacing w:val="-18"/>
        </w:rPr>
        <w:t> </w:t>
      </w:r>
      <w:r>
        <w:rPr/>
        <w:t>es</w:t>
      </w:r>
      <w:r>
        <w:rPr>
          <w:spacing w:val="-18"/>
        </w:rPr>
        <w:t> </w:t>
      </w:r>
      <w:r>
        <w:rPr/>
        <w:t>difícil</w:t>
      </w:r>
      <w:r>
        <w:rPr>
          <w:spacing w:val="-18"/>
        </w:rPr>
        <w:t> </w:t>
      </w:r>
      <w:r>
        <w:rPr/>
        <w:t>de</w:t>
      </w:r>
      <w:r>
        <w:rPr>
          <w:spacing w:val="-18"/>
        </w:rPr>
        <w:t> </w:t>
      </w:r>
      <w:r>
        <w:rPr/>
        <w:t>determinar </w:t>
      </w:r>
      <w:r>
        <w:rPr>
          <w:i/>
        </w:rPr>
        <w:t>in</w:t>
      </w:r>
      <w:r>
        <w:rPr>
          <w:i/>
          <w:spacing w:val="34"/>
        </w:rPr>
        <w:t> </w:t>
      </w:r>
      <w:r>
        <w:rPr>
          <w:i/>
        </w:rPr>
        <w:t>vivo</w:t>
      </w:r>
      <w:r>
        <w:rPr/>
        <w:t>,</w:t>
      </w:r>
      <w:r>
        <w:rPr>
          <w:spacing w:val="34"/>
        </w:rPr>
        <w:t> </w:t>
      </w:r>
      <w:r>
        <w:rPr/>
        <w:t>y</w:t>
      </w:r>
      <w:r>
        <w:rPr>
          <w:spacing w:val="34"/>
        </w:rPr>
        <w:t> </w:t>
      </w:r>
      <w:r>
        <w:rPr/>
        <w:t>un</w:t>
      </w:r>
      <w:r>
        <w:rPr>
          <w:spacing w:val="34"/>
        </w:rPr>
        <w:t> </w:t>
      </w:r>
      <w:r>
        <w:rPr/>
        <w:t>factor</w:t>
      </w:r>
      <w:r>
        <w:rPr>
          <w:spacing w:val="34"/>
        </w:rPr>
        <w:t> </w:t>
      </w:r>
      <w:r>
        <w:rPr/>
        <w:t>principal</w:t>
      </w:r>
      <w:r>
        <w:rPr>
          <w:spacing w:val="34"/>
        </w:rPr>
        <w:t> </w:t>
      </w:r>
      <w:r>
        <w:rPr/>
        <w:t>para</w:t>
      </w:r>
      <w:r>
        <w:rPr>
          <w:spacing w:val="34"/>
        </w:rPr>
        <w:t> </w:t>
      </w:r>
      <w:r>
        <w:rPr/>
        <w:t>el</w:t>
      </w:r>
      <w:r>
        <w:rPr>
          <w:spacing w:val="34"/>
        </w:rPr>
        <w:t> </w:t>
      </w:r>
      <w:r>
        <w:rPr/>
        <w:t>cálculo</w:t>
      </w:r>
      <w:r>
        <w:rPr>
          <w:spacing w:val="34"/>
        </w:rPr>
        <w:t> </w:t>
      </w:r>
      <w:r>
        <w:rPr/>
        <w:t>de</w:t>
      </w:r>
      <w:r>
        <w:rPr>
          <w:spacing w:val="34"/>
        </w:rPr>
        <w:t> </w:t>
      </w:r>
      <w:r>
        <w:rPr/>
        <w:t>las</w:t>
      </w:r>
      <w:r>
        <w:rPr>
          <w:spacing w:val="34"/>
        </w:rPr>
        <w:t> </w:t>
      </w:r>
      <w:r>
        <w:rPr/>
        <w:t>emisiones</w:t>
      </w:r>
      <w:r>
        <w:rPr>
          <w:spacing w:val="34"/>
        </w:rPr>
        <w:t> </w:t>
      </w:r>
      <w:r>
        <w:rPr/>
        <w:t>de</w:t>
      </w:r>
      <w:r>
        <w:rPr>
          <w:spacing w:val="34"/>
        </w:rPr>
        <w:t> </w:t>
      </w:r>
      <w:r>
        <w:rPr/>
        <w:t>cada</w:t>
      </w:r>
      <w:r>
        <w:rPr>
          <w:spacing w:val="34"/>
        </w:rPr>
        <w:t> </w:t>
      </w:r>
      <w:r>
        <w:rPr/>
        <w:t>categoría</w:t>
      </w:r>
    </w:p>
    <w:p>
      <w:pPr>
        <w:spacing w:after="0" w:line="355" w:lineRule="auto"/>
        <w:jc w:val="both"/>
        <w:sectPr>
          <w:type w:val="continuous"/>
          <w:pgSz w:w="12240" w:h="15840"/>
          <w:pgMar w:top="1420" w:bottom="280" w:left="1720" w:right="1260"/>
        </w:sectPr>
      </w:pPr>
    </w:p>
    <w:p>
      <w:pPr>
        <w:pStyle w:val="BodyText"/>
        <w:spacing w:before="4"/>
        <w:rPr>
          <w:sz w:val="11"/>
        </w:rPr>
      </w:pPr>
    </w:p>
    <w:p>
      <w:pPr>
        <w:pStyle w:val="BodyText"/>
        <w:spacing w:line="360" w:lineRule="auto" w:before="69"/>
        <w:ind w:left="276" w:right="143"/>
        <w:jc w:val="both"/>
      </w:pPr>
      <w:r>
        <w:rPr/>
        <w:t>animal, por lo que las guías del IPCC (2006) establecen rangos de Ym basados principalmente</w:t>
      </w:r>
      <w:r>
        <w:rPr>
          <w:spacing w:val="-7"/>
        </w:rPr>
        <w:t> </w:t>
      </w:r>
      <w:r>
        <w:rPr/>
        <w:t>en</w:t>
      </w:r>
      <w:r>
        <w:rPr>
          <w:spacing w:val="-7"/>
        </w:rPr>
        <w:t> </w:t>
      </w:r>
      <w:r>
        <w:rPr/>
        <w:t>digestibilidades</w:t>
      </w:r>
      <w:r>
        <w:rPr>
          <w:spacing w:val="-7"/>
        </w:rPr>
        <w:t> </w:t>
      </w:r>
      <w:r>
        <w:rPr/>
        <w:t>de</w:t>
      </w:r>
      <w:r>
        <w:rPr>
          <w:spacing w:val="-7"/>
        </w:rPr>
        <w:t> </w:t>
      </w:r>
      <w:r>
        <w:rPr/>
        <w:t>las</w:t>
      </w:r>
      <w:r>
        <w:rPr>
          <w:spacing w:val="-7"/>
        </w:rPr>
        <w:t> </w:t>
      </w:r>
      <w:r>
        <w:rPr/>
        <w:t>raciones</w:t>
      </w:r>
      <w:r>
        <w:rPr>
          <w:spacing w:val="-7"/>
        </w:rPr>
        <w:t> </w:t>
      </w:r>
      <w:r>
        <w:rPr/>
        <w:t>de</w:t>
      </w:r>
      <w:r>
        <w:rPr>
          <w:spacing w:val="-7"/>
        </w:rPr>
        <w:t> </w:t>
      </w:r>
      <w:r>
        <w:rPr/>
        <w:t>las</w:t>
      </w:r>
      <w:r>
        <w:rPr>
          <w:spacing w:val="-7"/>
        </w:rPr>
        <w:t> </w:t>
      </w:r>
      <w:r>
        <w:rPr/>
        <w:t>dietas,</w:t>
      </w:r>
      <w:r>
        <w:rPr>
          <w:spacing w:val="-7"/>
        </w:rPr>
        <w:t> </w:t>
      </w:r>
      <w:r>
        <w:rPr/>
        <w:t>razón</w:t>
      </w:r>
      <w:r>
        <w:rPr>
          <w:spacing w:val="-7"/>
        </w:rPr>
        <w:t> </w:t>
      </w:r>
      <w:r>
        <w:rPr/>
        <w:t>por</w:t>
      </w:r>
      <w:r>
        <w:rPr>
          <w:spacing w:val="-7"/>
        </w:rPr>
        <w:t> </w:t>
      </w:r>
      <w:r>
        <w:rPr/>
        <w:t>la</w:t>
      </w:r>
      <w:r>
        <w:rPr>
          <w:spacing w:val="-7"/>
        </w:rPr>
        <w:t> </w:t>
      </w:r>
      <w:r>
        <w:rPr/>
        <w:t>cual</w:t>
      </w:r>
      <w:r>
        <w:rPr>
          <w:spacing w:val="-7"/>
        </w:rPr>
        <w:t> </w:t>
      </w:r>
      <w:r>
        <w:rPr/>
        <w:t>se utilizó también la ecuación de Cambra-López </w:t>
      </w:r>
      <w:r>
        <w:rPr>
          <w:i/>
        </w:rPr>
        <w:t>et al., </w:t>
      </w:r>
      <w:r>
        <w:rPr/>
        <w:t>(2008), para la obtención del Ym por categoría animal tal y como se indica en la ecuación (3) y (Cuadro</w:t>
      </w:r>
      <w:r>
        <w:rPr>
          <w:spacing w:val="-2"/>
        </w:rPr>
        <w:t> </w:t>
      </w:r>
      <w:r>
        <w:rPr/>
        <w:t>2).</w:t>
      </w:r>
    </w:p>
    <w:p>
      <w:pPr>
        <w:pStyle w:val="BodyText"/>
        <w:spacing w:before="5"/>
        <w:rPr>
          <w:sz w:val="33"/>
        </w:rPr>
      </w:pPr>
    </w:p>
    <w:p>
      <w:pPr>
        <w:tabs>
          <w:tab w:pos="7567" w:val="left" w:leader="none"/>
        </w:tabs>
        <w:spacing w:before="1"/>
        <w:ind w:left="382" w:right="0" w:firstLine="0"/>
        <w:jc w:val="left"/>
        <w:rPr>
          <w:b/>
          <w:sz w:val="24"/>
        </w:rPr>
      </w:pPr>
      <w:r>
        <w:rPr>
          <w:b/>
          <w:sz w:val="24"/>
        </w:rPr>
        <w:t>Ym </w:t>
      </w:r>
      <w:r>
        <w:rPr>
          <w:sz w:val="24"/>
        </w:rPr>
        <w:t>= -0.0038 </w:t>
      </w:r>
      <w:r>
        <w:rPr>
          <w:b/>
          <w:sz w:val="24"/>
        </w:rPr>
        <w:t>• </w:t>
      </w:r>
      <w:r>
        <w:rPr>
          <w:sz w:val="24"/>
        </w:rPr>
        <w:t>DE</w:t>
      </w:r>
      <w:r>
        <w:rPr>
          <w:position w:val="11"/>
          <w:sz w:val="16"/>
        </w:rPr>
        <w:t>2 </w:t>
      </w:r>
      <w:r>
        <w:rPr>
          <w:sz w:val="24"/>
        </w:rPr>
        <w:t>+ 0.3501 </w:t>
      </w:r>
      <w:r>
        <w:rPr>
          <w:b/>
          <w:sz w:val="24"/>
        </w:rPr>
        <w:t>• </w:t>
      </w:r>
      <w:r>
        <w:rPr>
          <w:sz w:val="24"/>
        </w:rPr>
        <w:t>DE</w:t>
      </w:r>
      <w:r>
        <w:rPr>
          <w:spacing w:val="17"/>
          <w:sz w:val="24"/>
        </w:rPr>
        <w:t> </w:t>
      </w:r>
      <w:r>
        <w:rPr>
          <w:sz w:val="24"/>
        </w:rPr>
        <w:t>–</w:t>
      </w:r>
      <w:r>
        <w:rPr>
          <w:spacing w:val="-1"/>
          <w:sz w:val="24"/>
        </w:rPr>
        <w:t> </w:t>
      </w:r>
      <w:r>
        <w:rPr>
          <w:sz w:val="24"/>
        </w:rPr>
        <w:t>0.8111</w:t>
        <w:tab/>
      </w:r>
      <w:r>
        <w:rPr>
          <w:b/>
          <w:color w:val="943634"/>
          <w:sz w:val="24"/>
        </w:rPr>
        <w:t>Ecuación (3)</w:t>
      </w:r>
    </w:p>
    <w:p>
      <w:pPr>
        <w:pStyle w:val="BodyText"/>
        <w:spacing w:before="5"/>
        <w:rPr>
          <w:b/>
          <w:sz w:val="39"/>
        </w:rPr>
      </w:pPr>
    </w:p>
    <w:p>
      <w:pPr>
        <w:pStyle w:val="Heading6"/>
      </w:pPr>
      <w:r>
        <w:rPr/>
        <w:t>Donde:</w:t>
      </w:r>
    </w:p>
    <w:p>
      <w:pPr>
        <w:pStyle w:val="BodyText"/>
        <w:spacing w:before="1"/>
        <w:rPr>
          <w:b/>
          <w:sz w:val="31"/>
        </w:rPr>
      </w:pPr>
    </w:p>
    <w:p>
      <w:pPr>
        <w:pStyle w:val="BodyText"/>
        <w:ind w:left="276"/>
        <w:jc w:val="both"/>
        <w:rPr>
          <w:sz w:val="16"/>
        </w:rPr>
      </w:pPr>
      <w:r>
        <w:rPr/>
        <w:t>Ym = factor de conversión en CH</w:t>
      </w:r>
      <w:r>
        <w:rPr>
          <w:position w:val="-2"/>
          <w:sz w:val="16"/>
        </w:rPr>
        <w:t>4</w:t>
      </w:r>
    </w:p>
    <w:p>
      <w:pPr>
        <w:pStyle w:val="BodyText"/>
        <w:spacing w:before="27"/>
        <w:ind w:left="276"/>
        <w:jc w:val="both"/>
      </w:pPr>
      <w:r>
        <w:rPr/>
        <w:t>DE = digestibilidad de energía (%GE).</w:t>
      </w:r>
    </w:p>
    <w:p>
      <w:pPr>
        <w:pStyle w:val="BodyText"/>
      </w:pPr>
    </w:p>
    <w:p>
      <w:pPr>
        <w:pStyle w:val="BodyText"/>
        <w:spacing w:line="355" w:lineRule="auto" w:before="147"/>
        <w:ind w:left="276" w:right="143"/>
        <w:jc w:val="both"/>
      </w:pPr>
      <w:r>
        <w:rPr/>
        <w:t>Dicha regresión representa un coeficiente de determinación (R</w:t>
      </w:r>
      <w:r>
        <w:rPr>
          <w:position w:val="11"/>
          <w:sz w:val="16"/>
        </w:rPr>
        <w:t>2</w:t>
      </w:r>
      <w:r>
        <w:rPr/>
        <w:t>) igual a 0.87, de lo que</w:t>
      </w:r>
      <w:r>
        <w:rPr>
          <w:spacing w:val="-6"/>
        </w:rPr>
        <w:t> </w:t>
      </w:r>
      <w:r>
        <w:rPr/>
        <w:t>se</w:t>
      </w:r>
      <w:r>
        <w:rPr>
          <w:spacing w:val="-6"/>
        </w:rPr>
        <w:t> </w:t>
      </w:r>
      <w:r>
        <w:rPr/>
        <w:t>desprende</w:t>
      </w:r>
      <w:r>
        <w:rPr>
          <w:spacing w:val="-6"/>
        </w:rPr>
        <w:t> </w:t>
      </w:r>
      <w:r>
        <w:rPr/>
        <w:t>que</w:t>
      </w:r>
      <w:r>
        <w:rPr>
          <w:spacing w:val="-6"/>
        </w:rPr>
        <w:t> </w:t>
      </w:r>
      <w:r>
        <w:rPr/>
        <w:t>en</w:t>
      </w:r>
      <w:r>
        <w:rPr>
          <w:spacing w:val="-6"/>
        </w:rPr>
        <w:t> </w:t>
      </w:r>
      <w:r>
        <w:rPr/>
        <w:t>ganado</w:t>
      </w:r>
      <w:r>
        <w:rPr>
          <w:spacing w:val="-6"/>
        </w:rPr>
        <w:t> </w:t>
      </w:r>
      <w:r>
        <w:rPr/>
        <w:t>bovino</w:t>
      </w:r>
      <w:r>
        <w:rPr>
          <w:spacing w:val="-6"/>
        </w:rPr>
        <w:t> </w:t>
      </w:r>
      <w:r>
        <w:rPr/>
        <w:t>la</w:t>
      </w:r>
      <w:r>
        <w:rPr>
          <w:spacing w:val="-6"/>
        </w:rPr>
        <w:t> </w:t>
      </w:r>
      <w:r>
        <w:rPr/>
        <w:t>digestibilidad</w:t>
      </w:r>
      <w:r>
        <w:rPr>
          <w:spacing w:val="-6"/>
        </w:rPr>
        <w:t> </w:t>
      </w:r>
      <w:r>
        <w:rPr/>
        <w:t>es</w:t>
      </w:r>
      <w:r>
        <w:rPr>
          <w:spacing w:val="-6"/>
        </w:rPr>
        <w:t> </w:t>
      </w:r>
      <w:r>
        <w:rPr/>
        <w:t>un</w:t>
      </w:r>
      <w:r>
        <w:rPr>
          <w:spacing w:val="-6"/>
        </w:rPr>
        <w:t> </w:t>
      </w:r>
      <w:r>
        <w:rPr/>
        <w:t>buen</w:t>
      </w:r>
      <w:r>
        <w:rPr>
          <w:spacing w:val="-6"/>
        </w:rPr>
        <w:t> </w:t>
      </w:r>
      <w:r>
        <w:rPr/>
        <w:t>predictor</w:t>
      </w:r>
      <w:r>
        <w:rPr>
          <w:spacing w:val="-6"/>
        </w:rPr>
        <w:t> </w:t>
      </w:r>
      <w:r>
        <w:rPr/>
        <w:t>de</w:t>
      </w:r>
      <w:r>
        <w:rPr>
          <w:spacing w:val="-6"/>
        </w:rPr>
        <w:t> </w:t>
      </w:r>
      <w:r>
        <w:rPr/>
        <w:t>la producción</w:t>
      </w:r>
      <w:r>
        <w:rPr>
          <w:spacing w:val="-7"/>
        </w:rPr>
        <w:t> </w:t>
      </w:r>
      <w:r>
        <w:rPr/>
        <w:t>de</w:t>
      </w:r>
      <w:r>
        <w:rPr>
          <w:spacing w:val="-7"/>
        </w:rPr>
        <w:t> </w:t>
      </w:r>
      <w:r>
        <w:rPr/>
        <w:t>CH</w:t>
      </w:r>
      <w:r>
        <w:rPr>
          <w:position w:val="-2"/>
          <w:sz w:val="16"/>
        </w:rPr>
        <w:t>4</w:t>
      </w:r>
      <w:r>
        <w:rPr/>
        <w:t>,</w:t>
      </w:r>
      <w:r>
        <w:rPr>
          <w:spacing w:val="-7"/>
        </w:rPr>
        <w:t> </w:t>
      </w:r>
      <w:r>
        <w:rPr/>
        <w:t>explicando</w:t>
      </w:r>
      <w:r>
        <w:rPr>
          <w:spacing w:val="-7"/>
        </w:rPr>
        <w:t> </w:t>
      </w:r>
      <w:r>
        <w:rPr/>
        <w:t>el</w:t>
      </w:r>
      <w:r>
        <w:rPr>
          <w:spacing w:val="-7"/>
        </w:rPr>
        <w:t> </w:t>
      </w:r>
      <w:r>
        <w:rPr/>
        <w:t>87%</w:t>
      </w:r>
      <w:r>
        <w:rPr>
          <w:spacing w:val="-7"/>
        </w:rPr>
        <w:t> </w:t>
      </w:r>
      <w:r>
        <w:rPr/>
        <w:t>de</w:t>
      </w:r>
      <w:r>
        <w:rPr>
          <w:spacing w:val="-7"/>
        </w:rPr>
        <w:t> </w:t>
      </w:r>
      <w:r>
        <w:rPr/>
        <w:t>la</w:t>
      </w:r>
      <w:r>
        <w:rPr>
          <w:spacing w:val="-7"/>
        </w:rPr>
        <w:t> </w:t>
      </w:r>
      <w:r>
        <w:rPr/>
        <w:t>variación</w:t>
      </w:r>
      <w:r>
        <w:rPr>
          <w:spacing w:val="-7"/>
        </w:rPr>
        <w:t> </w:t>
      </w:r>
      <w:r>
        <w:rPr/>
        <w:t>del</w:t>
      </w:r>
      <w:r>
        <w:rPr>
          <w:spacing w:val="-7"/>
        </w:rPr>
        <w:t> </w:t>
      </w:r>
      <w:r>
        <w:rPr/>
        <w:t>Ym</w:t>
      </w:r>
      <w:r>
        <w:rPr>
          <w:spacing w:val="-7"/>
        </w:rPr>
        <w:t> </w:t>
      </w:r>
      <w:r>
        <w:rPr/>
        <w:t>(Cambra-López</w:t>
      </w:r>
      <w:r>
        <w:rPr>
          <w:spacing w:val="-7"/>
        </w:rPr>
        <w:t> </w:t>
      </w:r>
      <w:r>
        <w:rPr>
          <w:i/>
        </w:rPr>
        <w:t>et</w:t>
      </w:r>
      <w:r>
        <w:rPr>
          <w:i/>
          <w:spacing w:val="-7"/>
        </w:rPr>
        <w:t> </w:t>
      </w:r>
      <w:r>
        <w:rPr>
          <w:i/>
        </w:rPr>
        <w:t>al., </w:t>
      </w:r>
      <w:r>
        <w:rPr/>
        <w:t>2008).</w:t>
      </w:r>
    </w:p>
    <w:p>
      <w:pPr>
        <w:pStyle w:val="BodyText"/>
      </w:pPr>
    </w:p>
    <w:p>
      <w:pPr>
        <w:pStyle w:val="BodyText"/>
        <w:spacing w:before="10"/>
        <w:rPr>
          <w:sz w:val="18"/>
        </w:rPr>
      </w:pPr>
    </w:p>
    <w:p>
      <w:pPr>
        <w:pStyle w:val="Heading4"/>
        <w:numPr>
          <w:ilvl w:val="2"/>
          <w:numId w:val="13"/>
        </w:numPr>
        <w:tabs>
          <w:tab w:pos="1055" w:val="left" w:leader="none"/>
        </w:tabs>
        <w:spacing w:line="240" w:lineRule="auto" w:before="1" w:after="0"/>
        <w:ind w:left="1055" w:right="0" w:hanging="779"/>
        <w:jc w:val="both"/>
      </w:pPr>
      <w:bookmarkStart w:name="_TOC_250001" w:id="29"/>
      <w:r>
        <w:rPr/>
        <w:t>Emisiones</w:t>
      </w:r>
      <w:r>
        <w:rPr>
          <w:spacing w:val="-9"/>
        </w:rPr>
        <w:t> </w:t>
      </w:r>
      <w:bookmarkEnd w:id="29"/>
      <w:r>
        <w:rPr/>
        <w:t>totales</w:t>
      </w:r>
    </w:p>
    <w:p>
      <w:pPr>
        <w:pStyle w:val="BodyText"/>
        <w:spacing w:line="360" w:lineRule="auto" w:before="162"/>
        <w:ind w:left="276" w:right="145"/>
        <w:jc w:val="both"/>
      </w:pPr>
      <w:r>
        <w:rPr/>
        <w:t>Para estimar las emisiones totales, el factor de emisión de cada categoría animal se multiplicó por la población animal asociada y se sumaron, utilizando la ecuación (4).</w:t>
      </w:r>
    </w:p>
    <w:p>
      <w:pPr>
        <w:pStyle w:val="BodyText"/>
        <w:spacing w:before="10"/>
        <w:rPr>
          <w:sz w:val="20"/>
        </w:rPr>
      </w:pPr>
    </w:p>
    <w:p>
      <w:pPr>
        <w:spacing w:after="0"/>
        <w:rPr>
          <w:sz w:val="20"/>
        </w:rPr>
        <w:sectPr>
          <w:pgSz w:w="12240" w:h="15840"/>
          <w:pgMar w:header="741" w:footer="739" w:top="1220" w:bottom="920" w:left="1720" w:right="1260"/>
        </w:sectPr>
      </w:pPr>
    </w:p>
    <w:p>
      <w:pPr>
        <w:tabs>
          <w:tab w:pos="2854" w:val="left" w:leader="none"/>
        </w:tabs>
        <w:spacing w:before="66"/>
        <w:ind w:left="382" w:right="0" w:firstLine="0"/>
        <w:jc w:val="left"/>
        <w:rPr>
          <w:rFonts w:ascii="Cambria Math" w:hAnsi="Cambria Math"/>
          <w:sz w:val="16"/>
        </w:rPr>
      </w:pPr>
      <w:r>
        <w:rPr/>
        <w:pict>
          <v:shape style="position:absolute;margin-left:210.864807pt;margin-top:-.129654pt;width:14.75pt;height:22.95pt;mso-position-horizontal-relative:page;mso-position-vertical-relative:paragraph;z-index:-307360" coordorigin="4217,-3" coordsize="295,459" path="m4505,-3l4222,-3,4222,9,4381,221,4217,444,4217,456,4505,456,4508,422,4258,422,4409,217,4409,203,4269,13,4505,13,4505,-3xm4511,370l4494,370,4491,385,4488,397,4485,406,4482,412,4477,418,4470,422,4508,422,4511,370xm4505,13l4465,13,4473,18,4479,27,4482,35,4486,44,4488,55,4490,67,4505,67,4505,13xe" filled="true" fillcolor="#000000" stroked="false">
            <v:path arrowok="t"/>
            <v:fill type="solid"/>
            <w10:wrap type="none"/>
          </v:shape>
        </w:pict>
      </w:r>
      <w:r>
        <w:rPr>
          <w:rFonts w:ascii="Cambria Math" w:hAnsi="Cambria Math"/>
          <w:w w:val="122"/>
          <w:position w:val="5"/>
          <w:sz w:val="24"/>
        </w:rPr>
        <w:t>^</w:t>
      </w:r>
      <w:r>
        <w:rPr>
          <w:rFonts w:ascii="Cambria Math" w:hAnsi="Cambria Math"/>
          <w:spacing w:val="-1"/>
          <w:w w:val="122"/>
          <w:position w:val="5"/>
          <w:sz w:val="24"/>
        </w:rPr>
        <w:t>_</w:t>
      </w:r>
      <w:r>
        <w:rPr>
          <w:rFonts w:ascii="Cambria Math" w:hAnsi="Cambria Math"/>
          <w:spacing w:val="-1"/>
          <w:w w:val="138"/>
          <w:position w:val="5"/>
          <w:sz w:val="24"/>
        </w:rPr>
        <w:t>`</w:t>
      </w:r>
      <w:r>
        <w:rPr>
          <w:rFonts w:ascii="Cambria Math" w:hAnsi="Cambria Math"/>
          <w:w w:val="84"/>
          <w:position w:val="5"/>
          <w:sz w:val="24"/>
        </w:rPr>
        <w:t>ab</w:t>
      </w:r>
      <w:r>
        <w:rPr>
          <w:rFonts w:ascii="Cambria Math" w:hAnsi="Cambria Math"/>
          <w:spacing w:val="7"/>
          <w:position w:val="5"/>
          <w:sz w:val="24"/>
        </w:rPr>
        <w:t> </w:t>
      </w:r>
      <w:r>
        <w:rPr>
          <w:rFonts w:ascii="Cambria Math" w:hAnsi="Cambria Math"/>
          <w:w w:val="133"/>
          <w:position w:val="5"/>
          <w:sz w:val="24"/>
        </w:rPr>
        <w:t>c</w:t>
      </w:r>
      <w:r>
        <w:rPr>
          <w:rFonts w:ascii="Cambria Math" w:hAnsi="Cambria Math"/>
          <w:spacing w:val="-15"/>
          <w:w w:val="133"/>
          <w:position w:val="5"/>
          <w:sz w:val="24"/>
        </w:rPr>
        <w:t>d</w:t>
      </w:r>
      <w:r>
        <w:rPr>
          <w:rFonts w:ascii="Cambria Math" w:hAnsi="Cambria Math"/>
          <w:w w:val="98"/>
          <w:sz w:val="16"/>
        </w:rPr>
        <w:t>#</w:t>
      </w:r>
      <w:r>
        <w:rPr>
          <w:rFonts w:ascii="Cambria Math" w:hAnsi="Cambria Math"/>
          <w:spacing w:val="3"/>
          <w:sz w:val="16"/>
        </w:rPr>
        <w:t> </w:t>
      </w:r>
      <w:r>
        <w:rPr>
          <w:rFonts w:ascii="Cambria Math" w:hAnsi="Cambria Math"/>
          <w:spacing w:val="1"/>
          <w:w w:val="165"/>
          <w:sz w:val="16"/>
        </w:rPr>
        <w:t>ef</w:t>
      </w:r>
      <w:r>
        <w:rPr>
          <w:rFonts w:ascii="Cambria Math" w:hAnsi="Cambria Math"/>
          <w:w w:val="165"/>
          <w:sz w:val="16"/>
        </w:rPr>
        <w:t>J</w:t>
      </w:r>
      <w:r>
        <w:rPr>
          <w:rFonts w:ascii="Cambria Math" w:hAnsi="Cambria Math"/>
          <w:w w:val="104"/>
          <w:sz w:val="16"/>
        </w:rPr>
        <w:t>é</w:t>
      </w:r>
      <w:r>
        <w:rPr>
          <w:rFonts w:ascii="Cambria Math" w:hAnsi="Cambria Math"/>
          <w:spacing w:val="1"/>
          <w:w w:val="78"/>
          <w:sz w:val="16"/>
        </w:rPr>
        <w:t>K</w:t>
      </w:r>
      <w:r>
        <w:rPr>
          <w:rFonts w:ascii="Cambria Math" w:hAnsi="Cambria Math"/>
          <w:w w:val="78"/>
          <w:sz w:val="16"/>
        </w:rPr>
        <w:t>h</w:t>
      </w:r>
      <w:r>
        <w:rPr>
          <w:rFonts w:ascii="Cambria Math" w:hAnsi="Cambria Math"/>
          <w:w w:val="190"/>
          <w:sz w:val="16"/>
        </w:rPr>
        <w:t>i</w:t>
      </w:r>
      <w:r>
        <w:rPr>
          <w:rFonts w:ascii="Cambria Math" w:hAnsi="Cambria Math"/>
          <w:w w:val="90"/>
          <w:sz w:val="16"/>
        </w:rPr>
        <w:t>N</w:t>
      </w:r>
      <w:r>
        <w:rPr>
          <w:rFonts w:ascii="Cambria Math" w:hAnsi="Cambria Math"/>
          <w:sz w:val="16"/>
        </w:rPr>
        <w:t> </w:t>
      </w:r>
      <w:r>
        <w:rPr>
          <w:rFonts w:ascii="Cambria Math" w:hAnsi="Cambria Math"/>
          <w:spacing w:val="11"/>
          <w:sz w:val="16"/>
        </w:rPr>
        <w:t> </w:t>
      </w:r>
      <w:r>
        <w:rPr>
          <w:rFonts w:ascii="Cambria Math" w:hAnsi="Cambria Math"/>
          <w:position w:val="5"/>
          <w:sz w:val="24"/>
        </w:rPr>
        <w:t>=</w:t>
        <w:tab/>
      </w:r>
      <w:r>
        <w:rPr>
          <w:rFonts w:ascii="Cambria Math" w:hAnsi="Cambria Math"/>
          <w:spacing w:val="-13"/>
          <w:w w:val="111"/>
          <w:position w:val="5"/>
          <w:sz w:val="24"/>
        </w:rPr>
        <w:t>C</w:t>
      </w:r>
      <w:r>
        <w:rPr>
          <w:rFonts w:ascii="Cambria Math" w:hAnsi="Cambria Math"/>
          <w:w w:val="66"/>
          <w:sz w:val="16"/>
        </w:rPr>
        <w:t>h</w:t>
      </w:r>
    </w:p>
    <w:p>
      <w:pPr>
        <w:spacing w:before="59"/>
        <w:ind w:left="0" w:right="366" w:firstLine="0"/>
        <w:jc w:val="right"/>
        <w:rPr>
          <w:rFonts w:ascii="Cambria Math"/>
          <w:sz w:val="17"/>
        </w:rPr>
      </w:pPr>
      <w:r>
        <w:rPr>
          <w:rFonts w:ascii="Cambria Math"/>
          <w:w w:val="62"/>
          <w:sz w:val="17"/>
        </w:rPr>
        <w:t>h</w:t>
      </w:r>
    </w:p>
    <w:p>
      <w:pPr>
        <w:pStyle w:val="Heading6"/>
        <w:spacing w:before="127"/>
        <w:ind w:left="382"/>
        <w:jc w:val="left"/>
      </w:pPr>
      <w:r>
        <w:rPr>
          <w:b w:val="0"/>
        </w:rPr>
        <w:br w:type="column"/>
      </w:r>
      <w:r>
        <w:rPr>
          <w:color w:val="953735"/>
        </w:rPr>
        <w:t>Ecuación (4)</w:t>
      </w:r>
    </w:p>
    <w:p>
      <w:pPr>
        <w:spacing w:after="0"/>
        <w:jc w:val="left"/>
        <w:sectPr>
          <w:type w:val="continuous"/>
          <w:pgSz w:w="12240" w:h="15840"/>
          <w:pgMar w:top="1420" w:bottom="280" w:left="1720" w:right="1260"/>
          <w:cols w:num="2" w:equalWidth="0">
            <w:col w:w="3051" w:space="4130"/>
            <w:col w:w="2079"/>
          </w:cols>
        </w:sectPr>
      </w:pPr>
    </w:p>
    <w:p>
      <w:pPr>
        <w:pStyle w:val="BodyText"/>
        <w:spacing w:before="3"/>
        <w:rPr>
          <w:b/>
          <w:sz w:val="26"/>
        </w:rPr>
      </w:pPr>
    </w:p>
    <w:p>
      <w:pPr>
        <w:spacing w:before="70"/>
        <w:ind w:left="276" w:right="0" w:firstLine="0"/>
        <w:jc w:val="both"/>
        <w:rPr>
          <w:b/>
          <w:sz w:val="24"/>
        </w:rPr>
      </w:pPr>
      <w:r>
        <w:rPr>
          <w:b/>
          <w:sz w:val="24"/>
        </w:rPr>
        <w:t>Ecuación (4)</w:t>
      </w:r>
    </w:p>
    <w:p>
      <w:pPr>
        <w:pStyle w:val="BodyText"/>
        <w:spacing w:before="5"/>
        <w:rPr>
          <w:b/>
        </w:rPr>
      </w:pPr>
    </w:p>
    <w:p>
      <w:pPr>
        <w:pStyle w:val="BodyText"/>
        <w:spacing w:line="274" w:lineRule="exact" w:before="1"/>
        <w:ind w:left="276" w:right="145"/>
        <w:jc w:val="both"/>
      </w:pPr>
      <w:r>
        <w:rPr/>
        <w:t>Total CH</w:t>
      </w:r>
      <w:r>
        <w:rPr>
          <w:position w:val="-2"/>
          <w:sz w:val="16"/>
        </w:rPr>
        <w:t>4 Entérico </w:t>
      </w:r>
      <w:r>
        <w:rPr/>
        <w:t>= emisiones totales de metano por fermentación entérica, Gg CH</w:t>
      </w:r>
      <w:r>
        <w:rPr>
          <w:position w:val="-2"/>
          <w:sz w:val="16"/>
        </w:rPr>
        <w:t>4 </w:t>
      </w:r>
      <w:r>
        <w:rPr/>
        <w:t>año</w:t>
      </w:r>
      <w:r>
        <w:rPr>
          <w:position w:val="11"/>
          <w:sz w:val="16"/>
        </w:rPr>
        <w:t>-1</w:t>
      </w:r>
      <w:r>
        <w:rPr/>
        <w:t>.</w:t>
      </w:r>
    </w:p>
    <w:p>
      <w:pPr>
        <w:pStyle w:val="BodyText"/>
        <w:spacing w:line="288" w:lineRule="exact"/>
        <w:ind w:left="276"/>
        <w:jc w:val="both"/>
      </w:pPr>
      <w:r>
        <w:rPr/>
        <w:t>E</w:t>
      </w:r>
      <w:r>
        <w:rPr>
          <w:position w:val="-2"/>
          <w:sz w:val="16"/>
        </w:rPr>
        <w:t>i  </w:t>
      </w:r>
      <w:r>
        <w:rPr/>
        <w:t>= emisiones de las </w:t>
      </w:r>
      <w:r>
        <w:rPr>
          <w:i/>
        </w:rPr>
        <w:t>i </w:t>
      </w:r>
      <w:r>
        <w:rPr/>
        <w:t>subcategorías de ganado.</w:t>
      </w:r>
    </w:p>
    <w:p>
      <w:pPr>
        <w:pStyle w:val="BodyText"/>
      </w:pPr>
    </w:p>
    <w:p>
      <w:pPr>
        <w:pStyle w:val="BodyText"/>
      </w:pPr>
    </w:p>
    <w:p>
      <w:pPr>
        <w:pStyle w:val="BodyText"/>
        <w:spacing w:before="10"/>
        <w:rPr>
          <w:sz w:val="22"/>
        </w:rPr>
      </w:pPr>
    </w:p>
    <w:p>
      <w:pPr>
        <w:pStyle w:val="BodyText"/>
        <w:spacing w:line="360" w:lineRule="auto"/>
        <w:ind w:left="276" w:right="144"/>
        <w:jc w:val="both"/>
      </w:pPr>
      <w:r>
        <w:rPr/>
        <w:t>El</w:t>
      </w:r>
      <w:r>
        <w:rPr>
          <w:spacing w:val="-7"/>
        </w:rPr>
        <w:t> </w:t>
      </w:r>
      <w:r>
        <w:rPr/>
        <w:t>Cuadro</w:t>
      </w:r>
      <w:r>
        <w:rPr>
          <w:spacing w:val="-7"/>
        </w:rPr>
        <w:t> </w:t>
      </w:r>
      <w:r>
        <w:rPr/>
        <w:t>3,</w:t>
      </w:r>
      <w:r>
        <w:rPr>
          <w:spacing w:val="-7"/>
        </w:rPr>
        <w:t> </w:t>
      </w:r>
      <w:r>
        <w:rPr/>
        <w:t>muestra</w:t>
      </w:r>
      <w:r>
        <w:rPr>
          <w:spacing w:val="-7"/>
        </w:rPr>
        <w:t> </w:t>
      </w:r>
      <w:r>
        <w:rPr/>
        <w:t>los</w:t>
      </w:r>
      <w:r>
        <w:rPr>
          <w:spacing w:val="-7"/>
        </w:rPr>
        <w:t> </w:t>
      </w:r>
      <w:r>
        <w:rPr/>
        <w:t>parámetros</w:t>
      </w:r>
      <w:r>
        <w:rPr>
          <w:spacing w:val="-7"/>
        </w:rPr>
        <w:t> </w:t>
      </w:r>
      <w:r>
        <w:rPr/>
        <w:t>específicos</w:t>
      </w:r>
      <w:r>
        <w:rPr>
          <w:spacing w:val="-7"/>
        </w:rPr>
        <w:t> </w:t>
      </w:r>
      <w:r>
        <w:rPr/>
        <w:t>utilizados</w:t>
      </w:r>
      <w:r>
        <w:rPr>
          <w:spacing w:val="-7"/>
        </w:rPr>
        <w:t> </w:t>
      </w:r>
      <w:r>
        <w:rPr/>
        <w:t>en</w:t>
      </w:r>
      <w:r>
        <w:rPr>
          <w:spacing w:val="-7"/>
        </w:rPr>
        <w:t> </w:t>
      </w:r>
      <w:r>
        <w:rPr/>
        <w:t>el</w:t>
      </w:r>
      <w:r>
        <w:rPr>
          <w:spacing w:val="-7"/>
        </w:rPr>
        <w:t> </w:t>
      </w:r>
      <w:r>
        <w:rPr/>
        <w:t>proceso</w:t>
      </w:r>
      <w:r>
        <w:rPr>
          <w:spacing w:val="-7"/>
        </w:rPr>
        <w:t> </w:t>
      </w:r>
      <w:r>
        <w:rPr/>
        <w:t>de</w:t>
      </w:r>
      <w:r>
        <w:rPr>
          <w:spacing w:val="-7"/>
        </w:rPr>
        <w:t> </w:t>
      </w:r>
      <w:r>
        <w:rPr/>
        <w:t>cálculo de la ingesta de EB (Ecuación 1), así como el FE (Ecuación 2) para las subcategorías</w:t>
      </w:r>
      <w:r>
        <w:rPr>
          <w:spacing w:val="-1"/>
        </w:rPr>
        <w:t> </w:t>
      </w:r>
      <w:r>
        <w:rPr/>
        <w:t>animales.</w:t>
      </w:r>
    </w:p>
    <w:p>
      <w:pPr>
        <w:spacing w:after="0" w:line="360" w:lineRule="auto"/>
        <w:jc w:val="both"/>
        <w:sectPr>
          <w:type w:val="continuous"/>
          <w:pgSz w:w="12240" w:h="15840"/>
          <w:pgMar w:top="1420" w:bottom="280" w:left="1720" w:right="1260"/>
        </w:sectPr>
      </w:pPr>
    </w:p>
    <w:p>
      <w:pPr>
        <w:pStyle w:val="BodyText"/>
        <w:spacing w:before="4"/>
        <w:rPr>
          <w:sz w:val="11"/>
        </w:rPr>
      </w:pPr>
    </w:p>
    <w:p>
      <w:pPr>
        <w:pStyle w:val="BodyText"/>
        <w:tabs>
          <w:tab w:pos="2086" w:val="left" w:leader="none"/>
        </w:tabs>
        <w:spacing w:before="69" w:after="6"/>
        <w:ind w:left="762"/>
      </w:pPr>
      <w:r>
        <w:rPr>
          <w:b/>
          <w:color w:val="943634"/>
        </w:rPr>
        <w:t>Cuadro</w:t>
      </w:r>
      <w:r>
        <w:rPr>
          <w:b/>
          <w:color w:val="943634"/>
          <w:spacing w:val="-2"/>
        </w:rPr>
        <w:t> </w:t>
      </w:r>
      <w:r>
        <w:rPr>
          <w:b/>
          <w:color w:val="943634"/>
        </w:rPr>
        <w:t>3.</w:t>
        <w:tab/>
      </w:r>
      <w:r>
        <w:rPr/>
        <w:t>Cálculo del factor de emisión de metano entérico para vacas.</w:t>
      </w:r>
    </w:p>
    <w:p>
      <w:pPr>
        <w:pStyle w:val="BodyText"/>
        <w:spacing w:line="44" w:lineRule="exact"/>
        <w:ind w:left="264"/>
        <w:rPr>
          <w:sz w:val="4"/>
        </w:rPr>
      </w:pPr>
      <w:r>
        <w:rPr>
          <w:position w:val="0"/>
          <w:sz w:val="4"/>
        </w:rPr>
        <w:pict>
          <v:group style="width:86.95pt;height:2.2pt;mso-position-horizontal-relative:char;mso-position-vertical-relative:line" coordorigin="0,0" coordsize="1739,44">
            <v:line style="position:absolute" from="22,22" to="1716,22" stroked="true" strokeweight="2.16pt" strokecolor="#943634"/>
          </v:group>
        </w:pict>
      </w:r>
      <w:r>
        <w:rPr>
          <w:position w:val="0"/>
          <w:sz w:val="4"/>
        </w:rPr>
      </w:r>
    </w:p>
    <w:p>
      <w:pPr>
        <w:pStyle w:val="BodyText"/>
        <w:spacing w:before="2"/>
      </w:pPr>
    </w:p>
    <w:tbl>
      <w:tblPr>
        <w:tblW w:w="0" w:type="auto"/>
        <w:jc w:val="left"/>
        <w:tblInd w:w="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1"/>
        <w:gridCol w:w="1982"/>
        <w:gridCol w:w="3019"/>
      </w:tblGrid>
      <w:tr>
        <w:trPr>
          <w:trHeight w:val="619" w:hRule="exact"/>
        </w:trPr>
        <w:tc>
          <w:tcPr>
            <w:tcW w:w="3821" w:type="dxa"/>
            <w:shd w:val="clear" w:color="auto" w:fill="632423"/>
          </w:tcPr>
          <w:p>
            <w:pPr>
              <w:pStyle w:val="TableParagraph"/>
              <w:rPr>
                <w:rFonts w:ascii="Arial"/>
                <w:sz w:val="17"/>
              </w:rPr>
            </w:pPr>
          </w:p>
          <w:p>
            <w:pPr>
              <w:pStyle w:val="TableParagraph"/>
              <w:ind w:left="1334" w:right="1339"/>
              <w:jc w:val="center"/>
              <w:rPr>
                <w:rFonts w:ascii="Arial" w:hAnsi="Arial"/>
                <w:b/>
                <w:sz w:val="19"/>
              </w:rPr>
            </w:pPr>
            <w:r>
              <w:rPr>
                <w:rFonts w:ascii="Arial" w:hAnsi="Arial"/>
                <w:b/>
                <w:color w:val="FFFFFF"/>
                <w:w w:val="105"/>
                <w:sz w:val="19"/>
              </w:rPr>
              <w:t>Parámetros</w:t>
            </w:r>
          </w:p>
        </w:tc>
        <w:tc>
          <w:tcPr>
            <w:tcW w:w="1982" w:type="dxa"/>
            <w:shd w:val="clear" w:color="auto" w:fill="632423"/>
          </w:tcPr>
          <w:p>
            <w:pPr>
              <w:pStyle w:val="TableParagraph"/>
              <w:rPr>
                <w:rFonts w:ascii="Arial"/>
                <w:sz w:val="17"/>
              </w:rPr>
            </w:pPr>
          </w:p>
          <w:p>
            <w:pPr>
              <w:pStyle w:val="TableParagraph"/>
              <w:ind w:left="598" w:right="601"/>
              <w:jc w:val="center"/>
              <w:rPr>
                <w:rFonts w:ascii="Arial"/>
                <w:b/>
                <w:sz w:val="19"/>
              </w:rPr>
            </w:pPr>
            <w:r>
              <w:rPr>
                <w:rFonts w:ascii="Arial"/>
                <w:b/>
                <w:color w:val="FFFFFF"/>
                <w:w w:val="105"/>
                <w:sz w:val="19"/>
              </w:rPr>
              <w:t>Valores</w:t>
            </w:r>
          </w:p>
        </w:tc>
        <w:tc>
          <w:tcPr>
            <w:tcW w:w="3019" w:type="dxa"/>
            <w:shd w:val="clear" w:color="auto" w:fill="632423"/>
          </w:tcPr>
          <w:p>
            <w:pPr>
              <w:pStyle w:val="TableParagraph"/>
              <w:rPr>
                <w:rFonts w:ascii="Arial"/>
                <w:sz w:val="17"/>
              </w:rPr>
            </w:pPr>
          </w:p>
          <w:p>
            <w:pPr>
              <w:pStyle w:val="TableParagraph"/>
              <w:ind w:left="935" w:right="217"/>
              <w:rPr>
                <w:rFonts w:ascii="Arial"/>
                <w:b/>
                <w:sz w:val="19"/>
              </w:rPr>
            </w:pPr>
            <w:r>
              <w:rPr>
                <w:rFonts w:ascii="Arial"/>
                <w:b/>
                <w:color w:val="FFFFFF"/>
                <w:w w:val="105"/>
                <w:sz w:val="19"/>
              </w:rPr>
              <w:t>Referencias</w:t>
            </w:r>
          </w:p>
        </w:tc>
      </w:tr>
      <w:tr>
        <w:trPr>
          <w:trHeight w:val="470" w:hRule="exact"/>
        </w:trPr>
        <w:tc>
          <w:tcPr>
            <w:tcW w:w="3821" w:type="dxa"/>
          </w:tcPr>
          <w:p>
            <w:pPr>
              <w:pStyle w:val="TableParagraph"/>
              <w:spacing w:line="204" w:lineRule="auto" w:before="31"/>
              <w:ind w:left="100" w:right="164"/>
              <w:rPr>
                <w:rFonts w:ascii="Arial"/>
                <w:sz w:val="19"/>
              </w:rPr>
            </w:pPr>
            <w:r>
              <w:rPr>
                <w:rFonts w:ascii="Arial"/>
                <w:w w:val="105"/>
                <w:sz w:val="19"/>
              </w:rPr>
              <w:t>Coeficiente de Mantenimiento (CFI) (MJ d</w:t>
            </w:r>
            <w:r>
              <w:rPr>
                <w:rFonts w:ascii="Arial"/>
                <w:w w:val="105"/>
                <w:position w:val="10"/>
                <w:sz w:val="13"/>
              </w:rPr>
              <w:t>-1 </w:t>
            </w:r>
            <w:r>
              <w:rPr>
                <w:rFonts w:ascii="Arial"/>
                <w:w w:val="105"/>
                <w:sz w:val="19"/>
              </w:rPr>
              <w:t>kg</w:t>
            </w:r>
            <w:r>
              <w:rPr>
                <w:rFonts w:ascii="Arial"/>
                <w:w w:val="105"/>
                <w:position w:val="10"/>
                <w:sz w:val="13"/>
              </w:rPr>
              <w:t>-1</w:t>
            </w:r>
            <w:r>
              <w:rPr>
                <w:rFonts w:ascii="Arial"/>
                <w:w w:val="105"/>
                <w:sz w:val="19"/>
              </w:rPr>
              <w:t>) para vacas no en lactancia.</w:t>
            </w:r>
          </w:p>
        </w:tc>
        <w:tc>
          <w:tcPr>
            <w:tcW w:w="1982" w:type="dxa"/>
          </w:tcPr>
          <w:p>
            <w:pPr>
              <w:pStyle w:val="TableParagraph"/>
              <w:spacing w:before="119"/>
              <w:ind w:left="598" w:right="600"/>
              <w:jc w:val="center"/>
              <w:rPr>
                <w:rFonts w:ascii="Arial"/>
                <w:sz w:val="19"/>
              </w:rPr>
            </w:pPr>
            <w:r>
              <w:rPr>
                <w:rFonts w:ascii="Arial"/>
                <w:w w:val="105"/>
                <w:sz w:val="19"/>
              </w:rPr>
              <w:t>0.322</w:t>
            </w:r>
          </w:p>
        </w:tc>
        <w:tc>
          <w:tcPr>
            <w:tcW w:w="3019" w:type="dxa"/>
          </w:tcPr>
          <w:p>
            <w:pPr>
              <w:pStyle w:val="TableParagraph"/>
              <w:spacing w:before="119"/>
              <w:ind w:left="100" w:right="217"/>
              <w:rPr>
                <w:rFonts w:ascii="Arial"/>
                <w:sz w:val="19"/>
              </w:rPr>
            </w:pPr>
            <w:r>
              <w:rPr>
                <w:rFonts w:ascii="Arial"/>
                <w:w w:val="105"/>
                <w:sz w:val="19"/>
              </w:rPr>
              <w:t>IPCC, 2006.</w:t>
            </w:r>
          </w:p>
        </w:tc>
      </w:tr>
      <w:tr>
        <w:trPr>
          <w:trHeight w:val="470" w:hRule="exact"/>
        </w:trPr>
        <w:tc>
          <w:tcPr>
            <w:tcW w:w="3821" w:type="dxa"/>
          </w:tcPr>
          <w:p>
            <w:pPr>
              <w:pStyle w:val="TableParagraph"/>
              <w:spacing w:line="187" w:lineRule="auto" w:before="43"/>
              <w:ind w:left="100" w:right="179"/>
              <w:rPr>
                <w:rFonts w:ascii="Arial"/>
                <w:sz w:val="19"/>
              </w:rPr>
            </w:pPr>
            <w:r>
              <w:rPr>
                <w:rFonts w:ascii="Arial"/>
                <w:w w:val="105"/>
                <w:sz w:val="19"/>
              </w:rPr>
              <w:t>Coeficiente de Mantenimiento (CF</w:t>
            </w:r>
            <w:r>
              <w:rPr>
                <w:rFonts w:ascii="Arial"/>
                <w:w w:val="105"/>
                <w:position w:val="-2"/>
                <w:sz w:val="13"/>
              </w:rPr>
              <w:t>I</w:t>
            </w:r>
            <w:r>
              <w:rPr>
                <w:rFonts w:ascii="Arial"/>
                <w:w w:val="105"/>
                <w:sz w:val="19"/>
              </w:rPr>
              <w:t>) (MJ d</w:t>
            </w:r>
            <w:r>
              <w:rPr>
                <w:rFonts w:ascii="Arial"/>
                <w:w w:val="105"/>
                <w:position w:val="10"/>
                <w:sz w:val="13"/>
              </w:rPr>
              <w:t>-1 </w:t>
            </w:r>
            <w:r>
              <w:rPr>
                <w:rFonts w:ascii="Arial"/>
                <w:w w:val="105"/>
                <w:sz w:val="19"/>
              </w:rPr>
              <w:t>kg</w:t>
            </w:r>
            <w:r>
              <w:rPr>
                <w:rFonts w:ascii="Arial"/>
                <w:w w:val="105"/>
                <w:position w:val="10"/>
                <w:sz w:val="13"/>
              </w:rPr>
              <w:t>-1</w:t>
            </w:r>
            <w:r>
              <w:rPr>
                <w:rFonts w:ascii="Arial"/>
                <w:w w:val="105"/>
                <w:sz w:val="19"/>
              </w:rPr>
              <w:t>) para vacas en lactancia.</w:t>
            </w:r>
          </w:p>
        </w:tc>
        <w:tc>
          <w:tcPr>
            <w:tcW w:w="1982" w:type="dxa"/>
          </w:tcPr>
          <w:p>
            <w:pPr>
              <w:pStyle w:val="TableParagraph"/>
              <w:spacing w:before="119"/>
              <w:ind w:left="598" w:right="600"/>
              <w:jc w:val="center"/>
              <w:rPr>
                <w:rFonts w:ascii="Arial"/>
                <w:sz w:val="19"/>
              </w:rPr>
            </w:pPr>
            <w:r>
              <w:rPr>
                <w:rFonts w:ascii="Arial"/>
                <w:w w:val="105"/>
                <w:sz w:val="19"/>
              </w:rPr>
              <w:t>0.386</w:t>
            </w:r>
          </w:p>
        </w:tc>
        <w:tc>
          <w:tcPr>
            <w:tcW w:w="3019" w:type="dxa"/>
          </w:tcPr>
          <w:p>
            <w:pPr>
              <w:pStyle w:val="TableParagraph"/>
              <w:spacing w:before="119"/>
              <w:ind w:left="100" w:right="217"/>
              <w:rPr>
                <w:rFonts w:ascii="Arial"/>
                <w:sz w:val="19"/>
              </w:rPr>
            </w:pPr>
            <w:r>
              <w:rPr>
                <w:rFonts w:ascii="Arial"/>
                <w:w w:val="105"/>
                <w:sz w:val="19"/>
              </w:rPr>
              <w:t>IPCC, 2006.</w:t>
            </w:r>
          </w:p>
        </w:tc>
      </w:tr>
      <w:tr>
        <w:trPr>
          <w:trHeight w:val="274" w:hRule="exact"/>
        </w:trPr>
        <w:tc>
          <w:tcPr>
            <w:tcW w:w="3821" w:type="dxa"/>
          </w:tcPr>
          <w:p>
            <w:pPr>
              <w:pStyle w:val="TableParagraph"/>
              <w:spacing w:before="23"/>
              <w:ind w:left="100" w:right="164"/>
              <w:rPr>
                <w:rFonts w:ascii="Arial"/>
                <w:sz w:val="19"/>
              </w:rPr>
            </w:pPr>
            <w:r>
              <w:rPr>
                <w:rFonts w:ascii="Arial"/>
                <w:w w:val="105"/>
                <w:sz w:val="19"/>
              </w:rPr>
              <w:t>Coeficiente de actividad (C</w:t>
            </w:r>
            <w:r>
              <w:rPr>
                <w:rFonts w:ascii="Arial"/>
                <w:w w:val="105"/>
                <w:position w:val="-2"/>
                <w:sz w:val="13"/>
              </w:rPr>
              <w:t>a</w:t>
            </w:r>
            <w:r>
              <w:rPr>
                <w:rFonts w:ascii="Arial"/>
                <w:w w:val="105"/>
                <w:sz w:val="19"/>
              </w:rPr>
              <w:t>)</w:t>
            </w:r>
          </w:p>
        </w:tc>
        <w:tc>
          <w:tcPr>
            <w:tcW w:w="1982" w:type="dxa"/>
          </w:tcPr>
          <w:p>
            <w:pPr>
              <w:pStyle w:val="TableParagraph"/>
              <w:spacing w:before="23"/>
              <w:ind w:left="598" w:right="602"/>
              <w:jc w:val="center"/>
              <w:rPr>
                <w:rFonts w:ascii="Arial"/>
                <w:sz w:val="19"/>
              </w:rPr>
            </w:pPr>
            <w:r>
              <w:rPr>
                <w:rFonts w:ascii="Arial"/>
                <w:w w:val="105"/>
                <w:sz w:val="19"/>
              </w:rPr>
              <w:t>0.0</w:t>
            </w:r>
          </w:p>
        </w:tc>
        <w:tc>
          <w:tcPr>
            <w:tcW w:w="3019" w:type="dxa"/>
          </w:tcPr>
          <w:p>
            <w:pPr>
              <w:pStyle w:val="TableParagraph"/>
              <w:spacing w:before="23"/>
              <w:ind w:left="100" w:right="217"/>
              <w:rPr>
                <w:rFonts w:ascii="Arial"/>
                <w:sz w:val="19"/>
              </w:rPr>
            </w:pPr>
            <w:r>
              <w:rPr>
                <w:rFonts w:ascii="Arial"/>
                <w:w w:val="105"/>
                <w:sz w:val="19"/>
              </w:rPr>
              <w:t>IPCC, 2006.</w:t>
            </w:r>
          </w:p>
        </w:tc>
      </w:tr>
      <w:tr>
        <w:trPr>
          <w:trHeight w:val="240" w:hRule="exact"/>
        </w:trPr>
        <w:tc>
          <w:tcPr>
            <w:tcW w:w="3821" w:type="dxa"/>
          </w:tcPr>
          <w:p>
            <w:pPr>
              <w:pStyle w:val="TableParagraph"/>
              <w:spacing w:before="4"/>
              <w:ind w:left="100" w:right="164"/>
              <w:rPr>
                <w:rFonts w:ascii="Arial" w:hAnsi="Arial"/>
                <w:sz w:val="19"/>
              </w:rPr>
            </w:pPr>
            <w:r>
              <w:rPr>
                <w:rFonts w:ascii="Arial" w:hAnsi="Arial"/>
                <w:w w:val="105"/>
                <w:sz w:val="19"/>
              </w:rPr>
              <w:t>Coeficiente de Preñez (C</w:t>
            </w:r>
            <w:r>
              <w:rPr>
                <w:rFonts w:ascii="Arial" w:hAnsi="Arial"/>
                <w:w w:val="105"/>
                <w:position w:val="-2"/>
                <w:sz w:val="13"/>
              </w:rPr>
              <w:t>p</w:t>
            </w:r>
            <w:r>
              <w:rPr>
                <w:rFonts w:ascii="Arial" w:hAnsi="Arial"/>
                <w:w w:val="105"/>
                <w:sz w:val="19"/>
              </w:rPr>
              <w:t>)</w:t>
            </w:r>
          </w:p>
        </w:tc>
        <w:tc>
          <w:tcPr>
            <w:tcW w:w="1982" w:type="dxa"/>
          </w:tcPr>
          <w:p>
            <w:pPr>
              <w:pStyle w:val="TableParagraph"/>
              <w:spacing w:before="4"/>
              <w:ind w:left="598" w:right="600"/>
              <w:jc w:val="center"/>
              <w:rPr>
                <w:rFonts w:ascii="Arial"/>
                <w:sz w:val="19"/>
              </w:rPr>
            </w:pPr>
            <w:r>
              <w:rPr>
                <w:rFonts w:ascii="Arial"/>
                <w:w w:val="105"/>
                <w:sz w:val="19"/>
              </w:rPr>
              <w:t>0.10</w:t>
            </w:r>
          </w:p>
        </w:tc>
        <w:tc>
          <w:tcPr>
            <w:tcW w:w="3019" w:type="dxa"/>
          </w:tcPr>
          <w:p>
            <w:pPr>
              <w:pStyle w:val="TableParagraph"/>
              <w:spacing w:before="4"/>
              <w:ind w:left="100" w:right="217"/>
              <w:rPr>
                <w:rFonts w:ascii="Arial"/>
                <w:sz w:val="19"/>
              </w:rPr>
            </w:pPr>
            <w:r>
              <w:rPr>
                <w:rFonts w:ascii="Arial"/>
                <w:w w:val="105"/>
                <w:sz w:val="19"/>
              </w:rPr>
              <w:t>IPCC, 2006.</w:t>
            </w:r>
          </w:p>
        </w:tc>
      </w:tr>
      <w:tr>
        <w:trPr>
          <w:trHeight w:val="240" w:hRule="exact"/>
        </w:trPr>
        <w:tc>
          <w:tcPr>
            <w:tcW w:w="3821" w:type="dxa"/>
          </w:tcPr>
          <w:p>
            <w:pPr>
              <w:pStyle w:val="TableParagraph"/>
              <w:spacing w:before="4"/>
              <w:ind w:left="100" w:right="164"/>
              <w:rPr>
                <w:rFonts w:ascii="Arial" w:hAnsi="Arial"/>
                <w:sz w:val="19"/>
              </w:rPr>
            </w:pPr>
            <w:r>
              <w:rPr>
                <w:rFonts w:ascii="Arial" w:hAnsi="Arial"/>
                <w:w w:val="105"/>
                <w:sz w:val="19"/>
              </w:rPr>
              <w:t>El aumento de peso (kg/día)</w:t>
            </w:r>
          </w:p>
        </w:tc>
        <w:tc>
          <w:tcPr>
            <w:tcW w:w="1982" w:type="dxa"/>
          </w:tcPr>
          <w:p>
            <w:pPr>
              <w:pStyle w:val="TableParagraph"/>
              <w:spacing w:before="4"/>
              <w:ind w:left="406"/>
              <w:rPr>
                <w:rFonts w:ascii="Arial"/>
                <w:sz w:val="19"/>
              </w:rPr>
            </w:pPr>
            <w:r>
              <w:rPr>
                <w:rFonts w:ascii="Arial"/>
                <w:w w:val="105"/>
                <w:sz w:val="19"/>
              </w:rPr>
              <w:t>0.0 hasta 0.7</w:t>
            </w:r>
          </w:p>
        </w:tc>
        <w:tc>
          <w:tcPr>
            <w:tcW w:w="3019" w:type="dxa"/>
          </w:tcPr>
          <w:p>
            <w:pPr>
              <w:pStyle w:val="TableParagraph"/>
              <w:spacing w:before="4"/>
              <w:ind w:left="100" w:right="217"/>
              <w:rPr>
                <w:rFonts w:ascii="Arial" w:hAnsi="Arial"/>
                <w:sz w:val="19"/>
              </w:rPr>
            </w:pPr>
            <w:r>
              <w:rPr>
                <w:rFonts w:ascii="Arial" w:hAnsi="Arial"/>
                <w:w w:val="105"/>
                <w:sz w:val="19"/>
              </w:rPr>
              <w:t>Nuestra estimación.</w:t>
            </w:r>
          </w:p>
        </w:tc>
      </w:tr>
      <w:tr>
        <w:trPr>
          <w:trHeight w:val="470" w:hRule="exact"/>
        </w:trPr>
        <w:tc>
          <w:tcPr>
            <w:tcW w:w="3821" w:type="dxa"/>
          </w:tcPr>
          <w:p>
            <w:pPr>
              <w:pStyle w:val="TableParagraph"/>
              <w:spacing w:line="204" w:lineRule="auto" w:before="31"/>
              <w:ind w:left="100" w:right="676"/>
              <w:rPr>
                <w:rFonts w:ascii="Arial" w:hAnsi="Arial"/>
                <w:sz w:val="19"/>
              </w:rPr>
            </w:pPr>
            <w:r>
              <w:rPr>
                <w:rFonts w:ascii="Arial" w:hAnsi="Arial"/>
                <w:w w:val="105"/>
                <w:sz w:val="19"/>
              </w:rPr>
              <w:t>Producción de leche promedio (kg cabeza</w:t>
            </w:r>
            <w:r>
              <w:rPr>
                <w:rFonts w:ascii="Arial" w:hAnsi="Arial"/>
                <w:w w:val="105"/>
                <w:position w:val="10"/>
                <w:sz w:val="13"/>
              </w:rPr>
              <w:t>-1 </w:t>
            </w:r>
            <w:r>
              <w:rPr>
                <w:rFonts w:ascii="Arial" w:hAnsi="Arial"/>
                <w:w w:val="105"/>
                <w:sz w:val="19"/>
              </w:rPr>
              <w:t>día</w:t>
            </w:r>
            <w:r>
              <w:rPr>
                <w:rFonts w:ascii="Arial" w:hAnsi="Arial"/>
                <w:w w:val="105"/>
                <w:position w:val="10"/>
                <w:sz w:val="13"/>
              </w:rPr>
              <w:t>-1</w:t>
            </w:r>
            <w:r>
              <w:rPr>
                <w:rFonts w:ascii="Arial" w:hAnsi="Arial"/>
                <w:w w:val="105"/>
                <w:sz w:val="19"/>
              </w:rPr>
              <w:t>)</w:t>
            </w:r>
          </w:p>
        </w:tc>
        <w:tc>
          <w:tcPr>
            <w:tcW w:w="1982" w:type="dxa"/>
          </w:tcPr>
          <w:p>
            <w:pPr>
              <w:pStyle w:val="TableParagraph"/>
              <w:spacing w:before="119"/>
              <w:ind w:left="598" w:right="602"/>
              <w:jc w:val="center"/>
              <w:rPr>
                <w:rFonts w:ascii="Arial"/>
                <w:sz w:val="19"/>
              </w:rPr>
            </w:pPr>
            <w:r>
              <w:rPr>
                <w:rFonts w:ascii="Arial"/>
                <w:w w:val="105"/>
                <w:sz w:val="19"/>
              </w:rPr>
              <w:t>15.9</w:t>
            </w:r>
          </w:p>
        </w:tc>
        <w:tc>
          <w:tcPr>
            <w:tcW w:w="3019" w:type="dxa"/>
          </w:tcPr>
          <w:p>
            <w:pPr>
              <w:pStyle w:val="TableParagraph"/>
              <w:spacing w:before="119"/>
              <w:ind w:left="100" w:right="217"/>
              <w:rPr>
                <w:rFonts w:ascii="Arial" w:hAnsi="Arial"/>
                <w:sz w:val="19"/>
              </w:rPr>
            </w:pPr>
            <w:r>
              <w:rPr>
                <w:rFonts w:ascii="Arial" w:hAnsi="Arial"/>
                <w:w w:val="105"/>
                <w:sz w:val="19"/>
              </w:rPr>
              <w:t>Nuestra estimación.</w:t>
            </w:r>
          </w:p>
        </w:tc>
      </w:tr>
      <w:tr>
        <w:trPr>
          <w:trHeight w:val="274" w:hRule="exact"/>
        </w:trPr>
        <w:tc>
          <w:tcPr>
            <w:tcW w:w="3821" w:type="dxa"/>
          </w:tcPr>
          <w:p>
            <w:pPr>
              <w:pStyle w:val="TableParagraph"/>
              <w:spacing w:before="23"/>
              <w:ind w:left="100" w:right="164"/>
              <w:rPr>
                <w:rFonts w:ascii="Arial"/>
                <w:sz w:val="19"/>
              </w:rPr>
            </w:pPr>
            <w:r>
              <w:rPr>
                <w:rFonts w:ascii="Arial"/>
                <w:w w:val="105"/>
                <w:sz w:val="19"/>
              </w:rPr>
              <w:t>Contenido de grasa de la leche (%)</w:t>
            </w:r>
          </w:p>
        </w:tc>
        <w:tc>
          <w:tcPr>
            <w:tcW w:w="1982" w:type="dxa"/>
          </w:tcPr>
          <w:p>
            <w:pPr>
              <w:pStyle w:val="TableParagraph"/>
              <w:spacing w:before="23"/>
              <w:ind w:left="598" w:right="602"/>
              <w:jc w:val="center"/>
              <w:rPr>
                <w:rFonts w:ascii="Arial"/>
                <w:sz w:val="19"/>
              </w:rPr>
            </w:pPr>
            <w:r>
              <w:rPr>
                <w:rFonts w:ascii="Arial"/>
                <w:w w:val="105"/>
                <w:sz w:val="19"/>
              </w:rPr>
              <w:t>3.6</w:t>
            </w:r>
          </w:p>
        </w:tc>
        <w:tc>
          <w:tcPr>
            <w:tcW w:w="3019" w:type="dxa"/>
          </w:tcPr>
          <w:p>
            <w:pPr>
              <w:pStyle w:val="TableParagraph"/>
              <w:spacing w:before="23"/>
              <w:ind w:left="100" w:right="217"/>
              <w:rPr>
                <w:rFonts w:ascii="Arial" w:hAnsi="Arial"/>
                <w:sz w:val="19"/>
              </w:rPr>
            </w:pPr>
            <w:r>
              <w:rPr>
                <w:rFonts w:ascii="Arial" w:hAnsi="Arial"/>
                <w:w w:val="105"/>
                <w:sz w:val="19"/>
              </w:rPr>
              <w:t>Nuestra estimación.</w:t>
            </w:r>
          </w:p>
        </w:tc>
      </w:tr>
      <w:tr>
        <w:trPr>
          <w:trHeight w:val="240" w:hRule="exact"/>
        </w:trPr>
        <w:tc>
          <w:tcPr>
            <w:tcW w:w="3821" w:type="dxa"/>
          </w:tcPr>
          <w:p>
            <w:pPr>
              <w:pStyle w:val="TableParagraph"/>
              <w:spacing w:before="4"/>
              <w:ind w:left="100" w:right="164"/>
              <w:rPr>
                <w:rFonts w:ascii="Arial" w:hAnsi="Arial"/>
                <w:sz w:val="19"/>
              </w:rPr>
            </w:pPr>
            <w:r>
              <w:rPr>
                <w:rFonts w:ascii="Arial" w:hAnsi="Arial"/>
                <w:w w:val="105"/>
                <w:sz w:val="19"/>
              </w:rPr>
              <w:t>Horas de trabajo por día</w:t>
            </w:r>
          </w:p>
        </w:tc>
        <w:tc>
          <w:tcPr>
            <w:tcW w:w="1982" w:type="dxa"/>
          </w:tcPr>
          <w:p>
            <w:pPr>
              <w:pStyle w:val="TableParagraph"/>
              <w:spacing w:before="4"/>
              <w:ind w:left="598" w:right="602"/>
              <w:jc w:val="center"/>
              <w:rPr>
                <w:rFonts w:ascii="Arial"/>
                <w:sz w:val="19"/>
              </w:rPr>
            </w:pPr>
            <w:r>
              <w:rPr>
                <w:rFonts w:ascii="Arial"/>
                <w:w w:val="105"/>
                <w:sz w:val="19"/>
              </w:rPr>
              <w:t>0.0</w:t>
            </w:r>
          </w:p>
        </w:tc>
        <w:tc>
          <w:tcPr>
            <w:tcW w:w="3019" w:type="dxa"/>
          </w:tcPr>
          <w:p>
            <w:pPr>
              <w:pStyle w:val="TableParagraph"/>
              <w:spacing w:before="4"/>
              <w:ind w:left="100" w:right="217"/>
              <w:rPr>
                <w:rFonts w:ascii="Arial" w:hAnsi="Arial"/>
                <w:sz w:val="19"/>
              </w:rPr>
            </w:pPr>
            <w:r>
              <w:rPr>
                <w:rFonts w:ascii="Arial" w:hAnsi="Arial"/>
                <w:w w:val="105"/>
                <w:sz w:val="19"/>
              </w:rPr>
              <w:t>Nuestra estimación.</w:t>
            </w:r>
          </w:p>
        </w:tc>
      </w:tr>
      <w:tr>
        <w:trPr>
          <w:trHeight w:val="240" w:hRule="exact"/>
        </w:trPr>
        <w:tc>
          <w:tcPr>
            <w:tcW w:w="3821" w:type="dxa"/>
          </w:tcPr>
          <w:p>
            <w:pPr>
              <w:pStyle w:val="TableParagraph"/>
              <w:spacing w:before="4"/>
              <w:ind w:left="100" w:right="164"/>
              <w:rPr>
                <w:rFonts w:ascii="Arial" w:hAnsi="Arial"/>
                <w:sz w:val="19"/>
              </w:rPr>
            </w:pPr>
            <w:r>
              <w:rPr>
                <w:rFonts w:ascii="Arial" w:hAnsi="Arial"/>
                <w:w w:val="105"/>
                <w:sz w:val="19"/>
              </w:rPr>
              <w:t>Proporción de vacas que dan a luz</w:t>
            </w:r>
          </w:p>
        </w:tc>
        <w:tc>
          <w:tcPr>
            <w:tcW w:w="1982" w:type="dxa"/>
          </w:tcPr>
          <w:p>
            <w:pPr>
              <w:pStyle w:val="TableParagraph"/>
              <w:spacing w:before="4"/>
              <w:ind w:left="598" w:right="600"/>
              <w:jc w:val="center"/>
              <w:rPr>
                <w:rFonts w:ascii="Arial"/>
                <w:sz w:val="19"/>
              </w:rPr>
            </w:pPr>
            <w:r>
              <w:rPr>
                <w:rFonts w:ascii="Arial"/>
                <w:w w:val="105"/>
                <w:sz w:val="19"/>
              </w:rPr>
              <w:t>0.80</w:t>
            </w:r>
          </w:p>
        </w:tc>
        <w:tc>
          <w:tcPr>
            <w:tcW w:w="3019" w:type="dxa"/>
          </w:tcPr>
          <w:p>
            <w:pPr>
              <w:pStyle w:val="TableParagraph"/>
              <w:spacing w:before="4"/>
              <w:ind w:left="100" w:right="217"/>
              <w:rPr>
                <w:rFonts w:ascii="Arial" w:hAnsi="Arial"/>
                <w:sz w:val="19"/>
              </w:rPr>
            </w:pPr>
            <w:r>
              <w:rPr>
                <w:rFonts w:ascii="Arial" w:hAnsi="Arial"/>
                <w:w w:val="105"/>
                <w:sz w:val="19"/>
              </w:rPr>
              <w:t>Nuestra estimación.</w:t>
            </w:r>
          </w:p>
        </w:tc>
      </w:tr>
      <w:tr>
        <w:trPr>
          <w:trHeight w:val="470" w:hRule="exact"/>
        </w:trPr>
        <w:tc>
          <w:tcPr>
            <w:tcW w:w="3821" w:type="dxa"/>
          </w:tcPr>
          <w:p>
            <w:pPr>
              <w:pStyle w:val="TableParagraph"/>
              <w:spacing w:line="252" w:lineRule="auto" w:before="4"/>
              <w:ind w:left="100" w:right="175"/>
              <w:rPr>
                <w:rFonts w:ascii="Arial" w:hAnsi="Arial"/>
                <w:sz w:val="19"/>
              </w:rPr>
            </w:pPr>
            <w:r>
              <w:rPr>
                <w:rFonts w:ascii="Arial" w:hAnsi="Arial"/>
                <w:w w:val="105"/>
                <w:sz w:val="19"/>
              </w:rPr>
              <w:t>Promedio de producción diaria de leche (kg/cabeza)</w:t>
            </w:r>
          </w:p>
        </w:tc>
        <w:tc>
          <w:tcPr>
            <w:tcW w:w="1982" w:type="dxa"/>
          </w:tcPr>
          <w:p>
            <w:pPr>
              <w:pStyle w:val="TableParagraph"/>
              <w:spacing w:before="119"/>
              <w:ind w:left="598" w:right="602"/>
              <w:jc w:val="center"/>
              <w:rPr>
                <w:rFonts w:ascii="Arial"/>
                <w:sz w:val="19"/>
              </w:rPr>
            </w:pPr>
            <w:r>
              <w:rPr>
                <w:rFonts w:ascii="Arial"/>
                <w:w w:val="105"/>
                <w:sz w:val="19"/>
              </w:rPr>
              <w:t>15.9</w:t>
            </w:r>
          </w:p>
        </w:tc>
        <w:tc>
          <w:tcPr>
            <w:tcW w:w="3019" w:type="dxa"/>
          </w:tcPr>
          <w:p>
            <w:pPr>
              <w:pStyle w:val="TableParagraph"/>
              <w:spacing w:before="119"/>
              <w:ind w:left="100" w:right="217"/>
              <w:rPr>
                <w:rFonts w:ascii="Arial" w:hAnsi="Arial"/>
                <w:sz w:val="19"/>
              </w:rPr>
            </w:pPr>
            <w:r>
              <w:rPr>
                <w:rFonts w:ascii="Arial" w:hAnsi="Arial"/>
                <w:w w:val="105"/>
                <w:sz w:val="19"/>
              </w:rPr>
              <w:t>Nuestra estimación.</w:t>
            </w:r>
          </w:p>
        </w:tc>
      </w:tr>
      <w:tr>
        <w:trPr>
          <w:trHeight w:val="470" w:hRule="exact"/>
        </w:trPr>
        <w:tc>
          <w:tcPr>
            <w:tcW w:w="3821" w:type="dxa"/>
          </w:tcPr>
          <w:p>
            <w:pPr>
              <w:pStyle w:val="TableParagraph"/>
              <w:spacing w:before="119"/>
              <w:ind w:left="100" w:right="164"/>
              <w:rPr>
                <w:rFonts w:ascii="Arial"/>
                <w:sz w:val="19"/>
              </w:rPr>
            </w:pPr>
            <w:r>
              <w:rPr>
                <w:rFonts w:ascii="Arial"/>
                <w:w w:val="105"/>
                <w:sz w:val="19"/>
              </w:rPr>
              <w:t>Digestibilidad (%)</w:t>
            </w:r>
          </w:p>
        </w:tc>
        <w:tc>
          <w:tcPr>
            <w:tcW w:w="1982" w:type="dxa"/>
          </w:tcPr>
          <w:p>
            <w:pPr>
              <w:pStyle w:val="TableParagraph"/>
              <w:spacing w:before="119"/>
              <w:ind w:left="183"/>
              <w:rPr>
                <w:rFonts w:ascii="Arial"/>
                <w:sz w:val="19"/>
              </w:rPr>
            </w:pPr>
            <w:r>
              <w:rPr>
                <w:rFonts w:ascii="Arial"/>
                <w:w w:val="105"/>
                <w:sz w:val="19"/>
              </w:rPr>
              <w:t>55.37 hasta 60.39</w:t>
            </w:r>
          </w:p>
        </w:tc>
        <w:tc>
          <w:tcPr>
            <w:tcW w:w="3019" w:type="dxa"/>
          </w:tcPr>
          <w:p>
            <w:pPr>
              <w:pStyle w:val="TableParagraph"/>
              <w:spacing w:line="252" w:lineRule="auto" w:before="4"/>
              <w:ind w:left="100" w:right="217"/>
              <w:rPr>
                <w:rFonts w:ascii="Arial" w:hAnsi="Arial"/>
                <w:sz w:val="19"/>
              </w:rPr>
            </w:pPr>
            <w:r>
              <w:rPr>
                <w:rFonts w:ascii="Arial" w:hAnsi="Arial"/>
                <w:w w:val="105"/>
                <w:sz w:val="19"/>
              </w:rPr>
              <w:t>Nuestra estimación con IPCC, 2006.</w:t>
            </w:r>
          </w:p>
        </w:tc>
      </w:tr>
      <w:tr>
        <w:trPr>
          <w:trHeight w:val="907" w:hRule="exact"/>
        </w:trPr>
        <w:tc>
          <w:tcPr>
            <w:tcW w:w="3821" w:type="dxa"/>
          </w:tcPr>
          <w:p>
            <w:pPr>
              <w:pStyle w:val="TableParagraph"/>
              <w:spacing w:before="6"/>
              <w:rPr>
                <w:rFonts w:ascii="Arial"/>
                <w:sz w:val="29"/>
              </w:rPr>
            </w:pPr>
          </w:p>
          <w:p>
            <w:pPr>
              <w:pStyle w:val="TableParagraph"/>
              <w:ind w:left="100" w:right="164"/>
              <w:rPr>
                <w:rFonts w:ascii="Arial"/>
                <w:sz w:val="19"/>
              </w:rPr>
            </w:pPr>
            <w:r>
              <w:rPr>
                <w:rFonts w:ascii="Arial"/>
                <w:w w:val="105"/>
                <w:sz w:val="19"/>
              </w:rPr>
              <w:t>Digestibilidad (%)</w:t>
            </w:r>
          </w:p>
        </w:tc>
        <w:tc>
          <w:tcPr>
            <w:tcW w:w="1982" w:type="dxa"/>
          </w:tcPr>
          <w:p>
            <w:pPr>
              <w:pStyle w:val="TableParagraph"/>
              <w:spacing w:before="6"/>
              <w:rPr>
                <w:rFonts w:ascii="Arial"/>
                <w:sz w:val="29"/>
              </w:rPr>
            </w:pPr>
          </w:p>
          <w:p>
            <w:pPr>
              <w:pStyle w:val="TableParagraph"/>
              <w:ind w:left="183"/>
              <w:rPr>
                <w:rFonts w:ascii="Arial"/>
                <w:sz w:val="19"/>
              </w:rPr>
            </w:pPr>
            <w:r>
              <w:rPr>
                <w:rFonts w:ascii="Arial"/>
                <w:w w:val="105"/>
                <w:sz w:val="19"/>
              </w:rPr>
              <w:t>49.10 hasta 55.49</w:t>
            </w:r>
          </w:p>
        </w:tc>
        <w:tc>
          <w:tcPr>
            <w:tcW w:w="3019" w:type="dxa"/>
          </w:tcPr>
          <w:p>
            <w:pPr>
              <w:pStyle w:val="TableParagraph"/>
              <w:spacing w:line="254" w:lineRule="auto" w:before="4"/>
              <w:ind w:left="100" w:right="449"/>
              <w:rPr>
                <w:rFonts w:ascii="Arial" w:hAnsi="Arial"/>
                <w:sz w:val="17"/>
              </w:rPr>
            </w:pPr>
            <w:r>
              <w:rPr>
                <w:rFonts w:ascii="Arial" w:hAnsi="Arial"/>
                <w:w w:val="105"/>
                <w:sz w:val="19"/>
              </w:rPr>
              <w:t>Nuestra estimación en Laboratorio de acuerdo a la Técnica de </w:t>
            </w:r>
            <w:r>
              <w:rPr>
                <w:rFonts w:ascii="Arial" w:hAnsi="Arial"/>
                <w:w w:val="105"/>
                <w:sz w:val="17"/>
              </w:rPr>
              <w:t>Tilley and Terry (1963).</w:t>
            </w:r>
          </w:p>
        </w:tc>
      </w:tr>
      <w:tr>
        <w:trPr>
          <w:trHeight w:val="240" w:hRule="exact"/>
        </w:trPr>
        <w:tc>
          <w:tcPr>
            <w:tcW w:w="3821" w:type="dxa"/>
          </w:tcPr>
          <w:p>
            <w:pPr>
              <w:pStyle w:val="TableParagraph"/>
              <w:spacing w:before="4"/>
              <w:ind w:left="100" w:right="164"/>
              <w:rPr>
                <w:rFonts w:ascii="Arial"/>
                <w:sz w:val="19"/>
              </w:rPr>
            </w:pPr>
            <w:r>
              <w:rPr>
                <w:rFonts w:ascii="Arial"/>
                <w:w w:val="105"/>
                <w:sz w:val="19"/>
              </w:rPr>
              <w:t>Ym (%)</w:t>
            </w:r>
          </w:p>
        </w:tc>
        <w:tc>
          <w:tcPr>
            <w:tcW w:w="1982" w:type="dxa"/>
          </w:tcPr>
          <w:p>
            <w:pPr>
              <w:pStyle w:val="TableParagraph"/>
              <w:spacing w:before="4"/>
              <w:ind w:left="598" w:right="602"/>
              <w:jc w:val="center"/>
              <w:rPr>
                <w:rFonts w:ascii="Arial"/>
                <w:sz w:val="19"/>
              </w:rPr>
            </w:pPr>
            <w:r>
              <w:rPr>
                <w:rFonts w:ascii="Arial"/>
                <w:w w:val="105"/>
                <w:sz w:val="19"/>
              </w:rPr>
              <w:t>6.5</w:t>
            </w:r>
          </w:p>
        </w:tc>
        <w:tc>
          <w:tcPr>
            <w:tcW w:w="3019" w:type="dxa"/>
          </w:tcPr>
          <w:p>
            <w:pPr>
              <w:pStyle w:val="TableParagraph"/>
              <w:spacing w:before="4"/>
              <w:ind w:left="100" w:right="217"/>
              <w:rPr>
                <w:rFonts w:ascii="Arial"/>
                <w:sz w:val="19"/>
              </w:rPr>
            </w:pPr>
            <w:r>
              <w:rPr>
                <w:rFonts w:ascii="Arial"/>
                <w:w w:val="105"/>
                <w:sz w:val="19"/>
              </w:rPr>
              <w:t>IPCC, 2006.</w:t>
            </w:r>
          </w:p>
        </w:tc>
      </w:tr>
      <w:tr>
        <w:trPr>
          <w:trHeight w:val="701" w:hRule="exact"/>
        </w:trPr>
        <w:tc>
          <w:tcPr>
            <w:tcW w:w="3821" w:type="dxa"/>
          </w:tcPr>
          <w:p>
            <w:pPr>
              <w:pStyle w:val="TableParagraph"/>
              <w:spacing w:before="4"/>
              <w:rPr>
                <w:rFonts w:ascii="Arial"/>
                <w:sz w:val="20"/>
              </w:rPr>
            </w:pPr>
          </w:p>
          <w:p>
            <w:pPr>
              <w:pStyle w:val="TableParagraph"/>
              <w:ind w:left="100" w:right="164"/>
              <w:rPr>
                <w:rFonts w:ascii="Arial"/>
                <w:sz w:val="19"/>
              </w:rPr>
            </w:pPr>
            <w:r>
              <w:rPr>
                <w:rFonts w:ascii="Arial"/>
                <w:w w:val="105"/>
                <w:sz w:val="19"/>
              </w:rPr>
              <w:t>Ym (%)</w:t>
            </w:r>
          </w:p>
        </w:tc>
        <w:tc>
          <w:tcPr>
            <w:tcW w:w="1982" w:type="dxa"/>
          </w:tcPr>
          <w:p>
            <w:pPr>
              <w:pStyle w:val="TableParagraph"/>
              <w:spacing w:before="4"/>
              <w:rPr>
                <w:rFonts w:ascii="Arial"/>
                <w:sz w:val="20"/>
              </w:rPr>
            </w:pPr>
          </w:p>
          <w:p>
            <w:pPr>
              <w:pStyle w:val="TableParagraph"/>
              <w:ind w:left="598" w:right="602"/>
              <w:jc w:val="center"/>
              <w:rPr>
                <w:rFonts w:ascii="Arial"/>
                <w:sz w:val="19"/>
              </w:rPr>
            </w:pPr>
            <w:r>
              <w:rPr>
                <w:rFonts w:ascii="Arial"/>
                <w:w w:val="105"/>
                <w:sz w:val="19"/>
              </w:rPr>
              <w:t>6.5 - 7.2</w:t>
            </w:r>
          </w:p>
        </w:tc>
        <w:tc>
          <w:tcPr>
            <w:tcW w:w="3019" w:type="dxa"/>
          </w:tcPr>
          <w:p>
            <w:pPr>
              <w:pStyle w:val="TableParagraph"/>
              <w:spacing w:line="252" w:lineRule="auto" w:before="4"/>
              <w:ind w:left="100" w:right="216"/>
              <w:rPr>
                <w:rFonts w:ascii="Arial" w:hAnsi="Arial"/>
                <w:sz w:val="19"/>
              </w:rPr>
            </w:pPr>
            <w:r>
              <w:rPr>
                <w:rFonts w:ascii="Arial" w:hAnsi="Arial"/>
                <w:w w:val="105"/>
                <w:sz w:val="19"/>
              </w:rPr>
              <w:t>Nuestra estimación con la ecuación de Cambra-López </w:t>
            </w:r>
            <w:r>
              <w:rPr>
                <w:rFonts w:ascii="Arial" w:hAnsi="Arial"/>
                <w:i/>
                <w:w w:val="105"/>
                <w:sz w:val="19"/>
              </w:rPr>
              <w:t>et </w:t>
            </w:r>
            <w:r>
              <w:rPr>
                <w:rFonts w:ascii="Arial" w:hAnsi="Arial"/>
                <w:i/>
                <w:w w:val="105"/>
                <w:sz w:val="19"/>
              </w:rPr>
              <w:t>al. </w:t>
            </w:r>
            <w:r>
              <w:rPr>
                <w:rFonts w:ascii="Arial" w:hAnsi="Arial"/>
                <w:w w:val="105"/>
                <w:sz w:val="19"/>
              </w:rPr>
              <w:t>(2008).</w:t>
            </w:r>
          </w:p>
        </w:tc>
      </w:tr>
      <w:tr>
        <w:trPr>
          <w:trHeight w:val="262" w:hRule="exact"/>
        </w:trPr>
        <w:tc>
          <w:tcPr>
            <w:tcW w:w="3821" w:type="dxa"/>
            <w:tcBorders>
              <w:bottom w:val="single" w:sz="21" w:space="0" w:color="943634"/>
            </w:tcBorders>
          </w:tcPr>
          <w:p>
            <w:pPr>
              <w:pStyle w:val="TableParagraph"/>
              <w:spacing w:before="4"/>
              <w:ind w:left="100" w:right="164"/>
              <w:rPr>
                <w:rFonts w:ascii="Arial"/>
                <w:sz w:val="19"/>
              </w:rPr>
            </w:pPr>
            <w:r>
              <w:rPr>
                <w:rFonts w:ascii="Arial"/>
                <w:w w:val="105"/>
                <w:sz w:val="19"/>
              </w:rPr>
              <w:t>MJ/kg metano</w:t>
            </w:r>
          </w:p>
        </w:tc>
        <w:tc>
          <w:tcPr>
            <w:tcW w:w="1982" w:type="dxa"/>
            <w:tcBorders>
              <w:bottom w:val="single" w:sz="21" w:space="0" w:color="943634"/>
            </w:tcBorders>
          </w:tcPr>
          <w:p>
            <w:pPr>
              <w:pStyle w:val="TableParagraph"/>
              <w:spacing w:before="4"/>
              <w:ind w:left="598" w:right="600"/>
              <w:jc w:val="center"/>
              <w:rPr>
                <w:rFonts w:ascii="Arial"/>
                <w:sz w:val="19"/>
              </w:rPr>
            </w:pPr>
            <w:r>
              <w:rPr>
                <w:rFonts w:ascii="Arial"/>
                <w:w w:val="105"/>
                <w:sz w:val="19"/>
              </w:rPr>
              <w:t>55.65</w:t>
            </w:r>
          </w:p>
        </w:tc>
        <w:tc>
          <w:tcPr>
            <w:tcW w:w="3019" w:type="dxa"/>
            <w:tcBorders>
              <w:bottom w:val="single" w:sz="21" w:space="0" w:color="943634"/>
            </w:tcBorders>
          </w:tcPr>
          <w:p>
            <w:pPr>
              <w:pStyle w:val="TableParagraph"/>
              <w:spacing w:before="4"/>
              <w:ind w:left="100" w:right="217"/>
              <w:rPr>
                <w:rFonts w:ascii="Arial"/>
                <w:sz w:val="19"/>
              </w:rPr>
            </w:pPr>
            <w:r>
              <w:rPr>
                <w:rFonts w:ascii="Arial"/>
                <w:w w:val="105"/>
                <w:sz w:val="19"/>
              </w:rPr>
              <w:t>IPCC, 2006.</w:t>
            </w:r>
          </w:p>
        </w:tc>
      </w:tr>
    </w:tbl>
    <w:p>
      <w:pPr>
        <w:spacing w:before="28"/>
        <w:ind w:left="276" w:right="0" w:firstLine="0"/>
        <w:jc w:val="left"/>
        <w:rPr>
          <w:sz w:val="19"/>
        </w:rPr>
      </w:pPr>
      <w:r>
        <w:rPr>
          <w:b/>
          <w:w w:val="105"/>
          <w:sz w:val="19"/>
        </w:rPr>
        <w:t>Fuente: </w:t>
      </w:r>
      <w:r>
        <w:rPr>
          <w:w w:val="105"/>
          <w:sz w:val="19"/>
        </w:rPr>
        <w:t>Elaboración propia.</w:t>
      </w:r>
    </w:p>
    <w:p>
      <w:pPr>
        <w:pStyle w:val="BodyText"/>
        <w:rPr>
          <w:sz w:val="20"/>
        </w:rPr>
      </w:pPr>
    </w:p>
    <w:p>
      <w:pPr>
        <w:pStyle w:val="BodyText"/>
        <w:spacing w:before="2"/>
        <w:rPr>
          <w:sz w:val="20"/>
        </w:rPr>
      </w:pPr>
    </w:p>
    <w:p>
      <w:pPr>
        <w:pStyle w:val="BodyText"/>
        <w:spacing w:line="360" w:lineRule="auto" w:before="69"/>
        <w:ind w:left="276" w:right="143"/>
        <w:jc w:val="both"/>
      </w:pPr>
      <w:r>
        <w:rPr/>
        <w:t>Para hacer una comparación se realizaron cuatro estimaciones diferentes: Estimación 1) IPPC Nivel 2 (2006): en donde la EB y ls ED%, FE y Ym de la dieta se obtuvieron utilizando las directrices del IPCC 2006 en su Nivel 2, con los porcentajes de inclusión de las dietas proporcionadas a los animales por los productores lecheros </w:t>
      </w:r>
      <w:r>
        <w:rPr>
          <w:i/>
        </w:rPr>
        <w:t>in situ</w:t>
      </w:r>
      <w:r>
        <w:rPr/>
        <w:t>; Estimación 2) IPCC Nivel 2 (2006) y Ecuación para obtener el Ym de Cambra-López </w:t>
      </w:r>
      <w:r>
        <w:rPr>
          <w:i/>
        </w:rPr>
        <w:t>et al. </w:t>
      </w:r>
      <w:r>
        <w:rPr/>
        <w:t>(2008): en donde la EB, la ED% y FE de la dieta se obtuvieron utilizando las directrices del IPCC (2006) Nivel 2, con los porcentajes de inclusión de las dietas proporcionadas a los animales por los productores</w:t>
      </w:r>
      <w:r>
        <w:rPr>
          <w:spacing w:val="-7"/>
        </w:rPr>
        <w:t> </w:t>
      </w:r>
      <w:r>
        <w:rPr/>
        <w:t>lecheros</w:t>
      </w:r>
      <w:r>
        <w:rPr>
          <w:spacing w:val="-7"/>
        </w:rPr>
        <w:t> </w:t>
      </w:r>
      <w:r>
        <w:rPr>
          <w:i/>
        </w:rPr>
        <w:t>in</w:t>
      </w:r>
      <w:r>
        <w:rPr>
          <w:i/>
          <w:spacing w:val="-7"/>
        </w:rPr>
        <w:t> </w:t>
      </w:r>
      <w:r>
        <w:rPr>
          <w:i/>
        </w:rPr>
        <w:t>situ</w:t>
      </w:r>
      <w:r>
        <w:rPr/>
        <w:t>,</w:t>
      </w:r>
      <w:r>
        <w:rPr>
          <w:spacing w:val="-7"/>
        </w:rPr>
        <w:t> </w:t>
      </w:r>
      <w:r>
        <w:rPr/>
        <w:t>además</w:t>
      </w:r>
      <w:r>
        <w:rPr>
          <w:spacing w:val="-7"/>
        </w:rPr>
        <w:t> </w:t>
      </w:r>
      <w:r>
        <w:rPr/>
        <w:t>se</w:t>
      </w:r>
      <w:r>
        <w:rPr>
          <w:spacing w:val="-7"/>
        </w:rPr>
        <w:t> </w:t>
      </w:r>
      <w:r>
        <w:rPr/>
        <w:t>utilizó</w:t>
      </w:r>
      <w:r>
        <w:rPr>
          <w:spacing w:val="-7"/>
        </w:rPr>
        <w:t> </w:t>
      </w:r>
      <w:r>
        <w:rPr/>
        <w:t>para</w:t>
      </w:r>
      <w:r>
        <w:rPr>
          <w:spacing w:val="-7"/>
        </w:rPr>
        <w:t> </w:t>
      </w:r>
      <w:r>
        <w:rPr/>
        <w:t>la</w:t>
      </w:r>
      <w:r>
        <w:rPr>
          <w:spacing w:val="-7"/>
        </w:rPr>
        <w:t> </w:t>
      </w:r>
      <w:r>
        <w:rPr/>
        <w:t>obtención</w:t>
      </w:r>
      <w:r>
        <w:rPr>
          <w:spacing w:val="-7"/>
        </w:rPr>
        <w:t> </w:t>
      </w:r>
      <w:r>
        <w:rPr/>
        <w:t>del</w:t>
      </w:r>
      <w:r>
        <w:rPr>
          <w:spacing w:val="-7"/>
        </w:rPr>
        <w:t> </w:t>
      </w:r>
      <w:r>
        <w:rPr/>
        <w:t>Ym</w:t>
      </w:r>
      <w:r>
        <w:rPr>
          <w:spacing w:val="-7"/>
        </w:rPr>
        <w:t> </w:t>
      </w:r>
      <w:r>
        <w:rPr/>
        <w:t>la</w:t>
      </w:r>
      <w:r>
        <w:rPr>
          <w:spacing w:val="-7"/>
        </w:rPr>
        <w:t> </w:t>
      </w:r>
      <w:r>
        <w:rPr/>
        <w:t>ecuación de</w:t>
      </w:r>
      <w:r>
        <w:rPr>
          <w:spacing w:val="-9"/>
        </w:rPr>
        <w:t> </w:t>
      </w:r>
      <w:r>
        <w:rPr/>
        <w:t>regresión</w:t>
      </w:r>
      <w:r>
        <w:rPr>
          <w:spacing w:val="-9"/>
        </w:rPr>
        <w:t> </w:t>
      </w:r>
      <w:r>
        <w:rPr/>
        <w:t>lineal</w:t>
      </w:r>
      <w:r>
        <w:rPr>
          <w:spacing w:val="-9"/>
        </w:rPr>
        <w:t> </w:t>
      </w:r>
      <w:r>
        <w:rPr/>
        <w:t>y</w:t>
      </w:r>
      <w:r>
        <w:rPr>
          <w:spacing w:val="-9"/>
        </w:rPr>
        <w:t> </w:t>
      </w:r>
      <w:r>
        <w:rPr/>
        <w:t>polinómica</w:t>
      </w:r>
      <w:r>
        <w:rPr>
          <w:spacing w:val="-9"/>
        </w:rPr>
        <w:t> </w:t>
      </w:r>
      <w:r>
        <w:rPr/>
        <w:t>de</w:t>
      </w:r>
      <w:r>
        <w:rPr>
          <w:spacing w:val="-9"/>
        </w:rPr>
        <w:t> </w:t>
      </w:r>
      <w:r>
        <w:rPr/>
        <w:t>Cambra-López</w:t>
      </w:r>
      <w:r>
        <w:rPr>
          <w:spacing w:val="-9"/>
        </w:rPr>
        <w:t> </w:t>
      </w:r>
      <w:r>
        <w:rPr>
          <w:i/>
        </w:rPr>
        <w:t>et</w:t>
      </w:r>
      <w:r>
        <w:rPr>
          <w:i/>
          <w:spacing w:val="-9"/>
        </w:rPr>
        <w:t> </w:t>
      </w:r>
      <w:r>
        <w:rPr>
          <w:i/>
        </w:rPr>
        <w:t>al.</w:t>
      </w:r>
      <w:r>
        <w:rPr>
          <w:i/>
          <w:spacing w:val="-9"/>
        </w:rPr>
        <w:t> </w:t>
      </w:r>
      <w:r>
        <w:rPr/>
        <w:t>(2008);</w:t>
      </w:r>
      <w:r>
        <w:rPr>
          <w:spacing w:val="-9"/>
        </w:rPr>
        <w:t> </w:t>
      </w:r>
      <w:r>
        <w:rPr/>
        <w:t>Estimación</w:t>
      </w:r>
      <w:r>
        <w:rPr>
          <w:spacing w:val="-9"/>
        </w:rPr>
        <w:t> </w:t>
      </w:r>
      <w:r>
        <w:rPr/>
        <w:t>3)</w:t>
      </w:r>
      <w:r>
        <w:rPr>
          <w:spacing w:val="-9"/>
        </w:rPr>
        <w:t> </w:t>
      </w:r>
      <w:r>
        <w:rPr/>
        <w:t>IPCC Nivel 2 (2006) y DE% y GE Obtenidas por la técnica de Tilley and Terry (1963): Cuando</w:t>
      </w:r>
      <w:r>
        <w:rPr>
          <w:spacing w:val="38"/>
        </w:rPr>
        <w:t> </w:t>
      </w:r>
      <w:r>
        <w:rPr/>
        <w:t>la</w:t>
      </w:r>
      <w:r>
        <w:rPr>
          <w:spacing w:val="38"/>
        </w:rPr>
        <w:t> </w:t>
      </w:r>
      <w:r>
        <w:rPr/>
        <w:t>GE</w:t>
      </w:r>
      <w:r>
        <w:rPr>
          <w:spacing w:val="38"/>
        </w:rPr>
        <w:t> </w:t>
      </w:r>
      <w:r>
        <w:rPr/>
        <w:t>y</w:t>
      </w:r>
      <w:r>
        <w:rPr>
          <w:spacing w:val="38"/>
        </w:rPr>
        <w:t> </w:t>
      </w:r>
      <w:r>
        <w:rPr/>
        <w:t>la</w:t>
      </w:r>
      <w:r>
        <w:rPr>
          <w:spacing w:val="38"/>
        </w:rPr>
        <w:t> </w:t>
      </w:r>
      <w:r>
        <w:rPr/>
        <w:t>DE%</w:t>
      </w:r>
      <w:r>
        <w:rPr>
          <w:spacing w:val="38"/>
        </w:rPr>
        <w:t> </w:t>
      </w:r>
      <w:r>
        <w:rPr/>
        <w:t>se</w:t>
      </w:r>
      <w:r>
        <w:rPr>
          <w:spacing w:val="38"/>
        </w:rPr>
        <w:t> </w:t>
      </w:r>
      <w:r>
        <w:rPr/>
        <w:t>obtuvieron</w:t>
      </w:r>
      <w:r>
        <w:rPr>
          <w:spacing w:val="38"/>
        </w:rPr>
        <w:t> </w:t>
      </w:r>
      <w:r>
        <w:rPr/>
        <w:t>utilizando</w:t>
      </w:r>
      <w:r>
        <w:rPr>
          <w:spacing w:val="38"/>
        </w:rPr>
        <w:t> </w:t>
      </w:r>
      <w:r>
        <w:rPr/>
        <w:t>la</w:t>
      </w:r>
      <w:r>
        <w:rPr>
          <w:spacing w:val="38"/>
        </w:rPr>
        <w:t> </w:t>
      </w:r>
      <w:r>
        <w:rPr/>
        <w:t>técnica</w:t>
      </w:r>
      <w:r>
        <w:rPr>
          <w:spacing w:val="38"/>
        </w:rPr>
        <w:t> </w:t>
      </w:r>
      <w:r>
        <w:rPr/>
        <w:t>de</w:t>
      </w:r>
      <w:r>
        <w:rPr>
          <w:spacing w:val="38"/>
        </w:rPr>
        <w:t> </w:t>
      </w:r>
      <w:r>
        <w:rPr/>
        <w:t>Tilley</w:t>
      </w:r>
      <w:r>
        <w:rPr>
          <w:spacing w:val="38"/>
        </w:rPr>
        <w:t> </w:t>
      </w:r>
      <w:r>
        <w:rPr/>
        <w:t>and</w:t>
      </w:r>
      <w:r>
        <w:rPr>
          <w:spacing w:val="38"/>
        </w:rPr>
        <w:t> </w:t>
      </w:r>
      <w:r>
        <w:rPr/>
        <w:t>Terry</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(1963),</w:t>
      </w:r>
      <w:r>
        <w:rPr>
          <w:spacing w:val="-11"/>
        </w:rPr>
        <w:t> </w:t>
      </w:r>
      <w:r>
        <w:rPr/>
        <w:t>con</w:t>
      </w:r>
      <w:r>
        <w:rPr>
          <w:spacing w:val="-11"/>
        </w:rPr>
        <w:t> </w:t>
      </w:r>
      <w:r>
        <w:rPr/>
        <w:t>los</w:t>
      </w:r>
      <w:r>
        <w:rPr>
          <w:spacing w:val="-11"/>
        </w:rPr>
        <w:t> </w:t>
      </w:r>
      <w:r>
        <w:rPr/>
        <w:t>porcentajes</w:t>
      </w:r>
      <w:r>
        <w:rPr>
          <w:spacing w:val="-11"/>
        </w:rPr>
        <w:t> </w:t>
      </w:r>
      <w:r>
        <w:rPr/>
        <w:t>de</w:t>
      </w:r>
      <w:r>
        <w:rPr>
          <w:spacing w:val="-11"/>
        </w:rPr>
        <w:t> </w:t>
      </w:r>
      <w:r>
        <w:rPr/>
        <w:t>inclusión</w:t>
      </w:r>
      <w:r>
        <w:rPr>
          <w:spacing w:val="-11"/>
        </w:rPr>
        <w:t> </w:t>
      </w:r>
      <w:r>
        <w:rPr/>
        <w:t>de</w:t>
      </w:r>
      <w:r>
        <w:rPr>
          <w:spacing w:val="-11"/>
        </w:rPr>
        <w:t> </w:t>
      </w:r>
      <w:r>
        <w:rPr/>
        <w:t>las</w:t>
      </w:r>
      <w:r>
        <w:rPr>
          <w:spacing w:val="-11"/>
        </w:rPr>
        <w:t> </w:t>
      </w:r>
      <w:r>
        <w:rPr/>
        <w:t>dietas</w:t>
      </w:r>
      <w:r>
        <w:rPr>
          <w:spacing w:val="-11"/>
        </w:rPr>
        <w:t> </w:t>
      </w:r>
      <w:r>
        <w:rPr/>
        <w:t>proporcionadas</w:t>
      </w:r>
      <w:r>
        <w:rPr>
          <w:spacing w:val="-12"/>
        </w:rPr>
        <w:t> </w:t>
      </w:r>
      <w:r>
        <w:rPr/>
        <w:t>a</w:t>
      </w:r>
      <w:r>
        <w:rPr>
          <w:spacing w:val="-11"/>
        </w:rPr>
        <w:t> </w:t>
      </w:r>
      <w:r>
        <w:rPr/>
        <w:t>los</w:t>
      </w:r>
      <w:r>
        <w:rPr>
          <w:spacing w:val="-11"/>
        </w:rPr>
        <w:t> </w:t>
      </w:r>
      <w:r>
        <w:rPr/>
        <w:t>animales por los productores lecheros </w:t>
      </w:r>
      <w:r>
        <w:rPr>
          <w:i/>
        </w:rPr>
        <w:t>in situ</w:t>
      </w:r>
      <w:r>
        <w:rPr/>
        <w:t>. El FE y el Ym de acuerdo las directrices del IPCC (2006) y Estimación 4) Técnica de Tilley and Terry (1963) - Ecuación para obtener el Ym de Cambra-López </w:t>
      </w:r>
      <w:r>
        <w:rPr>
          <w:i/>
        </w:rPr>
        <w:t>et al. </w:t>
      </w:r>
      <w:r>
        <w:rPr/>
        <w:t>(2008) – IPCC (2006) Nivel 2: Cuando la</w:t>
      </w:r>
      <w:r>
        <w:rPr>
          <w:spacing w:val="-17"/>
        </w:rPr>
        <w:t> </w:t>
      </w:r>
      <w:r>
        <w:rPr/>
        <w:t>EB y</w:t>
      </w:r>
      <w:r>
        <w:rPr>
          <w:spacing w:val="-6"/>
        </w:rPr>
        <w:t> </w:t>
      </w:r>
      <w:r>
        <w:rPr/>
        <w:t>la</w:t>
      </w:r>
      <w:r>
        <w:rPr>
          <w:spacing w:val="-6"/>
        </w:rPr>
        <w:t> </w:t>
      </w:r>
      <w:r>
        <w:rPr/>
        <w:t>ED%</w:t>
      </w:r>
      <w:r>
        <w:rPr>
          <w:spacing w:val="-6"/>
        </w:rPr>
        <w:t> </w:t>
      </w:r>
      <w:r>
        <w:rPr/>
        <w:t>se</w:t>
      </w:r>
      <w:r>
        <w:rPr>
          <w:spacing w:val="-6"/>
        </w:rPr>
        <w:t> </w:t>
      </w:r>
      <w:r>
        <w:rPr/>
        <w:t>obtuvieron</w:t>
      </w:r>
      <w:r>
        <w:rPr>
          <w:spacing w:val="-6"/>
        </w:rPr>
        <w:t> </w:t>
      </w:r>
      <w:r>
        <w:rPr/>
        <w:t>utilizando</w:t>
      </w:r>
      <w:r>
        <w:rPr>
          <w:spacing w:val="-6"/>
        </w:rPr>
        <w:t> </w:t>
      </w:r>
      <w:r>
        <w:rPr/>
        <w:t>la</w:t>
      </w:r>
      <w:r>
        <w:rPr>
          <w:spacing w:val="-6"/>
        </w:rPr>
        <w:t> </w:t>
      </w:r>
      <w:r>
        <w:rPr/>
        <w:t>técnica</w:t>
      </w:r>
      <w:r>
        <w:rPr>
          <w:spacing w:val="-6"/>
        </w:rPr>
        <w:t> </w:t>
      </w:r>
      <w:r>
        <w:rPr/>
        <w:t>de</w:t>
      </w:r>
      <w:r>
        <w:rPr>
          <w:spacing w:val="-6"/>
        </w:rPr>
        <w:t> </w:t>
      </w:r>
      <w:r>
        <w:rPr/>
        <w:t>Tilley</w:t>
      </w:r>
      <w:r>
        <w:rPr>
          <w:spacing w:val="-6"/>
        </w:rPr>
        <w:t> </w:t>
      </w:r>
      <w:r>
        <w:rPr/>
        <w:t>and</w:t>
      </w:r>
      <w:r>
        <w:rPr>
          <w:spacing w:val="-6"/>
        </w:rPr>
        <w:t> </w:t>
      </w:r>
      <w:r>
        <w:rPr/>
        <w:t>Terry</w:t>
      </w:r>
      <w:r>
        <w:rPr>
          <w:spacing w:val="-6"/>
        </w:rPr>
        <w:t> </w:t>
      </w:r>
      <w:r>
        <w:rPr/>
        <w:t>(1963),</w:t>
      </w:r>
      <w:r>
        <w:rPr>
          <w:spacing w:val="-6"/>
        </w:rPr>
        <w:t> </w:t>
      </w:r>
      <w:r>
        <w:rPr/>
        <w:t>el</w:t>
      </w:r>
      <w:r>
        <w:rPr>
          <w:spacing w:val="-6"/>
        </w:rPr>
        <w:t> </w:t>
      </w:r>
      <w:r>
        <w:rPr/>
        <w:t>Ym</w:t>
      </w:r>
      <w:r>
        <w:rPr>
          <w:spacing w:val="-6"/>
        </w:rPr>
        <w:t> </w:t>
      </w:r>
      <w:r>
        <w:rPr/>
        <w:t>con</w:t>
      </w:r>
      <w:r>
        <w:rPr>
          <w:spacing w:val="-6"/>
        </w:rPr>
        <w:t> </w:t>
      </w:r>
      <w:r>
        <w:rPr/>
        <w:t>la ecuación de Cambra-López </w:t>
      </w:r>
      <w:r>
        <w:rPr>
          <w:i/>
        </w:rPr>
        <w:t>et al. </w:t>
      </w:r>
      <w:r>
        <w:rPr/>
        <w:t>(2008), y el FE de acuerdo a las directrices del IPCC (2006), con los porcentajes de inclusión de las dietas proporcionadas a los animales por los productores lecheros </w:t>
      </w:r>
      <w:r>
        <w:rPr>
          <w:i/>
        </w:rPr>
        <w:t>in</w:t>
      </w:r>
      <w:r>
        <w:rPr>
          <w:i/>
          <w:spacing w:val="-2"/>
        </w:rPr>
        <w:t> </w:t>
      </w:r>
      <w:r>
        <w:rPr>
          <w:i/>
        </w:rPr>
        <w:t>situ</w:t>
      </w:r>
      <w:r>
        <w:rPr/>
        <w:t>.</w:t>
      </w:r>
    </w:p>
    <w:p>
      <w:pPr>
        <w:pStyle w:val="BodyText"/>
        <w:spacing w:line="355" w:lineRule="auto" w:before="2"/>
        <w:ind w:left="276" w:right="143"/>
        <w:jc w:val="both"/>
      </w:pPr>
      <w:r>
        <w:rPr/>
        <w:t>El grado en el que la energía de los alimentos se convierte en CH</w:t>
      </w:r>
      <w:r>
        <w:rPr>
          <w:position w:val="-2"/>
          <w:sz w:val="16"/>
        </w:rPr>
        <w:t>4 </w:t>
      </w:r>
      <w:r>
        <w:rPr/>
        <w:t>depende de diversos factores alimentarios y animales interrelacionados para poder estimar el FE de CH</w:t>
      </w:r>
      <w:r>
        <w:rPr>
          <w:position w:val="-2"/>
          <w:sz w:val="16"/>
        </w:rPr>
        <w:t>4</w:t>
      </w:r>
      <w:r>
        <w:rPr/>
        <w:t>, ya que se carece de trabajos de investigación que proporcionen los factores de emisión de País, se tiene registrado los factores de conversión de Metano para el estiércol del ganado en México de González-Avalos </w:t>
      </w:r>
      <w:r>
        <w:rPr>
          <w:i/>
        </w:rPr>
        <w:t>et al. </w:t>
      </w:r>
      <w:r>
        <w:rPr/>
        <w:t>(2007).</w:t>
      </w:r>
    </w:p>
    <w:p>
      <w:pPr>
        <w:pStyle w:val="BodyText"/>
        <w:spacing w:line="357" w:lineRule="auto" w:before="13"/>
        <w:ind w:left="276" w:right="143"/>
        <w:jc w:val="both"/>
      </w:pPr>
      <w:r>
        <w:rPr/>
        <w:t>Cuando</w:t>
      </w:r>
      <w:r>
        <w:rPr>
          <w:spacing w:val="-16"/>
        </w:rPr>
        <w:t> </w:t>
      </w:r>
      <w:r>
        <w:rPr/>
        <w:t>se</w:t>
      </w:r>
      <w:r>
        <w:rPr>
          <w:spacing w:val="-16"/>
        </w:rPr>
        <w:t> </w:t>
      </w:r>
      <w:r>
        <w:rPr/>
        <w:t>aplica</w:t>
      </w:r>
      <w:r>
        <w:rPr>
          <w:spacing w:val="-16"/>
        </w:rPr>
        <w:t> </w:t>
      </w:r>
      <w:r>
        <w:rPr/>
        <w:t>el</w:t>
      </w:r>
      <w:r>
        <w:rPr>
          <w:spacing w:val="-16"/>
        </w:rPr>
        <w:t> </w:t>
      </w:r>
      <w:r>
        <w:rPr/>
        <w:t>método</w:t>
      </w:r>
      <w:r>
        <w:rPr>
          <w:spacing w:val="-16"/>
        </w:rPr>
        <w:t> </w:t>
      </w:r>
      <w:r>
        <w:rPr/>
        <w:t>de</w:t>
      </w:r>
      <w:r>
        <w:rPr>
          <w:spacing w:val="-16"/>
        </w:rPr>
        <w:t> </w:t>
      </w:r>
      <w:r>
        <w:rPr/>
        <w:t>Nivel</w:t>
      </w:r>
      <w:r>
        <w:rPr>
          <w:spacing w:val="-16"/>
        </w:rPr>
        <w:t> </w:t>
      </w:r>
      <w:r>
        <w:rPr/>
        <w:t>2,</w:t>
      </w:r>
      <w:r>
        <w:rPr>
          <w:spacing w:val="-16"/>
        </w:rPr>
        <w:t> </w:t>
      </w:r>
      <w:r>
        <w:rPr/>
        <w:t>los</w:t>
      </w:r>
      <w:r>
        <w:rPr>
          <w:spacing w:val="-16"/>
        </w:rPr>
        <w:t> </w:t>
      </w:r>
      <w:r>
        <w:rPr/>
        <w:t>FE</w:t>
      </w:r>
      <w:r>
        <w:rPr>
          <w:spacing w:val="-16"/>
        </w:rPr>
        <w:t> </w:t>
      </w:r>
      <w:r>
        <w:rPr/>
        <w:t>se</w:t>
      </w:r>
      <w:r>
        <w:rPr>
          <w:spacing w:val="-16"/>
        </w:rPr>
        <w:t> </w:t>
      </w:r>
      <w:r>
        <w:rPr/>
        <w:t>estiman</w:t>
      </w:r>
      <w:r>
        <w:rPr>
          <w:spacing w:val="-16"/>
        </w:rPr>
        <w:t> </w:t>
      </w:r>
      <w:r>
        <w:rPr/>
        <w:t>sobre</w:t>
      </w:r>
      <w:r>
        <w:rPr>
          <w:spacing w:val="-16"/>
        </w:rPr>
        <w:t> </w:t>
      </w:r>
      <w:r>
        <w:rPr/>
        <w:t>la</w:t>
      </w:r>
      <w:r>
        <w:rPr>
          <w:spacing w:val="-16"/>
        </w:rPr>
        <w:t> </w:t>
      </w:r>
      <w:r>
        <w:rPr/>
        <w:t>base</w:t>
      </w:r>
      <w:r>
        <w:rPr>
          <w:spacing w:val="-16"/>
        </w:rPr>
        <w:t> </w:t>
      </w:r>
      <w:r>
        <w:rPr/>
        <w:t>de</w:t>
      </w:r>
      <w:r>
        <w:rPr>
          <w:spacing w:val="-16"/>
        </w:rPr>
        <w:t> </w:t>
      </w:r>
      <w:r>
        <w:rPr/>
        <w:t>la</w:t>
      </w:r>
      <w:r>
        <w:rPr>
          <w:spacing w:val="-16"/>
        </w:rPr>
        <w:t> </w:t>
      </w:r>
      <w:r>
        <w:rPr/>
        <w:t>ingesta de GE y el Ym. El Ym es difícil estimar </w:t>
      </w:r>
      <w:r>
        <w:rPr>
          <w:i/>
        </w:rPr>
        <w:t>in vivo</w:t>
      </w:r>
      <w:r>
        <w:rPr/>
        <w:t>, Jhonson </w:t>
      </w:r>
      <w:r>
        <w:rPr>
          <w:i/>
        </w:rPr>
        <w:t>et al. </w:t>
      </w:r>
      <w:r>
        <w:rPr/>
        <w:t>(1995) lo estimo en bovino</w:t>
      </w:r>
      <w:r>
        <w:rPr>
          <w:spacing w:val="-5"/>
        </w:rPr>
        <w:t> </w:t>
      </w:r>
      <w:r>
        <w:rPr/>
        <w:t>a</w:t>
      </w:r>
      <w:r>
        <w:rPr>
          <w:spacing w:val="-5"/>
        </w:rPr>
        <w:t> </w:t>
      </w:r>
      <w:r>
        <w:rPr/>
        <w:t>través</w:t>
      </w:r>
      <w:r>
        <w:rPr>
          <w:spacing w:val="-5"/>
        </w:rPr>
        <w:t> </w:t>
      </w:r>
      <w:r>
        <w:rPr/>
        <w:t>de</w:t>
      </w:r>
      <w:r>
        <w:rPr>
          <w:spacing w:val="-5"/>
        </w:rPr>
        <w:t> </w:t>
      </w:r>
      <w:r>
        <w:rPr/>
        <w:t>cámaras</w:t>
      </w:r>
      <w:r>
        <w:rPr>
          <w:spacing w:val="-5"/>
        </w:rPr>
        <w:t> </w:t>
      </w:r>
      <w:r>
        <w:rPr/>
        <w:t>de</w:t>
      </w:r>
      <w:r>
        <w:rPr>
          <w:spacing w:val="-5"/>
        </w:rPr>
        <w:t> </w:t>
      </w:r>
      <w:r>
        <w:rPr/>
        <w:t>respiración.</w:t>
      </w:r>
      <w:r>
        <w:rPr>
          <w:spacing w:val="-5"/>
        </w:rPr>
        <w:t> </w:t>
      </w:r>
      <w:r>
        <w:rPr/>
        <w:t>En</w:t>
      </w:r>
      <w:r>
        <w:rPr>
          <w:spacing w:val="-5"/>
        </w:rPr>
        <w:t> </w:t>
      </w:r>
      <w:r>
        <w:rPr/>
        <w:t>nuestro</w:t>
      </w:r>
      <w:r>
        <w:rPr>
          <w:spacing w:val="-5"/>
        </w:rPr>
        <w:t> </w:t>
      </w:r>
      <w:r>
        <w:rPr/>
        <w:t>país,</w:t>
      </w:r>
      <w:r>
        <w:rPr>
          <w:spacing w:val="-5"/>
        </w:rPr>
        <w:t> </w:t>
      </w:r>
      <w:r>
        <w:rPr/>
        <w:t>no</w:t>
      </w:r>
      <w:r>
        <w:rPr>
          <w:spacing w:val="-5"/>
        </w:rPr>
        <w:t> </w:t>
      </w:r>
      <w:r>
        <w:rPr/>
        <w:t>se</w:t>
      </w:r>
      <w:r>
        <w:rPr>
          <w:spacing w:val="-5"/>
        </w:rPr>
        <w:t> </w:t>
      </w:r>
      <w:r>
        <w:rPr/>
        <w:t>registran</w:t>
      </w:r>
      <w:r>
        <w:rPr>
          <w:spacing w:val="-5"/>
        </w:rPr>
        <w:t> </w:t>
      </w:r>
      <w:r>
        <w:rPr/>
        <w:t>valores propios de Ym para fermentación entérica, por lo que en los Inventarios</w:t>
      </w:r>
      <w:r>
        <w:rPr>
          <w:spacing w:val="-37"/>
        </w:rPr>
        <w:t> </w:t>
      </w:r>
      <w:r>
        <w:rPr/>
        <w:t>Nacionales de GEI se utilizan los propuestos por las directrices del IPCC (2006) que son estimados para América Latina. El Ym es un factor principal para el cálculo de las emisiones de cada categoría animal (ecuación (2)), las guías del IPCC establecen rangos de Ym. En esta investigación se utilizaron y compararon los Ym para vacunos de acuerdo con el IPCC (2006), y la fórmula para la obtención del Ym de Cambra-López </w:t>
      </w:r>
      <w:r>
        <w:rPr>
          <w:i/>
        </w:rPr>
        <w:t>et al. </w:t>
      </w:r>
      <w:r>
        <w:rPr/>
        <w:t>(2008), determinada en base a regresiones lineales y polinómicas de trabajos publicados que aportaban datos sobre digestibilidad y producción de CH</w:t>
      </w:r>
      <w:r>
        <w:rPr>
          <w:position w:val="-2"/>
          <w:sz w:val="16"/>
        </w:rPr>
        <w:t>4</w:t>
      </w:r>
      <w:r>
        <w:rPr/>
        <w:t>, con la finalidad de obtener un Ym, específico y generar un FE propio de país (ecuaciones (3)).</w:t>
      </w:r>
    </w:p>
    <w:p>
      <w:pPr>
        <w:pStyle w:val="BodyText"/>
        <w:spacing w:line="350" w:lineRule="auto" w:before="10"/>
        <w:ind w:left="276" w:right="143"/>
        <w:jc w:val="both"/>
      </w:pPr>
      <w:r>
        <w:rPr/>
        <w:t>Se estimaron los FE de CH</w:t>
      </w:r>
      <w:r>
        <w:rPr>
          <w:position w:val="-2"/>
          <w:sz w:val="16"/>
        </w:rPr>
        <w:t>4 </w:t>
      </w:r>
      <w:r>
        <w:rPr/>
        <w:t>por fermentación entérica para cada categoría animal por un periodo de un año, utilizando la ecuación 2. El cálculo de las emisiones totales</w:t>
      </w:r>
      <w:r>
        <w:rPr>
          <w:spacing w:val="-15"/>
        </w:rPr>
        <w:t> </w:t>
      </w:r>
      <w:r>
        <w:rPr/>
        <w:t>de</w:t>
      </w:r>
      <w:r>
        <w:rPr>
          <w:spacing w:val="-15"/>
        </w:rPr>
        <w:t> </w:t>
      </w:r>
      <w:r>
        <w:rPr/>
        <w:t>CH</w:t>
      </w:r>
      <w:r>
        <w:rPr>
          <w:position w:val="-2"/>
          <w:sz w:val="16"/>
        </w:rPr>
        <w:t>4</w:t>
      </w:r>
      <w:r>
        <w:rPr>
          <w:spacing w:val="8"/>
          <w:position w:val="-2"/>
          <w:sz w:val="16"/>
        </w:rPr>
        <w:t> </w:t>
      </w:r>
      <w:r>
        <w:rPr/>
        <w:t>entérico</w:t>
      </w:r>
      <w:r>
        <w:rPr>
          <w:spacing w:val="-15"/>
        </w:rPr>
        <w:t> </w:t>
      </w:r>
      <w:r>
        <w:rPr/>
        <w:t>(ecuación</w:t>
      </w:r>
      <w:r>
        <w:rPr>
          <w:spacing w:val="-15"/>
        </w:rPr>
        <w:t> </w:t>
      </w:r>
      <w:r>
        <w:rPr/>
        <w:t>(4)),</w:t>
      </w:r>
      <w:r>
        <w:rPr>
          <w:spacing w:val="-15"/>
        </w:rPr>
        <w:t> </w:t>
      </w:r>
      <w:r>
        <w:rPr/>
        <w:t>de</w:t>
      </w:r>
      <w:r>
        <w:rPr>
          <w:spacing w:val="-15"/>
        </w:rPr>
        <w:t> </w:t>
      </w:r>
      <w:r>
        <w:rPr/>
        <w:t>vacas</w:t>
      </w:r>
      <w:r>
        <w:rPr>
          <w:spacing w:val="-15"/>
        </w:rPr>
        <w:t> </w:t>
      </w:r>
      <w:r>
        <w:rPr/>
        <w:t>en</w:t>
      </w:r>
      <w:r>
        <w:rPr>
          <w:spacing w:val="-15"/>
        </w:rPr>
        <w:t> </w:t>
      </w:r>
      <w:r>
        <w:rPr/>
        <w:t>el</w:t>
      </w:r>
      <w:r>
        <w:rPr>
          <w:spacing w:val="-15"/>
        </w:rPr>
        <w:t> </w:t>
      </w:r>
      <w:r>
        <w:rPr/>
        <w:t>sistema</w:t>
      </w:r>
      <w:r>
        <w:rPr>
          <w:spacing w:val="-15"/>
        </w:rPr>
        <w:t> </w:t>
      </w:r>
      <w:r>
        <w:rPr/>
        <w:t>de</w:t>
      </w:r>
      <w:r>
        <w:rPr>
          <w:spacing w:val="-15"/>
        </w:rPr>
        <w:t> </w:t>
      </w:r>
      <w:r>
        <w:rPr/>
        <w:t>producción</w:t>
      </w:r>
      <w:r>
        <w:rPr>
          <w:spacing w:val="-15"/>
        </w:rPr>
        <w:t> </w:t>
      </w:r>
      <w:r>
        <w:rPr/>
        <w:t>lechera en pequeña escala, obteniendo el producto entre los factores de emisión de  </w:t>
      </w:r>
      <w:r>
        <w:rPr>
          <w:spacing w:val="34"/>
        </w:rPr>
        <w:t> </w:t>
      </w:r>
      <w:r>
        <w:rPr/>
        <w:t>cada</w:t>
      </w:r>
    </w:p>
    <w:p>
      <w:pPr>
        <w:spacing w:after="0" w:line="350" w:lineRule="auto"/>
        <w:jc w:val="both"/>
        <w:sectPr>
          <w:pgSz w:w="12240" w:h="15840"/>
          <w:pgMar w:header="741" w:footer="739" w:top="1220" w:bottom="920" w:left="1720" w:right="1260"/>
        </w:sectPr>
      </w:pPr>
    </w:p>
    <w:p>
      <w:pPr>
        <w:pStyle w:val="BodyText"/>
        <w:spacing w:before="4"/>
        <w:rPr>
          <w:sz w:val="11"/>
        </w:rPr>
      </w:pPr>
    </w:p>
    <w:p>
      <w:pPr>
        <w:pStyle w:val="BodyText"/>
        <w:spacing w:line="362" w:lineRule="auto" w:before="69"/>
        <w:ind w:left="276"/>
      </w:pPr>
      <w:r>
        <w:rPr/>
        <w:t>subcategoría animal y el total de animales reportados en las encuestas realizadas para este fin.</w:t>
      </w:r>
    </w:p>
    <w:p>
      <w:pPr>
        <w:spacing w:after="0" w:line="362" w:lineRule="auto"/>
        <w:sectPr>
          <w:pgSz w:w="12240" w:h="15840"/>
          <w:pgMar w:header="741" w:footer="739" w:top="1220" w:bottom="920" w:left="1720" w:right="1260"/>
        </w:sectPr>
      </w:pPr>
    </w:p>
    <w:p>
      <w:pPr>
        <w:pStyle w:val="BodyText"/>
        <w:spacing w:before="4"/>
        <w:rPr>
          <w:sz w:val="27"/>
        </w:rPr>
      </w:pPr>
    </w:p>
    <w:p>
      <w:pPr>
        <w:pStyle w:val="BodyText"/>
        <w:ind w:left="1332"/>
        <w:rPr>
          <w:sz w:val="20"/>
        </w:rPr>
      </w:pPr>
      <w:r>
        <w:rPr>
          <w:sz w:val="20"/>
        </w:rPr>
        <w:pict>
          <v:group style="width:412.1pt;height:256.6pt;mso-position-horizontal-relative:char;mso-position-vertical-relative:line" coordorigin="0,0" coordsize="8242,5132">
            <v:shape style="position:absolute;left:0;top:0;width:8242;height:5131" type="#_x0000_t75" stroked="false">
              <v:imagedata r:id="rId151" o:title=""/>
            </v:shape>
            <v:shape style="position:absolute;left:432;top:0;width:206;height:552" type="#_x0000_t75" stroked="false">
              <v:imagedata r:id="rId9" o:title=""/>
            </v:shape>
            <v:shape style="position:absolute;left:710;top:0;width:206;height:552" type="#_x0000_t75" stroked="false">
              <v:imagedata r:id="rId10" o:title=""/>
            </v:shape>
            <v:shape style="position:absolute;left:0;top:0;width:8242;height:5132" type="#_x0000_t202" filled="false" stroked="false">
              <v:textbox inset="0,0,0,0">
                <w:txbxContent>
                  <w:p>
                    <w:pPr>
                      <w:spacing w:line="240" w:lineRule="auto" w:before="6"/>
                      <w:rPr>
                        <w:sz w:val="46"/>
                      </w:rPr>
                    </w:pPr>
                  </w:p>
                  <w:p>
                    <w:pPr>
                      <w:spacing w:line="237" w:lineRule="auto" w:before="0"/>
                      <w:ind w:left="772" w:right="135" w:firstLine="456"/>
                      <w:jc w:val="right"/>
                      <w:rPr>
                        <w:sz w:val="38"/>
                      </w:rPr>
                    </w:pPr>
                    <w:r>
                      <w:rPr>
                        <w:color w:val="632423"/>
                        <w:w w:val="80"/>
                        <w:sz w:val="38"/>
                      </w:rPr>
                      <w:t>La</w:t>
                    </w:r>
                    <w:r>
                      <w:rPr>
                        <w:color w:val="632423"/>
                        <w:spacing w:val="-55"/>
                        <w:w w:val="80"/>
                        <w:sz w:val="38"/>
                      </w:rPr>
                      <w:t> </w:t>
                    </w:r>
                    <w:r>
                      <w:rPr>
                        <w:color w:val="632423"/>
                        <w:w w:val="80"/>
                        <w:sz w:val="38"/>
                      </w:rPr>
                      <w:t>producción</w:t>
                    </w:r>
                    <w:r>
                      <w:rPr>
                        <w:color w:val="632423"/>
                        <w:spacing w:val="-55"/>
                        <w:w w:val="80"/>
                        <w:sz w:val="38"/>
                      </w:rPr>
                      <w:t> </w:t>
                    </w:r>
                    <w:r>
                      <w:rPr>
                        <w:color w:val="632423"/>
                        <w:w w:val="80"/>
                        <w:sz w:val="38"/>
                      </w:rPr>
                      <w:t>de</w:t>
                    </w:r>
                    <w:r>
                      <w:rPr>
                        <w:color w:val="632423"/>
                        <w:spacing w:val="-55"/>
                        <w:w w:val="80"/>
                        <w:sz w:val="38"/>
                      </w:rPr>
                      <w:t> </w:t>
                    </w:r>
                    <w:r>
                      <w:rPr>
                        <w:color w:val="632423"/>
                        <w:w w:val="80"/>
                        <w:sz w:val="38"/>
                      </w:rPr>
                      <w:t>ganado</w:t>
                    </w:r>
                    <w:r>
                      <w:rPr>
                        <w:color w:val="632423"/>
                        <w:spacing w:val="-55"/>
                        <w:w w:val="80"/>
                        <w:sz w:val="38"/>
                      </w:rPr>
                      <w:t> </w:t>
                    </w:r>
                    <w:r>
                      <w:rPr>
                        <w:color w:val="632423"/>
                        <w:w w:val="80"/>
                        <w:sz w:val="38"/>
                      </w:rPr>
                      <w:t>puede</w:t>
                    </w:r>
                    <w:r>
                      <w:rPr>
                        <w:color w:val="632423"/>
                        <w:spacing w:val="-55"/>
                        <w:w w:val="80"/>
                        <w:sz w:val="38"/>
                      </w:rPr>
                      <w:t> </w:t>
                    </w:r>
                    <w:r>
                      <w:rPr>
                        <w:color w:val="632423"/>
                        <w:w w:val="80"/>
                        <w:sz w:val="38"/>
                      </w:rPr>
                      <w:t>traer</w:t>
                    </w:r>
                    <w:r>
                      <w:rPr>
                        <w:color w:val="632423"/>
                        <w:spacing w:val="-53"/>
                        <w:w w:val="80"/>
                        <w:sz w:val="38"/>
                      </w:rPr>
                      <w:t> </w:t>
                    </w:r>
                    <w:r>
                      <w:rPr>
                        <w:color w:val="632423"/>
                        <w:w w:val="80"/>
                        <w:sz w:val="38"/>
                      </w:rPr>
                      <w:t>como</w:t>
                    </w:r>
                    <w:r>
                      <w:rPr>
                        <w:color w:val="632423"/>
                        <w:spacing w:val="-55"/>
                        <w:w w:val="80"/>
                        <w:sz w:val="38"/>
                      </w:rPr>
                      <w:t> </w:t>
                    </w:r>
                    <w:r>
                      <w:rPr>
                        <w:color w:val="632423"/>
                        <w:w w:val="80"/>
                        <w:sz w:val="38"/>
                      </w:rPr>
                      <w:t>resultado</w:t>
                    </w:r>
                    <w:r>
                      <w:rPr>
                        <w:color w:val="632423"/>
                        <w:w w:val="76"/>
                        <w:sz w:val="38"/>
                      </w:rPr>
                      <w:t> </w:t>
                    </w:r>
                    <w:r>
                      <w:rPr>
                        <w:color w:val="632423"/>
                        <w:w w:val="75"/>
                        <w:sz w:val="38"/>
                      </w:rPr>
                      <w:t>emisiones de CH</w:t>
                    </w:r>
                    <w:r>
                      <w:rPr>
                        <w:color w:val="632423"/>
                        <w:w w:val="75"/>
                        <w:position w:val="-3"/>
                        <w:sz w:val="25"/>
                      </w:rPr>
                      <w:t>4 </w:t>
                    </w:r>
                    <w:r>
                      <w:rPr>
                        <w:color w:val="632423"/>
                        <w:w w:val="75"/>
                        <w:sz w:val="38"/>
                      </w:rPr>
                      <w:t>resultante de la fermentación entérica y</w:t>
                    </w:r>
                    <w:r>
                      <w:rPr>
                        <w:color w:val="632423"/>
                        <w:w w:val="70"/>
                        <w:sz w:val="38"/>
                      </w:rPr>
                      <w:t> </w:t>
                    </w:r>
                    <w:r>
                      <w:rPr>
                        <w:color w:val="632423"/>
                        <w:w w:val="80"/>
                        <w:sz w:val="38"/>
                      </w:rPr>
                      <w:t>emisiones</w:t>
                    </w:r>
                    <w:r>
                      <w:rPr>
                        <w:color w:val="632423"/>
                        <w:spacing w:val="-54"/>
                        <w:w w:val="80"/>
                        <w:sz w:val="38"/>
                      </w:rPr>
                      <w:t> </w:t>
                    </w:r>
                    <w:r>
                      <w:rPr>
                        <w:color w:val="632423"/>
                        <w:w w:val="80"/>
                        <w:sz w:val="38"/>
                      </w:rPr>
                      <w:t>de</w:t>
                    </w:r>
                    <w:r>
                      <w:rPr>
                        <w:color w:val="632423"/>
                        <w:spacing w:val="-54"/>
                        <w:w w:val="80"/>
                        <w:sz w:val="38"/>
                      </w:rPr>
                      <w:t> </w:t>
                    </w:r>
                    <w:r>
                      <w:rPr>
                        <w:color w:val="632423"/>
                        <w:w w:val="80"/>
                        <w:sz w:val="38"/>
                      </w:rPr>
                      <w:t>CH</w:t>
                    </w:r>
                    <w:r>
                      <w:rPr>
                        <w:color w:val="632423"/>
                        <w:w w:val="80"/>
                        <w:position w:val="-3"/>
                        <w:sz w:val="25"/>
                      </w:rPr>
                      <w:t>4 </w:t>
                    </w:r>
                    <w:r>
                      <w:rPr>
                        <w:color w:val="632423"/>
                        <w:w w:val="80"/>
                        <w:sz w:val="38"/>
                      </w:rPr>
                      <w:t>y</w:t>
                    </w:r>
                    <w:r>
                      <w:rPr>
                        <w:color w:val="632423"/>
                        <w:spacing w:val="-54"/>
                        <w:w w:val="80"/>
                        <w:sz w:val="38"/>
                      </w:rPr>
                      <w:t> </w:t>
                    </w:r>
                    <w:r>
                      <w:rPr>
                        <w:color w:val="632423"/>
                        <w:w w:val="80"/>
                        <w:sz w:val="38"/>
                      </w:rPr>
                      <w:t>N</w:t>
                    </w:r>
                    <w:r>
                      <w:rPr>
                        <w:color w:val="632423"/>
                        <w:w w:val="80"/>
                        <w:position w:val="-3"/>
                        <w:sz w:val="25"/>
                      </w:rPr>
                      <w:t>2</w:t>
                    </w:r>
                    <w:r>
                      <w:rPr>
                        <w:color w:val="632423"/>
                        <w:w w:val="80"/>
                        <w:sz w:val="38"/>
                      </w:rPr>
                      <w:t>O</w:t>
                    </w:r>
                    <w:r>
                      <w:rPr>
                        <w:color w:val="632423"/>
                        <w:spacing w:val="-54"/>
                        <w:w w:val="80"/>
                        <w:sz w:val="38"/>
                      </w:rPr>
                      <w:t> </w:t>
                    </w:r>
                    <w:r>
                      <w:rPr>
                        <w:color w:val="632423"/>
                        <w:w w:val="80"/>
                        <w:sz w:val="38"/>
                      </w:rPr>
                      <w:t>de</w:t>
                    </w:r>
                    <w:r>
                      <w:rPr>
                        <w:color w:val="632423"/>
                        <w:spacing w:val="-54"/>
                        <w:w w:val="80"/>
                        <w:sz w:val="38"/>
                      </w:rPr>
                      <w:t> </w:t>
                    </w:r>
                    <w:r>
                      <w:rPr>
                        <w:color w:val="632423"/>
                        <w:w w:val="80"/>
                        <w:sz w:val="38"/>
                      </w:rPr>
                      <w:t>los</w:t>
                    </w:r>
                    <w:r>
                      <w:rPr>
                        <w:color w:val="632423"/>
                        <w:spacing w:val="-54"/>
                        <w:w w:val="80"/>
                        <w:sz w:val="38"/>
                      </w:rPr>
                      <w:t> </w:t>
                    </w:r>
                    <w:r>
                      <w:rPr>
                        <w:color w:val="632423"/>
                        <w:w w:val="80"/>
                        <w:sz w:val="38"/>
                      </w:rPr>
                      <w:t>sistemas</w:t>
                    </w:r>
                    <w:r>
                      <w:rPr>
                        <w:color w:val="632423"/>
                        <w:spacing w:val="-54"/>
                        <w:w w:val="80"/>
                        <w:sz w:val="38"/>
                      </w:rPr>
                      <w:t> </w:t>
                    </w:r>
                    <w:r>
                      <w:rPr>
                        <w:color w:val="632423"/>
                        <w:w w:val="80"/>
                        <w:sz w:val="38"/>
                      </w:rPr>
                      <w:t>de</w:t>
                    </w:r>
                    <w:r>
                      <w:rPr>
                        <w:color w:val="632423"/>
                        <w:spacing w:val="-54"/>
                        <w:w w:val="80"/>
                        <w:sz w:val="38"/>
                      </w:rPr>
                      <w:t> </w:t>
                    </w:r>
                    <w:r>
                      <w:rPr>
                        <w:color w:val="632423"/>
                        <w:w w:val="80"/>
                        <w:sz w:val="38"/>
                      </w:rPr>
                      <w:t>gestión</w:t>
                    </w:r>
                    <w:r>
                      <w:rPr>
                        <w:color w:val="632423"/>
                        <w:spacing w:val="-54"/>
                        <w:w w:val="80"/>
                        <w:sz w:val="38"/>
                      </w:rPr>
                      <w:t> </w:t>
                    </w:r>
                    <w:r>
                      <w:rPr>
                        <w:color w:val="632423"/>
                        <w:w w:val="80"/>
                        <w:sz w:val="38"/>
                      </w:rPr>
                      <w:t>del</w:t>
                    </w:r>
                  </w:p>
                  <w:p>
                    <w:pPr>
                      <w:spacing w:line="430" w:lineRule="exact" w:before="0"/>
                      <w:ind w:left="0" w:right="140" w:firstLine="0"/>
                      <w:jc w:val="right"/>
                      <w:rPr>
                        <w:sz w:val="38"/>
                      </w:rPr>
                    </w:pPr>
                    <w:r>
                      <w:rPr>
                        <w:color w:val="632423"/>
                        <w:w w:val="75"/>
                        <w:sz w:val="38"/>
                      </w:rPr>
                      <w:t>estiércol del</w:t>
                    </w:r>
                    <w:r>
                      <w:rPr>
                        <w:color w:val="632423"/>
                        <w:spacing w:val="58"/>
                        <w:w w:val="75"/>
                        <w:sz w:val="38"/>
                      </w:rPr>
                      <w:t> </w:t>
                    </w:r>
                    <w:r>
                      <w:rPr>
                        <w:color w:val="632423"/>
                        <w:w w:val="75"/>
                        <w:sz w:val="38"/>
                      </w:rPr>
                      <w:t>ganado”.</w:t>
                    </w:r>
                  </w:p>
                  <w:p>
                    <w:pPr>
                      <w:spacing w:before="257"/>
                      <w:ind w:left="0" w:right="138" w:firstLine="0"/>
                      <w:jc w:val="right"/>
                      <w:rPr>
                        <w:sz w:val="23"/>
                      </w:rPr>
                    </w:pPr>
                    <w:r>
                      <w:rPr>
                        <w:color w:val="632423"/>
                        <w:w w:val="80"/>
                        <w:sz w:val="23"/>
                      </w:rPr>
                      <w:t>IPCC (2006)</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1"/>
        <w:spacing w:line="2935" w:lineRule="exact"/>
        <w:ind w:left="257" w:right="311"/>
      </w:pPr>
      <w:r>
        <w:rPr/>
        <w:pict>
          <v:rect style="position:absolute;margin-left:176.872406pt;margin-top:106.676735pt;width:366.24pt;height:6pt;mso-position-horizontal-relative:page;mso-position-vertical-relative:paragraph;z-index:-307264" filled="true" fillcolor="#943634" stroked="false">
            <v:fill type="solid"/>
            <w10:wrap type="none"/>
          </v:rect>
        </w:pict>
      </w:r>
      <w:r>
        <w:rPr/>
        <w:drawing>
          <wp:anchor distT="0" distB="0" distL="0" distR="0" allowOverlap="1" layoutInCell="1" locked="0" behindDoc="1" simplePos="0" relativeHeight="268128215">
            <wp:simplePos x="0" y="0"/>
            <wp:positionH relativeFrom="page">
              <wp:posOffset>1011839</wp:posOffset>
            </wp:positionH>
            <wp:positionV relativeFrom="paragraph">
              <wp:posOffset>-443525</wp:posOffset>
            </wp:positionV>
            <wp:extent cx="1136903" cy="1962912"/>
            <wp:effectExtent l="0" t="0" r="0" b="0"/>
            <wp:wrapNone/>
            <wp:docPr id="25" name="image12.png" descr=""/>
            <wp:cNvGraphicFramePr>
              <a:graphicFrameLocks noChangeAspect="1"/>
            </wp:cNvGraphicFramePr>
            <a:graphic>
              <a:graphicData uri="http://schemas.openxmlformats.org/drawingml/2006/picture">
                <pic:pic>
                  <pic:nvPicPr>
                    <pic:cNvPr id="26" name="image12.png"/>
                    <pic:cNvPicPr/>
                  </pic:nvPicPr>
                  <pic:blipFill>
                    <a:blip r:embed="rId28" cstate="print"/>
                    <a:stretch>
                      <a:fillRect/>
                    </a:stretch>
                  </pic:blipFill>
                  <pic:spPr>
                    <a:xfrm>
                      <a:off x="0" y="0"/>
                      <a:ext cx="1136903" cy="1962912"/>
                    </a:xfrm>
                    <a:prstGeom prst="rect">
                      <a:avLst/>
                    </a:prstGeom>
                  </pic:spPr>
                </pic:pic>
              </a:graphicData>
            </a:graphic>
          </wp:anchor>
        </w:drawing>
      </w:r>
      <w:bookmarkStart w:name="_TOC_250000" w:id="30"/>
      <w:r>
        <w:rPr>
          <w:b w:val="0"/>
          <w:color w:val="943634"/>
          <w:spacing w:val="162"/>
          <w:w w:val="99"/>
          <w:position w:val="-30"/>
          <w:sz w:val="300"/>
        </w:rPr>
        <w:t>8</w:t>
      </w:r>
      <w:r>
        <w:rPr>
          <w:spacing w:val="2"/>
          <w:w w:val="101"/>
        </w:rPr>
        <w:t>R</w:t>
      </w:r>
      <w:r>
        <w:rPr>
          <w:spacing w:val="1"/>
          <w:w w:val="101"/>
        </w:rPr>
        <w:t>esu</w:t>
      </w:r>
      <w:r>
        <w:rPr>
          <w:w w:val="101"/>
        </w:rPr>
        <w:t>l</w:t>
      </w:r>
      <w:r>
        <w:rPr>
          <w:spacing w:val="1"/>
          <w:w w:val="101"/>
        </w:rPr>
        <w:t>tado</w:t>
      </w:r>
      <w:r>
        <w:rPr>
          <w:w w:val="101"/>
        </w:rPr>
        <w:t>s</w:t>
      </w:r>
      <w:r>
        <w:rPr>
          <w:spacing w:val="4"/>
        </w:rPr>
        <w:t> </w:t>
      </w:r>
      <w:r>
        <w:rPr>
          <w:spacing w:val="2"/>
          <w:w w:val="101"/>
        </w:rPr>
        <w:t>gene</w:t>
      </w:r>
      <w:r>
        <w:rPr>
          <w:w w:val="101"/>
        </w:rPr>
        <w:t>r</w:t>
      </w:r>
      <w:r>
        <w:rPr>
          <w:spacing w:val="1"/>
          <w:w w:val="101"/>
        </w:rPr>
        <w:t>a</w:t>
      </w:r>
      <w:r>
        <w:rPr>
          <w:w w:val="101"/>
        </w:rPr>
        <w:t>l</w:t>
      </w:r>
      <w:bookmarkEnd w:id="30"/>
      <w:r>
        <w:rPr>
          <w:spacing w:val="1"/>
          <w:w w:val="101"/>
        </w:rPr>
        <w:t>es</w:t>
      </w:r>
    </w:p>
    <w:p>
      <w:pPr>
        <w:pStyle w:val="BodyText"/>
        <w:spacing w:line="360" w:lineRule="auto" w:before="154"/>
        <w:ind w:left="516" w:right="311"/>
      </w:pPr>
      <w:r>
        <w:rPr/>
        <w:t>Los resultados de las investigaciones realizadas se presentan en tres capítulos de libro y un resumen en extenso nacionales e internacionales como se indica:</w:t>
      </w:r>
    </w:p>
    <w:p>
      <w:pPr>
        <w:pStyle w:val="ListParagraph"/>
        <w:numPr>
          <w:ilvl w:val="3"/>
          <w:numId w:val="13"/>
        </w:numPr>
        <w:tabs>
          <w:tab w:pos="1237" w:val="left" w:leader="none"/>
        </w:tabs>
        <w:spacing w:line="357" w:lineRule="auto" w:before="1" w:after="0"/>
        <w:ind w:left="1236" w:right="324" w:hanging="360"/>
        <w:jc w:val="both"/>
        <w:rPr>
          <w:sz w:val="24"/>
        </w:rPr>
      </w:pPr>
      <w:r>
        <w:rPr>
          <w:sz w:val="24"/>
        </w:rPr>
        <w:t>Capítulo de libro </w:t>
      </w:r>
      <w:r>
        <w:rPr>
          <w:b/>
          <w:sz w:val="24"/>
        </w:rPr>
        <w:t>“Determinación de los Gases de Efecto Invernadero (GEI) en el Sistema de Producción Lechera en Pequeña Escala”</w:t>
      </w:r>
      <w:r>
        <w:rPr>
          <w:sz w:val="24"/>
        </w:rPr>
        <w:t>. Publicado</w:t>
      </w:r>
      <w:r>
        <w:rPr>
          <w:spacing w:val="-12"/>
          <w:sz w:val="24"/>
        </w:rPr>
        <w:t> </w:t>
      </w:r>
      <w:r>
        <w:rPr>
          <w:sz w:val="24"/>
        </w:rPr>
        <w:t>en</w:t>
      </w:r>
      <w:r>
        <w:rPr>
          <w:spacing w:val="-12"/>
          <w:sz w:val="24"/>
        </w:rPr>
        <w:t> </w:t>
      </w:r>
      <w:r>
        <w:rPr>
          <w:sz w:val="24"/>
        </w:rPr>
        <w:t>el</w:t>
      </w:r>
      <w:r>
        <w:rPr>
          <w:spacing w:val="-12"/>
          <w:sz w:val="24"/>
        </w:rPr>
        <w:t> </w:t>
      </w:r>
      <w:r>
        <w:rPr>
          <w:sz w:val="24"/>
        </w:rPr>
        <w:t>libro</w:t>
      </w:r>
      <w:r>
        <w:rPr>
          <w:spacing w:val="-12"/>
          <w:sz w:val="24"/>
        </w:rPr>
        <w:t> </w:t>
      </w:r>
      <w:r>
        <w:rPr>
          <w:b/>
          <w:i/>
          <w:sz w:val="24"/>
        </w:rPr>
        <w:t>La</w:t>
      </w:r>
      <w:r>
        <w:rPr>
          <w:b/>
          <w:i/>
          <w:spacing w:val="-12"/>
          <w:sz w:val="24"/>
        </w:rPr>
        <w:t> </w:t>
      </w:r>
      <w:r>
        <w:rPr>
          <w:b/>
          <w:i/>
          <w:sz w:val="24"/>
        </w:rPr>
        <w:t>Ganadería</w:t>
      </w:r>
      <w:r>
        <w:rPr>
          <w:b/>
          <w:i/>
          <w:spacing w:val="-12"/>
          <w:sz w:val="24"/>
        </w:rPr>
        <w:t> </w:t>
      </w:r>
      <w:r>
        <w:rPr>
          <w:b/>
          <w:i/>
          <w:sz w:val="24"/>
        </w:rPr>
        <w:t>ante</w:t>
      </w:r>
      <w:r>
        <w:rPr>
          <w:b/>
          <w:i/>
          <w:spacing w:val="-12"/>
          <w:sz w:val="24"/>
        </w:rPr>
        <w:t> </w:t>
      </w:r>
      <w:r>
        <w:rPr>
          <w:b/>
          <w:i/>
          <w:sz w:val="24"/>
        </w:rPr>
        <w:t>el</w:t>
      </w:r>
      <w:r>
        <w:rPr>
          <w:b/>
          <w:i/>
          <w:spacing w:val="-12"/>
          <w:sz w:val="24"/>
        </w:rPr>
        <w:t> </w:t>
      </w:r>
      <w:r>
        <w:rPr>
          <w:b/>
          <w:i/>
          <w:sz w:val="24"/>
        </w:rPr>
        <w:t>agotamiento</w:t>
      </w:r>
      <w:r>
        <w:rPr>
          <w:b/>
          <w:i/>
          <w:spacing w:val="-12"/>
          <w:sz w:val="24"/>
        </w:rPr>
        <w:t> </w:t>
      </w:r>
      <w:r>
        <w:rPr>
          <w:b/>
          <w:i/>
          <w:sz w:val="24"/>
        </w:rPr>
        <w:t>de</w:t>
      </w:r>
      <w:r>
        <w:rPr>
          <w:b/>
          <w:i/>
          <w:spacing w:val="-12"/>
          <w:sz w:val="24"/>
        </w:rPr>
        <w:t> </w:t>
      </w:r>
      <w:r>
        <w:rPr>
          <w:b/>
          <w:i/>
          <w:sz w:val="24"/>
        </w:rPr>
        <w:t>los</w:t>
      </w:r>
      <w:r>
        <w:rPr>
          <w:b/>
          <w:i/>
          <w:spacing w:val="-12"/>
          <w:sz w:val="24"/>
        </w:rPr>
        <w:t> </w:t>
      </w:r>
      <w:r>
        <w:rPr>
          <w:b/>
          <w:i/>
          <w:sz w:val="24"/>
        </w:rPr>
        <w:t>paradigmas </w:t>
      </w:r>
      <w:r>
        <w:rPr>
          <w:b/>
          <w:i/>
          <w:sz w:val="24"/>
        </w:rPr>
        <w:t>dominantes Vol. 1</w:t>
      </w:r>
      <w:r>
        <w:rPr>
          <w:sz w:val="24"/>
        </w:rPr>
        <w:t>, por la Universidad Autónoma de Chapingo. </w:t>
      </w:r>
      <w:r>
        <w:rPr>
          <w:b/>
          <w:sz w:val="24"/>
        </w:rPr>
        <w:t>ISBN: 978- 968-839-586-8</w:t>
      </w:r>
      <w:r>
        <w:rPr>
          <w:sz w:val="24"/>
        </w:rPr>
        <w:t>. En esta investigación, se indica la problemática   </w:t>
      </w:r>
      <w:r>
        <w:rPr>
          <w:spacing w:val="52"/>
          <w:sz w:val="24"/>
        </w:rPr>
        <w:t> </w:t>
      </w:r>
      <w:r>
        <w:rPr>
          <w:sz w:val="24"/>
        </w:rPr>
        <w:t>ambiental</w:t>
      </w:r>
    </w:p>
    <w:p>
      <w:pPr>
        <w:spacing w:after="0" w:line="357" w:lineRule="auto"/>
        <w:jc w:val="both"/>
        <w:rPr>
          <w:sz w:val="24"/>
        </w:rPr>
        <w:sectPr>
          <w:pgSz w:w="12240" w:h="15840"/>
          <w:pgMar w:header="741" w:footer="739" w:top="1220" w:bottom="920" w:left="1480" w:right="1080"/>
        </w:sectPr>
      </w:pPr>
    </w:p>
    <w:p>
      <w:pPr>
        <w:pStyle w:val="BodyText"/>
        <w:spacing w:before="4"/>
        <w:rPr>
          <w:sz w:val="11"/>
        </w:rPr>
      </w:pPr>
    </w:p>
    <w:p>
      <w:pPr>
        <w:pStyle w:val="BodyText"/>
        <w:spacing w:line="360" w:lineRule="auto" w:before="69"/>
        <w:ind w:left="996" w:right="143"/>
        <w:jc w:val="both"/>
      </w:pPr>
      <w:r>
        <w:rPr/>
        <w:t>ocasionada por el sector ganadero, los diferentes factores involucrados en las emisiones de GEI producto de los bovinos, así como la contribución de las actividades agropecuarias, su impacto ambiental, sus emisiones, los efectos de la dieta y las alternativas para disminuir la producción de los GEI en los sistemas ganaderos de producción lechera en pequeña escala, así como su relación con el calentamiento global y el cambio climático.</w:t>
      </w:r>
    </w:p>
    <w:p>
      <w:pPr>
        <w:pStyle w:val="ListParagraph"/>
        <w:numPr>
          <w:ilvl w:val="0"/>
          <w:numId w:val="14"/>
        </w:numPr>
        <w:tabs>
          <w:tab w:pos="997" w:val="left" w:leader="none"/>
        </w:tabs>
        <w:spacing w:line="360" w:lineRule="auto" w:before="1" w:after="0"/>
        <w:ind w:left="996" w:right="144" w:hanging="360"/>
        <w:jc w:val="both"/>
        <w:rPr>
          <w:sz w:val="24"/>
        </w:rPr>
      </w:pPr>
      <w:r>
        <w:rPr>
          <w:sz w:val="24"/>
        </w:rPr>
        <w:t>Capítulo de libro </w:t>
      </w:r>
      <w:r>
        <w:rPr>
          <w:b/>
          <w:sz w:val="24"/>
        </w:rPr>
        <w:t>“La ganadería y la emisión de Gases de Efecto Invernadero (GEI): un nuevo paradigma a considerar”</w:t>
      </w:r>
      <w:r>
        <w:rPr>
          <w:sz w:val="24"/>
        </w:rPr>
        <w:t>. Publicado en el libro </w:t>
      </w:r>
      <w:r>
        <w:rPr>
          <w:b/>
          <w:i/>
          <w:sz w:val="24"/>
        </w:rPr>
        <w:t>Ganadería y alimentación: alternativas frente a la crisis ambiental </w:t>
      </w:r>
      <w:r>
        <w:rPr>
          <w:b/>
          <w:i/>
          <w:sz w:val="24"/>
        </w:rPr>
        <w:t>y el cambio social Vol. 1</w:t>
      </w:r>
      <w:r>
        <w:rPr>
          <w:sz w:val="24"/>
        </w:rPr>
        <w:t>, editado por la Universidad Autónoma de Chapingo. </w:t>
      </w:r>
      <w:r>
        <w:rPr>
          <w:b/>
          <w:sz w:val="24"/>
        </w:rPr>
        <w:t>ISBN: 978-607-715-080-0</w:t>
      </w:r>
      <w:r>
        <w:rPr>
          <w:sz w:val="24"/>
        </w:rPr>
        <w:t>. Esta investigación explica los</w:t>
      </w:r>
      <w:r>
        <w:rPr>
          <w:spacing w:val="-25"/>
          <w:sz w:val="24"/>
        </w:rPr>
        <w:t> </w:t>
      </w:r>
      <w:r>
        <w:rPr>
          <w:sz w:val="24"/>
        </w:rPr>
        <w:t>grandes retos que enfrenta la humanidad ante el fenómeno del cambio climático.</w:t>
      </w:r>
      <w:r>
        <w:rPr>
          <w:spacing w:val="-11"/>
          <w:sz w:val="24"/>
        </w:rPr>
        <w:t> </w:t>
      </w:r>
      <w:r>
        <w:rPr>
          <w:sz w:val="24"/>
        </w:rPr>
        <w:t>Las políticas mundiales que se deben enmarcar y la necesidad de generar una conciencia responsable para enfrentar y frenar el calentamiento global, ya que ésta manifestación anómala del clima, representa una emergencia mundial, y su estabilización es un nuevo paradigma a considerar, a través del</w:t>
      </w:r>
      <w:r>
        <w:rPr>
          <w:spacing w:val="-11"/>
          <w:sz w:val="24"/>
        </w:rPr>
        <w:t> </w:t>
      </w:r>
      <w:r>
        <w:rPr>
          <w:sz w:val="24"/>
        </w:rPr>
        <w:t>cual</w:t>
      </w:r>
      <w:r>
        <w:rPr>
          <w:spacing w:val="-11"/>
          <w:sz w:val="24"/>
        </w:rPr>
        <w:t> </w:t>
      </w:r>
      <w:r>
        <w:rPr>
          <w:sz w:val="24"/>
        </w:rPr>
        <w:t>se</w:t>
      </w:r>
      <w:r>
        <w:rPr>
          <w:spacing w:val="-11"/>
          <w:sz w:val="24"/>
        </w:rPr>
        <w:t> </w:t>
      </w:r>
      <w:r>
        <w:rPr>
          <w:sz w:val="24"/>
        </w:rPr>
        <w:t>deben</w:t>
      </w:r>
      <w:r>
        <w:rPr>
          <w:spacing w:val="-11"/>
          <w:sz w:val="24"/>
        </w:rPr>
        <w:t> </w:t>
      </w:r>
      <w:r>
        <w:rPr>
          <w:sz w:val="24"/>
        </w:rPr>
        <w:t>de</w:t>
      </w:r>
      <w:r>
        <w:rPr>
          <w:spacing w:val="-11"/>
          <w:sz w:val="24"/>
        </w:rPr>
        <w:t> </w:t>
      </w:r>
      <w:r>
        <w:rPr>
          <w:sz w:val="24"/>
        </w:rPr>
        <w:t>proponer</w:t>
      </w:r>
      <w:r>
        <w:rPr>
          <w:spacing w:val="-11"/>
          <w:sz w:val="24"/>
        </w:rPr>
        <w:t> </w:t>
      </w:r>
      <w:r>
        <w:rPr>
          <w:sz w:val="24"/>
        </w:rPr>
        <w:t>y</w:t>
      </w:r>
      <w:r>
        <w:rPr>
          <w:spacing w:val="-11"/>
          <w:sz w:val="24"/>
        </w:rPr>
        <w:t> </w:t>
      </w:r>
      <w:r>
        <w:rPr>
          <w:sz w:val="24"/>
        </w:rPr>
        <w:t>modificar</w:t>
      </w:r>
      <w:r>
        <w:rPr>
          <w:spacing w:val="-11"/>
          <w:sz w:val="24"/>
        </w:rPr>
        <w:t> </w:t>
      </w:r>
      <w:r>
        <w:rPr>
          <w:sz w:val="24"/>
        </w:rPr>
        <w:t>las</w:t>
      </w:r>
      <w:r>
        <w:rPr>
          <w:spacing w:val="-11"/>
          <w:sz w:val="24"/>
        </w:rPr>
        <w:t> </w:t>
      </w:r>
      <w:r>
        <w:rPr>
          <w:sz w:val="24"/>
        </w:rPr>
        <w:t>normas</w:t>
      </w:r>
      <w:r>
        <w:rPr>
          <w:spacing w:val="-11"/>
          <w:sz w:val="24"/>
        </w:rPr>
        <w:t> </w:t>
      </w:r>
      <w:r>
        <w:rPr>
          <w:sz w:val="24"/>
        </w:rPr>
        <w:t>actuales</w:t>
      </w:r>
      <w:r>
        <w:rPr>
          <w:spacing w:val="-11"/>
          <w:sz w:val="24"/>
        </w:rPr>
        <w:t> </w:t>
      </w:r>
      <w:r>
        <w:rPr>
          <w:sz w:val="24"/>
        </w:rPr>
        <w:t>de</w:t>
      </w:r>
      <w:r>
        <w:rPr>
          <w:spacing w:val="-11"/>
          <w:sz w:val="24"/>
        </w:rPr>
        <w:t> </w:t>
      </w:r>
      <w:r>
        <w:rPr>
          <w:sz w:val="24"/>
        </w:rPr>
        <w:t>producción ganadera. Así como el análisis de los diferentes factores involucrados en</w:t>
      </w:r>
      <w:r>
        <w:rPr>
          <w:spacing w:val="-23"/>
          <w:sz w:val="24"/>
        </w:rPr>
        <w:t> </w:t>
      </w:r>
      <w:r>
        <w:rPr>
          <w:sz w:val="24"/>
        </w:rPr>
        <w:t>las emisiones de GEI generados por la fermentación entérica, el manejo del estiércol y su impacto ambiental producto de los bovinos, y la relación que guardan con el ambiente.</w:t>
      </w:r>
    </w:p>
    <w:p>
      <w:pPr>
        <w:pStyle w:val="ListParagraph"/>
        <w:numPr>
          <w:ilvl w:val="0"/>
          <w:numId w:val="14"/>
        </w:numPr>
        <w:tabs>
          <w:tab w:pos="997" w:val="left" w:leader="none"/>
        </w:tabs>
        <w:spacing w:line="357" w:lineRule="auto" w:before="1" w:after="0"/>
        <w:ind w:left="996" w:right="143" w:hanging="360"/>
        <w:jc w:val="both"/>
        <w:rPr>
          <w:sz w:val="24"/>
        </w:rPr>
      </w:pPr>
      <w:r>
        <w:rPr>
          <w:sz w:val="24"/>
        </w:rPr>
        <w:t>Resumen en extenso “</w:t>
      </w:r>
      <w:r>
        <w:rPr>
          <w:b/>
          <w:sz w:val="24"/>
        </w:rPr>
        <w:t>Estimación de las Emisiones de Metano Entérico en el Sistema de Producción Lechera en Pequeña Escala”</w:t>
      </w:r>
      <w:r>
        <w:rPr>
          <w:sz w:val="24"/>
        </w:rPr>
        <w:t>. Publicado</w:t>
      </w:r>
      <w:r>
        <w:rPr>
          <w:spacing w:val="-21"/>
          <w:sz w:val="24"/>
        </w:rPr>
        <w:t> </w:t>
      </w:r>
      <w:r>
        <w:rPr>
          <w:sz w:val="24"/>
        </w:rPr>
        <w:t>en la </w:t>
      </w:r>
      <w:r>
        <w:rPr>
          <w:b/>
          <w:i/>
          <w:sz w:val="24"/>
        </w:rPr>
        <w:t>Primera conferencia de gases de efecto invernadero en sistemas </w:t>
      </w:r>
      <w:r>
        <w:rPr>
          <w:b/>
          <w:i/>
          <w:sz w:val="24"/>
        </w:rPr>
        <w:t>agropecuarios de Latinoamérica (GALA)</w:t>
      </w:r>
      <w:r>
        <w:rPr>
          <w:sz w:val="24"/>
        </w:rPr>
        <w:t>, por el Instituto de Investigaciones Agropecuarias de Chile (INIA, Remehue). </w:t>
      </w:r>
      <w:r>
        <w:rPr>
          <w:b/>
          <w:sz w:val="24"/>
        </w:rPr>
        <w:t>ISSN:</w:t>
      </w:r>
      <w:r>
        <w:rPr>
          <w:b/>
          <w:spacing w:val="-25"/>
          <w:sz w:val="24"/>
        </w:rPr>
        <w:t> </w:t>
      </w:r>
      <w:r>
        <w:rPr>
          <w:b/>
          <w:sz w:val="24"/>
        </w:rPr>
        <w:t>0717-4810</w:t>
      </w:r>
      <w:r>
        <w:rPr>
          <w:sz w:val="24"/>
        </w:rPr>
        <w:t>. En esta investigación se muestran los resultados de las emisiones de CH</w:t>
      </w:r>
      <w:r>
        <w:rPr>
          <w:position w:val="-2"/>
          <w:sz w:val="16"/>
        </w:rPr>
        <w:t>4 </w:t>
      </w:r>
      <w:r>
        <w:rPr>
          <w:sz w:val="24"/>
        </w:rPr>
        <w:t>entérico</w:t>
      </w:r>
      <w:r>
        <w:rPr>
          <w:spacing w:val="-16"/>
          <w:sz w:val="24"/>
        </w:rPr>
        <w:t> </w:t>
      </w:r>
      <w:r>
        <w:rPr>
          <w:sz w:val="24"/>
        </w:rPr>
        <w:t>que</w:t>
      </w:r>
      <w:r>
        <w:rPr>
          <w:spacing w:val="-16"/>
          <w:sz w:val="24"/>
        </w:rPr>
        <w:t> </w:t>
      </w:r>
      <w:r>
        <w:rPr>
          <w:sz w:val="24"/>
        </w:rPr>
        <w:t>emiten</w:t>
      </w:r>
      <w:r>
        <w:rPr>
          <w:spacing w:val="-16"/>
          <w:sz w:val="24"/>
        </w:rPr>
        <w:t> </w:t>
      </w:r>
      <w:r>
        <w:rPr>
          <w:sz w:val="24"/>
        </w:rPr>
        <w:t>los</w:t>
      </w:r>
      <w:r>
        <w:rPr>
          <w:spacing w:val="-16"/>
          <w:sz w:val="24"/>
        </w:rPr>
        <w:t> </w:t>
      </w:r>
      <w:r>
        <w:rPr>
          <w:sz w:val="24"/>
        </w:rPr>
        <w:t>bovinos</w:t>
      </w:r>
      <w:r>
        <w:rPr>
          <w:spacing w:val="-16"/>
          <w:sz w:val="24"/>
        </w:rPr>
        <w:t> </w:t>
      </w:r>
      <w:r>
        <w:rPr>
          <w:sz w:val="24"/>
        </w:rPr>
        <w:t>de</w:t>
      </w:r>
      <w:r>
        <w:rPr>
          <w:spacing w:val="-16"/>
          <w:sz w:val="24"/>
        </w:rPr>
        <w:t> </w:t>
      </w:r>
      <w:r>
        <w:rPr>
          <w:sz w:val="24"/>
        </w:rPr>
        <w:t>acuerdo</w:t>
      </w:r>
      <w:r>
        <w:rPr>
          <w:spacing w:val="-16"/>
          <w:sz w:val="24"/>
        </w:rPr>
        <w:t> </w:t>
      </w:r>
      <w:r>
        <w:rPr>
          <w:sz w:val="24"/>
        </w:rPr>
        <w:t>al</w:t>
      </w:r>
      <w:r>
        <w:rPr>
          <w:spacing w:val="-16"/>
          <w:sz w:val="24"/>
        </w:rPr>
        <w:t> </w:t>
      </w:r>
      <w:r>
        <w:rPr>
          <w:sz w:val="24"/>
        </w:rPr>
        <w:t>tipo</w:t>
      </w:r>
      <w:r>
        <w:rPr>
          <w:spacing w:val="-16"/>
          <w:sz w:val="24"/>
        </w:rPr>
        <w:t> </w:t>
      </w:r>
      <w:r>
        <w:rPr>
          <w:sz w:val="24"/>
        </w:rPr>
        <w:t>de</w:t>
      </w:r>
      <w:r>
        <w:rPr>
          <w:spacing w:val="-16"/>
          <w:sz w:val="24"/>
        </w:rPr>
        <w:t> </w:t>
      </w:r>
      <w:r>
        <w:rPr>
          <w:sz w:val="24"/>
        </w:rPr>
        <w:t>alimento</w:t>
      </w:r>
      <w:r>
        <w:rPr>
          <w:spacing w:val="-16"/>
          <w:sz w:val="24"/>
        </w:rPr>
        <w:t> </w:t>
      </w:r>
      <w:r>
        <w:rPr>
          <w:sz w:val="24"/>
        </w:rPr>
        <w:t>que</w:t>
      </w:r>
      <w:r>
        <w:rPr>
          <w:spacing w:val="-16"/>
          <w:sz w:val="24"/>
        </w:rPr>
        <w:t> </w:t>
      </w:r>
      <w:r>
        <w:rPr>
          <w:sz w:val="24"/>
        </w:rPr>
        <w:t>consumen en el sistema de producción lechera de pequeña escala (SPLPE), utilizando la</w:t>
      </w:r>
      <w:r>
        <w:rPr>
          <w:spacing w:val="-11"/>
          <w:sz w:val="24"/>
        </w:rPr>
        <w:t> </w:t>
      </w:r>
      <w:r>
        <w:rPr>
          <w:sz w:val="24"/>
        </w:rPr>
        <w:t>metodología</w:t>
      </w:r>
      <w:r>
        <w:rPr>
          <w:spacing w:val="-11"/>
          <w:sz w:val="24"/>
        </w:rPr>
        <w:t> </w:t>
      </w:r>
      <w:r>
        <w:rPr>
          <w:sz w:val="24"/>
        </w:rPr>
        <w:t>del</w:t>
      </w:r>
      <w:r>
        <w:rPr>
          <w:spacing w:val="-11"/>
          <w:sz w:val="24"/>
        </w:rPr>
        <w:t> </w:t>
      </w:r>
      <w:r>
        <w:rPr>
          <w:sz w:val="24"/>
        </w:rPr>
        <w:t>Panel</w:t>
      </w:r>
      <w:r>
        <w:rPr>
          <w:spacing w:val="-11"/>
          <w:sz w:val="24"/>
        </w:rPr>
        <w:t> </w:t>
      </w:r>
      <w:r>
        <w:rPr>
          <w:sz w:val="24"/>
        </w:rPr>
        <w:t>Intergubernamental</w:t>
      </w:r>
      <w:r>
        <w:rPr>
          <w:spacing w:val="-11"/>
          <w:sz w:val="24"/>
        </w:rPr>
        <w:t> </w:t>
      </w:r>
      <w:r>
        <w:rPr>
          <w:sz w:val="24"/>
        </w:rPr>
        <w:t>de</w:t>
      </w:r>
      <w:r>
        <w:rPr>
          <w:spacing w:val="-11"/>
          <w:sz w:val="24"/>
        </w:rPr>
        <w:t> </w:t>
      </w:r>
      <w:r>
        <w:rPr>
          <w:sz w:val="24"/>
        </w:rPr>
        <w:t>Cambio</w:t>
      </w:r>
      <w:r>
        <w:rPr>
          <w:spacing w:val="-11"/>
          <w:sz w:val="24"/>
        </w:rPr>
        <w:t> </w:t>
      </w:r>
      <w:r>
        <w:rPr>
          <w:sz w:val="24"/>
        </w:rPr>
        <w:t>Climático</w:t>
      </w:r>
      <w:r>
        <w:rPr>
          <w:spacing w:val="-11"/>
          <w:sz w:val="24"/>
        </w:rPr>
        <w:t> </w:t>
      </w:r>
      <w:r>
        <w:rPr>
          <w:sz w:val="24"/>
        </w:rPr>
        <w:t>(IPCC)</w:t>
      </w:r>
      <w:r>
        <w:rPr>
          <w:spacing w:val="-12"/>
          <w:sz w:val="24"/>
        </w:rPr>
        <w:t> </w:t>
      </w:r>
      <w:r>
        <w:rPr>
          <w:sz w:val="24"/>
        </w:rPr>
        <w:t>en su Nivel</w:t>
      </w:r>
      <w:r>
        <w:rPr>
          <w:spacing w:val="-1"/>
          <w:sz w:val="24"/>
        </w:rPr>
        <w:t> </w:t>
      </w:r>
      <w:r>
        <w:rPr>
          <w:sz w:val="24"/>
        </w:rPr>
        <w:t>2.</w:t>
      </w:r>
    </w:p>
    <w:p>
      <w:pPr>
        <w:spacing w:after="0" w:line="357" w:lineRule="auto"/>
        <w:jc w:val="both"/>
        <w:rPr>
          <w:sz w:val="24"/>
        </w:rPr>
        <w:sectPr>
          <w:pgSz w:w="12240" w:h="15840"/>
          <w:pgMar w:header="741" w:footer="739" w:top="1220" w:bottom="920" w:left="1720" w:right="1260"/>
        </w:sectPr>
      </w:pPr>
    </w:p>
    <w:p>
      <w:pPr>
        <w:pStyle w:val="BodyText"/>
        <w:spacing w:before="7"/>
        <w:rPr>
          <w:sz w:val="12"/>
        </w:rPr>
      </w:pPr>
    </w:p>
    <w:p>
      <w:pPr>
        <w:pStyle w:val="ListParagraph"/>
        <w:numPr>
          <w:ilvl w:val="0"/>
          <w:numId w:val="14"/>
        </w:numPr>
        <w:tabs>
          <w:tab w:pos="997" w:val="left" w:leader="none"/>
        </w:tabs>
        <w:spacing w:line="357" w:lineRule="auto" w:before="53" w:after="0"/>
        <w:ind w:left="996" w:right="144" w:hanging="360"/>
        <w:jc w:val="both"/>
        <w:rPr>
          <w:sz w:val="24"/>
        </w:rPr>
      </w:pPr>
      <w:r>
        <w:rPr>
          <w:sz w:val="24"/>
        </w:rPr>
        <w:t>Capítulo de libro </w:t>
      </w:r>
      <w:r>
        <w:rPr>
          <w:b/>
          <w:sz w:val="24"/>
        </w:rPr>
        <w:t>“Métodos para la Estimación de la Emisión de Metano Entérico en Bovinos”</w:t>
      </w:r>
      <w:r>
        <w:rPr>
          <w:sz w:val="24"/>
        </w:rPr>
        <w:t>. Publicado en el libro </w:t>
      </w:r>
      <w:r>
        <w:rPr>
          <w:b/>
          <w:i/>
          <w:sz w:val="24"/>
        </w:rPr>
        <w:t>Estudios socioeconómicos y </w:t>
      </w:r>
      <w:r>
        <w:rPr>
          <w:b/>
          <w:i/>
          <w:sz w:val="24"/>
        </w:rPr>
        <w:t>ambientales de la ganadería</w:t>
      </w:r>
      <w:r>
        <w:rPr>
          <w:i/>
          <w:sz w:val="24"/>
        </w:rPr>
        <w:t>, </w:t>
      </w:r>
      <w:r>
        <w:rPr>
          <w:sz w:val="24"/>
        </w:rPr>
        <w:t>por la Universidad Autónoma de Chapingo. </w:t>
      </w:r>
      <w:r>
        <w:rPr>
          <w:b/>
          <w:sz w:val="24"/>
        </w:rPr>
        <w:t>ISBN: 978-607-12-0417-2</w:t>
      </w:r>
      <w:r>
        <w:rPr>
          <w:sz w:val="24"/>
        </w:rPr>
        <w:t>. En esta revisión bibliográfica, se describen algunos</w:t>
      </w:r>
      <w:r>
        <w:rPr>
          <w:spacing w:val="-7"/>
          <w:sz w:val="24"/>
        </w:rPr>
        <w:t> </w:t>
      </w:r>
      <w:r>
        <w:rPr>
          <w:sz w:val="24"/>
        </w:rPr>
        <w:t>de</w:t>
      </w:r>
      <w:r>
        <w:rPr>
          <w:spacing w:val="-7"/>
          <w:sz w:val="24"/>
        </w:rPr>
        <w:t> </w:t>
      </w:r>
      <w:r>
        <w:rPr>
          <w:sz w:val="24"/>
        </w:rPr>
        <w:t>los</w:t>
      </w:r>
      <w:r>
        <w:rPr>
          <w:spacing w:val="-7"/>
          <w:sz w:val="24"/>
        </w:rPr>
        <w:t> </w:t>
      </w:r>
      <w:r>
        <w:rPr>
          <w:sz w:val="24"/>
        </w:rPr>
        <w:t>métodos</w:t>
      </w:r>
      <w:r>
        <w:rPr>
          <w:spacing w:val="-7"/>
          <w:sz w:val="24"/>
        </w:rPr>
        <w:t> </w:t>
      </w:r>
      <w:r>
        <w:rPr>
          <w:sz w:val="24"/>
        </w:rPr>
        <w:t>más</w:t>
      </w:r>
      <w:r>
        <w:rPr>
          <w:spacing w:val="-7"/>
          <w:sz w:val="24"/>
        </w:rPr>
        <w:t> </w:t>
      </w:r>
      <w:r>
        <w:rPr>
          <w:sz w:val="24"/>
        </w:rPr>
        <w:t>comunes</w:t>
      </w:r>
      <w:r>
        <w:rPr>
          <w:spacing w:val="-7"/>
          <w:sz w:val="24"/>
        </w:rPr>
        <w:t> </w:t>
      </w:r>
      <w:r>
        <w:rPr>
          <w:sz w:val="24"/>
        </w:rPr>
        <w:t>para</w:t>
      </w:r>
      <w:r>
        <w:rPr>
          <w:spacing w:val="-7"/>
          <w:sz w:val="24"/>
        </w:rPr>
        <w:t> </w:t>
      </w:r>
      <w:r>
        <w:rPr>
          <w:sz w:val="24"/>
        </w:rPr>
        <w:t>medir</w:t>
      </w:r>
      <w:r>
        <w:rPr>
          <w:spacing w:val="-7"/>
          <w:sz w:val="24"/>
        </w:rPr>
        <w:t> </w:t>
      </w:r>
      <w:r>
        <w:rPr>
          <w:sz w:val="24"/>
        </w:rPr>
        <w:t>y</w:t>
      </w:r>
      <w:r>
        <w:rPr>
          <w:spacing w:val="-7"/>
          <w:sz w:val="24"/>
        </w:rPr>
        <w:t> </w:t>
      </w:r>
      <w:r>
        <w:rPr>
          <w:sz w:val="24"/>
        </w:rPr>
        <w:t>estimar</w:t>
      </w:r>
      <w:r>
        <w:rPr>
          <w:spacing w:val="-7"/>
          <w:sz w:val="24"/>
        </w:rPr>
        <w:t> </w:t>
      </w:r>
      <w:r>
        <w:rPr>
          <w:sz w:val="24"/>
        </w:rPr>
        <w:t>el</w:t>
      </w:r>
      <w:r>
        <w:rPr>
          <w:spacing w:val="-7"/>
          <w:sz w:val="24"/>
        </w:rPr>
        <w:t> </w:t>
      </w:r>
      <w:r>
        <w:rPr>
          <w:sz w:val="24"/>
        </w:rPr>
        <w:t>CH</w:t>
      </w:r>
      <w:r>
        <w:rPr>
          <w:position w:val="-2"/>
          <w:sz w:val="16"/>
        </w:rPr>
        <w:t>4</w:t>
      </w:r>
      <w:r>
        <w:rPr>
          <w:spacing w:val="16"/>
          <w:position w:val="-2"/>
          <w:sz w:val="16"/>
        </w:rPr>
        <w:t> </w:t>
      </w:r>
      <w:r>
        <w:rPr>
          <w:sz w:val="24"/>
        </w:rPr>
        <w:t>generado por los rumiantes. se hace alusión a la existencia de diversos métodos para la estimación y medición de las emisiones de CH</w:t>
      </w:r>
      <w:r>
        <w:rPr>
          <w:position w:val="-2"/>
          <w:sz w:val="16"/>
        </w:rPr>
        <w:t>4</w:t>
      </w:r>
      <w:r>
        <w:rPr>
          <w:sz w:val="24"/>
        </w:rPr>
        <w:t>, clarificando que ninguno es</w:t>
      </w:r>
      <w:r>
        <w:rPr>
          <w:spacing w:val="-16"/>
          <w:sz w:val="24"/>
        </w:rPr>
        <w:t> </w:t>
      </w:r>
      <w:r>
        <w:rPr>
          <w:sz w:val="24"/>
        </w:rPr>
        <w:t>perfecto.</w:t>
      </w:r>
      <w:r>
        <w:rPr>
          <w:spacing w:val="-16"/>
          <w:sz w:val="24"/>
        </w:rPr>
        <w:t> </w:t>
      </w:r>
      <w:r>
        <w:rPr>
          <w:sz w:val="24"/>
        </w:rPr>
        <w:t>Requiriendo</w:t>
      </w:r>
      <w:r>
        <w:rPr>
          <w:spacing w:val="-16"/>
          <w:sz w:val="24"/>
        </w:rPr>
        <w:t> </w:t>
      </w:r>
      <w:r>
        <w:rPr>
          <w:sz w:val="24"/>
        </w:rPr>
        <w:t>del</w:t>
      </w:r>
      <w:r>
        <w:rPr>
          <w:spacing w:val="-16"/>
          <w:sz w:val="24"/>
        </w:rPr>
        <w:t> </w:t>
      </w:r>
      <w:r>
        <w:rPr>
          <w:sz w:val="24"/>
        </w:rPr>
        <w:t>conocimiento</w:t>
      </w:r>
      <w:r>
        <w:rPr>
          <w:spacing w:val="-16"/>
          <w:sz w:val="24"/>
        </w:rPr>
        <w:t> </w:t>
      </w:r>
      <w:r>
        <w:rPr>
          <w:sz w:val="24"/>
        </w:rPr>
        <w:t>previo</w:t>
      </w:r>
      <w:r>
        <w:rPr>
          <w:spacing w:val="-16"/>
          <w:sz w:val="24"/>
        </w:rPr>
        <w:t> </w:t>
      </w:r>
      <w:r>
        <w:rPr>
          <w:sz w:val="24"/>
        </w:rPr>
        <w:t>de</w:t>
      </w:r>
      <w:r>
        <w:rPr>
          <w:spacing w:val="-16"/>
          <w:sz w:val="24"/>
        </w:rPr>
        <w:t> </w:t>
      </w:r>
      <w:r>
        <w:rPr>
          <w:sz w:val="24"/>
        </w:rPr>
        <w:t>cada</w:t>
      </w:r>
      <w:r>
        <w:rPr>
          <w:spacing w:val="-16"/>
          <w:sz w:val="24"/>
        </w:rPr>
        <w:t> </w:t>
      </w:r>
      <w:r>
        <w:rPr>
          <w:sz w:val="24"/>
        </w:rPr>
        <w:t>uno</w:t>
      </w:r>
      <w:r>
        <w:rPr>
          <w:spacing w:val="-16"/>
          <w:sz w:val="24"/>
        </w:rPr>
        <w:t> </w:t>
      </w:r>
      <w:r>
        <w:rPr>
          <w:sz w:val="24"/>
        </w:rPr>
        <w:t>de</w:t>
      </w:r>
      <w:r>
        <w:rPr>
          <w:spacing w:val="-16"/>
          <w:sz w:val="24"/>
        </w:rPr>
        <w:t> </w:t>
      </w:r>
      <w:r>
        <w:rPr>
          <w:sz w:val="24"/>
        </w:rPr>
        <w:t>los</w:t>
      </w:r>
      <w:r>
        <w:rPr>
          <w:spacing w:val="-16"/>
          <w:sz w:val="24"/>
        </w:rPr>
        <w:t> </w:t>
      </w:r>
      <w:r>
        <w:rPr>
          <w:sz w:val="24"/>
        </w:rPr>
        <w:t>métodos de medición a utilizar, por estas razones se indica la importante de tomar en cuenta</w:t>
      </w:r>
      <w:r>
        <w:rPr>
          <w:spacing w:val="-10"/>
          <w:sz w:val="24"/>
        </w:rPr>
        <w:t> </w:t>
      </w:r>
      <w:r>
        <w:rPr>
          <w:sz w:val="24"/>
        </w:rPr>
        <w:t>las</w:t>
      </w:r>
      <w:r>
        <w:rPr>
          <w:spacing w:val="-10"/>
          <w:sz w:val="24"/>
        </w:rPr>
        <w:t> </w:t>
      </w:r>
      <w:r>
        <w:rPr>
          <w:sz w:val="24"/>
        </w:rPr>
        <w:t>ventajas</w:t>
      </w:r>
      <w:r>
        <w:rPr>
          <w:spacing w:val="-10"/>
          <w:sz w:val="24"/>
        </w:rPr>
        <w:t> </w:t>
      </w:r>
      <w:r>
        <w:rPr>
          <w:sz w:val="24"/>
        </w:rPr>
        <w:t>y</w:t>
      </w:r>
      <w:r>
        <w:rPr>
          <w:spacing w:val="-10"/>
          <w:sz w:val="24"/>
        </w:rPr>
        <w:t> </w:t>
      </w:r>
      <w:r>
        <w:rPr>
          <w:sz w:val="24"/>
        </w:rPr>
        <w:t>desventajas</w:t>
      </w:r>
      <w:r>
        <w:rPr>
          <w:spacing w:val="-10"/>
          <w:sz w:val="24"/>
        </w:rPr>
        <w:t> </w:t>
      </w:r>
      <w:r>
        <w:rPr>
          <w:sz w:val="24"/>
        </w:rPr>
        <w:t>que</w:t>
      </w:r>
      <w:r>
        <w:rPr>
          <w:spacing w:val="-10"/>
          <w:sz w:val="24"/>
        </w:rPr>
        <w:t> </w:t>
      </w:r>
      <w:r>
        <w:rPr>
          <w:sz w:val="24"/>
        </w:rPr>
        <w:t>presentan</w:t>
      </w:r>
      <w:r>
        <w:rPr>
          <w:spacing w:val="-10"/>
          <w:sz w:val="24"/>
        </w:rPr>
        <w:t> </w:t>
      </w:r>
      <w:r>
        <w:rPr>
          <w:sz w:val="24"/>
        </w:rPr>
        <w:t>cada</w:t>
      </w:r>
      <w:r>
        <w:rPr>
          <w:spacing w:val="-10"/>
          <w:sz w:val="24"/>
        </w:rPr>
        <w:t> </w:t>
      </w:r>
      <w:r>
        <w:rPr>
          <w:sz w:val="24"/>
        </w:rPr>
        <w:t>uno</w:t>
      </w:r>
      <w:r>
        <w:rPr>
          <w:spacing w:val="-10"/>
          <w:sz w:val="24"/>
        </w:rPr>
        <w:t> </w:t>
      </w:r>
      <w:r>
        <w:rPr>
          <w:sz w:val="24"/>
        </w:rPr>
        <w:t>de</w:t>
      </w:r>
      <w:r>
        <w:rPr>
          <w:spacing w:val="-10"/>
          <w:sz w:val="24"/>
        </w:rPr>
        <w:t> </w:t>
      </w:r>
      <w:r>
        <w:rPr>
          <w:sz w:val="24"/>
        </w:rPr>
        <w:t>estos</w:t>
      </w:r>
      <w:r>
        <w:rPr>
          <w:spacing w:val="-10"/>
          <w:sz w:val="24"/>
        </w:rPr>
        <w:t> </w:t>
      </w:r>
      <w:r>
        <w:rPr>
          <w:sz w:val="24"/>
        </w:rPr>
        <w:t>métodos de medición antes de su</w:t>
      </w:r>
      <w:r>
        <w:rPr>
          <w:spacing w:val="-2"/>
          <w:sz w:val="24"/>
        </w:rPr>
        <w:t> </w:t>
      </w:r>
      <w:r>
        <w:rPr>
          <w:sz w:val="24"/>
        </w:rPr>
        <w:t>aplicación.</w:t>
      </w:r>
    </w:p>
    <w:p>
      <w:pPr>
        <w:spacing w:after="0" w:line="357" w:lineRule="auto"/>
        <w:jc w:val="both"/>
        <w:rPr>
          <w:sz w:val="24"/>
        </w:rPr>
        <w:sectPr>
          <w:pgSz w:w="12240" w:h="15840"/>
          <w:pgMar w:header="741" w:footer="739" w:top="1220" w:bottom="920" w:left="172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15"/>
        </w:numPr>
        <w:tabs>
          <w:tab w:pos="1367" w:val="left" w:leader="none"/>
        </w:tabs>
        <w:spacing w:line="240" w:lineRule="auto" w:before="200" w:after="23"/>
        <w:ind w:left="1366" w:right="0" w:hanging="1090"/>
        <w:jc w:val="left"/>
      </w:pPr>
      <w:r>
        <w:rPr/>
        <w:t>Capítulo</w:t>
      </w:r>
      <w:r>
        <w:rPr>
          <w:spacing w:val="40"/>
        </w:rPr>
        <w:t> </w:t>
      </w:r>
      <w:r>
        <w:rPr/>
        <w:t>1</w:t>
      </w:r>
    </w:p>
    <w:p>
      <w:pPr>
        <w:pStyle w:val="BodyText"/>
        <w:spacing w:line="120" w:lineRule="exact"/>
        <w:ind w:left="247"/>
        <w:rPr>
          <w:sz w:val="12"/>
        </w:rPr>
      </w:pPr>
      <w:r>
        <w:rPr>
          <w:position w:val="-1"/>
          <w:sz w:val="12"/>
        </w:rPr>
        <w:pict>
          <v:group style="width:444.75pt;height:6pt;mso-position-horizontal-relative:char;mso-position-vertical-relative:line" coordorigin="0,0" coordsize="8895,120">
            <v:rect style="position:absolute;left:0;top:0;width:8894;height:120" filled="true" fillcolor="#943634" stroked="false">
              <v:fill type="solid"/>
            </v:rect>
          </v:group>
        </w:pict>
      </w:r>
      <w:r>
        <w:rPr>
          <w:position w:val="-1"/>
          <w:sz w:val="12"/>
        </w:rPr>
      </w:r>
    </w:p>
    <w:p>
      <w:pPr>
        <w:pStyle w:val="BodyText"/>
        <w:rPr>
          <w:b/>
          <w:sz w:val="20"/>
        </w:rPr>
      </w:pPr>
    </w:p>
    <w:p>
      <w:pPr>
        <w:pStyle w:val="BodyText"/>
        <w:rPr>
          <w:b/>
          <w:sz w:val="20"/>
        </w:rPr>
      </w:pPr>
    </w:p>
    <w:p>
      <w:pPr>
        <w:pStyle w:val="BodyText"/>
        <w:rPr>
          <w:b/>
          <w:sz w:val="20"/>
        </w:rPr>
      </w:pPr>
    </w:p>
    <w:p>
      <w:pPr>
        <w:pStyle w:val="BodyText"/>
        <w:spacing w:before="8"/>
        <w:rPr>
          <w:b/>
          <w:sz w:val="29"/>
        </w:rPr>
      </w:pPr>
      <w:r>
        <w:rPr/>
        <w:pict>
          <v:group style="position:absolute;margin-left:101.752403pt;margin-top:19.022930pt;width:412.35pt;height:181.7pt;mso-position-horizontal-relative:page;mso-position-vertical-relative:paragraph;z-index:4864;mso-wrap-distance-left:0;mso-wrap-distance-right:0" coordorigin="2035,380" coordsize="8247,3634">
            <v:shape style="position:absolute;left:2035;top:380;width:8246;height:3634" type="#_x0000_t75" stroked="false">
              <v:imagedata r:id="rId152" o:title=""/>
            </v:shape>
            <v:shape style="position:absolute;left:2467;top:385;width:206;height:552" type="#_x0000_t75" stroked="false">
              <v:imagedata r:id="rId9" o:title=""/>
            </v:shape>
            <v:shape style="position:absolute;left:2745;top:385;width:211;height:552" type="#_x0000_t75" stroked="false">
              <v:imagedata r:id="rId153" o:title=""/>
            </v:shape>
            <v:shape style="position:absolute;left:2035;top:380;width:8247;height:3634" type="#_x0000_t202" filled="false" stroked="false">
              <v:textbox inset="0,0,0,0">
                <w:txbxContent>
                  <w:p>
                    <w:pPr>
                      <w:spacing w:line="240" w:lineRule="auto" w:before="7"/>
                      <w:rPr>
                        <w:b/>
                        <w:sz w:val="46"/>
                      </w:rPr>
                    </w:pPr>
                  </w:p>
                  <w:p>
                    <w:pPr>
                      <w:spacing w:line="242" w:lineRule="auto" w:before="0"/>
                      <w:ind w:left="460" w:right="141" w:firstLine="120"/>
                      <w:jc w:val="both"/>
                      <w:rPr>
                        <w:sz w:val="38"/>
                      </w:rPr>
                    </w:pPr>
                    <w:r>
                      <w:rPr>
                        <w:color w:val="632423"/>
                        <w:w w:val="75"/>
                        <w:sz w:val="38"/>
                      </w:rPr>
                      <w:t>Las</w:t>
                    </w:r>
                    <w:r>
                      <w:rPr>
                        <w:color w:val="632423"/>
                        <w:spacing w:val="-11"/>
                        <w:w w:val="75"/>
                        <w:sz w:val="38"/>
                      </w:rPr>
                      <w:t> </w:t>
                    </w:r>
                    <w:r>
                      <w:rPr>
                        <w:color w:val="632423"/>
                        <w:w w:val="75"/>
                        <w:sz w:val="38"/>
                      </w:rPr>
                      <w:t>matemáticas</w:t>
                    </w:r>
                    <w:r>
                      <w:rPr>
                        <w:color w:val="632423"/>
                        <w:spacing w:val="-11"/>
                        <w:w w:val="75"/>
                        <w:sz w:val="38"/>
                      </w:rPr>
                      <w:t> </w:t>
                    </w:r>
                    <w:r>
                      <w:rPr>
                        <w:color w:val="632423"/>
                        <w:w w:val="75"/>
                        <w:sz w:val="38"/>
                      </w:rPr>
                      <w:t>son</w:t>
                    </w:r>
                    <w:r>
                      <w:rPr>
                        <w:color w:val="632423"/>
                        <w:spacing w:val="-11"/>
                        <w:w w:val="75"/>
                        <w:sz w:val="38"/>
                      </w:rPr>
                      <w:t> </w:t>
                    </w:r>
                    <w:r>
                      <w:rPr>
                        <w:color w:val="632423"/>
                        <w:w w:val="75"/>
                        <w:sz w:val="38"/>
                      </w:rPr>
                      <w:t>sencillas:</w:t>
                    </w:r>
                    <w:r>
                      <w:rPr>
                        <w:color w:val="632423"/>
                        <w:spacing w:val="-13"/>
                        <w:w w:val="75"/>
                        <w:sz w:val="38"/>
                      </w:rPr>
                      <w:t> </w:t>
                    </w:r>
                    <w:r>
                      <w:rPr>
                        <w:color w:val="632423"/>
                        <w:w w:val="75"/>
                        <w:sz w:val="38"/>
                      </w:rPr>
                      <w:t>cuando</w:t>
                    </w:r>
                    <w:r>
                      <w:rPr>
                        <w:color w:val="632423"/>
                        <w:spacing w:val="-11"/>
                        <w:w w:val="75"/>
                        <w:sz w:val="38"/>
                      </w:rPr>
                      <w:t> </w:t>
                    </w:r>
                    <w:r>
                      <w:rPr>
                        <w:color w:val="632423"/>
                        <w:w w:val="75"/>
                        <w:sz w:val="38"/>
                      </w:rPr>
                      <w:t>consumimos</w:t>
                    </w:r>
                    <w:r>
                      <w:rPr>
                        <w:color w:val="632423"/>
                        <w:spacing w:val="-11"/>
                        <w:w w:val="75"/>
                        <w:sz w:val="38"/>
                      </w:rPr>
                      <w:t> </w:t>
                    </w:r>
                    <w:r>
                      <w:rPr>
                        <w:color w:val="632423"/>
                        <w:w w:val="75"/>
                        <w:sz w:val="38"/>
                      </w:rPr>
                      <w:t>menos energía, tenemos que comprar menos energía. Eso significa menos desechos y más ahorros. Esos nuevos compromisos </w:t>
                    </w:r>
                    <w:r>
                      <w:rPr>
                        <w:color w:val="632423"/>
                        <w:w w:val="80"/>
                        <w:sz w:val="38"/>
                      </w:rPr>
                      <w:t>harán</w:t>
                    </w:r>
                    <w:r>
                      <w:rPr>
                        <w:color w:val="632423"/>
                        <w:spacing w:val="-48"/>
                        <w:w w:val="80"/>
                        <w:sz w:val="38"/>
                      </w:rPr>
                      <w:t> </w:t>
                    </w:r>
                    <w:r>
                      <w:rPr>
                        <w:color w:val="632423"/>
                        <w:w w:val="80"/>
                        <w:sz w:val="38"/>
                      </w:rPr>
                      <w:t>que</w:t>
                    </w:r>
                    <w:r>
                      <w:rPr>
                        <w:color w:val="632423"/>
                        <w:spacing w:val="-48"/>
                        <w:w w:val="80"/>
                        <w:sz w:val="38"/>
                      </w:rPr>
                      <w:t> </w:t>
                    </w:r>
                    <w:r>
                      <w:rPr>
                        <w:color w:val="632423"/>
                        <w:w w:val="80"/>
                        <w:sz w:val="38"/>
                      </w:rPr>
                      <w:t>nuestro</w:t>
                    </w:r>
                    <w:r>
                      <w:rPr>
                        <w:color w:val="632423"/>
                        <w:spacing w:val="-47"/>
                        <w:w w:val="80"/>
                        <w:sz w:val="38"/>
                      </w:rPr>
                      <w:t> </w:t>
                    </w:r>
                    <w:r>
                      <w:rPr>
                        <w:color w:val="632423"/>
                        <w:w w:val="80"/>
                        <w:sz w:val="38"/>
                      </w:rPr>
                      <w:t>negocio</w:t>
                    </w:r>
                    <w:r>
                      <w:rPr>
                        <w:color w:val="632423"/>
                        <w:spacing w:val="-47"/>
                        <w:w w:val="80"/>
                        <w:sz w:val="38"/>
                      </w:rPr>
                      <w:t> </w:t>
                    </w:r>
                    <w:r>
                      <w:rPr>
                        <w:color w:val="632423"/>
                        <w:w w:val="80"/>
                        <w:sz w:val="38"/>
                      </w:rPr>
                      <w:t>sea</w:t>
                    </w:r>
                    <w:r>
                      <w:rPr>
                        <w:color w:val="632423"/>
                        <w:spacing w:val="-48"/>
                        <w:w w:val="80"/>
                        <w:sz w:val="38"/>
                      </w:rPr>
                      <w:t> </w:t>
                    </w:r>
                    <w:r>
                      <w:rPr>
                        <w:color w:val="632423"/>
                        <w:w w:val="80"/>
                        <w:sz w:val="38"/>
                      </w:rPr>
                      <w:t>más</w:t>
                    </w:r>
                    <w:r>
                      <w:rPr>
                        <w:color w:val="632423"/>
                        <w:spacing w:val="-45"/>
                        <w:w w:val="80"/>
                        <w:sz w:val="38"/>
                      </w:rPr>
                      <w:t> </w:t>
                    </w:r>
                    <w:r>
                      <w:rPr>
                        <w:color w:val="632423"/>
                        <w:w w:val="80"/>
                        <w:sz w:val="38"/>
                      </w:rPr>
                      <w:t>fuerte</w:t>
                    </w:r>
                    <w:r>
                      <w:rPr>
                        <w:color w:val="632423"/>
                        <w:spacing w:val="-48"/>
                        <w:w w:val="80"/>
                        <w:sz w:val="38"/>
                      </w:rPr>
                      <w:t> </w:t>
                    </w:r>
                    <w:r>
                      <w:rPr>
                        <w:color w:val="632423"/>
                        <w:w w:val="80"/>
                        <w:sz w:val="38"/>
                      </w:rPr>
                      <w:t>y</w:t>
                    </w:r>
                    <w:r>
                      <w:rPr>
                        <w:color w:val="632423"/>
                        <w:spacing w:val="-48"/>
                        <w:w w:val="80"/>
                        <w:sz w:val="38"/>
                      </w:rPr>
                      <w:t> </w:t>
                    </w:r>
                    <w:r>
                      <w:rPr>
                        <w:color w:val="632423"/>
                        <w:w w:val="80"/>
                        <w:sz w:val="38"/>
                      </w:rPr>
                      <w:t>que</w:t>
                    </w:r>
                    <w:r>
                      <w:rPr>
                        <w:color w:val="632423"/>
                        <w:spacing w:val="-48"/>
                        <w:w w:val="80"/>
                        <w:sz w:val="38"/>
                      </w:rPr>
                      <w:t> </w:t>
                    </w:r>
                    <w:r>
                      <w:rPr>
                        <w:color w:val="632423"/>
                        <w:w w:val="80"/>
                        <w:sz w:val="38"/>
                      </w:rPr>
                      <w:t>beneficie</w:t>
                    </w:r>
                    <w:r>
                      <w:rPr>
                        <w:color w:val="632423"/>
                        <w:spacing w:val="-48"/>
                        <w:w w:val="80"/>
                        <w:sz w:val="38"/>
                      </w:rPr>
                      <w:t> </w:t>
                    </w:r>
                    <w:r>
                      <w:rPr>
                        <w:color w:val="632423"/>
                        <w:w w:val="80"/>
                        <w:sz w:val="38"/>
                      </w:rPr>
                      <w:t>a</w:t>
                    </w:r>
                  </w:p>
                  <w:p>
                    <w:pPr>
                      <w:spacing w:line="433" w:lineRule="exact" w:before="0"/>
                      <w:ind w:left="0" w:right="138" w:firstLine="0"/>
                      <w:jc w:val="right"/>
                      <w:rPr>
                        <w:sz w:val="38"/>
                      </w:rPr>
                    </w:pPr>
                    <w:r>
                      <w:rPr>
                        <w:color w:val="632423"/>
                        <w:w w:val="75"/>
                        <w:sz w:val="38"/>
                      </w:rPr>
                      <w:t>las comunidades y al medio ambiente”.</w:t>
                    </w:r>
                  </w:p>
                  <w:p>
                    <w:pPr>
                      <w:spacing w:line="247" w:lineRule="auto" w:before="257"/>
                      <w:ind w:left="5596" w:right="144" w:firstLine="1632"/>
                      <w:jc w:val="right"/>
                      <w:rPr>
                        <w:sz w:val="23"/>
                      </w:rPr>
                    </w:pPr>
                    <w:r>
                      <w:rPr>
                        <w:color w:val="632423"/>
                        <w:w w:val="75"/>
                        <w:sz w:val="23"/>
                      </w:rPr>
                      <w:t>Mike Duke,</w:t>
                    </w:r>
                    <w:r>
                      <w:rPr>
                        <w:color w:val="632423"/>
                        <w:w w:val="78"/>
                        <w:sz w:val="23"/>
                      </w:rPr>
                      <w:t> </w:t>
                    </w:r>
                    <w:r>
                      <w:rPr>
                        <w:color w:val="632423"/>
                        <w:w w:val="75"/>
                        <w:sz w:val="23"/>
                      </w:rPr>
                      <w:t>Expresidente y CEO de Walmart</w:t>
                    </w:r>
                  </w:p>
                </w:txbxContent>
              </v:textbox>
              <w10:wrap type="none"/>
            </v:shape>
            <w10:wrap type="topAndBottom"/>
          </v:group>
        </w:pict>
      </w:r>
    </w:p>
    <w:p>
      <w:pPr>
        <w:spacing w:after="0"/>
        <w:rPr>
          <w:sz w:val="29"/>
        </w:rPr>
        <w:sectPr>
          <w:pgSz w:w="12240" w:h="15840"/>
          <w:pgMar w:header="741" w:footer="739" w:top="1220" w:bottom="920" w:left="1720" w:right="1260"/>
        </w:sectPr>
      </w:pPr>
    </w:p>
    <w:p>
      <w:pPr>
        <w:pStyle w:val="BodyText"/>
        <w:spacing w:before="9"/>
        <w:rPr>
          <w:rFonts w:ascii="Times New Roman"/>
          <w:sz w:val="17"/>
        </w:rPr>
      </w:pPr>
    </w:p>
    <w:p>
      <w:pPr>
        <w:pStyle w:val="BodyText"/>
        <w:ind w:left="276"/>
        <w:rPr>
          <w:rFonts w:ascii="Times New Roman"/>
          <w:sz w:val="20"/>
        </w:rPr>
      </w:pPr>
      <w:r>
        <w:rPr>
          <w:rFonts w:ascii="Times New Roman"/>
          <w:sz w:val="20"/>
        </w:rPr>
        <w:drawing>
          <wp:inline distT="0" distB="0" distL="0" distR="0">
            <wp:extent cx="5513778" cy="7577328"/>
            <wp:effectExtent l="0" t="0" r="0" b="0"/>
            <wp:docPr id="27" name="image115.jpeg" descr=""/>
            <wp:cNvGraphicFramePr>
              <a:graphicFrameLocks noChangeAspect="1"/>
            </wp:cNvGraphicFramePr>
            <a:graphic>
              <a:graphicData uri="http://schemas.openxmlformats.org/drawingml/2006/picture">
                <pic:pic>
                  <pic:nvPicPr>
                    <pic:cNvPr id="28" name="image115.jpeg"/>
                    <pic:cNvPicPr/>
                  </pic:nvPicPr>
                  <pic:blipFill>
                    <a:blip r:embed="rId155" cstate="print"/>
                    <a:stretch>
                      <a:fillRect/>
                    </a:stretch>
                  </pic:blipFill>
                  <pic:spPr>
                    <a:xfrm>
                      <a:off x="0" y="0"/>
                      <a:ext cx="5513778" cy="7577328"/>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54"/>
          <w:pgSz w:w="12240" w:h="15840"/>
          <w:pgMar w:footer="739" w:header="741" w:top="1220" w:bottom="920" w:left="1720" w:right="1260"/>
        </w:sectPr>
      </w:pPr>
    </w:p>
    <w:p>
      <w:pPr>
        <w:pStyle w:val="BodyText"/>
        <w:spacing w:before="9"/>
        <w:rPr>
          <w:rFonts w:ascii="Times New Roman"/>
          <w:sz w:val="17"/>
        </w:rPr>
      </w:pPr>
    </w:p>
    <w:p>
      <w:pPr>
        <w:pStyle w:val="BodyText"/>
        <w:ind w:left="276"/>
        <w:rPr>
          <w:rFonts w:ascii="Times New Roman"/>
          <w:sz w:val="20"/>
        </w:rPr>
      </w:pPr>
      <w:r>
        <w:rPr>
          <w:rFonts w:ascii="Times New Roman"/>
          <w:sz w:val="20"/>
        </w:rPr>
        <w:drawing>
          <wp:inline distT="0" distB="0" distL="0" distR="0">
            <wp:extent cx="5745021" cy="7638097"/>
            <wp:effectExtent l="0" t="0" r="0" b="0"/>
            <wp:docPr id="29" name="image116.jpeg" descr=""/>
            <wp:cNvGraphicFramePr>
              <a:graphicFrameLocks noChangeAspect="1"/>
            </wp:cNvGraphicFramePr>
            <a:graphic>
              <a:graphicData uri="http://schemas.openxmlformats.org/drawingml/2006/picture">
                <pic:pic>
                  <pic:nvPicPr>
                    <pic:cNvPr id="30" name="image116.jpeg"/>
                    <pic:cNvPicPr/>
                  </pic:nvPicPr>
                  <pic:blipFill>
                    <a:blip r:embed="rId157" cstate="print"/>
                    <a:stretch>
                      <a:fillRect/>
                    </a:stretch>
                  </pic:blipFill>
                  <pic:spPr>
                    <a:xfrm>
                      <a:off x="0" y="0"/>
                      <a:ext cx="5745021" cy="7638097"/>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56"/>
          <w:pgSz w:w="12240" w:h="15840"/>
          <w:pgMar w:footer="739" w:header="741" w:top="1220" w:bottom="920" w:left="1720" w:right="920"/>
          <w:pgNumType w:start="81"/>
        </w:sectPr>
      </w:pPr>
    </w:p>
    <w:p>
      <w:pPr>
        <w:pStyle w:val="BodyText"/>
        <w:rPr>
          <w:rFonts w:ascii="Times New Roman"/>
          <w:sz w:val="20"/>
        </w:rPr>
      </w:pPr>
    </w:p>
    <w:p>
      <w:pPr>
        <w:pStyle w:val="BodyText"/>
        <w:spacing w:before="11"/>
        <w:rPr>
          <w:rFonts w:ascii="Times New Roman"/>
          <w:sz w:val="28"/>
        </w:rPr>
      </w:pPr>
    </w:p>
    <w:p>
      <w:pPr>
        <w:pStyle w:val="Heading2"/>
        <w:spacing w:line="244" w:lineRule="auto"/>
        <w:ind w:left="364" w:right="197" w:firstLine="36"/>
        <w:jc w:val="left"/>
      </w:pPr>
      <w:r>
        <w:rPr/>
        <w:t>Determinación de los Gases de Efecto Invernadero (GEI) en el Sistema de Producción Lechera en Pequeña  </w:t>
      </w:r>
      <w:r>
        <w:rPr>
          <w:spacing w:val="73"/>
        </w:rPr>
        <w:t> </w:t>
      </w:r>
      <w:r>
        <w:rPr/>
        <w:t>Escala</w:t>
      </w:r>
    </w:p>
    <w:p>
      <w:pPr>
        <w:pStyle w:val="BodyText"/>
        <w:rPr>
          <w:b/>
          <w:sz w:val="32"/>
        </w:rPr>
      </w:pPr>
    </w:p>
    <w:p>
      <w:pPr>
        <w:pStyle w:val="BodyText"/>
        <w:spacing w:before="4"/>
        <w:rPr>
          <w:b/>
          <w:sz w:val="39"/>
        </w:rPr>
      </w:pPr>
    </w:p>
    <w:p>
      <w:pPr>
        <w:pStyle w:val="Heading6"/>
      </w:pPr>
      <w:r>
        <w:rPr/>
        <w:t>Introducción</w:t>
      </w:r>
    </w:p>
    <w:p>
      <w:pPr>
        <w:pStyle w:val="BodyText"/>
        <w:spacing w:line="357" w:lineRule="auto" w:before="141"/>
        <w:ind w:left="276" w:right="143"/>
        <w:jc w:val="both"/>
      </w:pPr>
      <w:r>
        <w:rPr/>
        <w:t>Los</w:t>
      </w:r>
      <w:r>
        <w:rPr>
          <w:spacing w:val="-5"/>
        </w:rPr>
        <w:t> </w:t>
      </w:r>
      <w:r>
        <w:rPr/>
        <w:t>niveles</w:t>
      </w:r>
      <w:r>
        <w:rPr>
          <w:spacing w:val="-5"/>
        </w:rPr>
        <w:t> </w:t>
      </w:r>
      <w:r>
        <w:rPr/>
        <w:t>de</w:t>
      </w:r>
      <w:r>
        <w:rPr>
          <w:spacing w:val="-5"/>
        </w:rPr>
        <w:t> </w:t>
      </w:r>
      <w:r>
        <w:rPr/>
        <w:t>dióxido</w:t>
      </w:r>
      <w:r>
        <w:rPr>
          <w:spacing w:val="-5"/>
        </w:rPr>
        <w:t> </w:t>
      </w:r>
      <w:r>
        <w:rPr/>
        <w:t>de</w:t>
      </w:r>
      <w:r>
        <w:rPr>
          <w:spacing w:val="-5"/>
        </w:rPr>
        <w:t> </w:t>
      </w:r>
      <w:r>
        <w:rPr/>
        <w:t>carbono</w:t>
      </w:r>
      <w:r>
        <w:rPr>
          <w:spacing w:val="-5"/>
        </w:rPr>
        <w:t> </w:t>
      </w:r>
      <w:r>
        <w:rPr/>
        <w:t>y</w:t>
      </w:r>
      <w:r>
        <w:rPr>
          <w:spacing w:val="-5"/>
        </w:rPr>
        <w:t> </w:t>
      </w:r>
      <w:r>
        <w:rPr/>
        <w:t>otros</w:t>
      </w:r>
      <w:r>
        <w:rPr>
          <w:spacing w:val="-5"/>
        </w:rPr>
        <w:t> </w:t>
      </w:r>
      <w:r>
        <w:rPr/>
        <w:t>“gases</w:t>
      </w:r>
      <w:r>
        <w:rPr>
          <w:spacing w:val="-5"/>
        </w:rPr>
        <w:t> </w:t>
      </w:r>
      <w:r>
        <w:rPr/>
        <w:t>de</w:t>
      </w:r>
      <w:r>
        <w:rPr>
          <w:spacing w:val="-5"/>
        </w:rPr>
        <w:t> </w:t>
      </w:r>
      <w:r>
        <w:rPr/>
        <w:t>efecto</w:t>
      </w:r>
      <w:r>
        <w:rPr>
          <w:spacing w:val="-5"/>
        </w:rPr>
        <w:t> </w:t>
      </w:r>
      <w:r>
        <w:rPr/>
        <w:t>invernadero”</w:t>
      </w:r>
      <w:r>
        <w:rPr>
          <w:spacing w:val="-5"/>
        </w:rPr>
        <w:t> </w:t>
      </w:r>
      <w:r>
        <w:rPr/>
        <w:t>(GEI)</w:t>
      </w:r>
      <w:r>
        <w:rPr>
          <w:spacing w:val="-5"/>
        </w:rPr>
        <w:t> </w:t>
      </w:r>
      <w:r>
        <w:rPr/>
        <w:t>en</w:t>
      </w:r>
      <w:r>
        <w:rPr>
          <w:spacing w:val="-5"/>
        </w:rPr>
        <w:t> </w:t>
      </w:r>
      <w:r>
        <w:rPr/>
        <w:t>la atmósfera han aumentado vertiginosamente durante la era industrial debido a actividades humanas como la deforestación o el elevado consumo de</w:t>
      </w:r>
      <w:r>
        <w:rPr>
          <w:spacing w:val="-41"/>
        </w:rPr>
        <w:t> </w:t>
      </w:r>
      <w:r>
        <w:rPr/>
        <w:t>combustibles fósiles,</w:t>
      </w:r>
      <w:r>
        <w:rPr>
          <w:spacing w:val="-7"/>
        </w:rPr>
        <w:t> </w:t>
      </w:r>
      <w:r>
        <w:rPr/>
        <w:t>estimulado</w:t>
      </w:r>
      <w:r>
        <w:rPr>
          <w:spacing w:val="-7"/>
        </w:rPr>
        <w:t> </w:t>
      </w:r>
      <w:r>
        <w:rPr/>
        <w:t>por</w:t>
      </w:r>
      <w:r>
        <w:rPr>
          <w:spacing w:val="-7"/>
        </w:rPr>
        <w:t> </w:t>
      </w:r>
      <w:r>
        <w:rPr/>
        <w:t>el</w:t>
      </w:r>
      <w:r>
        <w:rPr>
          <w:spacing w:val="-7"/>
        </w:rPr>
        <w:t> </w:t>
      </w:r>
      <w:r>
        <w:rPr/>
        <w:t>crecimiento</w:t>
      </w:r>
      <w:r>
        <w:rPr>
          <w:spacing w:val="-7"/>
        </w:rPr>
        <w:t> </w:t>
      </w:r>
      <w:r>
        <w:rPr/>
        <w:t>económico</w:t>
      </w:r>
      <w:r>
        <w:rPr>
          <w:spacing w:val="-7"/>
        </w:rPr>
        <w:t> </w:t>
      </w:r>
      <w:r>
        <w:rPr/>
        <w:t>y</w:t>
      </w:r>
      <w:r>
        <w:rPr>
          <w:spacing w:val="-7"/>
        </w:rPr>
        <w:t> </w:t>
      </w:r>
      <w:r>
        <w:rPr/>
        <w:t>demográfico.</w:t>
      </w:r>
      <w:r>
        <w:rPr>
          <w:spacing w:val="-7"/>
        </w:rPr>
        <w:t> </w:t>
      </w:r>
      <w:r>
        <w:rPr/>
        <w:t>Los</w:t>
      </w:r>
      <w:r>
        <w:rPr>
          <w:spacing w:val="-7"/>
        </w:rPr>
        <w:t> </w:t>
      </w:r>
      <w:r>
        <w:rPr/>
        <w:t>GEI,</w:t>
      </w:r>
      <w:r>
        <w:rPr>
          <w:spacing w:val="-7"/>
        </w:rPr>
        <w:t> </w:t>
      </w:r>
      <w:r>
        <w:rPr/>
        <w:t>son</w:t>
      </w:r>
      <w:r>
        <w:rPr>
          <w:spacing w:val="-7"/>
        </w:rPr>
        <w:t> </w:t>
      </w:r>
      <w:r>
        <w:rPr/>
        <w:t>como una manta que envolviera al planeta, retienen la energía térmica en la capa inferior de la atmósfera terrestre. Si esos niveles ascienden demasiado, el consiguiente aumento global de la temperatura del aire – calentamiento mundial – podría perturbar las pautas naturales del clima (UNFCCC, 2007:7). Los principales gases que integran la categoría de gas con efecto invernadero son el dióxido de carbono (CO</w:t>
      </w:r>
      <w:r>
        <w:rPr>
          <w:position w:val="-2"/>
          <w:sz w:val="16"/>
        </w:rPr>
        <w:t>2</w:t>
      </w:r>
      <w:r>
        <w:rPr/>
        <w:t>), metano (CH</w:t>
      </w:r>
      <w:r>
        <w:rPr>
          <w:position w:val="-2"/>
          <w:sz w:val="16"/>
        </w:rPr>
        <w:t>4</w:t>
      </w:r>
      <w:r>
        <w:rPr/>
        <w:t>), óxido nitroso (N</w:t>
      </w:r>
      <w:r>
        <w:rPr>
          <w:position w:val="-2"/>
          <w:sz w:val="16"/>
        </w:rPr>
        <w:t>2</w:t>
      </w:r>
      <w:r>
        <w:rPr/>
        <w:t>O) y los llamados clorofluorcarbonados. El metano es un potente gas con efecto invernadero, ya que su potencial de calentamiento global (PCG) es aproximadamente 21 veces superior al del CO</w:t>
      </w:r>
      <w:r>
        <w:rPr>
          <w:position w:val="-2"/>
          <w:sz w:val="16"/>
        </w:rPr>
        <w:t>2 </w:t>
      </w:r>
      <w:r>
        <w:rPr/>
        <w:t>(Moss </w:t>
      </w:r>
      <w:r>
        <w:rPr>
          <w:i/>
        </w:rPr>
        <w:t>et al.</w:t>
      </w:r>
      <w:r>
        <w:rPr/>
        <w:t>,</w:t>
      </w:r>
      <w:r>
        <w:rPr>
          <w:spacing w:val="-8"/>
        </w:rPr>
        <w:t> </w:t>
      </w:r>
      <w:r>
        <w:rPr/>
        <w:t>2000:232).</w:t>
      </w:r>
    </w:p>
    <w:p>
      <w:pPr>
        <w:pStyle w:val="BodyText"/>
        <w:spacing w:line="360" w:lineRule="auto" w:before="5"/>
        <w:ind w:left="276" w:right="143"/>
        <w:jc w:val="both"/>
      </w:pPr>
      <w:r>
        <w:rPr/>
        <w:t>El Cambio Climático atraviesa un aceleramiento producto de las actividades humanas. El cambio en el clima se atribuye directa o indirectamente a las actividades humanas que alteran la composición de la atmósfera y que se suman</w:t>
      </w:r>
      <w:r>
        <w:rPr>
          <w:spacing w:val="-26"/>
        </w:rPr>
        <w:t> </w:t>
      </w:r>
      <w:r>
        <w:rPr/>
        <w:t>a la variabilidad natural del clima observada durante períodos de tiempo que pueden ser comparables. El cambio climático global es una de las amenazas con las que se enfrentan los países a nivel mundial.</w:t>
      </w:r>
    </w:p>
    <w:p>
      <w:pPr>
        <w:pStyle w:val="BodyText"/>
        <w:spacing w:line="360" w:lineRule="auto" w:before="122"/>
        <w:ind w:left="276" w:right="143"/>
        <w:jc w:val="both"/>
      </w:pPr>
      <w:r>
        <w:rPr/>
        <w:t>Es una realidad indiscutible, que el clima está cambiando. Todos los indicadores meteorológicos muestran que se trata de un fenómeno activo, entre los cuales destacan como características un aumento de la temperatura promedio mundial de 0.6°C en el período 1860 – 2000 y una mayor frecuencia e intensidad de eventos climáticos extremos (Sanjur, 2006:10). El incremento de temperatura es una de las evidencias más contundentes sobre la existencia del cambio climático. Tan sólo en</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el</w:t>
      </w:r>
      <w:r>
        <w:rPr>
          <w:spacing w:val="-13"/>
        </w:rPr>
        <w:t> </w:t>
      </w:r>
      <w:r>
        <w:rPr/>
        <w:t>periodo</w:t>
      </w:r>
      <w:r>
        <w:rPr>
          <w:spacing w:val="-13"/>
        </w:rPr>
        <w:t> </w:t>
      </w:r>
      <w:r>
        <w:rPr/>
        <w:t>1995-2006</w:t>
      </w:r>
      <w:r>
        <w:rPr>
          <w:spacing w:val="-13"/>
        </w:rPr>
        <w:t> </w:t>
      </w:r>
      <w:r>
        <w:rPr/>
        <w:t>se</w:t>
      </w:r>
      <w:r>
        <w:rPr>
          <w:spacing w:val="-13"/>
        </w:rPr>
        <w:t> </w:t>
      </w:r>
      <w:r>
        <w:rPr/>
        <w:t>registraron</w:t>
      </w:r>
      <w:r>
        <w:rPr>
          <w:spacing w:val="-13"/>
        </w:rPr>
        <w:t> </w:t>
      </w:r>
      <w:r>
        <w:rPr/>
        <w:t>once</w:t>
      </w:r>
      <w:r>
        <w:rPr>
          <w:spacing w:val="-13"/>
        </w:rPr>
        <w:t> </w:t>
      </w:r>
      <w:r>
        <w:rPr/>
        <w:t>de</w:t>
      </w:r>
      <w:r>
        <w:rPr>
          <w:spacing w:val="-13"/>
        </w:rPr>
        <w:t> </w:t>
      </w:r>
      <w:r>
        <w:rPr/>
        <w:t>los</w:t>
      </w:r>
      <w:r>
        <w:rPr>
          <w:spacing w:val="-13"/>
        </w:rPr>
        <w:t> </w:t>
      </w:r>
      <w:r>
        <w:rPr/>
        <w:t>doce</w:t>
      </w:r>
      <w:r>
        <w:rPr>
          <w:spacing w:val="-13"/>
        </w:rPr>
        <w:t> </w:t>
      </w:r>
      <w:r>
        <w:rPr/>
        <w:t>años</w:t>
      </w:r>
      <w:r>
        <w:rPr>
          <w:spacing w:val="-13"/>
        </w:rPr>
        <w:t> </w:t>
      </w:r>
      <w:r>
        <w:rPr/>
        <w:t>más</w:t>
      </w:r>
      <w:r>
        <w:rPr>
          <w:spacing w:val="-13"/>
        </w:rPr>
        <w:t> </w:t>
      </w:r>
      <w:r>
        <w:rPr/>
        <w:t>cálidos</w:t>
      </w:r>
      <w:r>
        <w:rPr>
          <w:spacing w:val="-13"/>
        </w:rPr>
        <w:t> </w:t>
      </w:r>
      <w:r>
        <w:rPr/>
        <w:t>desde</w:t>
      </w:r>
      <w:r>
        <w:rPr>
          <w:spacing w:val="-13"/>
        </w:rPr>
        <w:t> </w:t>
      </w:r>
      <w:r>
        <w:rPr/>
        <w:t>1850. De acuerdo con los registros de temperatura global en los últimos diez años, la variación promedio fue de cerca de 0.5°C por arriba de la media del periodo 1951- 1980; siendo 2005 el año en que se registró el mayor incremento (0.62°C), incluso superior a 1998 que había sido el año más caliente (0.57°C) hasta entonces registrado, influenciado por el fenómeno de El Niño de 1997–1998. En 2007, el incremento de temperatura fue de 0.57°C respecto a la media (SEMARNAT, 2008:228). De acuerdo con el IPCC (</w:t>
      </w:r>
      <w:r>
        <w:rPr>
          <w:i/>
        </w:rPr>
        <w:t>Panel Intergubernamental para el Cambio </w:t>
      </w:r>
      <w:r>
        <w:rPr>
          <w:i/>
        </w:rPr>
        <w:t>Climático</w:t>
      </w:r>
      <w:r>
        <w:rPr/>
        <w:t>), la tendencia de calentamiento de los últimos 50 años (0.13°C por década) es casi el doble de la tendencia observada en los últimos 100 años. El incremento total de temperatura del periodo 1850-1899 con respecto al periodo 2001-2005 fue de 0.76°C (IPCC,</w:t>
      </w:r>
      <w:r>
        <w:rPr>
          <w:spacing w:val="-7"/>
        </w:rPr>
        <w:t> </w:t>
      </w:r>
      <w:r>
        <w:rPr/>
        <w:t>2007:4).</w:t>
      </w:r>
    </w:p>
    <w:p>
      <w:pPr>
        <w:pStyle w:val="BodyText"/>
        <w:spacing w:line="360" w:lineRule="auto" w:before="122"/>
        <w:ind w:left="276" w:right="143"/>
        <w:jc w:val="both"/>
      </w:pPr>
      <w:r>
        <w:rPr/>
        <w:t>En los últimos años se ha producido un debate en torno al incremento de las emisiones</w:t>
      </w:r>
      <w:r>
        <w:rPr>
          <w:spacing w:val="-10"/>
        </w:rPr>
        <w:t> </w:t>
      </w:r>
      <w:r>
        <w:rPr/>
        <w:t>de</w:t>
      </w:r>
      <w:r>
        <w:rPr>
          <w:spacing w:val="-10"/>
        </w:rPr>
        <w:t> </w:t>
      </w:r>
      <w:r>
        <w:rPr/>
        <w:t>gases</w:t>
      </w:r>
      <w:r>
        <w:rPr>
          <w:spacing w:val="-10"/>
        </w:rPr>
        <w:t> </w:t>
      </w:r>
      <w:r>
        <w:rPr/>
        <w:t>con</w:t>
      </w:r>
      <w:r>
        <w:rPr>
          <w:spacing w:val="-10"/>
        </w:rPr>
        <w:t> </w:t>
      </w:r>
      <w:r>
        <w:rPr/>
        <w:t>efecto</w:t>
      </w:r>
      <w:r>
        <w:rPr>
          <w:spacing w:val="-10"/>
        </w:rPr>
        <w:t> </w:t>
      </w:r>
      <w:r>
        <w:rPr/>
        <w:t>invernadero,</w:t>
      </w:r>
      <w:r>
        <w:rPr>
          <w:spacing w:val="-10"/>
        </w:rPr>
        <w:t> </w:t>
      </w:r>
      <w:r>
        <w:rPr/>
        <w:t>como</w:t>
      </w:r>
      <w:r>
        <w:rPr>
          <w:spacing w:val="-10"/>
        </w:rPr>
        <w:t> </w:t>
      </w:r>
      <w:r>
        <w:rPr/>
        <w:t>resultado</w:t>
      </w:r>
      <w:r>
        <w:rPr>
          <w:spacing w:val="-10"/>
        </w:rPr>
        <w:t> </w:t>
      </w:r>
      <w:r>
        <w:rPr/>
        <w:t>de</w:t>
      </w:r>
      <w:r>
        <w:rPr>
          <w:spacing w:val="-10"/>
        </w:rPr>
        <w:t> </w:t>
      </w:r>
      <w:r>
        <w:rPr/>
        <w:t>la</w:t>
      </w:r>
      <w:r>
        <w:rPr>
          <w:spacing w:val="-10"/>
        </w:rPr>
        <w:t> </w:t>
      </w:r>
      <w:r>
        <w:rPr/>
        <w:t>actividad</w:t>
      </w:r>
      <w:r>
        <w:rPr>
          <w:spacing w:val="-10"/>
        </w:rPr>
        <w:t> </w:t>
      </w:r>
      <w:r>
        <w:rPr/>
        <w:t>humana en general y de la ganadería en particular, lo cual refleja el incremento tanto en el interés y la preocupación por este fenómeno. Entre los sistemas de producción ganadera más implicados en estas emisiones se encuentran los rumiantes tanto para</w:t>
      </w:r>
      <w:r>
        <w:rPr>
          <w:spacing w:val="-17"/>
        </w:rPr>
        <w:t> </w:t>
      </w:r>
      <w:r>
        <w:rPr/>
        <w:t>la</w:t>
      </w:r>
      <w:r>
        <w:rPr>
          <w:spacing w:val="-17"/>
        </w:rPr>
        <w:t> </w:t>
      </w:r>
      <w:r>
        <w:rPr/>
        <w:t>producción</w:t>
      </w:r>
      <w:r>
        <w:rPr>
          <w:spacing w:val="-17"/>
        </w:rPr>
        <w:t> </w:t>
      </w:r>
      <w:r>
        <w:rPr/>
        <w:t>de</w:t>
      </w:r>
      <w:r>
        <w:rPr>
          <w:spacing w:val="-17"/>
        </w:rPr>
        <w:t> </w:t>
      </w:r>
      <w:r>
        <w:rPr/>
        <w:t>leche</w:t>
      </w:r>
      <w:r>
        <w:rPr>
          <w:spacing w:val="-17"/>
        </w:rPr>
        <w:t> </w:t>
      </w:r>
      <w:r>
        <w:rPr/>
        <w:t>como</w:t>
      </w:r>
      <w:r>
        <w:rPr>
          <w:spacing w:val="-17"/>
        </w:rPr>
        <w:t> </w:t>
      </w:r>
      <w:r>
        <w:rPr/>
        <w:t>para</w:t>
      </w:r>
      <w:r>
        <w:rPr>
          <w:spacing w:val="-17"/>
        </w:rPr>
        <w:t> </w:t>
      </w:r>
      <w:r>
        <w:rPr/>
        <w:t>la</w:t>
      </w:r>
      <w:r>
        <w:rPr>
          <w:spacing w:val="-17"/>
        </w:rPr>
        <w:t> </w:t>
      </w:r>
      <w:r>
        <w:rPr/>
        <w:t>producción</w:t>
      </w:r>
      <w:r>
        <w:rPr>
          <w:spacing w:val="-17"/>
        </w:rPr>
        <w:t> </w:t>
      </w:r>
      <w:r>
        <w:rPr/>
        <w:t>de</w:t>
      </w:r>
      <w:r>
        <w:rPr>
          <w:spacing w:val="-17"/>
        </w:rPr>
        <w:t> </w:t>
      </w:r>
      <w:r>
        <w:rPr/>
        <w:t>carne</w:t>
      </w:r>
      <w:r>
        <w:rPr>
          <w:spacing w:val="-17"/>
        </w:rPr>
        <w:t> </w:t>
      </w:r>
      <w:r>
        <w:rPr/>
        <w:t>(Blas</w:t>
      </w:r>
      <w:r>
        <w:rPr>
          <w:spacing w:val="-18"/>
        </w:rPr>
        <w:t> </w:t>
      </w:r>
      <w:r>
        <w:rPr>
          <w:i/>
        </w:rPr>
        <w:t>et</w:t>
      </w:r>
      <w:r>
        <w:rPr>
          <w:i/>
          <w:spacing w:val="-17"/>
        </w:rPr>
        <w:t> </w:t>
      </w:r>
      <w:r>
        <w:rPr>
          <w:i/>
        </w:rPr>
        <w:t>al.</w:t>
      </w:r>
      <w:r>
        <w:rPr>
          <w:i/>
          <w:spacing w:val="-18"/>
        </w:rPr>
        <w:t> </w:t>
      </w:r>
      <w:r>
        <w:rPr/>
        <w:t>2008:121).</w:t>
      </w:r>
    </w:p>
    <w:p>
      <w:pPr>
        <w:pStyle w:val="BodyText"/>
        <w:spacing w:line="360" w:lineRule="auto" w:before="122"/>
        <w:ind w:left="276" w:right="143"/>
        <w:jc w:val="both"/>
      </w:pPr>
      <w:r>
        <w:rPr/>
        <w:t>El objetivo de esta revisión es el de analizar los diferentes factores involucrados en las emisiones de GEI producto de los bovinos, así como la contribución de las actividades agropecuarias, su impacto ambiental, sus emisiones, los efectos de la dieta y las alternativas para disminuir la producción de estos gases de efecto invernadero en los sistemas ganaderos de producción lechera en pequeña escala.</w:t>
      </w:r>
    </w:p>
    <w:p>
      <w:pPr>
        <w:pStyle w:val="BodyText"/>
      </w:pPr>
    </w:p>
    <w:p>
      <w:pPr>
        <w:pStyle w:val="BodyText"/>
        <w:spacing w:before="6"/>
        <w:rPr>
          <w:sz w:val="22"/>
        </w:rPr>
      </w:pPr>
    </w:p>
    <w:p>
      <w:pPr>
        <w:pStyle w:val="Heading6"/>
      </w:pPr>
      <w:r>
        <w:rPr/>
        <w:t>Contribución de las actividades agropecuarias en la emisión de GEI</w:t>
      </w:r>
    </w:p>
    <w:p>
      <w:pPr>
        <w:pStyle w:val="BodyText"/>
        <w:spacing w:line="360" w:lineRule="auto" w:before="137"/>
        <w:ind w:left="276" w:right="143"/>
        <w:jc w:val="both"/>
      </w:pPr>
      <w:r>
        <w:rPr/>
        <w:t>Las actividades agrícolas y ganaderas contribuyen directamente a la emisión de gases de efecto invernadero a través de una serie de procesos. La ganadería contribuye a la emisión de metano, por la fermentación entérica y las excreciones de los animales. Estas últimas también son fuente de óxido nitroso, de la misma manera que las forrajeras fijadoras de nitrógeno, en particular la alfalfa. Cuando</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estas pasturas son enterradas, debido a la periódica renovación de los cultivos, también se provocan procesos que llevan a la emisión de óxido nitroso. En las actividades</w:t>
      </w:r>
      <w:r>
        <w:rPr>
          <w:spacing w:val="-15"/>
        </w:rPr>
        <w:t> </w:t>
      </w:r>
      <w:r>
        <w:rPr/>
        <w:t>agrícolas,</w:t>
      </w:r>
      <w:r>
        <w:rPr>
          <w:spacing w:val="-15"/>
        </w:rPr>
        <w:t> </w:t>
      </w:r>
      <w:r>
        <w:rPr/>
        <w:t>las</w:t>
      </w:r>
      <w:r>
        <w:rPr>
          <w:spacing w:val="-15"/>
        </w:rPr>
        <w:t> </w:t>
      </w:r>
      <w:r>
        <w:rPr/>
        <w:t>emisiones</w:t>
      </w:r>
      <w:r>
        <w:rPr>
          <w:spacing w:val="-15"/>
        </w:rPr>
        <w:t> </w:t>
      </w:r>
      <w:r>
        <w:rPr/>
        <w:t>se</w:t>
      </w:r>
      <w:r>
        <w:rPr>
          <w:spacing w:val="-15"/>
        </w:rPr>
        <w:t> </w:t>
      </w:r>
      <w:r>
        <w:rPr/>
        <w:t>producen</w:t>
      </w:r>
      <w:r>
        <w:rPr>
          <w:spacing w:val="-15"/>
        </w:rPr>
        <w:t> </w:t>
      </w:r>
      <w:r>
        <w:rPr/>
        <w:t>como</w:t>
      </w:r>
      <w:r>
        <w:rPr>
          <w:spacing w:val="-15"/>
        </w:rPr>
        <w:t> </w:t>
      </w:r>
      <w:r>
        <w:rPr/>
        <w:t>consecuencia</w:t>
      </w:r>
      <w:r>
        <w:rPr>
          <w:spacing w:val="-15"/>
        </w:rPr>
        <w:t> </w:t>
      </w:r>
      <w:r>
        <w:rPr/>
        <w:t>de</w:t>
      </w:r>
      <w:r>
        <w:rPr>
          <w:spacing w:val="-15"/>
        </w:rPr>
        <w:t> </w:t>
      </w:r>
      <w:r>
        <w:rPr/>
        <w:t>los</w:t>
      </w:r>
      <w:r>
        <w:rPr>
          <w:spacing w:val="-15"/>
        </w:rPr>
        <w:t> </w:t>
      </w:r>
      <w:r>
        <w:rPr/>
        <w:t>cultivos fijadores de nitrógeno, entre los que se destaca la soya, y con el enterramiento de rastrojos. Los fertilizantes comerciales contribuyen también a la emisión de óxido nitroso. La quema de rastrojos produce emisiones de óxido nitroso, otros óxidos</w:t>
      </w:r>
      <w:r>
        <w:rPr>
          <w:spacing w:val="-13"/>
        </w:rPr>
        <w:t> </w:t>
      </w:r>
      <w:r>
        <w:rPr/>
        <w:t>de nitrógeno, monóxido de carbono y metano (Berra y Finster, 2002:213).</w:t>
      </w:r>
    </w:p>
    <w:p>
      <w:pPr>
        <w:pStyle w:val="BodyText"/>
        <w:spacing w:line="360" w:lineRule="auto" w:before="122"/>
        <w:ind w:left="276" w:right="143"/>
        <w:jc w:val="both"/>
      </w:pPr>
      <w:r>
        <w:rPr/>
        <w:t>Berra</w:t>
      </w:r>
      <w:r>
        <w:rPr>
          <w:spacing w:val="-6"/>
        </w:rPr>
        <w:t> </w:t>
      </w:r>
      <w:r>
        <w:rPr/>
        <w:t>y</w:t>
      </w:r>
      <w:r>
        <w:rPr>
          <w:spacing w:val="-6"/>
        </w:rPr>
        <w:t> </w:t>
      </w:r>
      <w:r>
        <w:rPr/>
        <w:t>Finster</w:t>
      </w:r>
      <w:r>
        <w:rPr>
          <w:spacing w:val="-6"/>
        </w:rPr>
        <w:t> </w:t>
      </w:r>
      <w:r>
        <w:rPr/>
        <w:t>(2002:213),</w:t>
      </w:r>
      <w:r>
        <w:rPr>
          <w:spacing w:val="-6"/>
        </w:rPr>
        <w:t> </w:t>
      </w:r>
      <w:r>
        <w:rPr/>
        <w:t>mencionan</w:t>
      </w:r>
      <w:r>
        <w:rPr>
          <w:spacing w:val="-6"/>
        </w:rPr>
        <w:t> </w:t>
      </w:r>
      <w:r>
        <w:rPr/>
        <w:t>que</w:t>
      </w:r>
      <w:r>
        <w:rPr>
          <w:spacing w:val="-6"/>
        </w:rPr>
        <w:t> </w:t>
      </w:r>
      <w:r>
        <w:rPr/>
        <w:t>la</w:t>
      </w:r>
      <w:r>
        <w:rPr>
          <w:spacing w:val="-6"/>
        </w:rPr>
        <w:t> </w:t>
      </w:r>
      <w:r>
        <w:rPr/>
        <w:t>producción</w:t>
      </w:r>
      <w:r>
        <w:rPr>
          <w:spacing w:val="-6"/>
        </w:rPr>
        <w:t> </w:t>
      </w:r>
      <w:r>
        <w:rPr/>
        <w:t>de</w:t>
      </w:r>
      <w:r>
        <w:rPr>
          <w:spacing w:val="-6"/>
        </w:rPr>
        <w:t> </w:t>
      </w:r>
      <w:r>
        <w:rPr/>
        <w:t>metano</w:t>
      </w:r>
      <w:r>
        <w:rPr>
          <w:spacing w:val="-6"/>
        </w:rPr>
        <w:t> </w:t>
      </w:r>
      <w:r>
        <w:rPr/>
        <w:t>es</w:t>
      </w:r>
      <w:r>
        <w:rPr>
          <w:spacing w:val="-6"/>
        </w:rPr>
        <w:t> </w:t>
      </w:r>
      <w:r>
        <w:rPr/>
        <w:t>parte</w:t>
      </w:r>
      <w:r>
        <w:rPr>
          <w:spacing w:val="-6"/>
        </w:rPr>
        <w:t> </w:t>
      </w:r>
      <w:r>
        <w:rPr/>
        <w:t>de</w:t>
      </w:r>
      <w:r>
        <w:rPr>
          <w:spacing w:val="-6"/>
        </w:rPr>
        <w:t> </w:t>
      </w:r>
      <w:r>
        <w:rPr/>
        <w:t>los procesos digestivos normales de los animales, durante la digestión y que los microorganismos presentes en el aparato digestivo fermentan el alimento consumido por el animal. Este proceso conocido como fermentación entérica, produce metano como un subproducto, que puede ser exhalado o eructado por el animal. Entre las especies ganaderas, los rumiantes son los principales emisores de metano.</w:t>
      </w:r>
    </w:p>
    <w:p>
      <w:pPr>
        <w:pStyle w:val="BodyText"/>
        <w:spacing w:line="360" w:lineRule="auto" w:before="122"/>
        <w:ind w:left="276" w:right="143"/>
        <w:jc w:val="both"/>
      </w:pPr>
      <w:r>
        <w:rPr/>
        <w:t>Los rumiantes son alimentados con forrajes, compuestos por celulosa. El proceso de fermentación, que tiene lugar en el rumen, ofrece una oportunidad para que los microorganismos desdoblen la celulosa, transformándola en productos que</w:t>
      </w:r>
      <w:r>
        <w:rPr>
          <w:spacing w:val="-24"/>
        </w:rPr>
        <w:t> </w:t>
      </w:r>
      <w:r>
        <w:rPr/>
        <w:t>pueden ser absorbidos y utilizados por el animal. Estos organismos forman una ecología compleja, que incluye mecanismos de competición y simbiosis, su población es fuertemente influenciada por la composición de la dieta consumida por el animal. Las bacterias metanogénicas son las responsables de la producción del metano y, si bien constituyen una fracción muy pequeña de la población microbiana total, cumplen una función muy importante, al proveer un mecanismo para eliminar el hidrógeno producido en el rumen (Berra y Finster, 2002:214).</w:t>
      </w:r>
    </w:p>
    <w:p>
      <w:pPr>
        <w:pStyle w:val="BodyText"/>
        <w:spacing w:line="360" w:lineRule="auto" w:before="122"/>
        <w:ind w:left="276" w:right="143"/>
        <w:jc w:val="both"/>
      </w:pPr>
      <w:r>
        <w:rPr/>
        <w:t>Carmona </w:t>
      </w:r>
      <w:r>
        <w:rPr>
          <w:i/>
        </w:rPr>
        <w:t>et al. </w:t>
      </w:r>
      <w:r>
        <w:rPr/>
        <w:t>(2005:50), indican que la producción de metano en los últimos</w:t>
      </w:r>
      <w:r>
        <w:rPr>
          <w:spacing w:val="-14"/>
        </w:rPr>
        <w:t> </w:t>
      </w:r>
      <w:r>
        <w:rPr/>
        <w:t>años ha</w:t>
      </w:r>
      <w:r>
        <w:rPr>
          <w:spacing w:val="-10"/>
        </w:rPr>
        <w:t> </w:t>
      </w:r>
      <w:r>
        <w:rPr/>
        <w:t>tomado</w:t>
      </w:r>
      <w:r>
        <w:rPr>
          <w:spacing w:val="-10"/>
        </w:rPr>
        <w:t> </w:t>
      </w:r>
      <w:r>
        <w:rPr/>
        <w:t>gran</w:t>
      </w:r>
      <w:r>
        <w:rPr>
          <w:spacing w:val="-10"/>
        </w:rPr>
        <w:t> </w:t>
      </w:r>
      <w:r>
        <w:rPr/>
        <w:t>importancia</w:t>
      </w:r>
      <w:r>
        <w:rPr>
          <w:spacing w:val="-10"/>
        </w:rPr>
        <w:t> </w:t>
      </w:r>
      <w:r>
        <w:rPr/>
        <w:t>en</w:t>
      </w:r>
      <w:r>
        <w:rPr>
          <w:spacing w:val="-10"/>
        </w:rPr>
        <w:t> </w:t>
      </w:r>
      <w:r>
        <w:rPr/>
        <w:t>la</w:t>
      </w:r>
      <w:r>
        <w:rPr>
          <w:spacing w:val="-10"/>
        </w:rPr>
        <w:t> </w:t>
      </w:r>
      <w:r>
        <w:rPr/>
        <w:t>producción</w:t>
      </w:r>
      <w:r>
        <w:rPr>
          <w:spacing w:val="-10"/>
        </w:rPr>
        <w:t> </w:t>
      </w:r>
      <w:r>
        <w:rPr/>
        <w:t>animal</w:t>
      </w:r>
      <w:r>
        <w:rPr>
          <w:spacing w:val="-10"/>
        </w:rPr>
        <w:t> </w:t>
      </w:r>
      <w:r>
        <w:rPr/>
        <w:t>debido</w:t>
      </w:r>
      <w:r>
        <w:rPr>
          <w:spacing w:val="-10"/>
        </w:rPr>
        <w:t> </w:t>
      </w:r>
      <w:r>
        <w:rPr/>
        <w:t>a</w:t>
      </w:r>
      <w:r>
        <w:rPr>
          <w:spacing w:val="-10"/>
        </w:rPr>
        <w:t> </w:t>
      </w:r>
      <w:r>
        <w:rPr/>
        <w:t>sus</w:t>
      </w:r>
      <w:r>
        <w:rPr>
          <w:spacing w:val="-10"/>
        </w:rPr>
        <w:t> </w:t>
      </w:r>
      <w:r>
        <w:rPr/>
        <w:t>efectos</w:t>
      </w:r>
      <w:r>
        <w:rPr>
          <w:spacing w:val="-10"/>
        </w:rPr>
        <w:t> </w:t>
      </w:r>
      <w:r>
        <w:rPr/>
        <w:t>negativos en</w:t>
      </w:r>
      <w:r>
        <w:rPr>
          <w:spacing w:val="-5"/>
        </w:rPr>
        <w:t> </w:t>
      </w:r>
      <w:r>
        <w:rPr/>
        <w:t>el</w:t>
      </w:r>
      <w:r>
        <w:rPr>
          <w:spacing w:val="-5"/>
        </w:rPr>
        <w:t> </w:t>
      </w:r>
      <w:r>
        <w:rPr/>
        <w:t>medio</w:t>
      </w:r>
      <w:r>
        <w:rPr>
          <w:spacing w:val="-5"/>
        </w:rPr>
        <w:t> </w:t>
      </w:r>
      <w:r>
        <w:rPr/>
        <w:t>ambiente.</w:t>
      </w:r>
      <w:r>
        <w:rPr>
          <w:spacing w:val="-5"/>
        </w:rPr>
        <w:t> </w:t>
      </w:r>
      <w:r>
        <w:rPr/>
        <w:t>Otro</w:t>
      </w:r>
      <w:r>
        <w:rPr>
          <w:spacing w:val="-5"/>
        </w:rPr>
        <w:t> </w:t>
      </w:r>
      <w:r>
        <w:rPr/>
        <w:t>aspecto</w:t>
      </w:r>
      <w:r>
        <w:rPr>
          <w:spacing w:val="-5"/>
        </w:rPr>
        <w:t> </w:t>
      </w:r>
      <w:r>
        <w:rPr/>
        <w:t>de</w:t>
      </w:r>
      <w:r>
        <w:rPr>
          <w:spacing w:val="-5"/>
        </w:rPr>
        <w:t> </w:t>
      </w:r>
      <w:r>
        <w:rPr/>
        <w:t>relevancia,</w:t>
      </w:r>
      <w:r>
        <w:rPr>
          <w:spacing w:val="-5"/>
        </w:rPr>
        <w:t> </w:t>
      </w:r>
      <w:r>
        <w:rPr/>
        <w:t>es</w:t>
      </w:r>
      <w:r>
        <w:rPr>
          <w:spacing w:val="-5"/>
        </w:rPr>
        <w:t> </w:t>
      </w:r>
      <w:r>
        <w:rPr/>
        <w:t>la</w:t>
      </w:r>
      <w:r>
        <w:rPr>
          <w:spacing w:val="-5"/>
        </w:rPr>
        <w:t> </w:t>
      </w:r>
      <w:r>
        <w:rPr/>
        <w:t>eficiencia</w:t>
      </w:r>
      <w:r>
        <w:rPr>
          <w:spacing w:val="-5"/>
        </w:rPr>
        <w:t> </w:t>
      </w:r>
      <w:r>
        <w:rPr/>
        <w:t>energética</w:t>
      </w:r>
      <w:r>
        <w:rPr>
          <w:spacing w:val="-5"/>
        </w:rPr>
        <w:t> </w:t>
      </w:r>
      <w:r>
        <w:rPr/>
        <w:t>de</w:t>
      </w:r>
      <w:r>
        <w:rPr>
          <w:spacing w:val="-5"/>
        </w:rPr>
        <w:t> </w:t>
      </w:r>
      <w:r>
        <w:rPr/>
        <w:t>los sustratos alimenticios fermentados en el rumen, la cual disminuye en proporciones variables</w:t>
      </w:r>
      <w:r>
        <w:rPr>
          <w:spacing w:val="-10"/>
        </w:rPr>
        <w:t> </w:t>
      </w:r>
      <w:r>
        <w:rPr/>
        <w:t>dependiendo</w:t>
      </w:r>
      <w:r>
        <w:rPr>
          <w:spacing w:val="-10"/>
        </w:rPr>
        <w:t> </w:t>
      </w:r>
      <w:r>
        <w:rPr/>
        <w:t>de</w:t>
      </w:r>
      <w:r>
        <w:rPr>
          <w:spacing w:val="-10"/>
        </w:rPr>
        <w:t> </w:t>
      </w:r>
      <w:r>
        <w:rPr/>
        <w:t>las</w:t>
      </w:r>
      <w:r>
        <w:rPr>
          <w:spacing w:val="-10"/>
        </w:rPr>
        <w:t> </w:t>
      </w:r>
      <w:r>
        <w:rPr/>
        <w:t>características</w:t>
      </w:r>
      <w:r>
        <w:rPr>
          <w:spacing w:val="-10"/>
        </w:rPr>
        <w:t> </w:t>
      </w:r>
      <w:r>
        <w:rPr/>
        <w:t>de</w:t>
      </w:r>
      <w:r>
        <w:rPr>
          <w:spacing w:val="-10"/>
        </w:rPr>
        <w:t> </w:t>
      </w:r>
      <w:r>
        <w:rPr/>
        <w:t>la</w:t>
      </w:r>
      <w:r>
        <w:rPr>
          <w:spacing w:val="-10"/>
        </w:rPr>
        <w:t> </w:t>
      </w:r>
      <w:r>
        <w:rPr/>
        <w:t>dieta,</w:t>
      </w:r>
      <w:r>
        <w:rPr>
          <w:spacing w:val="-10"/>
        </w:rPr>
        <w:t> </w:t>
      </w:r>
      <w:r>
        <w:rPr/>
        <w:t>debido</w:t>
      </w:r>
      <w:r>
        <w:rPr>
          <w:spacing w:val="-10"/>
        </w:rPr>
        <w:t> </w:t>
      </w:r>
      <w:r>
        <w:rPr/>
        <w:t>a</w:t>
      </w:r>
      <w:r>
        <w:rPr>
          <w:spacing w:val="-10"/>
        </w:rPr>
        <w:t> </w:t>
      </w:r>
      <w:r>
        <w:rPr/>
        <w:t>que</w:t>
      </w:r>
      <w:r>
        <w:rPr>
          <w:spacing w:val="-10"/>
        </w:rPr>
        <w:t> </w:t>
      </w:r>
      <w:r>
        <w:rPr/>
        <w:t>las</w:t>
      </w:r>
      <w:r>
        <w:rPr>
          <w:spacing w:val="-10"/>
        </w:rPr>
        <w:t> </w:t>
      </w:r>
      <w:r>
        <w:rPr/>
        <w:t>emisiones de</w:t>
      </w:r>
      <w:r>
        <w:rPr>
          <w:spacing w:val="45"/>
        </w:rPr>
        <w:t> </w:t>
      </w:r>
      <w:r>
        <w:rPr/>
        <w:t>gases,</w:t>
      </w:r>
      <w:r>
        <w:rPr>
          <w:spacing w:val="45"/>
        </w:rPr>
        <w:t> </w:t>
      </w:r>
      <w:r>
        <w:rPr/>
        <w:t>específicamente</w:t>
      </w:r>
      <w:r>
        <w:rPr>
          <w:spacing w:val="45"/>
        </w:rPr>
        <w:t> </w:t>
      </w:r>
      <w:r>
        <w:rPr/>
        <w:t>de</w:t>
      </w:r>
      <w:r>
        <w:rPr>
          <w:spacing w:val="45"/>
        </w:rPr>
        <w:t> </w:t>
      </w:r>
      <w:r>
        <w:rPr/>
        <w:t>metano,</w:t>
      </w:r>
      <w:r>
        <w:rPr>
          <w:spacing w:val="45"/>
        </w:rPr>
        <w:t> </w:t>
      </w:r>
      <w:r>
        <w:rPr/>
        <w:t>involucran</w:t>
      </w:r>
      <w:r>
        <w:rPr>
          <w:spacing w:val="45"/>
        </w:rPr>
        <w:t> </w:t>
      </w:r>
      <w:r>
        <w:rPr/>
        <w:t>pérdidas</w:t>
      </w:r>
      <w:r>
        <w:rPr>
          <w:spacing w:val="45"/>
        </w:rPr>
        <w:t> </w:t>
      </w:r>
      <w:r>
        <w:rPr/>
        <w:t>a</w:t>
      </w:r>
      <w:r>
        <w:rPr>
          <w:spacing w:val="45"/>
        </w:rPr>
        <w:t> </w:t>
      </w:r>
      <w:r>
        <w:rPr/>
        <w:t>través</w:t>
      </w:r>
      <w:r>
        <w:rPr>
          <w:spacing w:val="45"/>
        </w:rPr>
        <w:t> </w:t>
      </w:r>
      <w:r>
        <w:rPr/>
        <w:t>del</w:t>
      </w:r>
      <w:r>
        <w:rPr>
          <w:spacing w:val="45"/>
        </w:rPr>
        <w:t> </w:t>
      </w:r>
      <w:r>
        <w:rPr/>
        <w:t>eructo.</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Johnson y Johnson (1995:2483) señalan que, el metano colabora en los efectos climáticos directamente, a través de su interacción con la energía infrarroja e indirectamente a través de las reacciones de oxidación atmosféricas que producen CO</w:t>
      </w:r>
      <w:r>
        <w:rPr>
          <w:position w:val="-2"/>
          <w:sz w:val="16"/>
        </w:rPr>
        <w:t>2</w:t>
      </w:r>
      <w:r>
        <w:rPr/>
        <w:t>. Por esto se considera que en la actualidad los sistemas de producción</w:t>
      </w:r>
      <w:r>
        <w:rPr>
          <w:spacing w:val="-27"/>
        </w:rPr>
        <w:t> </w:t>
      </w:r>
      <w:r>
        <w:rPr/>
        <w:t>animal sostenibles deben propender por una menor producción de metano.</w:t>
      </w:r>
    </w:p>
    <w:p>
      <w:pPr>
        <w:pStyle w:val="BodyText"/>
        <w:spacing w:line="360" w:lineRule="auto" w:before="130"/>
        <w:ind w:left="276" w:right="143"/>
        <w:jc w:val="both"/>
      </w:pPr>
      <w:r>
        <w:rPr/>
        <w:t>Finalmente, el manejo del estiércol del ganado produce emisiones de metano y de óxido nitroso. El metano se produce mediante la descomposición anaeróbica del estiércol, mientras que el óxido nitroso se forma como parte del ciclo del nitrógeno, a través de la denitrificación del nitrógeno orgánico presente en el estiércol y en la orina del ganado.</w:t>
      </w:r>
    </w:p>
    <w:p>
      <w:pPr>
        <w:pStyle w:val="BodyText"/>
      </w:pPr>
    </w:p>
    <w:p>
      <w:pPr>
        <w:pStyle w:val="BodyText"/>
        <w:rPr>
          <w:sz w:val="33"/>
        </w:rPr>
      </w:pPr>
    </w:p>
    <w:p>
      <w:pPr>
        <w:pStyle w:val="Heading6"/>
      </w:pPr>
      <w:r>
        <w:rPr/>
        <w:t>Producción de gases de efecto invernadero y su impacto ambiental</w:t>
      </w:r>
    </w:p>
    <w:p>
      <w:pPr>
        <w:pStyle w:val="BodyText"/>
        <w:spacing w:line="357" w:lineRule="auto" w:before="137"/>
        <w:ind w:left="276" w:right="143"/>
        <w:jc w:val="both"/>
      </w:pPr>
      <w:r>
        <w:rPr/>
        <w:t>Mientras que el dióxido de carbono recibe la mayor parte de la atención como un factor en el calentamiento global, son otros gases los que se deben considerar, incluyendo el metano, el óxido nitroso (N</w:t>
      </w:r>
      <w:r>
        <w:rPr>
          <w:position w:val="-2"/>
          <w:sz w:val="16"/>
        </w:rPr>
        <w:t>2</w:t>
      </w:r>
      <w:r>
        <w:rPr/>
        <w:t>O) y los clorofluorocarbonos (CFC)</w:t>
      </w:r>
      <w:r>
        <w:rPr>
          <w:spacing w:val="-35"/>
        </w:rPr>
        <w:t> </w:t>
      </w:r>
      <w:r>
        <w:rPr/>
        <w:t>(Moss e</w:t>
      </w:r>
      <w:r>
        <w:rPr>
          <w:i/>
        </w:rPr>
        <w:t>t al.</w:t>
      </w:r>
      <w:r>
        <w:rPr/>
        <w:t>,</w:t>
      </w:r>
      <w:r>
        <w:rPr>
          <w:spacing w:val="-2"/>
        </w:rPr>
        <w:t> </w:t>
      </w:r>
      <w:r>
        <w:rPr/>
        <w:t>2000:233).</w:t>
      </w:r>
    </w:p>
    <w:p>
      <w:pPr>
        <w:pStyle w:val="BodyText"/>
        <w:spacing w:line="355" w:lineRule="auto" w:before="125"/>
        <w:ind w:left="276" w:right="143"/>
        <w:jc w:val="both"/>
      </w:pPr>
      <w:r>
        <w:rPr/>
        <w:t>La agricultura y la producción pecuaria contribuyen ampliamente a las emisiones antropogénicas de metano (CH</w:t>
      </w:r>
      <w:r>
        <w:rPr>
          <w:position w:val="-2"/>
          <w:sz w:val="16"/>
        </w:rPr>
        <w:t>4</w:t>
      </w:r>
      <w:r>
        <w:rPr/>
        <w:t>), dióxido de carbono (CO</w:t>
      </w:r>
      <w:r>
        <w:rPr>
          <w:position w:val="-2"/>
          <w:sz w:val="16"/>
        </w:rPr>
        <w:t>2</w:t>
      </w:r>
      <w:r>
        <w:rPr/>
        <w:t>) y óxido nitroso (N</w:t>
      </w:r>
      <w:r>
        <w:rPr>
          <w:position w:val="-2"/>
          <w:sz w:val="16"/>
        </w:rPr>
        <w:t>2</w:t>
      </w:r>
      <w:r>
        <w:rPr/>
        <w:t>O) a la atmósfera. El aumento de las concentraciones de estos gases provoca un calentamiento de la superficie terrestre y la destrucción de la capa de ozono en la estratosfera. Dentro de la gama de gases a los que se les atribuye efecto invernadero, se considera el CO</w:t>
      </w:r>
      <w:r>
        <w:rPr>
          <w:position w:val="-2"/>
          <w:sz w:val="16"/>
        </w:rPr>
        <w:t>2 </w:t>
      </w:r>
      <w:r>
        <w:rPr/>
        <w:t>el más abundante y el que actualmente tiene un mayor aporte al incremento del calentamiento global. Hoy día las concentraciones de metano son inferiores a las de CO</w:t>
      </w:r>
      <w:r>
        <w:rPr>
          <w:position w:val="-2"/>
          <w:sz w:val="16"/>
        </w:rPr>
        <w:t>2</w:t>
      </w:r>
      <w:r>
        <w:rPr/>
        <w:t>, sin embargo, el primero se está incrementando rápidamente y además posee un efecto 21-30 veces más contaminante con respecto al CO</w:t>
      </w:r>
      <w:r>
        <w:rPr>
          <w:position w:val="-2"/>
          <w:sz w:val="16"/>
        </w:rPr>
        <w:t>2</w:t>
      </w:r>
      <w:r>
        <w:rPr/>
        <w:t>, considerándose que en el tiempo el metano pueda</w:t>
      </w:r>
      <w:r>
        <w:rPr>
          <w:spacing w:val="-13"/>
        </w:rPr>
        <w:t> </w:t>
      </w:r>
      <w:r>
        <w:rPr/>
        <w:t>ser</w:t>
      </w:r>
      <w:r>
        <w:rPr>
          <w:spacing w:val="-13"/>
        </w:rPr>
        <w:t> </w:t>
      </w:r>
      <w:r>
        <w:rPr/>
        <w:t>predominante.</w:t>
      </w:r>
      <w:r>
        <w:rPr>
          <w:spacing w:val="-13"/>
        </w:rPr>
        <w:t> </w:t>
      </w:r>
      <w:r>
        <w:rPr/>
        <w:t>Las</w:t>
      </w:r>
      <w:r>
        <w:rPr>
          <w:spacing w:val="-13"/>
        </w:rPr>
        <w:t> </w:t>
      </w:r>
      <w:r>
        <w:rPr/>
        <w:t>tasas</w:t>
      </w:r>
      <w:r>
        <w:rPr>
          <w:spacing w:val="-13"/>
        </w:rPr>
        <w:t> </w:t>
      </w:r>
      <w:r>
        <w:rPr/>
        <w:t>de</w:t>
      </w:r>
      <w:r>
        <w:rPr>
          <w:spacing w:val="-13"/>
        </w:rPr>
        <w:t> </w:t>
      </w:r>
      <w:r>
        <w:rPr/>
        <w:t>acumulación</w:t>
      </w:r>
      <w:r>
        <w:rPr>
          <w:spacing w:val="-13"/>
        </w:rPr>
        <w:t> </w:t>
      </w:r>
      <w:r>
        <w:rPr/>
        <w:t>de</w:t>
      </w:r>
      <w:r>
        <w:rPr>
          <w:spacing w:val="-13"/>
        </w:rPr>
        <w:t> </w:t>
      </w:r>
      <w:r>
        <w:rPr/>
        <w:t>metano</w:t>
      </w:r>
      <w:r>
        <w:rPr>
          <w:spacing w:val="-13"/>
        </w:rPr>
        <w:t> </w:t>
      </w:r>
      <w:r>
        <w:rPr/>
        <w:t>y</w:t>
      </w:r>
      <w:r>
        <w:rPr>
          <w:spacing w:val="-13"/>
        </w:rPr>
        <w:t> </w:t>
      </w:r>
      <w:r>
        <w:rPr/>
        <w:t>dióxido</w:t>
      </w:r>
      <w:r>
        <w:rPr>
          <w:spacing w:val="-13"/>
        </w:rPr>
        <w:t> </w:t>
      </w:r>
      <w:r>
        <w:rPr/>
        <w:t>de</w:t>
      </w:r>
      <w:r>
        <w:rPr>
          <w:spacing w:val="-13"/>
        </w:rPr>
        <w:t> </w:t>
      </w:r>
      <w:r>
        <w:rPr/>
        <w:t>carbono en</w:t>
      </w:r>
      <w:r>
        <w:rPr>
          <w:spacing w:val="-8"/>
        </w:rPr>
        <w:t> </w:t>
      </w:r>
      <w:r>
        <w:rPr/>
        <w:t>la</w:t>
      </w:r>
      <w:r>
        <w:rPr>
          <w:spacing w:val="-8"/>
        </w:rPr>
        <w:t> </w:t>
      </w:r>
      <w:r>
        <w:rPr/>
        <w:t>atmósfera</w:t>
      </w:r>
      <w:r>
        <w:rPr>
          <w:spacing w:val="-8"/>
        </w:rPr>
        <w:t> </w:t>
      </w:r>
      <w:r>
        <w:rPr/>
        <w:t>han</w:t>
      </w:r>
      <w:r>
        <w:rPr>
          <w:spacing w:val="-8"/>
        </w:rPr>
        <w:t> </w:t>
      </w:r>
      <w:r>
        <w:rPr/>
        <w:t>cambiado</w:t>
      </w:r>
      <w:r>
        <w:rPr>
          <w:spacing w:val="-8"/>
        </w:rPr>
        <w:t> </w:t>
      </w:r>
      <w:r>
        <w:rPr/>
        <w:t>drásticamente</w:t>
      </w:r>
      <w:r>
        <w:rPr>
          <w:spacing w:val="-8"/>
        </w:rPr>
        <w:t> </w:t>
      </w:r>
      <w:r>
        <w:rPr/>
        <w:t>en</w:t>
      </w:r>
      <w:r>
        <w:rPr>
          <w:spacing w:val="-8"/>
        </w:rPr>
        <w:t> </w:t>
      </w:r>
      <w:r>
        <w:rPr/>
        <w:t>los</w:t>
      </w:r>
      <w:r>
        <w:rPr>
          <w:spacing w:val="-8"/>
        </w:rPr>
        <w:t> </w:t>
      </w:r>
      <w:r>
        <w:rPr/>
        <w:t>últimos</w:t>
      </w:r>
      <w:r>
        <w:rPr>
          <w:spacing w:val="-8"/>
        </w:rPr>
        <w:t> </w:t>
      </w:r>
      <w:r>
        <w:rPr/>
        <w:t>años</w:t>
      </w:r>
      <w:r>
        <w:rPr>
          <w:spacing w:val="-8"/>
        </w:rPr>
        <w:t> </w:t>
      </w:r>
      <w:r>
        <w:rPr/>
        <w:t>presentándose</w:t>
      </w:r>
      <w:r>
        <w:rPr>
          <w:spacing w:val="-8"/>
        </w:rPr>
        <w:t> </w:t>
      </w:r>
      <w:r>
        <w:rPr/>
        <w:t>un incremento de forma exponencial (Carmona </w:t>
      </w:r>
      <w:r>
        <w:rPr>
          <w:i/>
        </w:rPr>
        <w:t>et al.</w:t>
      </w:r>
      <w:r>
        <w:rPr/>
        <w:t>,</w:t>
      </w:r>
      <w:r>
        <w:rPr>
          <w:spacing w:val="-3"/>
        </w:rPr>
        <w:t> </w:t>
      </w:r>
      <w:r>
        <w:rPr/>
        <w:t>2005:50).</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Hasta hace poco la ganadería –especialmente en los países en desarrollo– estuvo ausente en las discusiones sobre el cambio climático. Sin embargo, además de sufrir</w:t>
      </w:r>
      <w:r>
        <w:rPr>
          <w:spacing w:val="-9"/>
        </w:rPr>
        <w:t> </w:t>
      </w:r>
      <w:r>
        <w:rPr/>
        <w:t>sus</w:t>
      </w:r>
      <w:r>
        <w:rPr>
          <w:spacing w:val="-9"/>
        </w:rPr>
        <w:t> </w:t>
      </w:r>
      <w:r>
        <w:rPr/>
        <w:t>consecuencias,</w:t>
      </w:r>
      <w:r>
        <w:rPr>
          <w:spacing w:val="-9"/>
        </w:rPr>
        <w:t> </w:t>
      </w:r>
      <w:r>
        <w:rPr/>
        <w:t>la</w:t>
      </w:r>
      <w:r>
        <w:rPr>
          <w:spacing w:val="-9"/>
        </w:rPr>
        <w:t> </w:t>
      </w:r>
      <w:r>
        <w:rPr/>
        <w:t>ganadería</w:t>
      </w:r>
      <w:r>
        <w:rPr>
          <w:spacing w:val="-9"/>
        </w:rPr>
        <w:t> </w:t>
      </w:r>
      <w:r>
        <w:rPr/>
        <w:t>también</w:t>
      </w:r>
      <w:r>
        <w:rPr>
          <w:spacing w:val="-9"/>
        </w:rPr>
        <w:t> </w:t>
      </w:r>
      <w:r>
        <w:rPr/>
        <w:t>contribuye</w:t>
      </w:r>
      <w:r>
        <w:rPr>
          <w:spacing w:val="-9"/>
        </w:rPr>
        <w:t> </w:t>
      </w:r>
      <w:r>
        <w:rPr/>
        <w:t>al</w:t>
      </w:r>
      <w:r>
        <w:rPr>
          <w:spacing w:val="-9"/>
        </w:rPr>
        <w:t> </w:t>
      </w:r>
      <w:r>
        <w:rPr/>
        <w:t>incremento</w:t>
      </w:r>
      <w:r>
        <w:rPr>
          <w:spacing w:val="-9"/>
        </w:rPr>
        <w:t> </w:t>
      </w:r>
      <w:r>
        <w:rPr/>
        <w:t>del</w:t>
      </w:r>
      <w:r>
        <w:rPr>
          <w:spacing w:val="-9"/>
        </w:rPr>
        <w:t> </w:t>
      </w:r>
      <w:r>
        <w:rPr/>
        <w:t>cambio climático de manera significativa. La ganadería es una importante fuente de emisiones</w:t>
      </w:r>
      <w:r>
        <w:rPr>
          <w:spacing w:val="-15"/>
        </w:rPr>
        <w:t> </w:t>
      </w:r>
      <w:r>
        <w:rPr/>
        <w:t>de</w:t>
      </w:r>
      <w:r>
        <w:rPr>
          <w:spacing w:val="-15"/>
        </w:rPr>
        <w:t> </w:t>
      </w:r>
      <w:r>
        <w:rPr/>
        <w:t>gases</w:t>
      </w:r>
      <w:r>
        <w:rPr>
          <w:spacing w:val="-15"/>
        </w:rPr>
        <w:t> </w:t>
      </w:r>
      <w:r>
        <w:rPr/>
        <w:t>de</w:t>
      </w:r>
      <w:r>
        <w:rPr>
          <w:spacing w:val="-15"/>
        </w:rPr>
        <w:t> </w:t>
      </w:r>
      <w:r>
        <w:rPr/>
        <w:t>efecto</w:t>
      </w:r>
      <w:r>
        <w:rPr>
          <w:spacing w:val="-15"/>
        </w:rPr>
        <w:t> </w:t>
      </w:r>
      <w:r>
        <w:rPr/>
        <w:t>invernadero</w:t>
      </w:r>
      <w:r>
        <w:rPr>
          <w:spacing w:val="-15"/>
        </w:rPr>
        <w:t> </w:t>
      </w:r>
      <w:r>
        <w:rPr/>
        <w:t>(GEI)</w:t>
      </w:r>
      <w:r>
        <w:rPr>
          <w:spacing w:val="-15"/>
        </w:rPr>
        <w:t> </w:t>
      </w:r>
      <w:r>
        <w:rPr/>
        <w:t>y</w:t>
      </w:r>
      <w:r>
        <w:rPr>
          <w:spacing w:val="-15"/>
        </w:rPr>
        <w:t> </w:t>
      </w:r>
      <w:r>
        <w:rPr/>
        <w:t>representa</w:t>
      </w:r>
      <w:r>
        <w:rPr>
          <w:spacing w:val="-15"/>
        </w:rPr>
        <w:t> </w:t>
      </w:r>
      <w:r>
        <w:rPr/>
        <w:t>el</w:t>
      </w:r>
      <w:r>
        <w:rPr>
          <w:spacing w:val="-15"/>
        </w:rPr>
        <w:t> </w:t>
      </w:r>
      <w:r>
        <w:rPr/>
        <w:t>14%</w:t>
      </w:r>
      <w:r>
        <w:rPr>
          <w:spacing w:val="-15"/>
        </w:rPr>
        <w:t> </w:t>
      </w:r>
      <w:r>
        <w:rPr/>
        <w:t>del</w:t>
      </w:r>
      <w:r>
        <w:rPr>
          <w:spacing w:val="-15"/>
        </w:rPr>
        <w:t> </w:t>
      </w:r>
      <w:r>
        <w:rPr/>
        <w:t>total</w:t>
      </w:r>
      <w:r>
        <w:rPr>
          <w:spacing w:val="-15"/>
        </w:rPr>
        <w:t> </w:t>
      </w:r>
      <w:r>
        <w:rPr/>
        <w:t>global. Este porcentaje llega a ser más alto si se incluyen aspectos relacionados como el cambio de uso que se le da a la tierra, la deforestación y el efecto de las</w:t>
      </w:r>
      <w:r>
        <w:rPr>
          <w:spacing w:val="-17"/>
        </w:rPr>
        <w:t> </w:t>
      </w:r>
      <w:r>
        <w:rPr/>
        <w:t>emisiones más allá de los límites de la finca (FAO, 2009:10).</w:t>
      </w:r>
    </w:p>
    <w:p>
      <w:pPr>
        <w:pStyle w:val="BodyText"/>
        <w:spacing w:line="360" w:lineRule="auto" w:before="122"/>
        <w:ind w:left="276" w:right="143"/>
        <w:jc w:val="both"/>
      </w:pPr>
      <w:r>
        <w:rPr/>
        <w:t>La preocupación internacional sobre el posible impacto del cambio climático en los ecosistemas</w:t>
      </w:r>
      <w:r>
        <w:rPr>
          <w:spacing w:val="-12"/>
        </w:rPr>
        <w:t> </w:t>
      </w:r>
      <w:r>
        <w:rPr/>
        <w:t>fue</w:t>
      </w:r>
      <w:r>
        <w:rPr>
          <w:spacing w:val="-12"/>
        </w:rPr>
        <w:t> </w:t>
      </w:r>
      <w:r>
        <w:rPr/>
        <w:t>puesta</w:t>
      </w:r>
      <w:r>
        <w:rPr>
          <w:spacing w:val="-12"/>
        </w:rPr>
        <w:t> </w:t>
      </w:r>
      <w:r>
        <w:rPr/>
        <w:t>de</w:t>
      </w:r>
      <w:r>
        <w:rPr>
          <w:spacing w:val="-12"/>
        </w:rPr>
        <w:t> </w:t>
      </w:r>
      <w:r>
        <w:rPr/>
        <w:t>manifiesto</w:t>
      </w:r>
      <w:r>
        <w:rPr>
          <w:spacing w:val="-12"/>
        </w:rPr>
        <w:t> </w:t>
      </w:r>
      <w:r>
        <w:rPr/>
        <w:t>en</w:t>
      </w:r>
      <w:r>
        <w:rPr>
          <w:spacing w:val="-12"/>
        </w:rPr>
        <w:t> </w:t>
      </w:r>
      <w:r>
        <w:rPr/>
        <w:t>la</w:t>
      </w:r>
      <w:r>
        <w:rPr>
          <w:spacing w:val="-12"/>
        </w:rPr>
        <w:t> </w:t>
      </w:r>
      <w:r>
        <w:rPr/>
        <w:t>“Convención</w:t>
      </w:r>
      <w:r>
        <w:rPr>
          <w:spacing w:val="-12"/>
        </w:rPr>
        <w:t> </w:t>
      </w:r>
      <w:r>
        <w:rPr/>
        <w:t>sobre</w:t>
      </w:r>
      <w:r>
        <w:rPr>
          <w:spacing w:val="-12"/>
        </w:rPr>
        <w:t> </w:t>
      </w:r>
      <w:r>
        <w:rPr/>
        <w:t>el</w:t>
      </w:r>
      <w:r>
        <w:rPr>
          <w:spacing w:val="-12"/>
        </w:rPr>
        <w:t> </w:t>
      </w:r>
      <w:r>
        <w:rPr/>
        <w:t>Cambio</w:t>
      </w:r>
      <w:r>
        <w:rPr>
          <w:spacing w:val="-12"/>
        </w:rPr>
        <w:t> </w:t>
      </w:r>
      <w:r>
        <w:rPr/>
        <w:t>Climático” que</w:t>
      </w:r>
      <w:r>
        <w:rPr>
          <w:spacing w:val="-4"/>
        </w:rPr>
        <w:t> </w:t>
      </w:r>
      <w:r>
        <w:rPr/>
        <w:t>se</w:t>
      </w:r>
      <w:r>
        <w:rPr>
          <w:spacing w:val="-4"/>
        </w:rPr>
        <w:t> </w:t>
      </w:r>
      <w:r>
        <w:rPr/>
        <w:t>llevó</w:t>
      </w:r>
      <w:r>
        <w:rPr>
          <w:spacing w:val="-4"/>
        </w:rPr>
        <w:t> </w:t>
      </w:r>
      <w:r>
        <w:rPr/>
        <w:t>a</w:t>
      </w:r>
      <w:r>
        <w:rPr>
          <w:spacing w:val="-4"/>
        </w:rPr>
        <w:t> </w:t>
      </w:r>
      <w:r>
        <w:rPr/>
        <w:t>cabo</w:t>
      </w:r>
      <w:r>
        <w:rPr>
          <w:spacing w:val="-4"/>
        </w:rPr>
        <w:t> </w:t>
      </w:r>
      <w:r>
        <w:rPr/>
        <w:t>en</w:t>
      </w:r>
      <w:r>
        <w:rPr>
          <w:spacing w:val="-4"/>
        </w:rPr>
        <w:t> </w:t>
      </w:r>
      <w:r>
        <w:rPr/>
        <w:t>Kyoto,</w:t>
      </w:r>
      <w:r>
        <w:rPr>
          <w:spacing w:val="-4"/>
        </w:rPr>
        <w:t> </w:t>
      </w:r>
      <w:r>
        <w:rPr/>
        <w:t>Japón,</w:t>
      </w:r>
      <w:r>
        <w:rPr>
          <w:spacing w:val="-4"/>
        </w:rPr>
        <w:t> </w:t>
      </w:r>
      <w:r>
        <w:rPr/>
        <w:t>en</w:t>
      </w:r>
      <w:r>
        <w:rPr>
          <w:spacing w:val="-4"/>
        </w:rPr>
        <w:t> </w:t>
      </w:r>
      <w:r>
        <w:rPr/>
        <w:t>1997.</w:t>
      </w:r>
      <w:r>
        <w:rPr>
          <w:spacing w:val="-4"/>
        </w:rPr>
        <w:t> </w:t>
      </w:r>
      <w:r>
        <w:rPr/>
        <w:t>En</w:t>
      </w:r>
      <w:r>
        <w:rPr>
          <w:spacing w:val="-4"/>
        </w:rPr>
        <w:t> </w:t>
      </w:r>
      <w:r>
        <w:rPr/>
        <w:t>ella</w:t>
      </w:r>
      <w:r>
        <w:rPr>
          <w:spacing w:val="-4"/>
        </w:rPr>
        <w:t> </w:t>
      </w:r>
      <w:r>
        <w:rPr/>
        <w:t>se</w:t>
      </w:r>
      <w:r>
        <w:rPr>
          <w:spacing w:val="-4"/>
        </w:rPr>
        <w:t> </w:t>
      </w:r>
      <w:r>
        <w:rPr/>
        <w:t>realzó</w:t>
      </w:r>
      <w:r>
        <w:rPr>
          <w:spacing w:val="-4"/>
        </w:rPr>
        <w:t> </w:t>
      </w:r>
      <w:r>
        <w:rPr/>
        <w:t>el</w:t>
      </w:r>
      <w:r>
        <w:rPr>
          <w:spacing w:val="-4"/>
        </w:rPr>
        <w:t> </w:t>
      </w:r>
      <w:r>
        <w:rPr/>
        <w:t>papel</w:t>
      </w:r>
      <w:r>
        <w:rPr>
          <w:spacing w:val="-4"/>
        </w:rPr>
        <w:t> </w:t>
      </w:r>
      <w:r>
        <w:rPr/>
        <w:t>importante que juegan las emisiones de gases de invernadero y la necesidad de</w:t>
      </w:r>
      <w:r>
        <w:rPr>
          <w:spacing w:val="-1"/>
        </w:rPr>
        <w:t> </w:t>
      </w:r>
      <w:r>
        <w:rPr/>
        <w:t>reducirlas.</w:t>
      </w:r>
    </w:p>
    <w:p>
      <w:pPr>
        <w:pStyle w:val="BodyText"/>
        <w:spacing w:line="360" w:lineRule="auto" w:before="122"/>
        <w:ind w:left="276" w:right="143"/>
        <w:jc w:val="both"/>
      </w:pPr>
      <w:r>
        <w:rPr/>
        <w:t>En cuanto a trabajos de investigación realizados sobre el cambio climático y las emisiones de gases de efecto invernadero son extensas. Sin embargo, en nuestro país existen pocos estudios en detalle sobre los efectos de las emisiones de gases de efecto invernadero acerca de los </w:t>
      </w:r>
      <w:r>
        <w:rPr>
          <w:b/>
        </w:rPr>
        <w:t>sistemas de producción lechera de</w:t>
      </w:r>
      <w:r>
        <w:rPr>
          <w:b/>
          <w:spacing w:val="-44"/>
        </w:rPr>
        <w:t> </w:t>
      </w:r>
      <w:r>
        <w:rPr>
          <w:b/>
        </w:rPr>
        <w:t>bovinos en pequeña escala</w:t>
      </w:r>
      <w:r>
        <w:rPr/>
        <w:t>. Por lo que es necesario realizar investigaciones que nos permitan</w:t>
      </w:r>
      <w:r>
        <w:rPr>
          <w:spacing w:val="-6"/>
        </w:rPr>
        <w:t> </w:t>
      </w:r>
      <w:r>
        <w:rPr/>
        <w:t>entender</w:t>
      </w:r>
      <w:r>
        <w:rPr>
          <w:spacing w:val="-6"/>
        </w:rPr>
        <w:t> </w:t>
      </w:r>
      <w:r>
        <w:rPr/>
        <w:t>el</w:t>
      </w:r>
      <w:r>
        <w:rPr>
          <w:spacing w:val="-6"/>
        </w:rPr>
        <w:t> </w:t>
      </w:r>
      <w:r>
        <w:rPr/>
        <w:t>impacto</w:t>
      </w:r>
      <w:r>
        <w:rPr>
          <w:spacing w:val="-6"/>
        </w:rPr>
        <w:t> </w:t>
      </w:r>
      <w:r>
        <w:rPr/>
        <w:t>del</w:t>
      </w:r>
      <w:r>
        <w:rPr>
          <w:spacing w:val="-6"/>
        </w:rPr>
        <w:t> </w:t>
      </w:r>
      <w:r>
        <w:rPr/>
        <w:t>cambio</w:t>
      </w:r>
      <w:r>
        <w:rPr>
          <w:spacing w:val="-6"/>
        </w:rPr>
        <w:t> </w:t>
      </w:r>
      <w:r>
        <w:rPr/>
        <w:t>climático</w:t>
      </w:r>
      <w:r>
        <w:rPr>
          <w:spacing w:val="-6"/>
        </w:rPr>
        <w:t> </w:t>
      </w:r>
      <w:r>
        <w:rPr/>
        <w:t>en</w:t>
      </w:r>
      <w:r>
        <w:rPr>
          <w:spacing w:val="-6"/>
        </w:rPr>
        <w:t> </w:t>
      </w:r>
      <w:r>
        <w:rPr/>
        <w:t>los</w:t>
      </w:r>
      <w:r>
        <w:rPr>
          <w:spacing w:val="-6"/>
        </w:rPr>
        <w:t> </w:t>
      </w:r>
      <w:r>
        <w:rPr/>
        <w:t>ecosistemas,</w:t>
      </w:r>
      <w:r>
        <w:rPr>
          <w:spacing w:val="-6"/>
        </w:rPr>
        <w:t> </w:t>
      </w:r>
      <w:r>
        <w:rPr/>
        <w:t>aunque</w:t>
      </w:r>
      <w:r>
        <w:rPr>
          <w:spacing w:val="-6"/>
        </w:rPr>
        <w:t> </w:t>
      </w:r>
      <w:r>
        <w:rPr/>
        <w:t>este fuera de la capacidad de los investigadores el tomar las soluciones, estos estudios deben realizarse con la finalidad de mostrarlo a quienes toman decisiones en nuestro país.</w:t>
      </w:r>
    </w:p>
    <w:p>
      <w:pPr>
        <w:pStyle w:val="BodyText"/>
      </w:pPr>
    </w:p>
    <w:p>
      <w:pPr>
        <w:pStyle w:val="BodyText"/>
        <w:spacing w:before="4"/>
        <w:rPr>
          <w:sz w:val="33"/>
        </w:rPr>
      </w:pPr>
    </w:p>
    <w:p>
      <w:pPr>
        <w:pStyle w:val="Heading6"/>
        <w:spacing w:before="1"/>
      </w:pPr>
      <w:r>
        <w:rPr/>
        <w:t>Emisiones de gases de efecto invernadero por el sector agropecuario</w:t>
      </w:r>
    </w:p>
    <w:p>
      <w:pPr>
        <w:pStyle w:val="BodyText"/>
        <w:spacing w:line="360" w:lineRule="auto" w:before="137"/>
        <w:ind w:left="276" w:right="143"/>
        <w:jc w:val="both"/>
      </w:pPr>
      <w:r>
        <w:rPr/>
        <w:t>La agricultura está compuesta principalmente por las emisiones provenientes de actividades agrícolas (cultivos y manejo de suelos) y pecuarias (fermentación entérica y manejo de estiércol). Sus principales gases son el CH</w:t>
      </w:r>
      <w:r>
        <w:rPr>
          <w:position w:val="-2"/>
          <w:sz w:val="16"/>
        </w:rPr>
        <w:t>4  </w:t>
      </w:r>
      <w:r>
        <w:rPr/>
        <w:t>y el N</w:t>
      </w:r>
      <w:r>
        <w:rPr>
          <w:position w:val="-2"/>
          <w:sz w:val="16"/>
        </w:rPr>
        <w:t>2</w:t>
      </w:r>
      <w:r>
        <w:rPr/>
        <w:t>O.</w:t>
      </w:r>
    </w:p>
    <w:p>
      <w:pPr>
        <w:pStyle w:val="BodyText"/>
        <w:spacing w:line="355" w:lineRule="auto" w:before="108"/>
        <w:ind w:left="276" w:right="143"/>
        <w:jc w:val="both"/>
      </w:pPr>
      <w:r>
        <w:rPr/>
        <w:t>La agricultura aporta aproximadamente del 21 a 25, 60 y 65-80% de las emisiones antropogénicas totales de dióxido de carbono, metano y N</w:t>
      </w:r>
      <w:r>
        <w:rPr>
          <w:position w:val="-2"/>
          <w:sz w:val="16"/>
        </w:rPr>
        <w:t>2</w:t>
      </w:r>
      <w:r>
        <w:rPr/>
        <w:t>O respectivamente. También</w:t>
      </w:r>
      <w:r>
        <w:rPr>
          <w:spacing w:val="-10"/>
        </w:rPr>
        <w:t> </w:t>
      </w:r>
      <w:r>
        <w:rPr/>
        <w:t>se</w:t>
      </w:r>
      <w:r>
        <w:rPr>
          <w:spacing w:val="-10"/>
        </w:rPr>
        <w:t> </w:t>
      </w:r>
      <w:r>
        <w:rPr/>
        <w:t>cree</w:t>
      </w:r>
      <w:r>
        <w:rPr>
          <w:spacing w:val="-10"/>
        </w:rPr>
        <w:t> </w:t>
      </w:r>
      <w:r>
        <w:rPr/>
        <w:t>que</w:t>
      </w:r>
      <w:r>
        <w:rPr>
          <w:spacing w:val="-10"/>
        </w:rPr>
        <w:t> </w:t>
      </w:r>
      <w:r>
        <w:rPr/>
        <w:t>la</w:t>
      </w:r>
      <w:r>
        <w:rPr>
          <w:spacing w:val="-10"/>
        </w:rPr>
        <w:t> </w:t>
      </w:r>
      <w:r>
        <w:rPr/>
        <w:t>agricultura</w:t>
      </w:r>
      <w:r>
        <w:rPr>
          <w:spacing w:val="-10"/>
        </w:rPr>
        <w:t> </w:t>
      </w:r>
      <w:r>
        <w:rPr/>
        <w:t>será</w:t>
      </w:r>
      <w:r>
        <w:rPr>
          <w:spacing w:val="-10"/>
        </w:rPr>
        <w:t> </w:t>
      </w:r>
      <w:r>
        <w:rPr/>
        <w:t>responsable</w:t>
      </w:r>
      <w:r>
        <w:rPr>
          <w:spacing w:val="-10"/>
        </w:rPr>
        <w:t> </w:t>
      </w:r>
      <w:r>
        <w:rPr/>
        <w:t>de</w:t>
      </w:r>
      <w:r>
        <w:rPr>
          <w:spacing w:val="-10"/>
        </w:rPr>
        <w:t> </w:t>
      </w:r>
      <w:r>
        <w:rPr/>
        <w:t>más</w:t>
      </w:r>
      <w:r>
        <w:rPr>
          <w:spacing w:val="-10"/>
        </w:rPr>
        <w:t> </w:t>
      </w:r>
      <w:r>
        <w:rPr/>
        <w:t>del</w:t>
      </w:r>
      <w:r>
        <w:rPr>
          <w:spacing w:val="-10"/>
        </w:rPr>
        <w:t> </w:t>
      </w:r>
      <w:r>
        <w:rPr/>
        <w:t>95%</w:t>
      </w:r>
      <w:r>
        <w:rPr>
          <w:spacing w:val="-10"/>
        </w:rPr>
        <w:t> </w:t>
      </w:r>
      <w:r>
        <w:rPr/>
        <w:t>del</w:t>
      </w:r>
      <w:r>
        <w:rPr>
          <w:spacing w:val="-10"/>
        </w:rPr>
        <w:t> </w:t>
      </w:r>
      <w:r>
        <w:rPr/>
        <w:t>amoníaco, el 50% del monóxido de carbono y el 35% de los óxidos de nitrógeno liberados a</w:t>
      </w:r>
      <w:r>
        <w:rPr>
          <w:spacing w:val="-17"/>
        </w:rPr>
        <w:t> </w:t>
      </w:r>
      <w:r>
        <w:rPr/>
        <w:t>la</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atmósfera como consecuencia de los desechos por las actividades humanas. La liberación de unos 205 a 245 millones de toneladas de metano al año a partir de la agricultura, de las cuales 80 toneladas corresponden a la fermentación entérica (Moss </w:t>
      </w:r>
      <w:r>
        <w:rPr>
          <w:i/>
        </w:rPr>
        <w:t>et al.</w:t>
      </w:r>
      <w:r>
        <w:rPr/>
        <w:t>, 2000:234-235).</w:t>
      </w:r>
    </w:p>
    <w:p>
      <w:pPr>
        <w:pStyle w:val="BodyText"/>
        <w:spacing w:line="357" w:lineRule="auto" w:before="122"/>
        <w:ind w:left="276" w:right="143"/>
        <w:jc w:val="both"/>
      </w:pPr>
      <w:r>
        <w:rPr/>
        <w:t>En</w:t>
      </w:r>
      <w:r>
        <w:rPr>
          <w:spacing w:val="-6"/>
        </w:rPr>
        <w:t> </w:t>
      </w:r>
      <w:r>
        <w:rPr/>
        <w:t>México,</w:t>
      </w:r>
      <w:r>
        <w:rPr>
          <w:spacing w:val="-6"/>
        </w:rPr>
        <w:t> </w:t>
      </w:r>
      <w:r>
        <w:rPr/>
        <w:t>La</w:t>
      </w:r>
      <w:r>
        <w:rPr>
          <w:spacing w:val="-6"/>
        </w:rPr>
        <w:t> </w:t>
      </w:r>
      <w:r>
        <w:rPr/>
        <w:t>ganadería</w:t>
      </w:r>
      <w:r>
        <w:rPr>
          <w:spacing w:val="-6"/>
        </w:rPr>
        <w:t> </w:t>
      </w:r>
      <w:r>
        <w:rPr/>
        <w:t>es</w:t>
      </w:r>
      <w:r>
        <w:rPr>
          <w:spacing w:val="-6"/>
        </w:rPr>
        <w:t> </w:t>
      </w:r>
      <w:r>
        <w:rPr/>
        <w:t>la</w:t>
      </w:r>
      <w:r>
        <w:rPr>
          <w:spacing w:val="-6"/>
        </w:rPr>
        <w:t> </w:t>
      </w:r>
      <w:r>
        <w:rPr/>
        <w:t>tercera</w:t>
      </w:r>
      <w:r>
        <w:rPr>
          <w:spacing w:val="-6"/>
        </w:rPr>
        <w:t> </w:t>
      </w:r>
      <w:r>
        <w:rPr/>
        <w:t>fuente</w:t>
      </w:r>
      <w:r>
        <w:rPr>
          <w:spacing w:val="-6"/>
        </w:rPr>
        <w:t> </w:t>
      </w:r>
      <w:r>
        <w:rPr/>
        <w:t>más</w:t>
      </w:r>
      <w:r>
        <w:rPr>
          <w:spacing w:val="-6"/>
        </w:rPr>
        <w:t> </w:t>
      </w:r>
      <w:r>
        <w:rPr/>
        <w:t>importante</w:t>
      </w:r>
      <w:r>
        <w:rPr>
          <w:spacing w:val="-6"/>
        </w:rPr>
        <w:t> </w:t>
      </w:r>
      <w:r>
        <w:rPr/>
        <w:t>de</w:t>
      </w:r>
      <w:r>
        <w:rPr>
          <w:spacing w:val="-6"/>
        </w:rPr>
        <w:t> </w:t>
      </w:r>
      <w:r>
        <w:rPr/>
        <w:t>emisiones</w:t>
      </w:r>
      <w:r>
        <w:rPr>
          <w:spacing w:val="-6"/>
        </w:rPr>
        <w:t> </w:t>
      </w:r>
      <w:r>
        <w:rPr/>
        <w:t>de</w:t>
      </w:r>
      <w:r>
        <w:rPr>
          <w:spacing w:val="-6"/>
        </w:rPr>
        <w:t> </w:t>
      </w:r>
      <w:r>
        <w:rPr/>
        <w:t>CH</w:t>
      </w:r>
      <w:r>
        <w:rPr>
          <w:position w:val="-2"/>
          <w:sz w:val="16"/>
        </w:rPr>
        <w:t>4</w:t>
      </w:r>
      <w:r>
        <w:rPr/>
        <w:t>, y las principales medidas de mitigación aplicables a esta actividad se refieren a un manejo sustentable de las tierras de pastoreo y al manejo de productos derivados de la fermentación entérica y de las excretas de animales (INE-SEMARNAT, 2009:212).</w:t>
      </w:r>
    </w:p>
    <w:p>
      <w:pPr>
        <w:pStyle w:val="BodyText"/>
        <w:spacing w:line="355" w:lineRule="auto" w:before="130"/>
        <w:ind w:left="276" w:right="143"/>
        <w:jc w:val="both"/>
      </w:pPr>
      <w:r>
        <w:rPr/>
        <w:t>Las</w:t>
      </w:r>
      <w:r>
        <w:rPr>
          <w:spacing w:val="-16"/>
        </w:rPr>
        <w:t> </w:t>
      </w:r>
      <w:r>
        <w:rPr/>
        <w:t>emisiones</w:t>
      </w:r>
      <w:r>
        <w:rPr>
          <w:spacing w:val="-16"/>
        </w:rPr>
        <w:t> </w:t>
      </w:r>
      <w:r>
        <w:rPr/>
        <w:t>promedio</w:t>
      </w:r>
      <w:r>
        <w:rPr>
          <w:spacing w:val="-16"/>
        </w:rPr>
        <w:t> </w:t>
      </w:r>
      <w:r>
        <w:rPr/>
        <w:t>de</w:t>
      </w:r>
      <w:r>
        <w:rPr>
          <w:spacing w:val="-16"/>
        </w:rPr>
        <w:t> </w:t>
      </w:r>
      <w:r>
        <w:rPr/>
        <w:t>metano</w:t>
      </w:r>
      <w:r>
        <w:rPr>
          <w:spacing w:val="-16"/>
        </w:rPr>
        <w:t> </w:t>
      </w:r>
      <w:r>
        <w:rPr/>
        <w:t>en</w:t>
      </w:r>
      <w:r>
        <w:rPr>
          <w:spacing w:val="-16"/>
        </w:rPr>
        <w:t> </w:t>
      </w:r>
      <w:r>
        <w:rPr/>
        <w:t>México</w:t>
      </w:r>
      <w:r>
        <w:rPr>
          <w:spacing w:val="-16"/>
        </w:rPr>
        <w:t> </w:t>
      </w:r>
      <w:r>
        <w:rPr/>
        <w:t>para</w:t>
      </w:r>
      <w:r>
        <w:rPr>
          <w:spacing w:val="-16"/>
        </w:rPr>
        <w:t> </w:t>
      </w:r>
      <w:r>
        <w:rPr/>
        <w:t>el</w:t>
      </w:r>
      <w:r>
        <w:rPr>
          <w:spacing w:val="-16"/>
        </w:rPr>
        <w:t> </w:t>
      </w:r>
      <w:r>
        <w:rPr/>
        <w:t>periodo</w:t>
      </w:r>
      <w:r>
        <w:rPr>
          <w:spacing w:val="-16"/>
        </w:rPr>
        <w:t> </w:t>
      </w:r>
      <w:r>
        <w:rPr/>
        <w:t>de</w:t>
      </w:r>
      <w:r>
        <w:rPr>
          <w:spacing w:val="-16"/>
        </w:rPr>
        <w:t> </w:t>
      </w:r>
      <w:r>
        <w:rPr/>
        <w:t>1990</w:t>
      </w:r>
      <w:r>
        <w:rPr>
          <w:spacing w:val="-17"/>
        </w:rPr>
        <w:t> </w:t>
      </w:r>
      <w:r>
        <w:rPr/>
        <w:t>-</w:t>
      </w:r>
      <w:r>
        <w:rPr>
          <w:spacing w:val="-16"/>
        </w:rPr>
        <w:t> </w:t>
      </w:r>
      <w:r>
        <w:rPr/>
        <w:t>2002</w:t>
      </w:r>
      <w:r>
        <w:rPr>
          <w:spacing w:val="-16"/>
        </w:rPr>
        <w:t> </w:t>
      </w:r>
      <w:r>
        <w:rPr/>
        <w:t>fueron de 1,823 Gg, como suma de la fermentación entérica y el manejo de estiércol. así también, las emisiones generadas fueron principalmente por el ganado bovino, donde</w:t>
      </w:r>
      <w:r>
        <w:rPr>
          <w:spacing w:val="-14"/>
        </w:rPr>
        <w:t> </w:t>
      </w:r>
      <w:r>
        <w:rPr/>
        <w:t>el</w:t>
      </w:r>
      <w:r>
        <w:rPr>
          <w:spacing w:val="-14"/>
        </w:rPr>
        <w:t> </w:t>
      </w:r>
      <w:r>
        <w:rPr/>
        <w:t>de</w:t>
      </w:r>
      <w:r>
        <w:rPr>
          <w:spacing w:val="-14"/>
        </w:rPr>
        <w:t> </w:t>
      </w:r>
      <w:r>
        <w:rPr/>
        <w:t>carne</w:t>
      </w:r>
      <w:r>
        <w:rPr>
          <w:spacing w:val="-14"/>
        </w:rPr>
        <w:t> </w:t>
      </w:r>
      <w:r>
        <w:rPr/>
        <w:t>y</w:t>
      </w:r>
      <w:r>
        <w:rPr>
          <w:spacing w:val="-14"/>
        </w:rPr>
        <w:t> </w:t>
      </w:r>
      <w:r>
        <w:rPr/>
        <w:t>doble</w:t>
      </w:r>
      <w:r>
        <w:rPr>
          <w:spacing w:val="-14"/>
        </w:rPr>
        <w:t> </w:t>
      </w:r>
      <w:r>
        <w:rPr/>
        <w:t>propósito</w:t>
      </w:r>
      <w:r>
        <w:rPr>
          <w:spacing w:val="-14"/>
        </w:rPr>
        <w:t> </w:t>
      </w:r>
      <w:r>
        <w:rPr/>
        <w:t>produjeron</w:t>
      </w:r>
      <w:r>
        <w:rPr>
          <w:spacing w:val="-14"/>
        </w:rPr>
        <w:t> </w:t>
      </w:r>
      <w:r>
        <w:rPr/>
        <w:t>el</w:t>
      </w:r>
      <w:r>
        <w:rPr>
          <w:spacing w:val="-14"/>
        </w:rPr>
        <w:t> </w:t>
      </w:r>
      <w:r>
        <w:rPr/>
        <w:t>89%,</w:t>
      </w:r>
      <w:r>
        <w:rPr>
          <w:spacing w:val="-14"/>
        </w:rPr>
        <w:t> </w:t>
      </w:r>
      <w:r>
        <w:rPr/>
        <w:t>el</w:t>
      </w:r>
      <w:r>
        <w:rPr>
          <w:spacing w:val="-14"/>
        </w:rPr>
        <w:t> </w:t>
      </w:r>
      <w:r>
        <w:rPr/>
        <w:t>lechero</w:t>
      </w:r>
      <w:r>
        <w:rPr>
          <w:spacing w:val="-14"/>
        </w:rPr>
        <w:t> </w:t>
      </w:r>
      <w:r>
        <w:rPr/>
        <w:t>fue</w:t>
      </w:r>
      <w:r>
        <w:rPr>
          <w:spacing w:val="-14"/>
        </w:rPr>
        <w:t> </w:t>
      </w:r>
      <w:r>
        <w:rPr/>
        <w:t>el</w:t>
      </w:r>
      <w:r>
        <w:rPr>
          <w:spacing w:val="-14"/>
        </w:rPr>
        <w:t> </w:t>
      </w:r>
      <w:r>
        <w:rPr/>
        <w:t>responsable del 10% y los demás animales el 1% restante. Las emisiones promedio de metano estimadas de la sección ganadera en CO</w:t>
      </w:r>
      <w:r>
        <w:rPr>
          <w:position w:val="-2"/>
          <w:sz w:val="16"/>
        </w:rPr>
        <w:t>2 </w:t>
      </w:r>
      <w:r>
        <w:rPr/>
        <w:t>equivalente fueron del orden de 34,241 Gg para el periodo comprendido entre los años 1990 – 2002, que equivalen al</w:t>
      </w:r>
      <w:r>
        <w:rPr>
          <w:spacing w:val="-14"/>
        </w:rPr>
        <w:t> </w:t>
      </w:r>
      <w:r>
        <w:rPr/>
        <w:t>88% del total de las emisiones de metano de todo el sector y el 12 % restante corresponde al N</w:t>
      </w:r>
      <w:r>
        <w:rPr>
          <w:position w:val="-2"/>
          <w:sz w:val="16"/>
        </w:rPr>
        <w:t>2</w:t>
      </w:r>
      <w:r>
        <w:rPr/>
        <w:t>O. Para el mismo periodo, las emisiones promedio de CH</w:t>
      </w:r>
      <w:r>
        <w:rPr>
          <w:position w:val="-2"/>
          <w:sz w:val="16"/>
        </w:rPr>
        <w:t>4 </w:t>
      </w:r>
      <w:r>
        <w:rPr/>
        <w:t>representan</w:t>
      </w:r>
      <w:r>
        <w:rPr>
          <w:spacing w:val="-12"/>
        </w:rPr>
        <w:t> </w:t>
      </w:r>
      <w:r>
        <w:rPr/>
        <w:t>el</w:t>
      </w:r>
      <w:r>
        <w:rPr>
          <w:spacing w:val="-12"/>
        </w:rPr>
        <w:t> </w:t>
      </w:r>
      <w:r>
        <w:rPr/>
        <w:t>84%</w:t>
      </w:r>
      <w:r>
        <w:rPr>
          <w:spacing w:val="-12"/>
        </w:rPr>
        <w:t> </w:t>
      </w:r>
      <w:r>
        <w:rPr/>
        <w:t>de</w:t>
      </w:r>
      <w:r>
        <w:rPr>
          <w:spacing w:val="-12"/>
        </w:rPr>
        <w:t> </w:t>
      </w:r>
      <w:r>
        <w:rPr/>
        <w:t>la</w:t>
      </w:r>
      <w:r>
        <w:rPr>
          <w:spacing w:val="-12"/>
        </w:rPr>
        <w:t> </w:t>
      </w:r>
      <w:r>
        <w:rPr/>
        <w:t>categoría</w:t>
      </w:r>
      <w:r>
        <w:rPr>
          <w:spacing w:val="-12"/>
        </w:rPr>
        <w:t> </w:t>
      </w:r>
      <w:r>
        <w:rPr/>
        <w:t>y</w:t>
      </w:r>
      <w:r>
        <w:rPr>
          <w:spacing w:val="-12"/>
        </w:rPr>
        <w:t> </w:t>
      </w:r>
      <w:r>
        <w:rPr/>
        <w:t>las</w:t>
      </w:r>
      <w:r>
        <w:rPr>
          <w:spacing w:val="-12"/>
        </w:rPr>
        <w:t> </w:t>
      </w:r>
      <w:r>
        <w:rPr/>
        <w:t>de</w:t>
      </w:r>
      <w:r>
        <w:rPr>
          <w:spacing w:val="-12"/>
        </w:rPr>
        <w:t> </w:t>
      </w:r>
      <w:r>
        <w:rPr/>
        <w:t>N</w:t>
      </w:r>
      <w:r>
        <w:rPr>
          <w:position w:val="-2"/>
          <w:sz w:val="16"/>
        </w:rPr>
        <w:t>2</w:t>
      </w:r>
      <w:r>
        <w:rPr/>
        <w:t>O</w:t>
      </w:r>
      <w:r>
        <w:rPr>
          <w:spacing w:val="-12"/>
        </w:rPr>
        <w:t> </w:t>
      </w:r>
      <w:r>
        <w:rPr/>
        <w:t>el</w:t>
      </w:r>
      <w:r>
        <w:rPr>
          <w:spacing w:val="-12"/>
        </w:rPr>
        <w:t> </w:t>
      </w:r>
      <w:r>
        <w:rPr/>
        <w:t>16%</w:t>
      </w:r>
      <w:r>
        <w:rPr>
          <w:spacing w:val="-12"/>
        </w:rPr>
        <w:t> </w:t>
      </w:r>
      <w:r>
        <w:rPr/>
        <w:t>restante.</w:t>
      </w:r>
      <w:r>
        <w:rPr>
          <w:spacing w:val="-12"/>
        </w:rPr>
        <w:t> </w:t>
      </w:r>
      <w:r>
        <w:rPr/>
        <w:t>(INE-SEMARNAT, 2006:140, 142). Para 2006, la Cuarta Comunicación Nacional ante la Convención Marco de las Naciones Unidas Sobre Cambio Climático de México, señala que las emisiones en unidades de bióxido de carbono equivalente (CO</w:t>
      </w:r>
      <w:r>
        <w:rPr>
          <w:position w:val="-2"/>
          <w:sz w:val="16"/>
        </w:rPr>
        <w:t>2</w:t>
      </w:r>
      <w:r>
        <w:rPr/>
        <w:t>-eq) en el sector agrícola fueron de 6.4% (45,552.1 Gg). Las emisiones de CH</w:t>
      </w:r>
      <w:r>
        <w:rPr>
          <w:position w:val="-2"/>
          <w:sz w:val="16"/>
        </w:rPr>
        <w:t>4 </w:t>
      </w:r>
      <w:r>
        <w:rPr/>
        <w:t>fueron de 8,828.1 Gg, lo que representa un incremento de 73.7% con respecto a 1990. La fermentación entérica presenta una contribución porcentual de emisiones de CH</w:t>
      </w:r>
      <w:r>
        <w:rPr>
          <w:position w:val="-2"/>
          <w:sz w:val="16"/>
        </w:rPr>
        <w:t>4 </w:t>
      </w:r>
      <w:r>
        <w:rPr/>
        <w:t>del 20.1% del sector (INE-SEMARNAT, 2009:18, 64 y</w:t>
      </w:r>
      <w:r>
        <w:rPr>
          <w:spacing w:val="-1"/>
        </w:rPr>
        <w:t> </w:t>
      </w:r>
      <w:r>
        <w:rPr/>
        <w:t>67).</w:t>
      </w:r>
    </w:p>
    <w:p>
      <w:pPr>
        <w:pStyle w:val="BodyText"/>
        <w:spacing w:line="355" w:lineRule="auto" w:before="133"/>
        <w:ind w:left="276" w:right="143"/>
        <w:jc w:val="both"/>
      </w:pPr>
      <w:r>
        <w:rPr/>
        <w:t>Asimismo, el sector pecuario produce el 9% de las emisiones de CO</w:t>
      </w:r>
      <w:r>
        <w:rPr>
          <w:position w:val="-2"/>
          <w:sz w:val="16"/>
        </w:rPr>
        <w:t>2 </w:t>
      </w:r>
      <w:r>
        <w:rPr/>
        <w:t>de origen antropogénico,</w:t>
      </w:r>
      <w:r>
        <w:rPr>
          <w:spacing w:val="-4"/>
        </w:rPr>
        <w:t> </w:t>
      </w:r>
      <w:r>
        <w:rPr/>
        <w:t>la</w:t>
      </w:r>
      <w:r>
        <w:rPr>
          <w:spacing w:val="-4"/>
        </w:rPr>
        <w:t> </w:t>
      </w:r>
      <w:r>
        <w:rPr/>
        <w:t>mayor</w:t>
      </w:r>
      <w:r>
        <w:rPr>
          <w:spacing w:val="-4"/>
        </w:rPr>
        <w:t> </w:t>
      </w:r>
      <w:r>
        <w:rPr/>
        <w:t>parte</w:t>
      </w:r>
      <w:r>
        <w:rPr>
          <w:spacing w:val="-4"/>
        </w:rPr>
        <w:t> </w:t>
      </w:r>
      <w:r>
        <w:rPr/>
        <w:t>de</w:t>
      </w:r>
      <w:r>
        <w:rPr>
          <w:spacing w:val="-4"/>
        </w:rPr>
        <w:t> </w:t>
      </w:r>
      <w:r>
        <w:rPr/>
        <w:t>las</w:t>
      </w:r>
      <w:r>
        <w:rPr>
          <w:spacing w:val="-4"/>
        </w:rPr>
        <w:t> </w:t>
      </w:r>
      <w:r>
        <w:rPr/>
        <w:t>cuales</w:t>
      </w:r>
      <w:r>
        <w:rPr>
          <w:spacing w:val="-4"/>
        </w:rPr>
        <w:t> </w:t>
      </w:r>
      <w:r>
        <w:rPr/>
        <w:t>se</w:t>
      </w:r>
      <w:r>
        <w:rPr>
          <w:spacing w:val="-4"/>
        </w:rPr>
        <w:t> </w:t>
      </w:r>
      <w:r>
        <w:rPr/>
        <w:t>deben</w:t>
      </w:r>
      <w:r>
        <w:rPr>
          <w:spacing w:val="-4"/>
        </w:rPr>
        <w:t> </w:t>
      </w:r>
      <w:r>
        <w:rPr/>
        <w:t>a</w:t>
      </w:r>
      <w:r>
        <w:rPr>
          <w:spacing w:val="-4"/>
        </w:rPr>
        <w:t> </w:t>
      </w:r>
      <w:r>
        <w:rPr/>
        <w:t>los</w:t>
      </w:r>
      <w:r>
        <w:rPr>
          <w:spacing w:val="-4"/>
        </w:rPr>
        <w:t> </w:t>
      </w:r>
      <w:r>
        <w:rPr/>
        <w:t>cambios</w:t>
      </w:r>
      <w:r>
        <w:rPr>
          <w:spacing w:val="-4"/>
        </w:rPr>
        <w:t> </w:t>
      </w:r>
      <w:r>
        <w:rPr/>
        <w:t>en</w:t>
      </w:r>
      <w:r>
        <w:rPr>
          <w:spacing w:val="-4"/>
        </w:rPr>
        <w:t> </w:t>
      </w:r>
      <w:r>
        <w:rPr/>
        <w:t>el</w:t>
      </w:r>
      <w:r>
        <w:rPr>
          <w:spacing w:val="-4"/>
        </w:rPr>
        <w:t> </w:t>
      </w:r>
      <w:r>
        <w:rPr/>
        <w:t>uso</w:t>
      </w:r>
      <w:r>
        <w:rPr>
          <w:spacing w:val="-4"/>
        </w:rPr>
        <w:t> </w:t>
      </w:r>
      <w:r>
        <w:rPr/>
        <w:t>de</w:t>
      </w:r>
      <w:r>
        <w:rPr>
          <w:spacing w:val="-4"/>
        </w:rPr>
        <w:t> </w:t>
      </w:r>
      <w:r>
        <w:rPr/>
        <w:t>la tierra</w:t>
      </w:r>
      <w:r>
        <w:rPr>
          <w:spacing w:val="-9"/>
        </w:rPr>
        <w:t> </w:t>
      </w:r>
      <w:r>
        <w:rPr/>
        <w:t>(principalmente,</w:t>
      </w:r>
      <w:r>
        <w:rPr>
          <w:spacing w:val="-9"/>
        </w:rPr>
        <w:t> </w:t>
      </w:r>
      <w:r>
        <w:rPr/>
        <w:t>la</w:t>
      </w:r>
      <w:r>
        <w:rPr>
          <w:spacing w:val="-9"/>
        </w:rPr>
        <w:t> </w:t>
      </w:r>
      <w:r>
        <w:rPr/>
        <w:t>deforestación)</w:t>
      </w:r>
      <w:r>
        <w:rPr>
          <w:spacing w:val="-9"/>
        </w:rPr>
        <w:t> </w:t>
      </w:r>
      <w:r>
        <w:rPr/>
        <w:t>causados</w:t>
      </w:r>
      <w:r>
        <w:rPr>
          <w:spacing w:val="-9"/>
        </w:rPr>
        <w:t> </w:t>
      </w:r>
      <w:r>
        <w:rPr/>
        <w:t>por</w:t>
      </w:r>
      <w:r>
        <w:rPr>
          <w:spacing w:val="-9"/>
        </w:rPr>
        <w:t> </w:t>
      </w:r>
      <w:r>
        <w:rPr/>
        <w:t>la</w:t>
      </w:r>
      <w:r>
        <w:rPr>
          <w:spacing w:val="-9"/>
        </w:rPr>
        <w:t> </w:t>
      </w:r>
      <w:r>
        <w:rPr/>
        <w:t>expansión</w:t>
      </w:r>
      <w:r>
        <w:rPr>
          <w:spacing w:val="-9"/>
        </w:rPr>
        <w:t> </w:t>
      </w:r>
      <w:r>
        <w:rPr/>
        <w:t>de</w:t>
      </w:r>
      <w:r>
        <w:rPr>
          <w:spacing w:val="-9"/>
        </w:rPr>
        <w:t> </w:t>
      </w:r>
      <w:r>
        <w:rPr/>
        <w:t>los</w:t>
      </w:r>
      <w:r>
        <w:rPr>
          <w:spacing w:val="-9"/>
        </w:rPr>
        <w:t> </w:t>
      </w:r>
      <w:r>
        <w:rPr/>
        <w:t>pastizales y</w:t>
      </w:r>
      <w:r>
        <w:rPr>
          <w:spacing w:val="47"/>
        </w:rPr>
        <w:t> </w:t>
      </w:r>
      <w:r>
        <w:rPr/>
        <w:t>la</w:t>
      </w:r>
      <w:r>
        <w:rPr>
          <w:spacing w:val="47"/>
        </w:rPr>
        <w:t> </w:t>
      </w:r>
      <w:r>
        <w:rPr/>
        <w:t>superficie</w:t>
      </w:r>
      <w:r>
        <w:rPr>
          <w:spacing w:val="47"/>
        </w:rPr>
        <w:t> </w:t>
      </w:r>
      <w:r>
        <w:rPr/>
        <w:t>destinada</w:t>
      </w:r>
      <w:r>
        <w:rPr>
          <w:spacing w:val="47"/>
        </w:rPr>
        <w:t> </w:t>
      </w:r>
      <w:r>
        <w:rPr/>
        <w:t>a</w:t>
      </w:r>
      <w:r>
        <w:rPr>
          <w:spacing w:val="47"/>
        </w:rPr>
        <w:t> </w:t>
      </w:r>
      <w:r>
        <w:rPr/>
        <w:t>la</w:t>
      </w:r>
      <w:r>
        <w:rPr>
          <w:spacing w:val="47"/>
        </w:rPr>
        <w:t> </w:t>
      </w:r>
      <w:r>
        <w:rPr/>
        <w:t>producción</w:t>
      </w:r>
      <w:r>
        <w:rPr>
          <w:spacing w:val="47"/>
        </w:rPr>
        <w:t> </w:t>
      </w:r>
      <w:r>
        <w:rPr/>
        <w:t>de</w:t>
      </w:r>
      <w:r>
        <w:rPr>
          <w:spacing w:val="47"/>
        </w:rPr>
        <w:t> </w:t>
      </w:r>
      <w:r>
        <w:rPr/>
        <w:t>forrajes.</w:t>
      </w:r>
      <w:r>
        <w:rPr>
          <w:spacing w:val="47"/>
        </w:rPr>
        <w:t> </w:t>
      </w:r>
      <w:r>
        <w:rPr/>
        <w:t>La</w:t>
      </w:r>
      <w:r>
        <w:rPr>
          <w:spacing w:val="47"/>
        </w:rPr>
        <w:t> </w:t>
      </w:r>
      <w:r>
        <w:rPr/>
        <w:t>ganadería</w:t>
      </w:r>
      <w:r>
        <w:rPr>
          <w:spacing w:val="47"/>
        </w:rPr>
        <w:t> </w:t>
      </w:r>
      <w:r>
        <w:rPr/>
        <w:t>es</w:t>
      </w:r>
      <w:r>
        <w:rPr>
          <w:spacing w:val="47"/>
        </w:rPr>
        <w:t> </w:t>
      </w:r>
      <w:r>
        <w:rPr/>
        <w:t>también</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responsable en medida aún más significativa de la emisión de algunos gases que tienen un mayor potencial de calentamiento de la atmósfera. Así, por ejemplo, el sector emite el 37% del metano antropogénico, el cual proviene en su mayor parte del proceso de fermentación ocurrido en la digestión entérica de los rumiantes y tiene un potencial de calentamiento global (PCG) 23 veces mayor que el del CO</w:t>
      </w:r>
      <w:r>
        <w:rPr>
          <w:position w:val="-2"/>
          <w:sz w:val="16"/>
        </w:rPr>
        <w:t>2</w:t>
      </w:r>
      <w:r>
        <w:rPr/>
        <w:t>,</w:t>
      </w:r>
      <w:r>
        <w:rPr>
          <w:spacing w:val="-44"/>
        </w:rPr>
        <w:t> </w:t>
      </w:r>
      <w:r>
        <w:rPr/>
        <w:t>y el 65% del óxido nitroso antropogénico, cuyo PCG es 296 veces mayor que el del CO</w:t>
      </w:r>
      <w:r>
        <w:rPr>
          <w:position w:val="-2"/>
          <w:sz w:val="16"/>
        </w:rPr>
        <w:t>2</w:t>
      </w:r>
      <w:r>
        <w:rPr/>
        <w:t>, en su mayor parte proveniente del estiércol. La ganadería también es responsable</w:t>
      </w:r>
      <w:r>
        <w:rPr>
          <w:spacing w:val="-7"/>
        </w:rPr>
        <w:t> </w:t>
      </w:r>
      <w:r>
        <w:rPr/>
        <w:t>de</w:t>
      </w:r>
      <w:r>
        <w:rPr>
          <w:spacing w:val="-7"/>
        </w:rPr>
        <w:t> </w:t>
      </w:r>
      <w:r>
        <w:rPr/>
        <w:t>casi</w:t>
      </w:r>
      <w:r>
        <w:rPr>
          <w:spacing w:val="-7"/>
        </w:rPr>
        <w:t> </w:t>
      </w:r>
      <w:r>
        <w:rPr/>
        <w:t>las</w:t>
      </w:r>
      <w:r>
        <w:rPr>
          <w:spacing w:val="-7"/>
        </w:rPr>
        <w:t> </w:t>
      </w:r>
      <w:r>
        <w:rPr/>
        <w:t>dos</w:t>
      </w:r>
      <w:r>
        <w:rPr>
          <w:spacing w:val="-7"/>
        </w:rPr>
        <w:t> </w:t>
      </w:r>
      <w:r>
        <w:rPr/>
        <w:t>terceras</w:t>
      </w:r>
      <w:r>
        <w:rPr>
          <w:spacing w:val="-7"/>
        </w:rPr>
        <w:t> </w:t>
      </w:r>
      <w:r>
        <w:rPr/>
        <w:t>partes</w:t>
      </w:r>
      <w:r>
        <w:rPr>
          <w:spacing w:val="-7"/>
        </w:rPr>
        <w:t> </w:t>
      </w:r>
      <w:r>
        <w:rPr/>
        <w:t>(64%)</w:t>
      </w:r>
      <w:r>
        <w:rPr>
          <w:spacing w:val="-7"/>
        </w:rPr>
        <w:t> </w:t>
      </w:r>
      <w:r>
        <w:rPr/>
        <w:t>de</w:t>
      </w:r>
      <w:r>
        <w:rPr>
          <w:spacing w:val="-7"/>
        </w:rPr>
        <w:t> </w:t>
      </w:r>
      <w:r>
        <w:rPr/>
        <w:t>las</w:t>
      </w:r>
      <w:r>
        <w:rPr>
          <w:spacing w:val="-7"/>
        </w:rPr>
        <w:t> </w:t>
      </w:r>
      <w:r>
        <w:rPr/>
        <w:t>emisiones</w:t>
      </w:r>
      <w:r>
        <w:rPr>
          <w:spacing w:val="-7"/>
        </w:rPr>
        <w:t> </w:t>
      </w:r>
      <w:r>
        <w:rPr/>
        <w:t>antropogénicas de amonio, las cuales contribuyen significativamente a la lluvia ácida y a la acidificación de los ecosistemas (FAO, 2009b:XXII).</w:t>
      </w:r>
    </w:p>
    <w:p>
      <w:pPr>
        <w:pStyle w:val="BodyText"/>
        <w:spacing w:line="360" w:lineRule="auto" w:before="125"/>
        <w:ind w:left="276" w:right="143"/>
        <w:jc w:val="both"/>
      </w:pPr>
      <w:r>
        <w:rPr/>
        <w:t>La FAO (2010), afirma que el sector lácteo genera cerca del 4% de todas las emisiones antropogénicas mundiales de GEI según un nuevo informe de la FAO. Esta</w:t>
      </w:r>
      <w:r>
        <w:rPr>
          <w:spacing w:val="-5"/>
        </w:rPr>
        <w:t> </w:t>
      </w:r>
      <w:r>
        <w:rPr/>
        <w:t>cifra</w:t>
      </w:r>
      <w:r>
        <w:rPr>
          <w:spacing w:val="-5"/>
        </w:rPr>
        <w:t> </w:t>
      </w:r>
      <w:r>
        <w:rPr/>
        <w:t>incluye</w:t>
      </w:r>
      <w:r>
        <w:rPr>
          <w:spacing w:val="-5"/>
        </w:rPr>
        <w:t> </w:t>
      </w:r>
      <w:r>
        <w:rPr/>
        <w:t>las</w:t>
      </w:r>
      <w:r>
        <w:rPr>
          <w:spacing w:val="-5"/>
        </w:rPr>
        <w:t> </w:t>
      </w:r>
      <w:r>
        <w:rPr/>
        <w:t>emisiones</w:t>
      </w:r>
      <w:r>
        <w:rPr>
          <w:spacing w:val="-5"/>
        </w:rPr>
        <w:t> </w:t>
      </w:r>
      <w:r>
        <w:rPr/>
        <w:t>asociadas</w:t>
      </w:r>
      <w:r>
        <w:rPr>
          <w:spacing w:val="-5"/>
        </w:rPr>
        <w:t> </w:t>
      </w:r>
      <w:r>
        <w:rPr/>
        <w:t>a</w:t>
      </w:r>
      <w:r>
        <w:rPr>
          <w:spacing w:val="-5"/>
        </w:rPr>
        <w:t> </w:t>
      </w:r>
      <w:r>
        <w:rPr/>
        <w:t>la</w:t>
      </w:r>
      <w:r>
        <w:rPr>
          <w:spacing w:val="-5"/>
        </w:rPr>
        <w:t> </w:t>
      </w:r>
      <w:r>
        <w:rPr/>
        <w:t>producción,</w:t>
      </w:r>
      <w:r>
        <w:rPr>
          <w:spacing w:val="-5"/>
        </w:rPr>
        <w:t> </w:t>
      </w:r>
      <w:r>
        <w:rPr/>
        <w:t>elaboración</w:t>
      </w:r>
      <w:r>
        <w:rPr>
          <w:spacing w:val="-5"/>
        </w:rPr>
        <w:t> </w:t>
      </w:r>
      <w:r>
        <w:rPr/>
        <w:t>y</w:t>
      </w:r>
      <w:r>
        <w:rPr>
          <w:spacing w:val="-5"/>
        </w:rPr>
        <w:t> </w:t>
      </w:r>
      <w:r>
        <w:rPr/>
        <w:t>transporte de</w:t>
      </w:r>
      <w:r>
        <w:rPr>
          <w:spacing w:val="-15"/>
        </w:rPr>
        <w:t> </w:t>
      </w:r>
      <w:r>
        <w:rPr/>
        <w:t>productos</w:t>
      </w:r>
      <w:r>
        <w:rPr>
          <w:spacing w:val="-15"/>
        </w:rPr>
        <w:t> </w:t>
      </w:r>
      <w:r>
        <w:rPr/>
        <w:t>lácteos,</w:t>
      </w:r>
      <w:r>
        <w:rPr>
          <w:spacing w:val="-15"/>
        </w:rPr>
        <w:t> </w:t>
      </w:r>
      <w:r>
        <w:rPr/>
        <w:t>así</w:t>
      </w:r>
      <w:r>
        <w:rPr>
          <w:spacing w:val="-15"/>
        </w:rPr>
        <w:t> </w:t>
      </w:r>
      <w:r>
        <w:rPr/>
        <w:t>como</w:t>
      </w:r>
      <w:r>
        <w:rPr>
          <w:spacing w:val="-15"/>
        </w:rPr>
        <w:t> </w:t>
      </w:r>
      <w:r>
        <w:rPr/>
        <w:t>las</w:t>
      </w:r>
      <w:r>
        <w:rPr>
          <w:spacing w:val="-15"/>
        </w:rPr>
        <w:t> </w:t>
      </w:r>
      <w:r>
        <w:rPr/>
        <w:t>emisiones</w:t>
      </w:r>
      <w:r>
        <w:rPr>
          <w:spacing w:val="-15"/>
        </w:rPr>
        <w:t> </w:t>
      </w:r>
      <w:r>
        <w:rPr/>
        <w:t>relacionadas</w:t>
      </w:r>
      <w:r>
        <w:rPr>
          <w:spacing w:val="-15"/>
        </w:rPr>
        <w:t> </w:t>
      </w:r>
      <w:r>
        <w:rPr/>
        <w:t>con</w:t>
      </w:r>
      <w:r>
        <w:rPr>
          <w:spacing w:val="-15"/>
        </w:rPr>
        <w:t> </w:t>
      </w:r>
      <w:r>
        <w:rPr/>
        <w:t>la</w:t>
      </w:r>
      <w:r>
        <w:rPr>
          <w:spacing w:val="-15"/>
        </w:rPr>
        <w:t> </w:t>
      </w:r>
      <w:r>
        <w:rPr/>
        <w:t>carne</w:t>
      </w:r>
      <w:r>
        <w:rPr>
          <w:spacing w:val="-15"/>
        </w:rPr>
        <w:t> </w:t>
      </w:r>
      <w:r>
        <w:rPr/>
        <w:t>de</w:t>
      </w:r>
      <w:r>
        <w:rPr>
          <w:spacing w:val="-15"/>
        </w:rPr>
        <w:t> </w:t>
      </w:r>
      <w:r>
        <w:rPr/>
        <w:t>animales procedentes del sector lácteo. Considerando solamente la producción, elaboración y</w:t>
      </w:r>
      <w:r>
        <w:rPr>
          <w:spacing w:val="-5"/>
        </w:rPr>
        <w:t> </w:t>
      </w:r>
      <w:r>
        <w:rPr/>
        <w:t>transporte</w:t>
      </w:r>
      <w:r>
        <w:rPr>
          <w:spacing w:val="-5"/>
        </w:rPr>
        <w:t> </w:t>
      </w:r>
      <w:r>
        <w:rPr/>
        <w:t>de</w:t>
      </w:r>
      <w:r>
        <w:rPr>
          <w:spacing w:val="-5"/>
        </w:rPr>
        <w:t> </w:t>
      </w:r>
      <w:r>
        <w:rPr/>
        <w:t>leche</w:t>
      </w:r>
      <w:r>
        <w:rPr>
          <w:spacing w:val="-5"/>
        </w:rPr>
        <w:t> </w:t>
      </w:r>
      <w:r>
        <w:rPr/>
        <w:t>a</w:t>
      </w:r>
      <w:r>
        <w:rPr>
          <w:spacing w:val="-5"/>
        </w:rPr>
        <w:t> </w:t>
      </w:r>
      <w:r>
        <w:rPr/>
        <w:t>nivel</w:t>
      </w:r>
      <w:r>
        <w:rPr>
          <w:spacing w:val="-5"/>
        </w:rPr>
        <w:t> </w:t>
      </w:r>
      <w:r>
        <w:rPr/>
        <w:t>mundial</w:t>
      </w:r>
      <w:r>
        <w:rPr>
          <w:spacing w:val="-5"/>
        </w:rPr>
        <w:t> </w:t>
      </w:r>
      <w:r>
        <w:rPr/>
        <w:t>-excluyendo</w:t>
      </w:r>
      <w:r>
        <w:rPr>
          <w:spacing w:val="-5"/>
        </w:rPr>
        <w:t> </w:t>
      </w:r>
      <w:r>
        <w:rPr/>
        <w:t>la</w:t>
      </w:r>
      <w:r>
        <w:rPr>
          <w:spacing w:val="-5"/>
        </w:rPr>
        <w:t> </w:t>
      </w:r>
      <w:r>
        <w:rPr/>
        <w:t>producción</w:t>
      </w:r>
      <w:r>
        <w:rPr>
          <w:spacing w:val="-5"/>
        </w:rPr>
        <w:t> </w:t>
      </w:r>
      <w:r>
        <w:rPr/>
        <w:t>de</w:t>
      </w:r>
      <w:r>
        <w:rPr>
          <w:spacing w:val="-5"/>
        </w:rPr>
        <w:t> </w:t>
      </w:r>
      <w:r>
        <w:rPr/>
        <w:t>carne-,</w:t>
      </w:r>
      <w:r>
        <w:rPr>
          <w:spacing w:val="-5"/>
        </w:rPr>
        <w:t> </w:t>
      </w:r>
      <w:r>
        <w:rPr/>
        <w:t>el</w:t>
      </w:r>
      <w:r>
        <w:rPr>
          <w:spacing w:val="-5"/>
        </w:rPr>
        <w:t> </w:t>
      </w:r>
      <w:r>
        <w:rPr/>
        <w:t>sector contribuye a un 2,7% de las emisiones antropogénicas mundiales de GEI.</w:t>
      </w:r>
    </w:p>
    <w:p>
      <w:pPr>
        <w:pStyle w:val="BodyText"/>
        <w:spacing w:line="357" w:lineRule="auto" w:before="127"/>
        <w:ind w:left="276" w:right="143"/>
        <w:jc w:val="both"/>
      </w:pPr>
      <w:r>
        <w:rPr/>
        <w:t>En 2007, el sector lácteo emitió 1,969 millones de toneladas de dióxido de carbono (CO</w:t>
      </w:r>
      <w:r>
        <w:rPr>
          <w:position w:val="-2"/>
          <w:sz w:val="16"/>
        </w:rPr>
        <w:t>2</w:t>
      </w:r>
      <w:r>
        <w:rPr/>
        <w:t>)</w:t>
      </w:r>
      <w:r>
        <w:rPr>
          <w:spacing w:val="-16"/>
        </w:rPr>
        <w:t> </w:t>
      </w:r>
      <w:r>
        <w:rPr/>
        <w:t>equivalente,</w:t>
      </w:r>
      <w:r>
        <w:rPr>
          <w:spacing w:val="-16"/>
        </w:rPr>
        <w:t> </w:t>
      </w:r>
      <w:r>
        <w:rPr/>
        <w:t>de</w:t>
      </w:r>
      <w:r>
        <w:rPr>
          <w:spacing w:val="-16"/>
        </w:rPr>
        <w:t> </w:t>
      </w:r>
      <w:r>
        <w:rPr/>
        <w:t>las</w:t>
      </w:r>
      <w:r>
        <w:rPr>
          <w:spacing w:val="-16"/>
        </w:rPr>
        <w:t> </w:t>
      </w:r>
      <w:r>
        <w:rPr/>
        <w:t>cuales</w:t>
      </w:r>
      <w:r>
        <w:rPr>
          <w:spacing w:val="-16"/>
        </w:rPr>
        <w:t> </w:t>
      </w:r>
      <w:r>
        <w:rPr/>
        <w:t>1,328</w:t>
      </w:r>
      <w:r>
        <w:rPr>
          <w:spacing w:val="-16"/>
        </w:rPr>
        <w:t> </w:t>
      </w:r>
      <w:r>
        <w:rPr/>
        <w:t>millones</w:t>
      </w:r>
      <w:r>
        <w:rPr>
          <w:spacing w:val="-16"/>
        </w:rPr>
        <w:t> </w:t>
      </w:r>
      <w:r>
        <w:rPr/>
        <w:t>de</w:t>
      </w:r>
      <w:r>
        <w:rPr>
          <w:spacing w:val="-16"/>
        </w:rPr>
        <w:t> </w:t>
      </w:r>
      <w:r>
        <w:rPr/>
        <w:t>toneladas</w:t>
      </w:r>
      <w:r>
        <w:rPr>
          <w:spacing w:val="-16"/>
        </w:rPr>
        <w:t> </w:t>
      </w:r>
      <w:r>
        <w:rPr/>
        <w:t>se</w:t>
      </w:r>
      <w:r>
        <w:rPr>
          <w:spacing w:val="-16"/>
        </w:rPr>
        <w:t> </w:t>
      </w:r>
      <w:r>
        <w:rPr/>
        <w:t>atribuyen</w:t>
      </w:r>
      <w:r>
        <w:rPr>
          <w:spacing w:val="-16"/>
        </w:rPr>
        <w:t> </w:t>
      </w:r>
      <w:r>
        <w:rPr/>
        <w:t>a</w:t>
      </w:r>
      <w:r>
        <w:rPr>
          <w:spacing w:val="-16"/>
        </w:rPr>
        <w:t> </w:t>
      </w:r>
      <w:r>
        <w:rPr/>
        <w:t>la</w:t>
      </w:r>
      <w:r>
        <w:rPr>
          <w:spacing w:val="-16"/>
        </w:rPr>
        <w:t> </w:t>
      </w:r>
      <w:r>
        <w:rPr/>
        <w:t>leche, 151 millones de toneladas a la carne de animales sacrificados y 490 millones de toneladas a terneros criados para la producción de carne. La emisión equivalente de CO</w:t>
      </w:r>
      <w:r>
        <w:rPr>
          <w:position w:val="-2"/>
          <w:sz w:val="16"/>
        </w:rPr>
        <w:t>2 </w:t>
      </w:r>
      <w:r>
        <w:rPr/>
        <w:t>es una medida estándar para comparar emisiones de diferentes GEI. Se calcula que la media mundial de emisiones de GEI por kilogramo de leche y productos lácteos asociados asciende a 2,4 kg de CO</w:t>
      </w:r>
      <w:r>
        <w:rPr>
          <w:position w:val="-2"/>
          <w:sz w:val="16"/>
        </w:rPr>
        <w:t>2 </w:t>
      </w:r>
      <w:r>
        <w:rPr/>
        <w:t>equivalente. El metano contribuye a la mayor parte del impacto de la leche sobre el calentamiento global, ya que supone en torno a un 52% de las emisiones de GEI en los países desarrollados y en desarrollo. Las emisiones de óxido nitroso ascienden a un 27% de las emisiones de GEI en los países desarrollados y a un 38% en los países en desarrollo.</w:t>
      </w:r>
      <w:r>
        <w:rPr>
          <w:spacing w:val="-12"/>
        </w:rPr>
        <w:t> </w:t>
      </w:r>
      <w:r>
        <w:rPr/>
        <w:t>El</w:t>
      </w:r>
      <w:r>
        <w:rPr>
          <w:spacing w:val="-12"/>
        </w:rPr>
        <w:t> </w:t>
      </w:r>
      <w:r>
        <w:rPr/>
        <w:t>dióxido</w:t>
      </w:r>
      <w:r>
        <w:rPr>
          <w:spacing w:val="-12"/>
        </w:rPr>
        <w:t> </w:t>
      </w:r>
      <w:r>
        <w:rPr/>
        <w:t>de</w:t>
      </w:r>
      <w:r>
        <w:rPr>
          <w:spacing w:val="-12"/>
        </w:rPr>
        <w:t> </w:t>
      </w:r>
      <w:r>
        <w:rPr/>
        <w:t>carbono</w:t>
      </w:r>
      <w:r>
        <w:rPr>
          <w:spacing w:val="-12"/>
        </w:rPr>
        <w:t> </w:t>
      </w:r>
      <w:r>
        <w:rPr/>
        <w:t>genera</w:t>
      </w:r>
      <w:r>
        <w:rPr>
          <w:spacing w:val="-12"/>
        </w:rPr>
        <w:t> </w:t>
      </w:r>
      <w:r>
        <w:rPr/>
        <w:t>más</w:t>
      </w:r>
      <w:r>
        <w:rPr>
          <w:spacing w:val="-12"/>
        </w:rPr>
        <w:t> </w:t>
      </w:r>
      <w:r>
        <w:rPr/>
        <w:t>emisiones</w:t>
      </w:r>
      <w:r>
        <w:rPr>
          <w:spacing w:val="-12"/>
        </w:rPr>
        <w:t> </w:t>
      </w:r>
      <w:r>
        <w:rPr/>
        <w:t>en</w:t>
      </w:r>
      <w:r>
        <w:rPr>
          <w:spacing w:val="-12"/>
        </w:rPr>
        <w:t> </w:t>
      </w:r>
      <w:r>
        <w:rPr/>
        <w:t>los</w:t>
      </w:r>
      <w:r>
        <w:rPr>
          <w:spacing w:val="-12"/>
        </w:rPr>
        <w:t> </w:t>
      </w:r>
      <w:r>
        <w:rPr/>
        <w:t>países</w:t>
      </w:r>
      <w:r>
        <w:rPr>
          <w:spacing w:val="-12"/>
        </w:rPr>
        <w:t> </w:t>
      </w:r>
      <w:r>
        <w:rPr/>
        <w:t>desarrollados (21%) que en los países en desarrollo (10%) (FAO, 2010).</w:t>
      </w:r>
    </w:p>
    <w:p>
      <w:pPr>
        <w:spacing w:after="0" w:line="357" w:lineRule="auto"/>
        <w:jc w:val="both"/>
        <w:sectPr>
          <w:pgSz w:w="12240" w:h="15840"/>
          <w:pgMar w:header="741" w:footer="739" w:top="1220" w:bottom="920" w:left="1720" w:right="1260"/>
        </w:sectPr>
      </w:pPr>
    </w:p>
    <w:p>
      <w:pPr>
        <w:pStyle w:val="BodyText"/>
        <w:rPr>
          <w:sz w:val="20"/>
        </w:rPr>
      </w:pPr>
    </w:p>
    <w:p>
      <w:pPr>
        <w:pStyle w:val="BodyText"/>
        <w:rPr>
          <w:sz w:val="20"/>
        </w:rPr>
      </w:pPr>
    </w:p>
    <w:p>
      <w:pPr>
        <w:pStyle w:val="BodyText"/>
        <w:spacing w:before="1"/>
        <w:rPr>
          <w:sz w:val="18"/>
        </w:rPr>
      </w:pPr>
    </w:p>
    <w:p>
      <w:pPr>
        <w:pStyle w:val="Heading6"/>
        <w:spacing w:line="360" w:lineRule="auto" w:before="70"/>
        <w:ind w:right="144"/>
      </w:pPr>
      <w:r>
        <w:rPr/>
        <w:t>Efectos de la dieta en la producción de gases de efecto invernadero y alternativas para disminuir sus emisiones.</w:t>
      </w:r>
    </w:p>
    <w:p>
      <w:pPr>
        <w:pStyle w:val="BodyText"/>
        <w:spacing w:line="360" w:lineRule="auto" w:before="2"/>
        <w:ind w:left="276" w:right="143"/>
        <w:jc w:val="both"/>
      </w:pPr>
      <w:r>
        <w:rPr/>
        <w:t>Carmona </w:t>
      </w:r>
      <w:r>
        <w:rPr>
          <w:i/>
        </w:rPr>
        <w:t>et al. </w:t>
      </w:r>
      <w:r>
        <w:rPr/>
        <w:t>(2005:50, 54-55), señalan que la manipulación de la dieta de los rumiantes se considera una alternativa viable para aminorar la producción de metano y a la par disminuir las pérdidas energéticas en el animal. También mencionan</w:t>
      </w:r>
      <w:r>
        <w:rPr>
          <w:spacing w:val="-9"/>
        </w:rPr>
        <w:t> </w:t>
      </w:r>
      <w:r>
        <w:rPr/>
        <w:t>que</w:t>
      </w:r>
      <w:r>
        <w:rPr>
          <w:spacing w:val="-9"/>
        </w:rPr>
        <w:t> </w:t>
      </w:r>
      <w:r>
        <w:rPr/>
        <w:t>existen</w:t>
      </w:r>
      <w:r>
        <w:rPr>
          <w:spacing w:val="-9"/>
        </w:rPr>
        <w:t> </w:t>
      </w:r>
      <w:r>
        <w:rPr/>
        <w:t>evidencias</w:t>
      </w:r>
      <w:r>
        <w:rPr>
          <w:spacing w:val="-9"/>
        </w:rPr>
        <w:t> </w:t>
      </w:r>
      <w:r>
        <w:rPr/>
        <w:t>que</w:t>
      </w:r>
      <w:r>
        <w:rPr>
          <w:spacing w:val="-9"/>
        </w:rPr>
        <w:t> </w:t>
      </w:r>
      <w:r>
        <w:rPr/>
        <w:t>muestran</w:t>
      </w:r>
      <w:r>
        <w:rPr>
          <w:spacing w:val="-9"/>
        </w:rPr>
        <w:t> </w:t>
      </w:r>
      <w:r>
        <w:rPr/>
        <w:t>que</w:t>
      </w:r>
      <w:r>
        <w:rPr>
          <w:spacing w:val="-9"/>
        </w:rPr>
        <w:t> </w:t>
      </w:r>
      <w:r>
        <w:rPr/>
        <w:t>la</w:t>
      </w:r>
      <w:r>
        <w:rPr>
          <w:spacing w:val="-9"/>
        </w:rPr>
        <w:t> </w:t>
      </w:r>
      <w:r>
        <w:rPr/>
        <w:t>tasa</w:t>
      </w:r>
      <w:r>
        <w:rPr>
          <w:spacing w:val="-9"/>
        </w:rPr>
        <w:t> </w:t>
      </w:r>
      <w:r>
        <w:rPr/>
        <w:t>de</w:t>
      </w:r>
      <w:r>
        <w:rPr>
          <w:spacing w:val="-9"/>
        </w:rPr>
        <w:t> </w:t>
      </w:r>
      <w:r>
        <w:rPr/>
        <w:t>emisión</w:t>
      </w:r>
      <w:r>
        <w:rPr>
          <w:spacing w:val="-9"/>
        </w:rPr>
        <w:t> </w:t>
      </w:r>
      <w:r>
        <w:rPr/>
        <w:t>de</w:t>
      </w:r>
      <w:r>
        <w:rPr>
          <w:spacing w:val="-9"/>
        </w:rPr>
        <w:t> </w:t>
      </w:r>
      <w:r>
        <w:rPr/>
        <w:t>metano, por</w:t>
      </w:r>
      <w:r>
        <w:rPr>
          <w:spacing w:val="-7"/>
        </w:rPr>
        <w:t> </w:t>
      </w:r>
      <w:r>
        <w:rPr/>
        <w:t>fermentación</w:t>
      </w:r>
      <w:r>
        <w:rPr>
          <w:spacing w:val="-7"/>
        </w:rPr>
        <w:t> </w:t>
      </w:r>
      <w:r>
        <w:rPr/>
        <w:t>entérica,</w:t>
      </w:r>
      <w:r>
        <w:rPr>
          <w:spacing w:val="-7"/>
        </w:rPr>
        <w:t> </w:t>
      </w:r>
      <w:r>
        <w:rPr/>
        <w:t>se</w:t>
      </w:r>
      <w:r>
        <w:rPr>
          <w:spacing w:val="-7"/>
        </w:rPr>
        <w:t> </w:t>
      </w:r>
      <w:r>
        <w:rPr/>
        <w:t>relaciona</w:t>
      </w:r>
      <w:r>
        <w:rPr>
          <w:spacing w:val="-7"/>
        </w:rPr>
        <w:t> </w:t>
      </w:r>
      <w:r>
        <w:rPr/>
        <w:t>con</w:t>
      </w:r>
      <w:r>
        <w:rPr>
          <w:spacing w:val="-7"/>
        </w:rPr>
        <w:t> </w:t>
      </w:r>
      <w:r>
        <w:rPr/>
        <w:t>el</w:t>
      </w:r>
      <w:r>
        <w:rPr>
          <w:spacing w:val="-7"/>
        </w:rPr>
        <w:t> </w:t>
      </w:r>
      <w:r>
        <w:rPr/>
        <w:t>alimento</w:t>
      </w:r>
      <w:r>
        <w:rPr>
          <w:spacing w:val="-7"/>
        </w:rPr>
        <w:t> </w:t>
      </w:r>
      <w:r>
        <w:rPr/>
        <w:t>consumido.</w:t>
      </w:r>
      <w:r>
        <w:rPr>
          <w:spacing w:val="-7"/>
        </w:rPr>
        <w:t> </w:t>
      </w:r>
      <w:r>
        <w:rPr/>
        <w:t>Además</w:t>
      </w:r>
      <w:r>
        <w:rPr>
          <w:spacing w:val="-7"/>
        </w:rPr>
        <w:t> </w:t>
      </w:r>
      <w:r>
        <w:rPr/>
        <w:t>indican que</w:t>
      </w:r>
      <w:r>
        <w:rPr>
          <w:spacing w:val="-11"/>
        </w:rPr>
        <w:t> </w:t>
      </w:r>
      <w:r>
        <w:rPr/>
        <w:t>entre</w:t>
      </w:r>
      <w:r>
        <w:rPr>
          <w:spacing w:val="-11"/>
        </w:rPr>
        <w:t> </w:t>
      </w:r>
      <w:r>
        <w:rPr/>
        <w:t>los</w:t>
      </w:r>
      <w:r>
        <w:rPr>
          <w:spacing w:val="-11"/>
        </w:rPr>
        <w:t> </w:t>
      </w:r>
      <w:r>
        <w:rPr/>
        <w:t>factores</w:t>
      </w:r>
      <w:r>
        <w:rPr>
          <w:spacing w:val="-11"/>
        </w:rPr>
        <w:t> </w:t>
      </w:r>
      <w:r>
        <w:rPr/>
        <w:t>que</w:t>
      </w:r>
      <w:r>
        <w:rPr>
          <w:spacing w:val="-11"/>
        </w:rPr>
        <w:t> </w:t>
      </w:r>
      <w:r>
        <w:rPr/>
        <w:t>influyen</w:t>
      </w:r>
      <w:r>
        <w:rPr>
          <w:spacing w:val="-11"/>
        </w:rPr>
        <w:t> </w:t>
      </w:r>
      <w:r>
        <w:rPr/>
        <w:t>en</w:t>
      </w:r>
      <w:r>
        <w:rPr>
          <w:spacing w:val="-11"/>
        </w:rPr>
        <w:t> </w:t>
      </w:r>
      <w:r>
        <w:rPr/>
        <w:t>su</w:t>
      </w:r>
      <w:r>
        <w:rPr>
          <w:spacing w:val="-11"/>
        </w:rPr>
        <w:t> </w:t>
      </w:r>
      <w:r>
        <w:rPr/>
        <w:t>producción</w:t>
      </w:r>
      <w:r>
        <w:rPr>
          <w:spacing w:val="-11"/>
        </w:rPr>
        <w:t> </w:t>
      </w:r>
      <w:r>
        <w:rPr/>
        <w:t>están</w:t>
      </w:r>
      <w:r>
        <w:rPr>
          <w:spacing w:val="-11"/>
        </w:rPr>
        <w:t> </w:t>
      </w:r>
      <w:r>
        <w:rPr/>
        <w:t>las</w:t>
      </w:r>
      <w:r>
        <w:rPr>
          <w:spacing w:val="-11"/>
        </w:rPr>
        <w:t> </w:t>
      </w:r>
      <w:r>
        <w:rPr/>
        <w:t>características</w:t>
      </w:r>
      <w:r>
        <w:rPr>
          <w:spacing w:val="-11"/>
        </w:rPr>
        <w:t> </w:t>
      </w:r>
      <w:r>
        <w:rPr/>
        <w:t>físicas y químicas del alimento, las cuales afectan directamente el nivel de consumo y la frecuencia de alimentación. Por tanto una subnutrición contribuye a incrementar</w:t>
      </w:r>
      <w:r>
        <w:rPr>
          <w:spacing w:val="-40"/>
        </w:rPr>
        <w:t> </w:t>
      </w:r>
      <w:r>
        <w:rPr/>
        <w:t>los niveles de emisión de metano. Igualmente mencionan que diversos autores establecen que la energía no aprovechada debido a la producción y eliminación de gas</w:t>
      </w:r>
      <w:r>
        <w:rPr>
          <w:spacing w:val="-8"/>
        </w:rPr>
        <w:t> </w:t>
      </w:r>
      <w:r>
        <w:rPr/>
        <w:t>metano</w:t>
      </w:r>
      <w:r>
        <w:rPr>
          <w:spacing w:val="-8"/>
        </w:rPr>
        <w:t> </w:t>
      </w:r>
      <w:r>
        <w:rPr/>
        <w:t>se</w:t>
      </w:r>
      <w:r>
        <w:rPr>
          <w:spacing w:val="-8"/>
        </w:rPr>
        <w:t> </w:t>
      </w:r>
      <w:r>
        <w:rPr/>
        <w:t>debe</w:t>
      </w:r>
      <w:r>
        <w:rPr>
          <w:spacing w:val="-8"/>
        </w:rPr>
        <w:t> </w:t>
      </w:r>
      <w:r>
        <w:rPr/>
        <w:t>a</w:t>
      </w:r>
      <w:r>
        <w:rPr>
          <w:spacing w:val="-8"/>
        </w:rPr>
        <w:t> </w:t>
      </w:r>
      <w:r>
        <w:rPr/>
        <w:t>muchos</w:t>
      </w:r>
      <w:r>
        <w:rPr>
          <w:spacing w:val="-8"/>
        </w:rPr>
        <w:t> </w:t>
      </w:r>
      <w:r>
        <w:rPr/>
        <w:t>factores.</w:t>
      </w:r>
      <w:r>
        <w:rPr>
          <w:spacing w:val="-8"/>
        </w:rPr>
        <w:t> </w:t>
      </w:r>
      <w:r>
        <w:rPr/>
        <w:t>Estos</w:t>
      </w:r>
      <w:r>
        <w:rPr>
          <w:spacing w:val="-8"/>
        </w:rPr>
        <w:t> </w:t>
      </w:r>
      <w:r>
        <w:rPr/>
        <w:t>incluyen:</w:t>
      </w:r>
      <w:r>
        <w:rPr>
          <w:spacing w:val="-8"/>
        </w:rPr>
        <w:t> </w:t>
      </w:r>
      <w:r>
        <w:rPr/>
        <w:t>cantidad</w:t>
      </w:r>
      <w:r>
        <w:rPr>
          <w:spacing w:val="-8"/>
        </w:rPr>
        <w:t> </w:t>
      </w:r>
      <w:r>
        <w:rPr/>
        <w:t>y</w:t>
      </w:r>
      <w:r>
        <w:rPr>
          <w:spacing w:val="-8"/>
        </w:rPr>
        <w:t> </w:t>
      </w:r>
      <w:r>
        <w:rPr/>
        <w:t>tipo</w:t>
      </w:r>
      <w:r>
        <w:rPr>
          <w:spacing w:val="-8"/>
        </w:rPr>
        <w:t> </w:t>
      </w:r>
      <w:r>
        <w:rPr/>
        <w:t>de</w:t>
      </w:r>
      <w:r>
        <w:rPr>
          <w:spacing w:val="-8"/>
        </w:rPr>
        <w:t> </w:t>
      </w:r>
      <w:r>
        <w:rPr/>
        <w:t>alimento, manipulación</w:t>
      </w:r>
      <w:r>
        <w:rPr>
          <w:spacing w:val="-5"/>
        </w:rPr>
        <w:t> </w:t>
      </w:r>
      <w:r>
        <w:rPr/>
        <w:t>de</w:t>
      </w:r>
      <w:r>
        <w:rPr>
          <w:spacing w:val="-5"/>
        </w:rPr>
        <w:t> </w:t>
      </w:r>
      <w:r>
        <w:rPr/>
        <w:t>la</w:t>
      </w:r>
      <w:r>
        <w:rPr>
          <w:spacing w:val="-5"/>
        </w:rPr>
        <w:t> </w:t>
      </w:r>
      <w:r>
        <w:rPr/>
        <w:t>fermentación</w:t>
      </w:r>
      <w:r>
        <w:rPr>
          <w:spacing w:val="-5"/>
        </w:rPr>
        <w:t> </w:t>
      </w:r>
      <w:r>
        <w:rPr/>
        <w:t>ruminal,</w:t>
      </w:r>
      <w:r>
        <w:rPr>
          <w:spacing w:val="-5"/>
        </w:rPr>
        <w:t> </w:t>
      </w:r>
      <w:r>
        <w:rPr/>
        <w:t>adición</w:t>
      </w:r>
      <w:r>
        <w:rPr>
          <w:spacing w:val="-5"/>
        </w:rPr>
        <w:t> </w:t>
      </w:r>
      <w:r>
        <w:rPr/>
        <w:t>de</w:t>
      </w:r>
      <w:r>
        <w:rPr>
          <w:spacing w:val="-5"/>
        </w:rPr>
        <w:t> </w:t>
      </w:r>
      <w:r>
        <w:rPr/>
        <w:t>lípidos,</w:t>
      </w:r>
      <w:r>
        <w:rPr>
          <w:spacing w:val="-5"/>
        </w:rPr>
        <w:t> </w:t>
      </w:r>
      <w:r>
        <w:rPr/>
        <w:t>tipo</w:t>
      </w:r>
      <w:r>
        <w:rPr>
          <w:spacing w:val="-5"/>
        </w:rPr>
        <w:t> </w:t>
      </w:r>
      <w:r>
        <w:rPr/>
        <w:t>de</w:t>
      </w:r>
      <w:r>
        <w:rPr>
          <w:spacing w:val="-5"/>
        </w:rPr>
        <w:t> </w:t>
      </w:r>
      <w:r>
        <w:rPr/>
        <w:t>carbohidrato</w:t>
      </w:r>
      <w:r>
        <w:rPr>
          <w:spacing w:val="-5"/>
        </w:rPr>
        <w:t> </w:t>
      </w:r>
      <w:r>
        <w:rPr/>
        <w:t>en la dieta y procesamiento de los forrajes. Estos factores se convierten por tanto en factores alternativos para la disminución de la metanogénesis.</w:t>
      </w:r>
    </w:p>
    <w:p>
      <w:pPr>
        <w:pStyle w:val="BodyText"/>
        <w:spacing w:line="357" w:lineRule="auto" w:before="127"/>
        <w:ind w:left="276" w:right="143"/>
        <w:jc w:val="both"/>
      </w:pPr>
      <w:r>
        <w:rPr/>
        <w:t>Las emisiones de metano se pueden reducir a través de dietas mejoradas que disminuyan la fermentación entérica, el mejoramiento del manejo del estiércol y el biogás,</w:t>
      </w:r>
      <w:r>
        <w:rPr>
          <w:spacing w:val="-7"/>
        </w:rPr>
        <w:t> </w:t>
      </w:r>
      <w:r>
        <w:rPr/>
        <w:t>que</w:t>
      </w:r>
      <w:r>
        <w:rPr>
          <w:spacing w:val="-7"/>
        </w:rPr>
        <w:t> </w:t>
      </w:r>
      <w:r>
        <w:rPr/>
        <w:t>representa</w:t>
      </w:r>
      <w:r>
        <w:rPr>
          <w:spacing w:val="-7"/>
        </w:rPr>
        <w:t> </w:t>
      </w:r>
      <w:r>
        <w:rPr/>
        <w:t>además</w:t>
      </w:r>
      <w:r>
        <w:rPr>
          <w:spacing w:val="-7"/>
        </w:rPr>
        <w:t> </w:t>
      </w:r>
      <w:r>
        <w:rPr/>
        <w:t>una</w:t>
      </w:r>
      <w:r>
        <w:rPr>
          <w:spacing w:val="-7"/>
        </w:rPr>
        <w:t> </w:t>
      </w:r>
      <w:r>
        <w:rPr/>
        <w:t>fuente</w:t>
      </w:r>
      <w:r>
        <w:rPr>
          <w:spacing w:val="-7"/>
        </w:rPr>
        <w:t> </w:t>
      </w:r>
      <w:r>
        <w:rPr/>
        <w:t>de</w:t>
      </w:r>
      <w:r>
        <w:rPr>
          <w:spacing w:val="-7"/>
        </w:rPr>
        <w:t> </w:t>
      </w:r>
      <w:r>
        <w:rPr/>
        <w:t>energía</w:t>
      </w:r>
      <w:r>
        <w:rPr>
          <w:spacing w:val="-7"/>
        </w:rPr>
        <w:t> </w:t>
      </w:r>
      <w:r>
        <w:rPr/>
        <w:t>renovable.</w:t>
      </w:r>
      <w:r>
        <w:rPr>
          <w:spacing w:val="-7"/>
        </w:rPr>
        <w:t> </w:t>
      </w:r>
      <w:r>
        <w:rPr/>
        <w:t>Las</w:t>
      </w:r>
      <w:r>
        <w:rPr>
          <w:spacing w:val="-7"/>
        </w:rPr>
        <w:t> </w:t>
      </w:r>
      <w:r>
        <w:rPr/>
        <w:t>emisiones</w:t>
      </w:r>
      <w:r>
        <w:rPr>
          <w:spacing w:val="-7"/>
        </w:rPr>
        <w:t> </w:t>
      </w:r>
      <w:r>
        <w:rPr/>
        <w:t>de nitrógeno pueden reducirse mejorando las dietas y el manejo del estiércol (FAO, 2009b:XXII). Del mismo modo, las diferencias en las emisiones de CH</w:t>
      </w:r>
      <w:r>
        <w:rPr>
          <w:position w:val="-2"/>
          <w:sz w:val="16"/>
        </w:rPr>
        <w:t>4 </w:t>
      </w:r>
      <w:r>
        <w:rPr/>
        <w:t>se explican por el manejo de las fincas (calidad de las pasturas consumidas y acceso a suplemento así como también por el número de animales) y la calidad genética de los</w:t>
      </w:r>
      <w:r>
        <w:rPr>
          <w:spacing w:val="-6"/>
        </w:rPr>
        <w:t> </w:t>
      </w:r>
      <w:r>
        <w:rPr/>
        <w:t>animales,</w:t>
      </w:r>
      <w:r>
        <w:rPr>
          <w:spacing w:val="-6"/>
        </w:rPr>
        <w:t> </w:t>
      </w:r>
      <w:r>
        <w:rPr/>
        <w:t>que</w:t>
      </w:r>
      <w:r>
        <w:rPr>
          <w:spacing w:val="-6"/>
        </w:rPr>
        <w:t> </w:t>
      </w:r>
      <w:r>
        <w:rPr/>
        <w:t>en</w:t>
      </w:r>
      <w:r>
        <w:rPr>
          <w:spacing w:val="-6"/>
        </w:rPr>
        <w:t> </w:t>
      </w:r>
      <w:r>
        <w:rPr/>
        <w:t>combinación</w:t>
      </w:r>
      <w:r>
        <w:rPr>
          <w:spacing w:val="-6"/>
        </w:rPr>
        <w:t> </w:t>
      </w:r>
      <w:r>
        <w:rPr/>
        <w:t>con</w:t>
      </w:r>
      <w:r>
        <w:rPr>
          <w:spacing w:val="-6"/>
        </w:rPr>
        <w:t> </w:t>
      </w:r>
      <w:r>
        <w:rPr/>
        <w:t>la</w:t>
      </w:r>
      <w:r>
        <w:rPr>
          <w:spacing w:val="-6"/>
        </w:rPr>
        <w:t> </w:t>
      </w:r>
      <w:r>
        <w:rPr/>
        <w:t>calidad</w:t>
      </w:r>
      <w:r>
        <w:rPr>
          <w:spacing w:val="-6"/>
        </w:rPr>
        <w:t> </w:t>
      </w:r>
      <w:r>
        <w:rPr/>
        <w:t>de</w:t>
      </w:r>
      <w:r>
        <w:rPr>
          <w:spacing w:val="-6"/>
        </w:rPr>
        <w:t> </w:t>
      </w:r>
      <w:r>
        <w:rPr/>
        <w:t>la</w:t>
      </w:r>
      <w:r>
        <w:rPr>
          <w:spacing w:val="-6"/>
        </w:rPr>
        <w:t> </w:t>
      </w:r>
      <w:r>
        <w:rPr/>
        <w:t>dieta,</w:t>
      </w:r>
      <w:r>
        <w:rPr>
          <w:spacing w:val="-6"/>
        </w:rPr>
        <w:t> </w:t>
      </w:r>
      <w:r>
        <w:rPr/>
        <w:t>afecta</w:t>
      </w:r>
      <w:r>
        <w:rPr>
          <w:spacing w:val="-6"/>
        </w:rPr>
        <w:t> </w:t>
      </w:r>
      <w:r>
        <w:rPr/>
        <w:t>la</w:t>
      </w:r>
      <w:r>
        <w:rPr>
          <w:spacing w:val="-6"/>
        </w:rPr>
        <w:t> </w:t>
      </w:r>
      <w:r>
        <w:rPr/>
        <w:t>proporción</w:t>
      </w:r>
      <w:r>
        <w:rPr>
          <w:spacing w:val="-6"/>
        </w:rPr>
        <w:t> </w:t>
      </w:r>
      <w:r>
        <w:rPr/>
        <w:t>de alimento que es transformado en este gas. Además, es posible mediante la modificación</w:t>
      </w:r>
      <w:r>
        <w:rPr>
          <w:spacing w:val="-17"/>
        </w:rPr>
        <w:t> </w:t>
      </w:r>
      <w:r>
        <w:rPr/>
        <w:t>del</w:t>
      </w:r>
      <w:r>
        <w:rPr>
          <w:spacing w:val="-17"/>
        </w:rPr>
        <w:t> </w:t>
      </w:r>
      <w:r>
        <w:rPr/>
        <w:t>manejo</w:t>
      </w:r>
      <w:r>
        <w:rPr>
          <w:spacing w:val="-17"/>
        </w:rPr>
        <w:t> </w:t>
      </w:r>
      <w:r>
        <w:rPr/>
        <w:t>de</w:t>
      </w:r>
      <w:r>
        <w:rPr>
          <w:spacing w:val="-17"/>
        </w:rPr>
        <w:t> </w:t>
      </w:r>
      <w:r>
        <w:rPr/>
        <w:t>las</w:t>
      </w:r>
      <w:r>
        <w:rPr>
          <w:spacing w:val="-17"/>
        </w:rPr>
        <w:t> </w:t>
      </w:r>
      <w:r>
        <w:rPr/>
        <w:t>pasturas</w:t>
      </w:r>
      <w:r>
        <w:rPr>
          <w:spacing w:val="-17"/>
        </w:rPr>
        <w:t> </w:t>
      </w:r>
      <w:r>
        <w:rPr/>
        <w:t>disminuir,</w:t>
      </w:r>
      <w:r>
        <w:rPr>
          <w:spacing w:val="-17"/>
        </w:rPr>
        <w:t> </w:t>
      </w:r>
      <w:r>
        <w:rPr/>
        <w:t>los</w:t>
      </w:r>
      <w:r>
        <w:rPr>
          <w:spacing w:val="-17"/>
        </w:rPr>
        <w:t> </w:t>
      </w:r>
      <w:r>
        <w:rPr/>
        <w:t>niveles</w:t>
      </w:r>
      <w:r>
        <w:rPr>
          <w:spacing w:val="-17"/>
        </w:rPr>
        <w:t> </w:t>
      </w:r>
      <w:r>
        <w:rPr/>
        <w:t>de</w:t>
      </w:r>
      <w:r>
        <w:rPr>
          <w:spacing w:val="-17"/>
        </w:rPr>
        <w:t> </w:t>
      </w:r>
      <w:r>
        <w:rPr/>
        <w:t>emisión</w:t>
      </w:r>
      <w:r>
        <w:rPr>
          <w:spacing w:val="-17"/>
        </w:rPr>
        <w:t> </w:t>
      </w:r>
      <w:r>
        <w:rPr/>
        <w:t>del</w:t>
      </w:r>
      <w:r>
        <w:rPr>
          <w:spacing w:val="-17"/>
        </w:rPr>
        <w:t> </w:t>
      </w:r>
      <w:r>
        <w:rPr/>
        <w:t>metano en las explotaciones bovinas, independientemente de la zona ecológica donde estas se localicen (Montenegro y Abarca,</w:t>
      </w:r>
      <w:r>
        <w:rPr>
          <w:spacing w:val="-1"/>
        </w:rPr>
        <w:t> </w:t>
      </w:r>
      <w:r>
        <w:rPr/>
        <w:t>2002b:21-22).</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La FAO, (2009b:1007) en su obra </w:t>
      </w:r>
      <w:r>
        <w:rPr>
          <w:i/>
        </w:rPr>
        <w:t>La Larga Sombra del Ganado</w:t>
      </w:r>
      <w:r>
        <w:rPr/>
        <w:t>, indica que los niveles de emisión de metano están determinados por los sistemas de producción y las características regionales. En el nivel de emisiones influye la ingesta de energía</w:t>
      </w:r>
      <w:r>
        <w:rPr>
          <w:spacing w:val="-6"/>
        </w:rPr>
        <w:t> </w:t>
      </w:r>
      <w:r>
        <w:rPr/>
        <w:t>y</w:t>
      </w:r>
      <w:r>
        <w:rPr>
          <w:spacing w:val="-6"/>
        </w:rPr>
        <w:t> </w:t>
      </w:r>
      <w:r>
        <w:rPr/>
        <w:t>otros</w:t>
      </w:r>
      <w:r>
        <w:rPr>
          <w:spacing w:val="-6"/>
        </w:rPr>
        <w:t> </w:t>
      </w:r>
      <w:r>
        <w:rPr/>
        <w:t>factores</w:t>
      </w:r>
      <w:r>
        <w:rPr>
          <w:spacing w:val="-6"/>
        </w:rPr>
        <w:t> </w:t>
      </w:r>
      <w:r>
        <w:rPr/>
        <w:t>relacionados</w:t>
      </w:r>
      <w:r>
        <w:rPr>
          <w:spacing w:val="-6"/>
        </w:rPr>
        <w:t> </w:t>
      </w:r>
      <w:r>
        <w:rPr/>
        <w:t>con</w:t>
      </w:r>
      <w:r>
        <w:rPr>
          <w:spacing w:val="-6"/>
        </w:rPr>
        <w:t> </w:t>
      </w:r>
      <w:r>
        <w:rPr/>
        <w:t>la</w:t>
      </w:r>
      <w:r>
        <w:rPr>
          <w:spacing w:val="-6"/>
        </w:rPr>
        <w:t> </w:t>
      </w:r>
      <w:r>
        <w:rPr/>
        <w:t>dieta</w:t>
      </w:r>
      <w:r>
        <w:rPr>
          <w:spacing w:val="-6"/>
        </w:rPr>
        <w:t> </w:t>
      </w:r>
      <w:r>
        <w:rPr/>
        <w:t>y</w:t>
      </w:r>
      <w:r>
        <w:rPr>
          <w:spacing w:val="-6"/>
        </w:rPr>
        <w:t> </w:t>
      </w:r>
      <w:r>
        <w:rPr/>
        <w:t>el</w:t>
      </w:r>
      <w:r>
        <w:rPr>
          <w:spacing w:val="-6"/>
        </w:rPr>
        <w:t> </w:t>
      </w:r>
      <w:r>
        <w:rPr/>
        <w:t>animal</w:t>
      </w:r>
      <w:r>
        <w:rPr>
          <w:spacing w:val="-6"/>
        </w:rPr>
        <w:t> </w:t>
      </w:r>
      <w:r>
        <w:rPr/>
        <w:t>(cantidad</w:t>
      </w:r>
      <w:r>
        <w:rPr>
          <w:spacing w:val="-6"/>
        </w:rPr>
        <w:t> </w:t>
      </w:r>
      <w:r>
        <w:rPr/>
        <w:t>y</w:t>
      </w:r>
      <w:r>
        <w:rPr>
          <w:spacing w:val="-6"/>
        </w:rPr>
        <w:t> </w:t>
      </w:r>
      <w:r>
        <w:rPr/>
        <w:t>calidad</w:t>
      </w:r>
      <w:r>
        <w:rPr>
          <w:spacing w:val="-6"/>
        </w:rPr>
        <w:t> </w:t>
      </w:r>
      <w:r>
        <w:rPr/>
        <w:t>del alimento, peso vivo del animal, edad y cantidad de ejercicio). Hay también variaciones entre las especies animales y entre individuos de la misma especie. Esta es la razón por la cual una evaluación de las emisiones de metano en un determinado país necesita una descripción detallada de la población ganadera (especies, edad y categorías de productividad), así como información completa sobre el consumo diario de alimento y la tasa de conversión de metano de los alimentos (directrices revisadas del IPCC). Dado que la información de que disponen</w:t>
      </w:r>
      <w:r>
        <w:rPr>
          <w:spacing w:val="-6"/>
        </w:rPr>
        <w:t> </w:t>
      </w:r>
      <w:r>
        <w:rPr/>
        <w:t>muchos</w:t>
      </w:r>
      <w:r>
        <w:rPr>
          <w:spacing w:val="-6"/>
        </w:rPr>
        <w:t> </w:t>
      </w:r>
      <w:r>
        <w:rPr/>
        <w:t>países</w:t>
      </w:r>
      <w:r>
        <w:rPr>
          <w:spacing w:val="-6"/>
        </w:rPr>
        <w:t> </w:t>
      </w:r>
      <w:r>
        <w:rPr/>
        <w:t>no</w:t>
      </w:r>
      <w:r>
        <w:rPr>
          <w:spacing w:val="-6"/>
        </w:rPr>
        <w:t> </w:t>
      </w:r>
      <w:r>
        <w:rPr/>
        <w:t>posee</w:t>
      </w:r>
      <w:r>
        <w:rPr>
          <w:spacing w:val="-6"/>
        </w:rPr>
        <w:t> </w:t>
      </w:r>
      <w:r>
        <w:rPr/>
        <w:t>este</w:t>
      </w:r>
      <w:r>
        <w:rPr>
          <w:spacing w:val="-6"/>
        </w:rPr>
        <w:t> </w:t>
      </w:r>
      <w:r>
        <w:rPr/>
        <w:t>nivel</w:t>
      </w:r>
      <w:r>
        <w:rPr>
          <w:spacing w:val="-6"/>
        </w:rPr>
        <w:t> </w:t>
      </w:r>
      <w:r>
        <w:rPr/>
        <w:t>de</w:t>
      </w:r>
      <w:r>
        <w:rPr>
          <w:spacing w:val="-6"/>
        </w:rPr>
        <w:t> </w:t>
      </w:r>
      <w:r>
        <w:rPr/>
        <w:t>detalle,</w:t>
      </w:r>
      <w:r>
        <w:rPr>
          <w:spacing w:val="-6"/>
        </w:rPr>
        <w:t> </w:t>
      </w:r>
      <w:r>
        <w:rPr/>
        <w:t>en</w:t>
      </w:r>
      <w:r>
        <w:rPr>
          <w:spacing w:val="-6"/>
        </w:rPr>
        <w:t> </w:t>
      </w:r>
      <w:r>
        <w:rPr/>
        <w:t>el</w:t>
      </w:r>
      <w:r>
        <w:rPr>
          <w:spacing w:val="-6"/>
        </w:rPr>
        <w:t> </w:t>
      </w:r>
      <w:r>
        <w:rPr/>
        <w:t>informe</w:t>
      </w:r>
      <w:r>
        <w:rPr>
          <w:spacing w:val="-6"/>
        </w:rPr>
        <w:t> </w:t>
      </w:r>
      <w:r>
        <w:rPr/>
        <w:t>de</w:t>
      </w:r>
      <w:r>
        <w:rPr>
          <w:spacing w:val="-6"/>
        </w:rPr>
        <w:t> </w:t>
      </w:r>
      <w:r>
        <w:rPr/>
        <w:t>emisiones suele utilizarse un enfoque basado en los factores de emisión estándar.</w:t>
      </w:r>
    </w:p>
    <w:p>
      <w:pPr>
        <w:pStyle w:val="BodyText"/>
        <w:spacing w:line="357" w:lineRule="auto" w:before="127"/>
        <w:ind w:left="276" w:right="143"/>
        <w:jc w:val="both"/>
      </w:pPr>
      <w:r>
        <w:rPr/>
        <w:t>Las emisiones de metano procedentes del estiércol del ganado están influidas por diversos factores que afectan al crecimiento de las bacterias responsables de la formación de metano, entre los que cabe destacar la temperatura ambiental, la humedad</w:t>
      </w:r>
      <w:r>
        <w:rPr>
          <w:spacing w:val="-16"/>
        </w:rPr>
        <w:t> </w:t>
      </w:r>
      <w:r>
        <w:rPr/>
        <w:t>y</w:t>
      </w:r>
      <w:r>
        <w:rPr>
          <w:spacing w:val="-16"/>
        </w:rPr>
        <w:t> </w:t>
      </w:r>
      <w:r>
        <w:rPr/>
        <w:t>el</w:t>
      </w:r>
      <w:r>
        <w:rPr>
          <w:spacing w:val="-16"/>
        </w:rPr>
        <w:t> </w:t>
      </w:r>
      <w:r>
        <w:rPr/>
        <w:t>tiempo</w:t>
      </w:r>
      <w:r>
        <w:rPr>
          <w:spacing w:val="-16"/>
        </w:rPr>
        <w:t> </w:t>
      </w:r>
      <w:r>
        <w:rPr/>
        <w:t>de</w:t>
      </w:r>
      <w:r>
        <w:rPr>
          <w:spacing w:val="-16"/>
        </w:rPr>
        <w:t> </w:t>
      </w:r>
      <w:r>
        <w:rPr/>
        <w:t>almacenamiento.</w:t>
      </w:r>
      <w:r>
        <w:rPr>
          <w:spacing w:val="-16"/>
        </w:rPr>
        <w:t> </w:t>
      </w:r>
      <w:r>
        <w:rPr/>
        <w:t>La</w:t>
      </w:r>
      <w:r>
        <w:rPr>
          <w:spacing w:val="-16"/>
        </w:rPr>
        <w:t> </w:t>
      </w:r>
      <w:r>
        <w:rPr/>
        <w:t>cantidad</w:t>
      </w:r>
      <w:r>
        <w:rPr>
          <w:spacing w:val="-16"/>
        </w:rPr>
        <w:t> </w:t>
      </w:r>
      <w:r>
        <w:rPr/>
        <w:t>de</w:t>
      </w:r>
      <w:r>
        <w:rPr>
          <w:spacing w:val="-16"/>
        </w:rPr>
        <w:t> </w:t>
      </w:r>
      <w:r>
        <w:rPr/>
        <w:t>metano</w:t>
      </w:r>
      <w:r>
        <w:rPr>
          <w:spacing w:val="-16"/>
        </w:rPr>
        <w:t> </w:t>
      </w:r>
      <w:r>
        <w:rPr/>
        <w:t>producida</w:t>
      </w:r>
      <w:r>
        <w:rPr>
          <w:spacing w:val="-16"/>
        </w:rPr>
        <w:t> </w:t>
      </w:r>
      <w:r>
        <w:rPr/>
        <w:t>también depende del contenido de energía del estiércol, el cual está determinado en gran medida por la dieta del ganado. Mayores cantidades de estiércol generan mayores cantidades de metano, si bien hay que tener también en cuenta que los alimentos con contenidos energéticos más altos producen un estiércol con más sólidos volátiles, lo que incrementa el sustrato a partir del cual se produce el CH</w:t>
      </w:r>
      <w:r>
        <w:rPr>
          <w:position w:val="-2"/>
          <w:sz w:val="16"/>
        </w:rPr>
        <w:t>4</w:t>
      </w:r>
      <w:r>
        <w:rPr/>
        <w:t>. Sin embargo, este impacto queda compensado hasta cierto punto por la posibilidad de lograr alimentos más digeribles y, por consiguiente, un menor desperdicio de energía (FAO, 2009b:109).</w:t>
      </w:r>
    </w:p>
    <w:p>
      <w:pPr>
        <w:pStyle w:val="BodyText"/>
      </w:pPr>
    </w:p>
    <w:p>
      <w:pPr>
        <w:pStyle w:val="BodyText"/>
        <w:spacing w:before="7"/>
        <w:rPr>
          <w:sz w:val="33"/>
        </w:rPr>
      </w:pPr>
    </w:p>
    <w:p>
      <w:pPr>
        <w:pStyle w:val="Heading6"/>
      </w:pPr>
      <w:r>
        <w:rPr/>
        <w:t>Mitigación de los GEI en el sector agropecuario</w:t>
      </w:r>
    </w:p>
    <w:p>
      <w:pPr>
        <w:pStyle w:val="BodyText"/>
        <w:spacing w:line="360" w:lineRule="auto" w:before="137"/>
        <w:ind w:left="276" w:right="143"/>
        <w:jc w:val="both"/>
      </w:pPr>
      <w:r>
        <w:rPr/>
        <w:t>El ganado puede desempeñar una función importante tanto en la adaptación al cambio climático como en la mitigación de sus efectos sobre el bienestar de los</w:t>
      </w:r>
    </w:p>
    <w:p>
      <w:pPr>
        <w:spacing w:after="0" w:line="360" w:lineRule="auto"/>
        <w:jc w:val="both"/>
        <w:sectPr>
          <w:footerReference w:type="default" r:id="rId158"/>
          <w:pgSz w:w="12240" w:h="15840"/>
          <w:pgMar w:footer="739" w:header="741" w:top="1220" w:bottom="920" w:left="1720" w:right="1260"/>
        </w:sectPr>
      </w:pPr>
    </w:p>
    <w:p>
      <w:pPr>
        <w:pStyle w:val="BodyText"/>
        <w:spacing w:before="4"/>
        <w:rPr>
          <w:sz w:val="11"/>
        </w:rPr>
      </w:pPr>
    </w:p>
    <w:p>
      <w:pPr>
        <w:pStyle w:val="BodyText"/>
        <w:spacing w:line="362" w:lineRule="auto" w:before="69"/>
        <w:ind w:left="276" w:right="143"/>
        <w:jc w:val="both"/>
      </w:pPr>
      <w:r>
        <w:rPr/>
        <w:t>seres humanos. Los esfuerzos por mitigar los efectos del ganado en el cambio climático se centran en la reducción de sus emisiones de GEI (FAO, 2009c:79).</w:t>
      </w:r>
    </w:p>
    <w:p>
      <w:pPr>
        <w:pStyle w:val="BodyText"/>
        <w:spacing w:line="360" w:lineRule="auto" w:before="120"/>
        <w:ind w:left="276" w:right="143"/>
        <w:jc w:val="both"/>
      </w:pPr>
      <w:r>
        <w:rPr/>
        <w:t>El ganado, es una fuente de metano, el cual es producido por la fermentación entérica y a través de la fermentación anaeróbica del estiércol. Las emisiones de</w:t>
      </w:r>
      <w:r>
        <w:rPr>
          <w:spacing w:val="-26"/>
        </w:rPr>
        <w:t> </w:t>
      </w:r>
      <w:r>
        <w:rPr/>
        <w:t>la fermentación entérica dependen de la edad del animal, peso, dieta, producción de leche,</w:t>
      </w:r>
      <w:r>
        <w:rPr>
          <w:spacing w:val="-13"/>
        </w:rPr>
        <w:t> </w:t>
      </w:r>
      <w:r>
        <w:rPr/>
        <w:t>digestibilidad</w:t>
      </w:r>
      <w:r>
        <w:rPr>
          <w:spacing w:val="-13"/>
        </w:rPr>
        <w:t> </w:t>
      </w:r>
      <w:r>
        <w:rPr/>
        <w:t>del</w:t>
      </w:r>
      <w:r>
        <w:rPr>
          <w:spacing w:val="-13"/>
        </w:rPr>
        <w:t> </w:t>
      </w:r>
      <w:r>
        <w:rPr/>
        <w:t>alimento,</w:t>
      </w:r>
      <w:r>
        <w:rPr>
          <w:spacing w:val="-13"/>
        </w:rPr>
        <w:t> </w:t>
      </w:r>
      <w:r>
        <w:rPr/>
        <w:t>ingesta</w:t>
      </w:r>
      <w:r>
        <w:rPr>
          <w:spacing w:val="-13"/>
        </w:rPr>
        <w:t> </w:t>
      </w:r>
      <w:r>
        <w:rPr/>
        <w:t>energética,</w:t>
      </w:r>
      <w:r>
        <w:rPr>
          <w:spacing w:val="-13"/>
        </w:rPr>
        <w:t> </w:t>
      </w:r>
      <w:r>
        <w:rPr/>
        <w:t>entre</w:t>
      </w:r>
      <w:r>
        <w:rPr>
          <w:spacing w:val="-13"/>
        </w:rPr>
        <w:t> </w:t>
      </w:r>
      <w:r>
        <w:rPr/>
        <w:t>los</w:t>
      </w:r>
      <w:r>
        <w:rPr>
          <w:spacing w:val="-13"/>
        </w:rPr>
        <w:t> </w:t>
      </w:r>
      <w:r>
        <w:rPr/>
        <w:t>más</w:t>
      </w:r>
      <w:r>
        <w:rPr>
          <w:spacing w:val="-13"/>
        </w:rPr>
        <w:t> </w:t>
      </w:r>
      <w:r>
        <w:rPr/>
        <w:t>importantes.</w:t>
      </w:r>
      <w:r>
        <w:rPr>
          <w:spacing w:val="-13"/>
        </w:rPr>
        <w:t> </w:t>
      </w:r>
      <w:r>
        <w:rPr/>
        <w:t>Las emisiones del estiércol dependen de la cantidad y contenido energético del alimento, de la humedad, temperatura y de los sistemas de</w:t>
      </w:r>
      <w:r>
        <w:rPr>
          <w:spacing w:val="-1"/>
        </w:rPr>
        <w:t> </w:t>
      </w:r>
      <w:r>
        <w:rPr/>
        <w:t>manejo.</w:t>
      </w:r>
    </w:p>
    <w:p>
      <w:pPr>
        <w:pStyle w:val="BodyText"/>
        <w:spacing w:line="360" w:lineRule="auto" w:before="122"/>
        <w:ind w:left="276" w:right="143"/>
        <w:jc w:val="both"/>
      </w:pPr>
      <w:r>
        <w:rPr/>
        <w:t>El área de forraje requerida por animal depende del tipo de suelo, el clima, la disponibilidad del agua y el manejo del alimento. Un factor que determina la producción de metano es la productividad del animal; las emisiones de metano se reducen con el incremento de su productividad. Las opciones de mitigación se basan en 1) el mejoramiento de la alimentación del ganado, 2) la producción de leche,</w:t>
      </w:r>
      <w:r>
        <w:rPr>
          <w:spacing w:val="-7"/>
        </w:rPr>
        <w:t> </w:t>
      </w:r>
      <w:r>
        <w:rPr/>
        <w:t>3)</w:t>
      </w:r>
      <w:r>
        <w:rPr>
          <w:spacing w:val="-7"/>
        </w:rPr>
        <w:t> </w:t>
      </w:r>
      <w:r>
        <w:rPr/>
        <w:t>la</w:t>
      </w:r>
      <w:r>
        <w:rPr>
          <w:spacing w:val="-7"/>
        </w:rPr>
        <w:t> </w:t>
      </w:r>
      <w:r>
        <w:rPr/>
        <w:t>adición</w:t>
      </w:r>
      <w:r>
        <w:rPr>
          <w:spacing w:val="-7"/>
        </w:rPr>
        <w:t> </w:t>
      </w:r>
      <w:r>
        <w:rPr/>
        <w:t>de</w:t>
      </w:r>
      <w:r>
        <w:rPr>
          <w:spacing w:val="-7"/>
        </w:rPr>
        <w:t> </w:t>
      </w:r>
      <w:r>
        <w:rPr/>
        <w:t>agentes</w:t>
      </w:r>
      <w:r>
        <w:rPr>
          <w:spacing w:val="-7"/>
        </w:rPr>
        <w:t> </w:t>
      </w:r>
      <w:r>
        <w:rPr/>
        <w:t>para</w:t>
      </w:r>
      <w:r>
        <w:rPr>
          <w:spacing w:val="-7"/>
        </w:rPr>
        <w:t> </w:t>
      </w:r>
      <w:r>
        <w:rPr/>
        <w:t>evitar</w:t>
      </w:r>
      <w:r>
        <w:rPr>
          <w:spacing w:val="-7"/>
        </w:rPr>
        <w:t> </w:t>
      </w:r>
      <w:r>
        <w:rPr/>
        <w:t>parásitos</w:t>
      </w:r>
      <w:r>
        <w:rPr>
          <w:spacing w:val="-7"/>
        </w:rPr>
        <w:t> </w:t>
      </w:r>
      <w:r>
        <w:rPr/>
        <w:t>en</w:t>
      </w:r>
      <w:r>
        <w:rPr>
          <w:spacing w:val="-7"/>
        </w:rPr>
        <w:t> </w:t>
      </w:r>
      <w:r>
        <w:rPr/>
        <w:t>el</w:t>
      </w:r>
      <w:r>
        <w:rPr>
          <w:spacing w:val="-7"/>
        </w:rPr>
        <w:t> </w:t>
      </w:r>
      <w:r>
        <w:rPr/>
        <w:t>alimento</w:t>
      </w:r>
      <w:r>
        <w:rPr>
          <w:spacing w:val="-7"/>
        </w:rPr>
        <w:t> </w:t>
      </w:r>
      <w:r>
        <w:rPr/>
        <w:t>y</w:t>
      </w:r>
      <w:r>
        <w:rPr>
          <w:spacing w:val="-7"/>
        </w:rPr>
        <w:t> </w:t>
      </w:r>
      <w:r>
        <w:rPr/>
        <w:t>4)</w:t>
      </w:r>
      <w:r>
        <w:rPr>
          <w:spacing w:val="-7"/>
        </w:rPr>
        <w:t> </w:t>
      </w:r>
      <w:r>
        <w:rPr/>
        <w:t>la</w:t>
      </w:r>
      <w:r>
        <w:rPr>
          <w:spacing w:val="-7"/>
        </w:rPr>
        <w:t> </w:t>
      </w:r>
      <w:r>
        <w:rPr/>
        <w:t>adición</w:t>
      </w:r>
      <w:r>
        <w:rPr>
          <w:spacing w:val="-7"/>
        </w:rPr>
        <w:t> </w:t>
      </w:r>
      <w:r>
        <w:rPr/>
        <w:t>de complementos al alimento (INE-SEMARNAT,</w:t>
      </w:r>
      <w:r>
        <w:rPr>
          <w:spacing w:val="-3"/>
        </w:rPr>
        <w:t> </w:t>
      </w:r>
      <w:r>
        <w:rPr/>
        <w:t>2009b:33-34)</w:t>
      </w:r>
    </w:p>
    <w:p>
      <w:pPr>
        <w:pStyle w:val="BodyText"/>
        <w:spacing w:line="360" w:lineRule="auto" w:before="122"/>
        <w:ind w:left="276" w:right="143"/>
        <w:jc w:val="both"/>
      </w:pPr>
      <w:r>
        <w:rPr/>
        <w:t>Por otra parte, la reducción del metano generado en el sistema digestivo de los animales, especialmente los rumiantes, puede reducirse mediante el empleo de aditivos para alimentos, antibióticos o vacunas (FAO, 2009c:78). Actualmente la vacuna</w:t>
      </w:r>
      <w:r>
        <w:rPr>
          <w:spacing w:val="-8"/>
        </w:rPr>
        <w:t> </w:t>
      </w:r>
      <w:r>
        <w:rPr/>
        <w:t>antimetanogénica</w:t>
      </w:r>
      <w:r>
        <w:rPr>
          <w:spacing w:val="-8"/>
        </w:rPr>
        <w:t> </w:t>
      </w:r>
      <w:r>
        <w:rPr/>
        <w:t>no</w:t>
      </w:r>
      <w:r>
        <w:rPr>
          <w:spacing w:val="-8"/>
        </w:rPr>
        <w:t> </w:t>
      </w:r>
      <w:r>
        <w:rPr/>
        <w:t>está</w:t>
      </w:r>
      <w:r>
        <w:rPr>
          <w:spacing w:val="-8"/>
        </w:rPr>
        <w:t> </w:t>
      </w:r>
      <w:r>
        <w:rPr/>
        <w:t>lista</w:t>
      </w:r>
      <w:r>
        <w:rPr>
          <w:spacing w:val="-8"/>
        </w:rPr>
        <w:t> </w:t>
      </w:r>
      <w:r>
        <w:rPr/>
        <w:t>para</w:t>
      </w:r>
      <w:r>
        <w:rPr>
          <w:spacing w:val="-8"/>
        </w:rPr>
        <w:t> </w:t>
      </w:r>
      <w:r>
        <w:rPr/>
        <w:t>comercializarse,</w:t>
      </w:r>
      <w:r>
        <w:rPr>
          <w:spacing w:val="-8"/>
        </w:rPr>
        <w:t> </w:t>
      </w:r>
      <w:r>
        <w:rPr/>
        <w:t>sin</w:t>
      </w:r>
      <w:r>
        <w:rPr>
          <w:spacing w:val="-8"/>
        </w:rPr>
        <w:t> </w:t>
      </w:r>
      <w:r>
        <w:rPr/>
        <w:t>embargo</w:t>
      </w:r>
      <w:r>
        <w:rPr>
          <w:spacing w:val="-8"/>
        </w:rPr>
        <w:t> </w:t>
      </w:r>
      <w:r>
        <w:rPr/>
        <w:t>se</w:t>
      </w:r>
      <w:r>
        <w:rPr>
          <w:spacing w:val="-8"/>
        </w:rPr>
        <w:t> </w:t>
      </w:r>
      <w:r>
        <w:rPr/>
        <w:t>estima que</w:t>
      </w:r>
      <w:r>
        <w:rPr>
          <w:spacing w:val="-5"/>
        </w:rPr>
        <w:t> </w:t>
      </w:r>
      <w:r>
        <w:rPr/>
        <w:t>para</w:t>
      </w:r>
      <w:r>
        <w:rPr>
          <w:spacing w:val="-5"/>
        </w:rPr>
        <w:t> </w:t>
      </w:r>
      <w:r>
        <w:rPr/>
        <w:t>2020</w:t>
      </w:r>
      <w:r>
        <w:rPr>
          <w:spacing w:val="-5"/>
        </w:rPr>
        <w:t> </w:t>
      </w:r>
      <w:r>
        <w:rPr/>
        <w:t>pueda</w:t>
      </w:r>
      <w:r>
        <w:rPr>
          <w:spacing w:val="-5"/>
        </w:rPr>
        <w:t> </w:t>
      </w:r>
      <w:r>
        <w:rPr/>
        <w:t>ser</w:t>
      </w:r>
      <w:r>
        <w:rPr>
          <w:spacing w:val="-5"/>
        </w:rPr>
        <w:t> </w:t>
      </w:r>
      <w:r>
        <w:rPr/>
        <w:t>aplicada</w:t>
      </w:r>
      <w:r>
        <w:rPr>
          <w:spacing w:val="-5"/>
        </w:rPr>
        <w:t> </w:t>
      </w:r>
      <w:r>
        <w:rPr/>
        <w:t>al</w:t>
      </w:r>
      <w:r>
        <w:rPr>
          <w:spacing w:val="-5"/>
        </w:rPr>
        <w:t> </w:t>
      </w:r>
      <w:r>
        <w:rPr/>
        <w:t>50%</w:t>
      </w:r>
      <w:r>
        <w:rPr>
          <w:spacing w:val="-5"/>
        </w:rPr>
        <w:t> </w:t>
      </w:r>
      <w:r>
        <w:rPr/>
        <w:t>del</w:t>
      </w:r>
      <w:r>
        <w:rPr>
          <w:spacing w:val="-5"/>
        </w:rPr>
        <w:t> </w:t>
      </w:r>
      <w:r>
        <w:rPr/>
        <w:t>ganado</w:t>
      </w:r>
      <w:r>
        <w:rPr>
          <w:spacing w:val="-5"/>
        </w:rPr>
        <w:t> </w:t>
      </w:r>
      <w:r>
        <w:rPr/>
        <w:t>en</w:t>
      </w:r>
      <w:r>
        <w:rPr>
          <w:spacing w:val="-5"/>
        </w:rPr>
        <w:t> </w:t>
      </w:r>
      <w:r>
        <w:rPr/>
        <w:t>México</w:t>
      </w:r>
      <w:r>
        <w:rPr>
          <w:spacing w:val="-5"/>
        </w:rPr>
        <w:t> </w:t>
      </w:r>
      <w:r>
        <w:rPr/>
        <w:t>(INE-SEMARNAT, 2010:105).</w:t>
      </w:r>
    </w:p>
    <w:p>
      <w:pPr>
        <w:pStyle w:val="BodyText"/>
        <w:spacing w:line="360" w:lineRule="auto" w:before="127"/>
        <w:ind w:left="276" w:right="143"/>
        <w:jc w:val="both"/>
      </w:pPr>
      <w:r>
        <w:rPr/>
        <w:t>La ecuación: recursos exhaustos/crisis energética/crisis económica/cambio climático,</w:t>
      </w:r>
      <w:r>
        <w:rPr>
          <w:spacing w:val="-13"/>
        </w:rPr>
        <w:t> </w:t>
      </w:r>
      <w:r>
        <w:rPr/>
        <w:t>es</w:t>
      </w:r>
      <w:r>
        <w:rPr>
          <w:spacing w:val="-13"/>
        </w:rPr>
        <w:t> </w:t>
      </w:r>
      <w:r>
        <w:rPr/>
        <w:t>muy</w:t>
      </w:r>
      <w:r>
        <w:rPr>
          <w:spacing w:val="-13"/>
        </w:rPr>
        <w:t> </w:t>
      </w:r>
      <w:r>
        <w:rPr/>
        <w:t>delicada.</w:t>
      </w:r>
      <w:r>
        <w:rPr>
          <w:spacing w:val="-13"/>
        </w:rPr>
        <w:t> </w:t>
      </w:r>
      <w:r>
        <w:rPr/>
        <w:t>Abordar</w:t>
      </w:r>
      <w:r>
        <w:rPr>
          <w:spacing w:val="-13"/>
        </w:rPr>
        <w:t> </w:t>
      </w:r>
      <w:r>
        <w:rPr/>
        <w:t>los</w:t>
      </w:r>
      <w:r>
        <w:rPr>
          <w:spacing w:val="-13"/>
        </w:rPr>
        <w:t> </w:t>
      </w:r>
      <w:r>
        <w:rPr/>
        <w:t>desafíos</w:t>
      </w:r>
      <w:r>
        <w:rPr>
          <w:spacing w:val="-13"/>
        </w:rPr>
        <w:t> </w:t>
      </w:r>
      <w:r>
        <w:rPr/>
        <w:t>interrelacionados</w:t>
      </w:r>
      <w:r>
        <w:rPr>
          <w:spacing w:val="-13"/>
        </w:rPr>
        <w:t> </w:t>
      </w:r>
      <w:r>
        <w:rPr/>
        <w:t>de</w:t>
      </w:r>
      <w:r>
        <w:rPr>
          <w:spacing w:val="-13"/>
        </w:rPr>
        <w:t> </w:t>
      </w:r>
      <w:r>
        <w:rPr/>
        <w:t>la</w:t>
      </w:r>
      <w:r>
        <w:rPr>
          <w:spacing w:val="-13"/>
        </w:rPr>
        <w:t> </w:t>
      </w:r>
      <w:r>
        <w:rPr/>
        <w:t>competición por los recursos alimentarios y energéticos –cada vez más escasos y caros–, y el embate del cambio climático con su implicancia socioeconómica y energética, será uno de los mayores problemas a los que se enfrente la humanidad en el</w:t>
      </w:r>
      <w:r>
        <w:rPr>
          <w:spacing w:val="-44"/>
        </w:rPr>
        <w:t> </w:t>
      </w:r>
      <w:r>
        <w:rPr/>
        <w:t>transcurso de este siglo XXI (Yáñez-Arancibia et. al.,</w:t>
      </w:r>
      <w:r>
        <w:rPr>
          <w:spacing w:val="-1"/>
        </w:rPr>
        <w:t> </w:t>
      </w:r>
      <w:r>
        <w:rPr/>
        <w:t>2010:75).</w:t>
      </w:r>
    </w:p>
    <w:p>
      <w:pPr>
        <w:spacing w:after="0" w:line="360" w:lineRule="auto"/>
        <w:jc w:val="both"/>
        <w:sectPr>
          <w:footerReference w:type="default" r:id="rId159"/>
          <w:pgSz w:w="12240" w:h="15840"/>
          <w:pgMar w:footer="739" w:header="741" w:top="1220" w:bottom="920" w:left="1720" w:right="1260"/>
          <w:pgNumType w:start="91"/>
        </w:sectPr>
      </w:pPr>
    </w:p>
    <w:p>
      <w:pPr>
        <w:pStyle w:val="BodyText"/>
        <w:spacing w:before="4"/>
        <w:rPr>
          <w:sz w:val="11"/>
        </w:rPr>
      </w:pPr>
    </w:p>
    <w:p>
      <w:pPr>
        <w:pStyle w:val="Heading6"/>
        <w:spacing w:before="69"/>
      </w:pPr>
      <w:r>
        <w:rPr/>
        <w:t>Conclusiones</w:t>
      </w:r>
    </w:p>
    <w:p>
      <w:pPr>
        <w:pStyle w:val="BodyText"/>
        <w:spacing w:line="357" w:lineRule="auto" w:before="141"/>
        <w:ind w:left="276" w:right="143"/>
        <w:jc w:val="both"/>
      </w:pPr>
      <w:r>
        <w:rPr/>
        <w:t>Como se ha expuesto anteriormente, el calentamiento global causado por el efecto invernadero es un fenómeno complejo, multifactorial; dentro del cual la producción agropecuaria</w:t>
      </w:r>
      <w:r>
        <w:rPr>
          <w:spacing w:val="-6"/>
        </w:rPr>
        <w:t> </w:t>
      </w:r>
      <w:r>
        <w:rPr/>
        <w:t>juega</w:t>
      </w:r>
      <w:r>
        <w:rPr>
          <w:spacing w:val="-6"/>
        </w:rPr>
        <w:t> </w:t>
      </w:r>
      <w:r>
        <w:rPr/>
        <w:t>un</w:t>
      </w:r>
      <w:r>
        <w:rPr>
          <w:spacing w:val="-6"/>
        </w:rPr>
        <w:t> </w:t>
      </w:r>
      <w:r>
        <w:rPr/>
        <w:t>papel</w:t>
      </w:r>
      <w:r>
        <w:rPr>
          <w:spacing w:val="-6"/>
        </w:rPr>
        <w:t> </w:t>
      </w:r>
      <w:r>
        <w:rPr/>
        <w:t>importante,</w:t>
      </w:r>
      <w:r>
        <w:rPr>
          <w:spacing w:val="-6"/>
        </w:rPr>
        <w:t> </w:t>
      </w:r>
      <w:r>
        <w:rPr/>
        <w:t>debido</w:t>
      </w:r>
      <w:r>
        <w:rPr>
          <w:spacing w:val="-6"/>
        </w:rPr>
        <w:t> </w:t>
      </w:r>
      <w:r>
        <w:rPr/>
        <w:t>a</w:t>
      </w:r>
      <w:r>
        <w:rPr>
          <w:spacing w:val="-6"/>
        </w:rPr>
        <w:t> </w:t>
      </w:r>
      <w:r>
        <w:rPr/>
        <w:t>su</w:t>
      </w:r>
      <w:r>
        <w:rPr>
          <w:spacing w:val="-6"/>
        </w:rPr>
        <w:t> </w:t>
      </w:r>
      <w:r>
        <w:rPr/>
        <w:t>alto</w:t>
      </w:r>
      <w:r>
        <w:rPr>
          <w:spacing w:val="-6"/>
        </w:rPr>
        <w:t> </w:t>
      </w:r>
      <w:r>
        <w:rPr/>
        <w:t>aporte</w:t>
      </w:r>
      <w:r>
        <w:rPr>
          <w:spacing w:val="-6"/>
        </w:rPr>
        <w:t> </w:t>
      </w:r>
      <w:r>
        <w:rPr/>
        <w:t>de</w:t>
      </w:r>
      <w:r>
        <w:rPr>
          <w:spacing w:val="-6"/>
        </w:rPr>
        <w:t> </w:t>
      </w:r>
      <w:r>
        <w:rPr/>
        <w:t>gases</w:t>
      </w:r>
      <w:r>
        <w:rPr>
          <w:spacing w:val="-6"/>
        </w:rPr>
        <w:t> </w:t>
      </w:r>
      <w:r>
        <w:rPr/>
        <w:t>de</w:t>
      </w:r>
      <w:r>
        <w:rPr>
          <w:spacing w:val="-6"/>
        </w:rPr>
        <w:t> </w:t>
      </w:r>
      <w:r>
        <w:rPr/>
        <w:t>efecto invernadero, en México es la tercera fuente más importante de emisiones de CH</w:t>
      </w:r>
      <w:r>
        <w:rPr>
          <w:position w:val="-2"/>
          <w:sz w:val="16"/>
        </w:rPr>
        <w:t>4</w:t>
      </w:r>
      <w:r>
        <w:rPr/>
        <w:t>, por lo que este sector tiene una indudable importancia, tanto para el estudio y conocimiento de este fenómeno, como para la generación de propuestas para enfrentar el grave problema que implica para el ser humano.</w:t>
      </w:r>
    </w:p>
    <w:p>
      <w:pPr>
        <w:pStyle w:val="BodyText"/>
        <w:spacing w:line="360" w:lineRule="auto" w:before="125"/>
        <w:ind w:left="276" w:right="143"/>
        <w:jc w:val="both"/>
      </w:pPr>
      <w:r>
        <w:rPr/>
        <w:t>Es abundante la bibliografía que desde las distintas perspectivas se aproximan al conocimiento del cambio climático. Sin embargo, resulta evidente que en la</w:t>
      </w:r>
      <w:r>
        <w:rPr>
          <w:spacing w:val="-44"/>
        </w:rPr>
        <w:t> </w:t>
      </w:r>
      <w:r>
        <w:rPr/>
        <w:t>medida que</w:t>
      </w:r>
      <w:r>
        <w:rPr>
          <w:spacing w:val="-5"/>
        </w:rPr>
        <w:t> </w:t>
      </w:r>
      <w:r>
        <w:rPr/>
        <w:t>estos</w:t>
      </w:r>
      <w:r>
        <w:rPr>
          <w:spacing w:val="-5"/>
        </w:rPr>
        <w:t> </w:t>
      </w:r>
      <w:r>
        <w:rPr/>
        <w:t>estudios</w:t>
      </w:r>
      <w:r>
        <w:rPr>
          <w:spacing w:val="-5"/>
        </w:rPr>
        <w:t> </w:t>
      </w:r>
      <w:r>
        <w:rPr/>
        <w:t>no</w:t>
      </w:r>
      <w:r>
        <w:rPr>
          <w:spacing w:val="-5"/>
        </w:rPr>
        <w:t> </w:t>
      </w:r>
      <w:r>
        <w:rPr/>
        <w:t>integran</w:t>
      </w:r>
      <w:r>
        <w:rPr>
          <w:spacing w:val="-5"/>
        </w:rPr>
        <w:t> </w:t>
      </w:r>
      <w:r>
        <w:rPr/>
        <w:t>los</w:t>
      </w:r>
      <w:r>
        <w:rPr>
          <w:spacing w:val="-5"/>
        </w:rPr>
        <w:t> </w:t>
      </w:r>
      <w:r>
        <w:rPr/>
        <w:t>aspectos</w:t>
      </w:r>
      <w:r>
        <w:rPr>
          <w:spacing w:val="-5"/>
        </w:rPr>
        <w:t> </w:t>
      </w:r>
      <w:r>
        <w:rPr/>
        <w:t>económicos,</w:t>
      </w:r>
      <w:r>
        <w:rPr>
          <w:spacing w:val="-5"/>
        </w:rPr>
        <w:t> </w:t>
      </w:r>
      <w:r>
        <w:rPr/>
        <w:t>la</w:t>
      </w:r>
      <w:r>
        <w:rPr>
          <w:spacing w:val="-5"/>
        </w:rPr>
        <w:t> </w:t>
      </w:r>
      <w:r>
        <w:rPr/>
        <w:t>traducción</w:t>
      </w:r>
      <w:r>
        <w:rPr>
          <w:spacing w:val="-5"/>
        </w:rPr>
        <w:t> </w:t>
      </w:r>
      <w:r>
        <w:rPr/>
        <w:t>del</w:t>
      </w:r>
      <w:r>
        <w:rPr>
          <w:spacing w:val="-5"/>
        </w:rPr>
        <w:t> </w:t>
      </w:r>
      <w:r>
        <w:rPr/>
        <w:t>esfuerzo de la investigación se diluye y no se traduce en políticas adecuadas para atajar las causas y atenuar las consecuencias que se pronostican en relación con este fenómeno. Es importante realizar trabajos en donde se enfatice la importancia de una evaluación económica integrada sobre el cambio climático en el sector agropecuario.</w:t>
      </w:r>
    </w:p>
    <w:p>
      <w:pPr>
        <w:pStyle w:val="BodyText"/>
        <w:spacing w:line="360" w:lineRule="auto" w:before="122"/>
        <w:ind w:left="276" w:right="143"/>
        <w:jc w:val="both"/>
      </w:pPr>
      <w:r>
        <w:rPr/>
        <w:t>Por último, el ritmo proyectado del calentamiento global en la actualidad no tiene precedentes en la historia del hombre, el significado económico para una región concreta</w:t>
      </w:r>
      <w:r>
        <w:rPr>
          <w:spacing w:val="-16"/>
        </w:rPr>
        <w:t> </w:t>
      </w:r>
      <w:r>
        <w:rPr/>
        <w:t>resulta</w:t>
      </w:r>
      <w:r>
        <w:rPr>
          <w:spacing w:val="-16"/>
        </w:rPr>
        <w:t> </w:t>
      </w:r>
      <w:r>
        <w:rPr/>
        <w:t>difícil</w:t>
      </w:r>
      <w:r>
        <w:rPr>
          <w:spacing w:val="-16"/>
        </w:rPr>
        <w:t> </w:t>
      </w:r>
      <w:r>
        <w:rPr/>
        <w:t>de</w:t>
      </w:r>
      <w:r>
        <w:rPr>
          <w:spacing w:val="-16"/>
        </w:rPr>
        <w:t> </w:t>
      </w:r>
      <w:r>
        <w:rPr/>
        <w:t>precisar.</w:t>
      </w:r>
      <w:r>
        <w:rPr>
          <w:spacing w:val="-16"/>
        </w:rPr>
        <w:t> </w:t>
      </w:r>
      <w:r>
        <w:rPr/>
        <w:t>Sin</w:t>
      </w:r>
      <w:r>
        <w:rPr>
          <w:spacing w:val="-16"/>
        </w:rPr>
        <w:t> </w:t>
      </w:r>
      <w:r>
        <w:rPr/>
        <w:t>embargo</w:t>
      </w:r>
      <w:r>
        <w:rPr>
          <w:spacing w:val="-16"/>
        </w:rPr>
        <w:t> </w:t>
      </w:r>
      <w:r>
        <w:rPr/>
        <w:t>está</w:t>
      </w:r>
      <w:r>
        <w:rPr>
          <w:spacing w:val="-16"/>
        </w:rPr>
        <w:t> </w:t>
      </w:r>
      <w:r>
        <w:rPr/>
        <w:t>claro</w:t>
      </w:r>
      <w:r>
        <w:rPr>
          <w:spacing w:val="-16"/>
        </w:rPr>
        <w:t> </w:t>
      </w:r>
      <w:r>
        <w:rPr/>
        <w:t>que,</w:t>
      </w:r>
      <w:r>
        <w:rPr>
          <w:spacing w:val="-16"/>
        </w:rPr>
        <w:t> </w:t>
      </w:r>
      <w:r>
        <w:rPr/>
        <w:t>si</w:t>
      </w:r>
      <w:r>
        <w:rPr>
          <w:spacing w:val="-16"/>
        </w:rPr>
        <w:t> </w:t>
      </w:r>
      <w:r>
        <w:rPr/>
        <w:t>el</w:t>
      </w:r>
      <w:r>
        <w:rPr>
          <w:spacing w:val="-16"/>
        </w:rPr>
        <w:t> </w:t>
      </w:r>
      <w:r>
        <w:rPr/>
        <w:t>cambio</w:t>
      </w:r>
      <w:r>
        <w:rPr>
          <w:spacing w:val="-16"/>
        </w:rPr>
        <w:t> </w:t>
      </w:r>
      <w:r>
        <w:rPr/>
        <w:t>climático es lo suficientemente rápido, este podría desbordar la capacidad de adaptación de una zona como lo han mencionado los científicos en los diferentes paneles de discusión sobre el tema.</w:t>
      </w:r>
    </w:p>
    <w:p>
      <w:pPr>
        <w:pStyle w:val="BodyText"/>
      </w:pPr>
    </w:p>
    <w:p>
      <w:pPr>
        <w:pStyle w:val="BodyText"/>
        <w:rPr>
          <w:sz w:val="33"/>
        </w:rPr>
      </w:pPr>
    </w:p>
    <w:p>
      <w:pPr>
        <w:pStyle w:val="Heading6"/>
      </w:pPr>
      <w:r>
        <w:rPr/>
        <w:t>Bibliografía</w:t>
      </w:r>
    </w:p>
    <w:p>
      <w:pPr>
        <w:pStyle w:val="BodyText"/>
        <w:tabs>
          <w:tab w:pos="2277" w:val="left" w:leader="none"/>
          <w:tab w:pos="3884" w:val="left" w:leader="none"/>
          <w:tab w:pos="6425" w:val="left" w:leader="none"/>
          <w:tab w:pos="8780" w:val="left" w:leader="none"/>
        </w:tabs>
        <w:spacing w:line="360" w:lineRule="auto" w:before="137"/>
        <w:ind w:left="843" w:right="143" w:hanging="567"/>
        <w:jc w:val="both"/>
      </w:pPr>
      <w:r>
        <w:rPr>
          <w:b/>
        </w:rPr>
        <w:t>Berra,</w:t>
      </w:r>
      <w:r>
        <w:rPr>
          <w:b/>
          <w:spacing w:val="-5"/>
        </w:rPr>
        <w:t> </w:t>
      </w:r>
      <w:r>
        <w:rPr>
          <w:b/>
        </w:rPr>
        <w:t>G</w:t>
      </w:r>
      <w:r>
        <w:rPr>
          <w:b/>
          <w:spacing w:val="-5"/>
        </w:rPr>
        <w:t> </w:t>
      </w:r>
      <w:r>
        <w:rPr>
          <w:b/>
        </w:rPr>
        <w:t>y</w:t>
      </w:r>
      <w:r>
        <w:rPr>
          <w:b/>
          <w:spacing w:val="-5"/>
        </w:rPr>
        <w:t> </w:t>
      </w:r>
      <w:r>
        <w:rPr>
          <w:b/>
        </w:rPr>
        <w:t>L.</w:t>
      </w:r>
      <w:r>
        <w:rPr>
          <w:b/>
          <w:spacing w:val="-5"/>
        </w:rPr>
        <w:t> </w:t>
      </w:r>
      <w:r>
        <w:rPr>
          <w:b/>
        </w:rPr>
        <w:t>Finster.</w:t>
      </w:r>
      <w:r>
        <w:rPr>
          <w:b/>
          <w:spacing w:val="-5"/>
        </w:rPr>
        <w:t> </w:t>
      </w:r>
      <w:r>
        <w:rPr>
          <w:b/>
        </w:rPr>
        <w:t>2002.</w:t>
      </w:r>
      <w:r>
        <w:rPr>
          <w:b/>
          <w:spacing w:val="-6"/>
        </w:rPr>
        <w:t> </w:t>
      </w:r>
      <w:r>
        <w:rPr/>
        <w:t>Emisiones</w:t>
      </w:r>
      <w:r>
        <w:rPr>
          <w:spacing w:val="-5"/>
        </w:rPr>
        <w:t> </w:t>
      </w:r>
      <w:r>
        <w:rPr/>
        <w:t>de</w:t>
      </w:r>
      <w:r>
        <w:rPr>
          <w:spacing w:val="-5"/>
        </w:rPr>
        <w:t> </w:t>
      </w:r>
      <w:r>
        <w:rPr/>
        <w:t>Gases</w:t>
      </w:r>
      <w:r>
        <w:rPr>
          <w:spacing w:val="-5"/>
        </w:rPr>
        <w:t> </w:t>
      </w:r>
      <w:r>
        <w:rPr/>
        <w:t>de</w:t>
      </w:r>
      <w:r>
        <w:rPr>
          <w:spacing w:val="-5"/>
        </w:rPr>
        <w:t> </w:t>
      </w:r>
      <w:r>
        <w:rPr/>
        <w:t>Efecto</w:t>
      </w:r>
      <w:r>
        <w:rPr>
          <w:spacing w:val="-5"/>
        </w:rPr>
        <w:t> </w:t>
      </w:r>
      <w:r>
        <w:rPr/>
        <w:t>Invernadero;</w:t>
      </w:r>
      <w:r>
        <w:rPr>
          <w:spacing w:val="-5"/>
        </w:rPr>
        <w:t> </w:t>
      </w:r>
      <w:r>
        <w:rPr/>
        <w:t>Influencia de</w:t>
      </w:r>
      <w:r>
        <w:rPr>
          <w:spacing w:val="-10"/>
        </w:rPr>
        <w:t> </w:t>
      </w:r>
      <w:r>
        <w:rPr/>
        <w:t>la</w:t>
      </w:r>
      <w:r>
        <w:rPr>
          <w:spacing w:val="-10"/>
        </w:rPr>
        <w:t> </w:t>
      </w:r>
      <w:r>
        <w:rPr/>
        <w:t>ganadería</w:t>
      </w:r>
      <w:r>
        <w:rPr>
          <w:spacing w:val="-10"/>
        </w:rPr>
        <w:t> </w:t>
      </w:r>
      <w:r>
        <w:rPr/>
        <w:t>argentina.</w:t>
      </w:r>
      <w:r>
        <w:rPr>
          <w:spacing w:val="-10"/>
        </w:rPr>
        <w:t> </w:t>
      </w:r>
      <w:r>
        <w:rPr/>
        <w:t>Cadena</w:t>
      </w:r>
      <w:r>
        <w:rPr>
          <w:spacing w:val="-10"/>
        </w:rPr>
        <w:t> </w:t>
      </w:r>
      <w:r>
        <w:rPr/>
        <w:t>de</w:t>
      </w:r>
      <w:r>
        <w:rPr>
          <w:spacing w:val="-10"/>
        </w:rPr>
        <w:t> </w:t>
      </w:r>
      <w:r>
        <w:rPr/>
        <w:t>la</w:t>
      </w:r>
      <w:r>
        <w:rPr>
          <w:spacing w:val="-10"/>
        </w:rPr>
        <w:t> </w:t>
      </w:r>
      <w:r>
        <w:rPr/>
        <w:t>Carne</w:t>
      </w:r>
      <w:r>
        <w:rPr>
          <w:spacing w:val="-10"/>
        </w:rPr>
        <w:t> </w:t>
      </w:r>
      <w:r>
        <w:rPr/>
        <w:t>Vacuna.</w:t>
      </w:r>
      <w:r>
        <w:rPr>
          <w:spacing w:val="-10"/>
        </w:rPr>
        <w:t> </w:t>
      </w:r>
      <w:r>
        <w:rPr/>
        <w:t>Revista</w:t>
      </w:r>
      <w:r>
        <w:rPr>
          <w:spacing w:val="-10"/>
        </w:rPr>
        <w:t> </w:t>
      </w:r>
      <w:r>
        <w:rPr/>
        <w:t>IDIA</w:t>
      </w:r>
      <w:r>
        <w:rPr>
          <w:spacing w:val="-10"/>
        </w:rPr>
        <w:t> </w:t>
      </w:r>
      <w:r>
        <w:rPr/>
        <w:t>XXI,</w:t>
      </w:r>
      <w:r>
        <w:rPr>
          <w:spacing w:val="-10"/>
        </w:rPr>
        <w:t> </w:t>
      </w:r>
      <w:r>
        <w:rPr/>
        <w:t>Año II,</w:t>
        <w:tab/>
        <w:t>No.</w:t>
        <w:tab/>
        <w:t>(2):212-215.</w:t>
        <w:tab/>
        <w:t>Disponible</w:t>
        <w:tab/>
        <w:t>en: </w:t>
      </w:r>
      <w:hyperlink r:id="rId160">
        <w:r>
          <w:rPr>
            <w:color w:val="0000FF"/>
            <w:u w:val="single" w:color="0000FF"/>
          </w:rPr>
          <w:t>http://www.inta.gov.ar/ediciones/idia/carne/carne03.pdf</w:t>
        </w:r>
        <w:r>
          <w:rPr/>
          <w:t>.</w:t>
        </w:r>
      </w:hyperlink>
    </w:p>
    <w:p>
      <w:pPr>
        <w:pStyle w:val="BodyText"/>
        <w:spacing w:line="360" w:lineRule="auto" w:before="122"/>
        <w:ind w:left="843" w:hanging="567"/>
      </w:pPr>
      <w:r>
        <w:rPr>
          <w:b/>
        </w:rPr>
        <w:t>Blas, C. </w:t>
      </w:r>
      <w:r>
        <w:rPr>
          <w:b/>
          <w:i/>
        </w:rPr>
        <w:t>et al. </w:t>
      </w:r>
      <w:r>
        <w:rPr>
          <w:b/>
        </w:rPr>
        <w:t>2008. </w:t>
      </w:r>
      <w:r>
        <w:rPr/>
        <w:t>Contribución de los rumiantes a las emisiones de gases con efecto invernadero. XXIV Curso de especialización FEDNA. Madrid,  España.</w:t>
      </w:r>
    </w:p>
    <w:p>
      <w:pPr>
        <w:spacing w:after="0" w:line="360" w:lineRule="auto"/>
        <w:sectPr>
          <w:pgSz w:w="12240" w:h="15840"/>
          <w:pgMar w:header="741" w:footer="739" w:top="1220" w:bottom="920" w:left="1720" w:right="1260"/>
        </w:sectPr>
      </w:pPr>
    </w:p>
    <w:p>
      <w:pPr>
        <w:pStyle w:val="BodyText"/>
        <w:spacing w:before="4"/>
        <w:rPr>
          <w:sz w:val="11"/>
        </w:rPr>
      </w:pPr>
    </w:p>
    <w:p>
      <w:pPr>
        <w:pStyle w:val="BodyText"/>
        <w:tabs>
          <w:tab w:pos="1950" w:val="left" w:leader="none"/>
          <w:tab w:pos="3671" w:val="left" w:leader="none"/>
          <w:tab w:pos="5565" w:val="left" w:leader="none"/>
          <w:tab w:pos="6672" w:val="left" w:leader="none"/>
        </w:tabs>
        <w:spacing w:line="362" w:lineRule="auto" w:before="69"/>
        <w:ind w:left="843" w:right="144"/>
      </w:pPr>
      <w:r>
        <w:rPr/>
        <w:t>pp.</w:t>
        <w:tab/>
        <w:t>121-151.</w:t>
        <w:tab/>
        <w:t>Disponible</w:t>
        <w:tab/>
        <w:t>en:</w:t>
        <w:tab/>
        <w:t>http://www.produccion- animal.com.ar/sustentabilidad/89-gases.pdf.</w:t>
      </w:r>
    </w:p>
    <w:p>
      <w:pPr>
        <w:pStyle w:val="BodyText"/>
        <w:spacing w:line="360" w:lineRule="auto" w:before="120"/>
        <w:ind w:left="843" w:right="143" w:hanging="567"/>
        <w:jc w:val="both"/>
      </w:pPr>
      <w:r>
        <w:rPr>
          <w:b/>
        </w:rPr>
        <w:t>Carmona </w:t>
      </w:r>
      <w:r>
        <w:rPr>
          <w:b/>
          <w:i/>
        </w:rPr>
        <w:t>et al. </w:t>
      </w:r>
      <w:r>
        <w:rPr>
          <w:b/>
        </w:rPr>
        <w:t>2005. </w:t>
      </w:r>
      <w:r>
        <w:rPr/>
        <w:t>El gas metano en la producción ganadera y alternativas</w:t>
      </w:r>
      <w:r>
        <w:rPr>
          <w:spacing w:val="-32"/>
        </w:rPr>
        <w:t> </w:t>
      </w:r>
      <w:r>
        <w:rPr/>
        <w:t>para medir sus emisiones y aminorar su impacto a nivel ambiental y productivo. Rev. Col. Cienc. Pec. 2005; Vol. 18:1;</w:t>
      </w:r>
      <w:r>
        <w:rPr>
          <w:spacing w:val="-1"/>
        </w:rPr>
        <w:t> </w:t>
      </w:r>
      <w:r>
        <w:rPr/>
        <w:t>49-63.</w:t>
      </w:r>
    </w:p>
    <w:p>
      <w:pPr>
        <w:pStyle w:val="BodyText"/>
        <w:spacing w:line="360" w:lineRule="auto" w:before="127"/>
        <w:ind w:left="843" w:right="144" w:hanging="567"/>
        <w:jc w:val="both"/>
      </w:pPr>
      <w:r>
        <w:rPr>
          <w:b/>
        </w:rPr>
        <w:t>FAO, 2009. </w:t>
      </w:r>
      <w:r>
        <w:rPr/>
        <w:t>Food Security and Agricultural Mitigation in Developing Countries: Options for Capturing Synergies. Roma, Italia. pp. 84.</w:t>
      </w:r>
    </w:p>
    <w:p>
      <w:pPr>
        <w:pStyle w:val="BodyText"/>
        <w:spacing w:line="360" w:lineRule="auto" w:before="122"/>
        <w:ind w:left="843" w:right="145" w:hanging="567"/>
        <w:jc w:val="both"/>
      </w:pPr>
      <w:r>
        <w:rPr>
          <w:b/>
        </w:rPr>
        <w:t>FAO, 2009b. </w:t>
      </w:r>
      <w:r>
        <w:rPr/>
        <w:t>La Larga Sombra del Ganado: Problemas ambientales y opciones. Organización de las Naciones Unidas Para la Agricultura y la Alimentación. Roma, Italia. pp. 464.</w:t>
      </w:r>
    </w:p>
    <w:p>
      <w:pPr>
        <w:pStyle w:val="BodyText"/>
        <w:spacing w:line="360" w:lineRule="auto" w:before="122"/>
        <w:ind w:left="843" w:right="143" w:hanging="567"/>
        <w:jc w:val="both"/>
      </w:pPr>
      <w:r>
        <w:rPr>
          <w:b/>
        </w:rPr>
        <w:t>FAO, 2009c. </w:t>
      </w:r>
      <w:r>
        <w:rPr/>
        <w:t>El estado mundial de la agricultura y la alimentación. La ganadería a examen. Organización de las Naciones Unidas para la Agricultura y la Alimentación. Roma, Italia. pp. 184.</w:t>
      </w:r>
    </w:p>
    <w:p>
      <w:pPr>
        <w:pStyle w:val="BodyText"/>
        <w:tabs>
          <w:tab w:pos="2110" w:val="left" w:leader="none"/>
          <w:tab w:pos="3297" w:val="left" w:leader="none"/>
          <w:tab w:pos="4951" w:val="left" w:leader="none"/>
          <w:tab w:pos="6659" w:val="left" w:leader="none"/>
          <w:tab w:pos="8780" w:val="left" w:leader="none"/>
        </w:tabs>
        <w:spacing w:line="360" w:lineRule="auto" w:before="127"/>
        <w:ind w:left="843" w:right="144" w:hanging="567"/>
        <w:jc w:val="both"/>
      </w:pPr>
      <w:r>
        <w:rPr>
          <w:b/>
        </w:rPr>
        <w:t>FAO,</w:t>
      </w:r>
      <w:r>
        <w:rPr>
          <w:b/>
          <w:spacing w:val="-9"/>
        </w:rPr>
        <w:t> </w:t>
      </w:r>
      <w:r>
        <w:rPr>
          <w:b/>
        </w:rPr>
        <w:t>2010.</w:t>
      </w:r>
      <w:r>
        <w:rPr>
          <w:b/>
          <w:spacing w:val="-8"/>
        </w:rPr>
        <w:t> </w:t>
      </w:r>
      <w:r>
        <w:rPr/>
        <w:t>Un</w:t>
      </w:r>
      <w:r>
        <w:rPr>
          <w:spacing w:val="-9"/>
        </w:rPr>
        <w:t> </w:t>
      </w:r>
      <w:r>
        <w:rPr/>
        <w:t>nuevo</w:t>
      </w:r>
      <w:r>
        <w:rPr>
          <w:spacing w:val="-9"/>
        </w:rPr>
        <w:t> </w:t>
      </w:r>
      <w:r>
        <w:rPr/>
        <w:t>informe</w:t>
      </w:r>
      <w:r>
        <w:rPr>
          <w:spacing w:val="-9"/>
        </w:rPr>
        <w:t> </w:t>
      </w:r>
      <w:r>
        <w:rPr/>
        <w:t>evalúa</w:t>
      </w:r>
      <w:r>
        <w:rPr>
          <w:spacing w:val="-9"/>
        </w:rPr>
        <w:t> </w:t>
      </w:r>
      <w:r>
        <w:rPr/>
        <w:t>las</w:t>
      </w:r>
      <w:r>
        <w:rPr>
          <w:spacing w:val="-9"/>
        </w:rPr>
        <w:t> </w:t>
      </w:r>
      <w:r>
        <w:rPr/>
        <w:t>emisiones</w:t>
      </w:r>
      <w:r>
        <w:rPr>
          <w:spacing w:val="-9"/>
        </w:rPr>
        <w:t> </w:t>
      </w:r>
      <w:r>
        <w:rPr/>
        <w:t>de</w:t>
      </w:r>
      <w:r>
        <w:rPr>
          <w:spacing w:val="-9"/>
        </w:rPr>
        <w:t> </w:t>
      </w:r>
      <w:r>
        <w:rPr/>
        <w:t>gases</w:t>
      </w:r>
      <w:r>
        <w:rPr>
          <w:spacing w:val="-9"/>
        </w:rPr>
        <w:t> </w:t>
      </w:r>
      <w:r>
        <w:rPr/>
        <w:t>de</w:t>
      </w:r>
      <w:r>
        <w:rPr>
          <w:spacing w:val="-9"/>
        </w:rPr>
        <w:t> </w:t>
      </w:r>
      <w:r>
        <w:rPr/>
        <w:t>efecto</w:t>
      </w:r>
      <w:r>
        <w:rPr>
          <w:spacing w:val="-9"/>
        </w:rPr>
        <w:t> </w:t>
      </w:r>
      <w:r>
        <w:rPr/>
        <w:t>invernadero en</w:t>
        <w:tab/>
        <w:t>el</w:t>
        <w:tab/>
        <w:t>sector</w:t>
        <w:tab/>
        <w:t>lácteo.</w:t>
        <w:tab/>
        <w:t>Disponible</w:t>
        <w:tab/>
        <w:t>en: </w:t>
      </w:r>
      <w:hyperlink r:id="rId161">
        <w:r>
          <w:rPr>
            <w:color w:val="0000FF"/>
            <w:u w:val="single" w:color="0000FF"/>
          </w:rPr>
          <w:t>http://www.fao.org/news/story/es/item/41353/icode/</w:t>
        </w:r>
        <w:r>
          <w:rPr/>
          <w:t>.</w:t>
        </w:r>
      </w:hyperlink>
    </w:p>
    <w:p>
      <w:pPr>
        <w:pStyle w:val="BodyText"/>
        <w:tabs>
          <w:tab w:pos="3173" w:val="left" w:leader="none"/>
          <w:tab w:pos="6023" w:val="left" w:leader="none"/>
          <w:tab w:pos="8780" w:val="left" w:leader="none"/>
        </w:tabs>
        <w:spacing w:line="360" w:lineRule="auto" w:before="122"/>
        <w:ind w:left="843" w:right="144" w:hanging="567"/>
        <w:jc w:val="both"/>
      </w:pPr>
      <w:r>
        <w:rPr>
          <w:b/>
        </w:rPr>
        <w:t>INEGI. 2005. </w:t>
      </w:r>
      <w:r>
        <w:rPr/>
        <w:t>Inventario Nacional de Gases de Efecto Invernadero 2005. Parte 4; Sector</w:t>
        <w:tab/>
        <w:t>Agricultura.</w:t>
        <w:tab/>
        <w:t>Disponible</w:t>
        <w:tab/>
        <w:t>en: </w:t>
      </w:r>
      <w:hyperlink r:id="rId162">
        <w:r>
          <w:rPr>
            <w:color w:val="0000FF"/>
            <w:u w:val="single" w:color="0000FF"/>
          </w:rPr>
          <w:t>http://www.ine.gob.mx/descargas/cclimatico/inegei_2002_agricultura.pdf</w:t>
        </w:r>
        <w:r>
          <w:rPr/>
          <w:t>.</w:t>
        </w:r>
      </w:hyperlink>
    </w:p>
    <w:p>
      <w:pPr>
        <w:pStyle w:val="BodyText"/>
        <w:spacing w:line="360" w:lineRule="auto" w:before="122"/>
        <w:ind w:left="843" w:right="144" w:hanging="567"/>
        <w:jc w:val="both"/>
      </w:pPr>
      <w:r>
        <w:rPr>
          <w:b/>
        </w:rPr>
        <w:t>INE-SEMARNAT. 2006. </w:t>
      </w:r>
      <w:r>
        <w:rPr/>
        <w:t>Inventario Nacional de Emisiones de Gases de Efecto Invernadero 1990-2002. pp. 258.</w:t>
      </w:r>
    </w:p>
    <w:p>
      <w:pPr>
        <w:pStyle w:val="BodyText"/>
        <w:spacing w:line="360" w:lineRule="auto" w:before="127"/>
        <w:ind w:left="843" w:right="143" w:hanging="567"/>
        <w:jc w:val="both"/>
      </w:pPr>
      <w:r>
        <w:rPr>
          <w:b/>
        </w:rPr>
        <w:t>INE-SEMARNAT.</w:t>
      </w:r>
      <w:r>
        <w:rPr>
          <w:b/>
          <w:spacing w:val="-8"/>
        </w:rPr>
        <w:t> </w:t>
      </w:r>
      <w:r>
        <w:rPr>
          <w:b/>
        </w:rPr>
        <w:t>2009.</w:t>
      </w:r>
      <w:r>
        <w:rPr>
          <w:b/>
          <w:spacing w:val="-8"/>
        </w:rPr>
        <w:t> </w:t>
      </w:r>
      <w:r>
        <w:rPr/>
        <w:t>México</w:t>
      </w:r>
      <w:r>
        <w:rPr>
          <w:spacing w:val="-8"/>
        </w:rPr>
        <w:t> </w:t>
      </w:r>
      <w:r>
        <w:rPr/>
        <w:t>Cuarta</w:t>
      </w:r>
      <w:r>
        <w:rPr>
          <w:spacing w:val="-8"/>
        </w:rPr>
        <w:t> </w:t>
      </w:r>
      <w:r>
        <w:rPr/>
        <w:t>Comunicación</w:t>
      </w:r>
      <w:r>
        <w:rPr>
          <w:spacing w:val="-8"/>
        </w:rPr>
        <w:t> </w:t>
      </w:r>
      <w:r>
        <w:rPr/>
        <w:t>Nacional</w:t>
      </w:r>
      <w:r>
        <w:rPr>
          <w:spacing w:val="-8"/>
        </w:rPr>
        <w:t> </w:t>
      </w:r>
      <w:r>
        <w:rPr/>
        <w:t>ante</w:t>
      </w:r>
      <w:r>
        <w:rPr>
          <w:spacing w:val="-8"/>
        </w:rPr>
        <w:t> </w:t>
      </w:r>
      <w:r>
        <w:rPr/>
        <w:t>la</w:t>
      </w:r>
      <w:r>
        <w:rPr>
          <w:spacing w:val="-8"/>
        </w:rPr>
        <w:t> </w:t>
      </w:r>
      <w:r>
        <w:rPr/>
        <w:t>Convención Marco de las Naciones Unidas sobre el Cambio Climático. México. Ed. Solar, Servicios Editoriales, S.A. de C.V. pp.</w:t>
      </w:r>
      <w:r>
        <w:rPr>
          <w:spacing w:val="-1"/>
        </w:rPr>
        <w:t> </w:t>
      </w:r>
      <w:r>
        <w:rPr/>
        <w:t>274.</w:t>
      </w:r>
    </w:p>
    <w:p>
      <w:pPr>
        <w:pStyle w:val="BodyText"/>
        <w:spacing w:line="360" w:lineRule="auto" w:before="122"/>
        <w:ind w:left="843" w:right="144" w:hanging="567"/>
        <w:jc w:val="both"/>
      </w:pPr>
      <w:r>
        <w:rPr>
          <w:b/>
        </w:rPr>
        <w:t>INE-SEMARNAT. 2009b. </w:t>
      </w:r>
      <w:r>
        <w:rPr/>
        <w:t>Guía para la elaboración de Programas Estatales de Acción ante el Cambio Climático (PEACC). Instituto Nacional de Ecología, Universidad Veracruzana y Centro de Ciencias de la Atmósfera- UNAM. pp. 90.</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843" w:right="144" w:hanging="567"/>
        <w:jc w:val="both"/>
      </w:pPr>
      <w:r>
        <w:rPr>
          <w:b/>
        </w:rPr>
        <w:t>INE-SEMARNAT. 2010. </w:t>
      </w:r>
      <w:r>
        <w:rPr/>
        <w:t>Potencial de mitigación de gases de efecto invernadero</w:t>
      </w:r>
      <w:r>
        <w:rPr>
          <w:spacing w:val="-42"/>
        </w:rPr>
        <w:t> </w:t>
      </w:r>
      <w:r>
        <w:rPr/>
        <w:t>en México al 2020 en el contexto de la cooperación internacional. Disponible en: </w:t>
      </w:r>
      <w:hyperlink r:id="rId163">
        <w:r>
          <w:rPr/>
          <w:t>http://www2.ine.gob.mx/descargas/cclimatico/Potencial_mitigacion_GEI_Mexi</w:t>
        </w:r>
      </w:hyperlink>
      <w:r>
        <w:rPr/>
        <w:t> co_2020_COP.pdf</w:t>
      </w:r>
    </w:p>
    <w:p>
      <w:pPr>
        <w:pStyle w:val="BodyText"/>
        <w:spacing w:line="360" w:lineRule="auto" w:before="122"/>
        <w:ind w:left="843" w:right="144" w:hanging="567"/>
        <w:jc w:val="both"/>
      </w:pPr>
      <w:r>
        <w:rPr>
          <w:b/>
        </w:rPr>
        <w:t>IPCC, 1996. </w:t>
      </w:r>
      <w:r>
        <w:rPr/>
        <w:t>IPCC Guidelines for National Greenhouse Gas Inventories Intergovernamental Panel on Climate Change. Disponible en:</w:t>
      </w:r>
      <w:r>
        <w:rPr>
          <w:spacing w:val="-22"/>
        </w:rPr>
        <w:t> </w:t>
      </w:r>
      <w:r>
        <w:rPr/>
        <w:t>http://www.ipcc- nggip.iges.or.jp/public/2006gl/index.htm.</w:t>
      </w:r>
    </w:p>
    <w:p>
      <w:pPr>
        <w:pStyle w:val="BodyText"/>
        <w:spacing w:line="360" w:lineRule="auto" w:before="122"/>
        <w:ind w:left="843" w:right="144" w:hanging="567"/>
        <w:jc w:val="both"/>
      </w:pPr>
      <w:r>
        <w:rPr>
          <w:b/>
        </w:rPr>
        <w:t>IPCC. 1997. </w:t>
      </w:r>
      <w:r>
        <w:rPr/>
        <w:t>Revised 1996 IPCC Guidelines for National Greenhouse Gas Inventories, J.T. Houghton </w:t>
      </w:r>
      <w:r>
        <w:rPr>
          <w:i/>
        </w:rPr>
        <w:t>et al</w:t>
      </w:r>
      <w:r>
        <w:rPr/>
        <w:t>., IPCC/OECD/IEA, Paris, France. Disponible en: </w:t>
      </w:r>
      <w:hyperlink r:id="rId164">
        <w:r>
          <w:rPr>
            <w:color w:val="0000FF"/>
            <w:u w:val="single" w:color="0000FF"/>
          </w:rPr>
          <w:t>http://www.ipcc-nggip.iges.or.jp/public/gl/invs1.html</w:t>
        </w:r>
        <w:r>
          <w:rPr/>
          <w:t>.</w:t>
        </w:r>
      </w:hyperlink>
    </w:p>
    <w:p>
      <w:pPr>
        <w:pStyle w:val="BodyText"/>
        <w:spacing w:line="360" w:lineRule="auto" w:before="122"/>
        <w:ind w:left="843" w:right="143" w:hanging="567"/>
        <w:jc w:val="both"/>
      </w:pPr>
      <w:r>
        <w:rPr>
          <w:b/>
        </w:rPr>
        <w:t>IPCC. 2000. </w:t>
      </w:r>
      <w:r>
        <w:rPr/>
        <w:t>Orientación del IPCC sobre las buenas prácticas y la gestión de la incertidumbre en los inventarios nacionales de gases de efecto invernadero. Capítulo 4 Agricultura. Disponible en: http://www.ipcc- nggip.iges.or.jp/public/gp/spanish/gpgaum_es.html.</w:t>
      </w:r>
    </w:p>
    <w:p>
      <w:pPr>
        <w:pStyle w:val="BodyText"/>
        <w:spacing w:line="360" w:lineRule="auto" w:before="122"/>
        <w:ind w:left="843" w:right="144" w:hanging="567"/>
        <w:jc w:val="both"/>
      </w:pPr>
      <w:r>
        <w:rPr>
          <w:b/>
        </w:rPr>
        <w:t>IPCC. 2001. </w:t>
      </w:r>
      <w:r>
        <w:rPr/>
        <w:t>Cambio Climático 2001: Informe de síntesis. Resumen para Responsables de Políticas. Tercer informe de evaluación.</w:t>
      </w:r>
    </w:p>
    <w:p>
      <w:pPr>
        <w:pStyle w:val="BodyText"/>
        <w:spacing w:line="360" w:lineRule="auto" w:before="122"/>
        <w:ind w:left="843" w:right="145" w:hanging="567"/>
        <w:jc w:val="both"/>
      </w:pPr>
      <w:r>
        <w:rPr>
          <w:b/>
        </w:rPr>
        <w:t>IPCC. 2007. </w:t>
      </w:r>
      <w:r>
        <w:rPr/>
        <w:t>Climate Change. The Physical Science Basis. Summary for Policymakers. Contribution of Working Group I to the Fourth Assessment Report of the Intergovernmental Panel on Climate Change. WMO. UNEP. pp. 21.</w:t>
      </w:r>
    </w:p>
    <w:p>
      <w:pPr>
        <w:pStyle w:val="BodyText"/>
        <w:spacing w:line="360" w:lineRule="auto" w:before="122"/>
        <w:ind w:left="843" w:right="144" w:hanging="567"/>
        <w:jc w:val="both"/>
      </w:pPr>
      <w:r>
        <w:rPr>
          <w:b/>
        </w:rPr>
        <w:t>Johnson, K.A., Johnson D. E. 1995. </w:t>
      </w:r>
      <w:r>
        <w:rPr/>
        <w:t>Methane emissions from cattle. J Anim Sci, 1995; 73: 2483-2492. Citado en: </w:t>
      </w:r>
      <w:r>
        <w:rPr>
          <w:b/>
        </w:rPr>
        <w:t>Carmona </w:t>
      </w:r>
      <w:r>
        <w:rPr>
          <w:b/>
          <w:i/>
        </w:rPr>
        <w:t>et al. </w:t>
      </w:r>
      <w:r>
        <w:rPr>
          <w:b/>
        </w:rPr>
        <w:t>2005. </w:t>
      </w:r>
      <w:r>
        <w:rPr/>
        <w:t>El gas metano en la producción ganadera y alternativas para medir sus emisiones y aminorar su impacto a nivel ambiental y productivo. Rev. Col. Cienc. Pec. 2005; Vol. 18:1;49-63.</w:t>
      </w:r>
    </w:p>
    <w:p>
      <w:pPr>
        <w:pStyle w:val="BodyText"/>
        <w:spacing w:line="360" w:lineRule="auto" w:before="122"/>
        <w:ind w:left="843" w:right="145" w:hanging="567"/>
        <w:jc w:val="both"/>
      </w:pPr>
      <w:r>
        <w:rPr>
          <w:b/>
        </w:rPr>
        <w:t>Montenegro J, Abarca S. 2002. </w:t>
      </w:r>
      <w:r>
        <w:rPr/>
        <w:t>Fijación de Carbono, Emisión de Metano y de Óxido Nitroso en Sistemas de Producción Bovina en Costa Rica. Intensificación de la Ganadería en Centroamérica: Beneficios económicos    y</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tabs>
          <w:tab w:pos="3041" w:val="left" w:leader="none"/>
          <w:tab w:pos="4438" w:val="left" w:leader="none"/>
          <w:tab w:pos="6796" w:val="left" w:leader="none"/>
          <w:tab w:pos="7899" w:val="left" w:leader="none"/>
        </w:tabs>
        <w:spacing w:line="362" w:lineRule="auto" w:before="69"/>
        <w:ind w:left="843" w:right="144"/>
      </w:pPr>
      <w:r>
        <w:rPr/>
        <w:t>ambientales.</w:t>
        <w:tab/>
        <w:t>FAO,</w:t>
        <w:tab/>
        <w:t>Departamento</w:t>
        <w:tab/>
        <w:t>de</w:t>
        <w:tab/>
        <w:t>Agricultura. </w:t>
      </w:r>
      <w:hyperlink r:id="rId165">
        <w:r>
          <w:rPr>
            <w:color w:val="0000FF"/>
            <w:u w:val="single" w:color="0000FF"/>
          </w:rPr>
          <w:t>http://www.fao.org/WAIRDOCS/LEAD/x6366s/x6366s10.htm#P0_0</w:t>
        </w:r>
        <w:r>
          <w:rPr/>
          <w:t>.</w:t>
        </w:r>
      </w:hyperlink>
    </w:p>
    <w:p>
      <w:pPr>
        <w:pStyle w:val="BodyText"/>
        <w:spacing w:line="360" w:lineRule="auto" w:before="120"/>
        <w:ind w:left="843" w:right="144" w:hanging="567"/>
        <w:jc w:val="both"/>
      </w:pPr>
      <w:r>
        <w:rPr>
          <w:b/>
        </w:rPr>
        <w:t>Montenegro J, Abarca S. 2002. </w:t>
      </w:r>
      <w:r>
        <w:rPr/>
        <w:t>Los sistemas silvopastoriles y el calentamiento global: un balance de emisiones. Agronomía Costarricense, enero-junio, año/vol</w:t>
      </w:r>
      <w:r>
        <w:rPr>
          <w:spacing w:val="-12"/>
        </w:rPr>
        <w:t> </w:t>
      </w:r>
      <w:r>
        <w:rPr/>
        <w:t>26,</w:t>
      </w:r>
      <w:r>
        <w:rPr>
          <w:spacing w:val="-12"/>
        </w:rPr>
        <w:t> </w:t>
      </w:r>
      <w:r>
        <w:rPr/>
        <w:t>número</w:t>
      </w:r>
      <w:r>
        <w:rPr>
          <w:spacing w:val="-12"/>
        </w:rPr>
        <w:t> </w:t>
      </w:r>
      <w:r>
        <w:rPr/>
        <w:t>001.</w:t>
      </w:r>
      <w:r>
        <w:rPr>
          <w:spacing w:val="-12"/>
        </w:rPr>
        <w:t> </w:t>
      </w:r>
      <w:r>
        <w:rPr/>
        <w:t>Universidad</w:t>
      </w:r>
      <w:r>
        <w:rPr>
          <w:spacing w:val="-12"/>
        </w:rPr>
        <w:t> </w:t>
      </w:r>
      <w:r>
        <w:rPr/>
        <w:t>de</w:t>
      </w:r>
      <w:r>
        <w:rPr>
          <w:spacing w:val="-12"/>
        </w:rPr>
        <w:t> </w:t>
      </w:r>
      <w:r>
        <w:rPr/>
        <w:t>Costa</w:t>
      </w:r>
      <w:r>
        <w:rPr>
          <w:spacing w:val="-12"/>
        </w:rPr>
        <w:t> </w:t>
      </w:r>
      <w:r>
        <w:rPr/>
        <w:t>Rica.</w:t>
      </w:r>
      <w:r>
        <w:rPr>
          <w:spacing w:val="-12"/>
        </w:rPr>
        <w:t> </w:t>
      </w:r>
      <w:r>
        <w:rPr/>
        <w:t>San</w:t>
      </w:r>
      <w:r>
        <w:rPr>
          <w:spacing w:val="-12"/>
        </w:rPr>
        <w:t> </w:t>
      </w:r>
      <w:r>
        <w:rPr/>
        <w:t>José,</w:t>
      </w:r>
      <w:r>
        <w:rPr>
          <w:spacing w:val="-12"/>
        </w:rPr>
        <w:t> </w:t>
      </w:r>
      <w:r>
        <w:rPr/>
        <w:t>Costa</w:t>
      </w:r>
      <w:r>
        <w:rPr>
          <w:spacing w:val="-12"/>
        </w:rPr>
        <w:t> </w:t>
      </w:r>
      <w:r>
        <w:rPr/>
        <w:t>Rica.</w:t>
      </w:r>
      <w:r>
        <w:rPr>
          <w:spacing w:val="-12"/>
        </w:rPr>
        <w:t> </w:t>
      </w:r>
      <w:r>
        <w:rPr/>
        <w:t>pp. 17-24.</w:t>
      </w:r>
    </w:p>
    <w:p>
      <w:pPr>
        <w:spacing w:line="360" w:lineRule="auto" w:before="122"/>
        <w:ind w:left="843" w:right="144" w:hanging="567"/>
        <w:jc w:val="both"/>
        <w:rPr>
          <w:sz w:val="24"/>
        </w:rPr>
      </w:pPr>
      <w:r>
        <w:rPr>
          <w:b/>
          <w:sz w:val="24"/>
        </w:rPr>
        <w:t>Moss, A. R., J. P. Jouany, &amp; C. J. Newbold. 2000. </w:t>
      </w:r>
      <w:r>
        <w:rPr>
          <w:sz w:val="24"/>
        </w:rPr>
        <w:t>Methane production by ruminants: Its contribution to global warming. Ann. Zootech. 43: 231-253.</w:t>
      </w:r>
    </w:p>
    <w:p>
      <w:pPr>
        <w:pStyle w:val="BodyText"/>
        <w:spacing w:line="360" w:lineRule="auto" w:before="122"/>
        <w:ind w:left="843" w:right="144" w:hanging="567"/>
        <w:jc w:val="both"/>
      </w:pPr>
      <w:r>
        <w:rPr>
          <w:b/>
        </w:rPr>
        <w:t>Sanjur, P. C. 2006. </w:t>
      </w:r>
      <w:r>
        <w:rPr/>
        <w:t>Evaluación Temática, Cambio Climático. Proyecto: IMIS: GFL/2328-2740-4775-PMS: GEF/3010-04-08 “Autoevaluación de las Capacidades Nacionales, para la Administración del Medio Ambiente Mundial”. Panamá. pp. 100.</w:t>
      </w:r>
    </w:p>
    <w:p>
      <w:pPr>
        <w:pStyle w:val="BodyText"/>
        <w:spacing w:line="360" w:lineRule="auto" w:before="122"/>
        <w:ind w:left="843" w:right="144" w:hanging="567"/>
        <w:jc w:val="both"/>
      </w:pPr>
      <w:r>
        <w:rPr>
          <w:b/>
        </w:rPr>
        <w:t>SEMARNAT-INE. 2002. </w:t>
      </w:r>
      <w:r>
        <w:rPr/>
        <w:t>Inventario Nacional de Emisión de Gases de Efecto Invernadero 1990-2002. Secretaría de Medio Ambiente y Recursos</w:t>
      </w:r>
      <w:r>
        <w:rPr>
          <w:spacing w:val="-33"/>
        </w:rPr>
        <w:t> </w:t>
      </w:r>
      <w:r>
        <w:rPr/>
        <w:t>Naturales. Instituto Nacional de Ecología. Comité Intersecretarial Sobre Cambio Climático. pp. 258.</w:t>
      </w:r>
    </w:p>
    <w:p>
      <w:pPr>
        <w:pStyle w:val="BodyText"/>
        <w:spacing w:line="360" w:lineRule="auto" w:before="122"/>
        <w:ind w:left="843" w:right="144" w:hanging="567"/>
        <w:jc w:val="both"/>
      </w:pPr>
      <w:r>
        <w:rPr>
          <w:b/>
        </w:rPr>
        <w:t>SEMARNAT. 2008. </w:t>
      </w:r>
      <w:r>
        <w:rPr/>
        <w:t>Informe de la Situación del Medio Ambiente en México. Compendio de Estadísticas Ambientales. Compendio de estadísticas ambientales. Gobierno Federal. México, D. F. pp. 358.</w:t>
      </w:r>
    </w:p>
    <w:p>
      <w:pPr>
        <w:pStyle w:val="BodyText"/>
        <w:spacing w:line="360" w:lineRule="auto" w:before="122"/>
        <w:ind w:left="843" w:right="143" w:hanging="567"/>
        <w:jc w:val="both"/>
      </w:pPr>
      <w:r>
        <w:rPr>
          <w:b/>
        </w:rPr>
        <w:t>UNFCCC, 2007. </w:t>
      </w:r>
      <w:r>
        <w:rPr/>
        <w:t>Unidos por el Clima. Convención Marco de las Naciones Unidas sobre el Cambio Climático. ONU. pp. 39.</w:t>
      </w:r>
    </w:p>
    <w:p>
      <w:pPr>
        <w:pStyle w:val="BodyText"/>
        <w:spacing w:line="360" w:lineRule="auto" w:before="127"/>
        <w:ind w:left="843" w:right="144" w:hanging="567"/>
        <w:jc w:val="both"/>
      </w:pPr>
      <w:r>
        <w:rPr>
          <w:b/>
        </w:rPr>
        <w:t>Yañez-Arancibia </w:t>
      </w:r>
      <w:r>
        <w:rPr>
          <w:b/>
          <w:i/>
        </w:rPr>
        <w:t>et. al</w:t>
      </w:r>
      <w:r>
        <w:rPr>
          <w:b/>
        </w:rPr>
        <w:t>. </w:t>
      </w:r>
      <w:r>
        <w:rPr/>
        <w:t>2010. Energía, economía y cambio climático: ecuación insoluble. Investigación ambiental 2010; 2(1) 75-82.</w:t>
      </w:r>
    </w:p>
    <w:p>
      <w:pPr>
        <w:spacing w:after="0" w:line="360" w:lineRule="auto"/>
        <w:jc w:val="both"/>
        <w:sectPr>
          <w:pgSz w:w="12240" w:h="15840"/>
          <w:pgMar w:header="741" w:footer="739" w:top="1220" w:bottom="920" w:left="172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pStyle w:val="Heading1"/>
        <w:numPr>
          <w:ilvl w:val="1"/>
          <w:numId w:val="15"/>
        </w:numPr>
        <w:tabs>
          <w:tab w:pos="1367" w:val="left" w:leader="none"/>
        </w:tabs>
        <w:spacing w:line="240" w:lineRule="auto" w:before="35" w:after="23"/>
        <w:ind w:left="1366" w:right="0" w:hanging="1090"/>
        <w:jc w:val="left"/>
      </w:pPr>
      <w:r>
        <w:rPr/>
        <w:t>Capítulo</w:t>
      </w:r>
      <w:r>
        <w:rPr>
          <w:spacing w:val="41"/>
        </w:rPr>
        <w:t> </w:t>
      </w:r>
      <w:r>
        <w:rPr/>
        <w:t>2</w:t>
      </w:r>
    </w:p>
    <w:p>
      <w:pPr>
        <w:pStyle w:val="BodyText"/>
        <w:spacing w:line="120" w:lineRule="exact"/>
        <w:ind w:left="247"/>
        <w:rPr>
          <w:sz w:val="12"/>
        </w:rPr>
      </w:pPr>
      <w:r>
        <w:rPr>
          <w:position w:val="-1"/>
          <w:sz w:val="12"/>
        </w:rPr>
        <w:pict>
          <v:group style="width:444.75pt;height:6pt;mso-position-horizontal-relative:char;mso-position-vertical-relative:line" coordorigin="0,0" coordsize="8895,120">
            <v:rect style="position:absolute;left:0;top:0;width:8894;height:120" filled="true" fillcolor="#943634" stroked="false">
              <v:fill type="solid"/>
            </v:rect>
          </v:group>
        </w:pict>
      </w:r>
      <w:r>
        <w:rPr>
          <w:position w:val="-1"/>
          <w:sz w:val="12"/>
        </w:rPr>
      </w:r>
    </w:p>
    <w:p>
      <w:pPr>
        <w:pStyle w:val="BodyText"/>
        <w:rPr>
          <w:b/>
          <w:sz w:val="20"/>
        </w:rPr>
      </w:pPr>
    </w:p>
    <w:p>
      <w:pPr>
        <w:pStyle w:val="BodyText"/>
        <w:rPr>
          <w:b/>
          <w:sz w:val="20"/>
        </w:rPr>
      </w:pPr>
    </w:p>
    <w:p>
      <w:pPr>
        <w:pStyle w:val="BodyText"/>
        <w:rPr>
          <w:b/>
          <w:sz w:val="20"/>
        </w:rPr>
      </w:pPr>
    </w:p>
    <w:p>
      <w:pPr>
        <w:pStyle w:val="BodyText"/>
        <w:rPr>
          <w:b/>
          <w:sz w:val="15"/>
        </w:rPr>
      </w:pPr>
      <w:r>
        <w:rPr/>
        <w:pict>
          <v:group style="position:absolute;margin-left:100.072403pt;margin-top:10.62293pt;width:412.35pt;height:209.3pt;mso-position-horizontal-relative:page;mso-position-vertical-relative:paragraph;z-index:4936;mso-wrap-distance-left:0;mso-wrap-distance-right:0" coordorigin="2001,212" coordsize="8247,4186">
            <v:shape style="position:absolute;left:2001;top:212;width:8246;height:4186" type="#_x0000_t75" stroked="false">
              <v:imagedata r:id="rId166" o:title=""/>
            </v:shape>
            <v:shape style="position:absolute;left:2433;top:217;width:211;height:547" type="#_x0000_t75" stroked="false">
              <v:imagedata r:id="rId167" o:title=""/>
            </v:shape>
            <v:shape style="position:absolute;left:2717;top:217;width:206;height:547" type="#_x0000_t75" stroked="false">
              <v:imagedata r:id="rId168" o:title=""/>
            </v:shape>
            <v:shape style="position:absolute;left:2001;top:212;width:8247;height:4186" type="#_x0000_t202" filled="false" stroked="false">
              <v:textbox inset="0,0,0,0">
                <w:txbxContent>
                  <w:p>
                    <w:pPr>
                      <w:spacing w:line="240" w:lineRule="auto" w:before="2"/>
                      <w:rPr>
                        <w:b/>
                        <w:sz w:val="46"/>
                      </w:rPr>
                    </w:pPr>
                  </w:p>
                  <w:p>
                    <w:pPr>
                      <w:spacing w:line="242" w:lineRule="auto" w:before="0"/>
                      <w:ind w:left="724" w:right="140" w:hanging="20"/>
                      <w:jc w:val="both"/>
                      <w:rPr>
                        <w:sz w:val="38"/>
                      </w:rPr>
                    </w:pPr>
                    <w:r>
                      <w:rPr>
                        <w:color w:val="632423"/>
                        <w:w w:val="80"/>
                        <w:sz w:val="38"/>
                      </w:rPr>
                      <w:t>Uno</w:t>
                    </w:r>
                    <w:r>
                      <w:rPr>
                        <w:color w:val="632423"/>
                        <w:spacing w:val="-44"/>
                        <w:w w:val="80"/>
                        <w:sz w:val="38"/>
                      </w:rPr>
                      <w:t> </w:t>
                    </w:r>
                    <w:r>
                      <w:rPr>
                        <w:color w:val="632423"/>
                        <w:w w:val="80"/>
                        <w:sz w:val="38"/>
                      </w:rPr>
                      <w:t>de</w:t>
                    </w:r>
                    <w:r>
                      <w:rPr>
                        <w:color w:val="632423"/>
                        <w:spacing w:val="-44"/>
                        <w:w w:val="80"/>
                        <w:sz w:val="38"/>
                      </w:rPr>
                      <w:t> </w:t>
                    </w:r>
                    <w:r>
                      <w:rPr>
                        <w:color w:val="632423"/>
                        <w:w w:val="80"/>
                        <w:sz w:val="38"/>
                      </w:rPr>
                      <w:t>los</w:t>
                    </w:r>
                    <w:r>
                      <w:rPr>
                        <w:color w:val="632423"/>
                        <w:spacing w:val="-44"/>
                        <w:w w:val="80"/>
                        <w:sz w:val="38"/>
                      </w:rPr>
                      <w:t> </w:t>
                    </w:r>
                    <w:r>
                      <w:rPr>
                        <w:color w:val="632423"/>
                        <w:w w:val="80"/>
                        <w:sz w:val="38"/>
                      </w:rPr>
                      <w:t>grandes</w:t>
                    </w:r>
                    <w:r>
                      <w:rPr>
                        <w:color w:val="632423"/>
                        <w:spacing w:val="-44"/>
                        <w:w w:val="80"/>
                        <w:sz w:val="38"/>
                      </w:rPr>
                      <w:t> </w:t>
                    </w:r>
                    <w:r>
                      <w:rPr>
                        <w:color w:val="632423"/>
                        <w:w w:val="80"/>
                        <w:sz w:val="38"/>
                      </w:rPr>
                      <w:t>retos</w:t>
                    </w:r>
                    <w:r>
                      <w:rPr>
                        <w:color w:val="632423"/>
                        <w:spacing w:val="-44"/>
                        <w:w w:val="80"/>
                        <w:sz w:val="38"/>
                      </w:rPr>
                      <w:t> </w:t>
                    </w:r>
                    <w:r>
                      <w:rPr>
                        <w:color w:val="632423"/>
                        <w:w w:val="80"/>
                        <w:sz w:val="38"/>
                      </w:rPr>
                      <w:t>que</w:t>
                    </w:r>
                    <w:r>
                      <w:rPr>
                        <w:color w:val="632423"/>
                        <w:spacing w:val="-44"/>
                        <w:w w:val="80"/>
                        <w:sz w:val="38"/>
                      </w:rPr>
                      <w:t> </w:t>
                    </w:r>
                    <w:r>
                      <w:rPr>
                        <w:color w:val="632423"/>
                        <w:w w:val="80"/>
                        <w:sz w:val="38"/>
                      </w:rPr>
                      <w:t>enfrenta</w:t>
                    </w:r>
                    <w:r>
                      <w:rPr>
                        <w:color w:val="632423"/>
                        <w:spacing w:val="-44"/>
                        <w:w w:val="80"/>
                        <w:sz w:val="38"/>
                      </w:rPr>
                      <w:t> </w:t>
                    </w:r>
                    <w:r>
                      <w:rPr>
                        <w:color w:val="632423"/>
                        <w:w w:val="80"/>
                        <w:sz w:val="38"/>
                      </w:rPr>
                      <w:t>la</w:t>
                    </w:r>
                    <w:r>
                      <w:rPr>
                        <w:color w:val="632423"/>
                        <w:spacing w:val="-44"/>
                        <w:w w:val="80"/>
                        <w:sz w:val="38"/>
                      </w:rPr>
                      <w:t> </w:t>
                    </w:r>
                    <w:r>
                      <w:rPr>
                        <w:color w:val="632423"/>
                        <w:w w:val="80"/>
                        <w:sz w:val="38"/>
                      </w:rPr>
                      <w:t>humanidad</w:t>
                    </w:r>
                    <w:r>
                      <w:rPr>
                        <w:color w:val="632423"/>
                        <w:spacing w:val="-44"/>
                        <w:w w:val="80"/>
                        <w:sz w:val="38"/>
                      </w:rPr>
                      <w:t> </w:t>
                    </w:r>
                    <w:r>
                      <w:rPr>
                        <w:color w:val="632423"/>
                        <w:w w:val="80"/>
                        <w:sz w:val="38"/>
                      </w:rPr>
                      <w:t>es</w:t>
                    </w:r>
                    <w:r>
                      <w:rPr>
                        <w:color w:val="632423"/>
                        <w:spacing w:val="-44"/>
                        <w:w w:val="80"/>
                        <w:sz w:val="38"/>
                      </w:rPr>
                      <w:t> </w:t>
                    </w:r>
                    <w:r>
                      <w:rPr>
                        <w:color w:val="632423"/>
                        <w:w w:val="80"/>
                        <w:sz w:val="38"/>
                      </w:rPr>
                      <w:t>el </w:t>
                    </w:r>
                    <w:r>
                      <w:rPr>
                        <w:color w:val="632423"/>
                        <w:w w:val="75"/>
                        <w:sz w:val="38"/>
                      </w:rPr>
                      <w:t>fenómeno del cambio climático. Las políticas mundiales</w:t>
                    </w:r>
                    <w:r>
                      <w:rPr>
                        <w:color w:val="632423"/>
                        <w:spacing w:val="-52"/>
                        <w:w w:val="75"/>
                        <w:sz w:val="38"/>
                      </w:rPr>
                      <w:t> </w:t>
                    </w:r>
                    <w:r>
                      <w:rPr>
                        <w:color w:val="632423"/>
                        <w:w w:val="75"/>
                        <w:sz w:val="38"/>
                      </w:rPr>
                      <w:t>se </w:t>
                    </w:r>
                    <w:r>
                      <w:rPr>
                        <w:color w:val="632423"/>
                        <w:w w:val="80"/>
                        <w:sz w:val="38"/>
                      </w:rPr>
                      <w:t>enmarcan</w:t>
                    </w:r>
                    <w:r>
                      <w:rPr>
                        <w:color w:val="632423"/>
                        <w:spacing w:val="-46"/>
                        <w:w w:val="80"/>
                        <w:sz w:val="38"/>
                      </w:rPr>
                      <w:t> </w:t>
                    </w:r>
                    <w:r>
                      <w:rPr>
                        <w:color w:val="632423"/>
                        <w:w w:val="80"/>
                        <w:sz w:val="38"/>
                      </w:rPr>
                      <w:t>en</w:t>
                    </w:r>
                    <w:r>
                      <w:rPr>
                        <w:color w:val="632423"/>
                        <w:spacing w:val="-46"/>
                        <w:w w:val="80"/>
                        <w:sz w:val="38"/>
                      </w:rPr>
                      <w:t> </w:t>
                    </w:r>
                    <w:r>
                      <w:rPr>
                        <w:color w:val="632423"/>
                        <w:w w:val="80"/>
                        <w:sz w:val="38"/>
                      </w:rPr>
                      <w:t>la</w:t>
                    </w:r>
                    <w:r>
                      <w:rPr>
                        <w:color w:val="632423"/>
                        <w:spacing w:val="-46"/>
                        <w:w w:val="80"/>
                        <w:sz w:val="38"/>
                      </w:rPr>
                      <w:t> </w:t>
                    </w:r>
                    <w:r>
                      <w:rPr>
                        <w:color w:val="632423"/>
                        <w:w w:val="80"/>
                        <w:sz w:val="38"/>
                      </w:rPr>
                      <w:t>necesidad</w:t>
                    </w:r>
                    <w:r>
                      <w:rPr>
                        <w:color w:val="632423"/>
                        <w:spacing w:val="-45"/>
                        <w:w w:val="80"/>
                        <w:sz w:val="38"/>
                      </w:rPr>
                      <w:t> </w:t>
                    </w:r>
                    <w:r>
                      <w:rPr>
                        <w:color w:val="632423"/>
                        <w:w w:val="80"/>
                        <w:sz w:val="38"/>
                      </w:rPr>
                      <w:t>de</w:t>
                    </w:r>
                    <w:r>
                      <w:rPr>
                        <w:color w:val="632423"/>
                        <w:spacing w:val="-46"/>
                        <w:w w:val="80"/>
                        <w:sz w:val="38"/>
                      </w:rPr>
                      <w:t> </w:t>
                    </w:r>
                    <w:r>
                      <w:rPr>
                        <w:color w:val="632423"/>
                        <w:w w:val="80"/>
                        <w:sz w:val="38"/>
                      </w:rPr>
                      <w:t>crear</w:t>
                    </w:r>
                    <w:r>
                      <w:rPr>
                        <w:color w:val="632423"/>
                        <w:spacing w:val="-46"/>
                        <w:w w:val="80"/>
                        <w:sz w:val="38"/>
                      </w:rPr>
                      <w:t> </w:t>
                    </w:r>
                    <w:r>
                      <w:rPr>
                        <w:color w:val="632423"/>
                        <w:w w:val="80"/>
                        <w:sz w:val="38"/>
                      </w:rPr>
                      <w:t>conciencia,</w:t>
                    </w:r>
                    <w:r>
                      <w:rPr>
                        <w:color w:val="632423"/>
                        <w:spacing w:val="-47"/>
                        <w:w w:val="80"/>
                        <w:sz w:val="38"/>
                      </w:rPr>
                      <w:t> </w:t>
                    </w:r>
                    <w:r>
                      <w:rPr>
                        <w:color w:val="632423"/>
                        <w:w w:val="80"/>
                        <w:sz w:val="38"/>
                      </w:rPr>
                      <w:t>en</w:t>
                    </w:r>
                    <w:r>
                      <w:rPr>
                        <w:color w:val="632423"/>
                        <w:spacing w:val="-43"/>
                        <w:w w:val="80"/>
                        <w:sz w:val="38"/>
                      </w:rPr>
                      <w:t> </w:t>
                    </w:r>
                    <w:r>
                      <w:rPr>
                        <w:color w:val="632423"/>
                        <w:w w:val="80"/>
                        <w:sz w:val="38"/>
                      </w:rPr>
                      <w:t>que</w:t>
                    </w:r>
                    <w:r>
                      <w:rPr>
                        <w:color w:val="632423"/>
                        <w:spacing w:val="-46"/>
                        <w:w w:val="80"/>
                        <w:sz w:val="38"/>
                      </w:rPr>
                      <w:t> </w:t>
                    </w:r>
                    <w:r>
                      <w:rPr>
                        <w:color w:val="632423"/>
                        <w:w w:val="80"/>
                        <w:sz w:val="38"/>
                      </w:rPr>
                      <w:t>el </w:t>
                    </w:r>
                    <w:r>
                      <w:rPr>
                        <w:color w:val="632423"/>
                        <w:w w:val="75"/>
                        <w:sz w:val="38"/>
                      </w:rPr>
                      <w:t>cambio climático representa una emergencia mundial y su </w:t>
                    </w:r>
                    <w:r>
                      <w:rPr>
                        <w:color w:val="632423"/>
                        <w:w w:val="80"/>
                        <w:sz w:val="38"/>
                      </w:rPr>
                      <w:t>estabilización</w:t>
                    </w:r>
                    <w:r>
                      <w:rPr>
                        <w:color w:val="632423"/>
                        <w:spacing w:val="-54"/>
                        <w:w w:val="80"/>
                        <w:sz w:val="38"/>
                      </w:rPr>
                      <w:t> </w:t>
                    </w:r>
                    <w:r>
                      <w:rPr>
                        <w:color w:val="632423"/>
                        <w:w w:val="80"/>
                        <w:sz w:val="38"/>
                      </w:rPr>
                      <w:t>es</w:t>
                    </w:r>
                    <w:r>
                      <w:rPr>
                        <w:color w:val="632423"/>
                        <w:spacing w:val="-54"/>
                        <w:w w:val="80"/>
                        <w:sz w:val="38"/>
                      </w:rPr>
                      <w:t> </w:t>
                    </w:r>
                    <w:r>
                      <w:rPr>
                        <w:color w:val="632423"/>
                        <w:w w:val="80"/>
                        <w:sz w:val="38"/>
                      </w:rPr>
                      <w:t>un</w:t>
                    </w:r>
                    <w:r>
                      <w:rPr>
                        <w:color w:val="632423"/>
                        <w:spacing w:val="-54"/>
                        <w:w w:val="80"/>
                        <w:sz w:val="38"/>
                      </w:rPr>
                      <w:t> </w:t>
                    </w:r>
                    <w:r>
                      <w:rPr>
                        <w:color w:val="632423"/>
                        <w:w w:val="80"/>
                        <w:sz w:val="38"/>
                      </w:rPr>
                      <w:t>nuevo</w:t>
                    </w:r>
                    <w:r>
                      <w:rPr>
                        <w:color w:val="632423"/>
                        <w:spacing w:val="-54"/>
                        <w:w w:val="80"/>
                        <w:sz w:val="38"/>
                      </w:rPr>
                      <w:t> </w:t>
                    </w:r>
                    <w:r>
                      <w:rPr>
                        <w:color w:val="632423"/>
                        <w:w w:val="80"/>
                        <w:sz w:val="38"/>
                      </w:rPr>
                      <w:t>paradigma</w:t>
                    </w:r>
                    <w:r>
                      <w:rPr>
                        <w:color w:val="632423"/>
                        <w:spacing w:val="-53"/>
                        <w:w w:val="80"/>
                        <w:sz w:val="38"/>
                      </w:rPr>
                      <w:t> </w:t>
                    </w:r>
                    <w:r>
                      <w:rPr>
                        <w:color w:val="632423"/>
                        <w:w w:val="80"/>
                        <w:sz w:val="38"/>
                      </w:rPr>
                      <w:t>a</w:t>
                    </w:r>
                    <w:r>
                      <w:rPr>
                        <w:color w:val="632423"/>
                        <w:spacing w:val="-54"/>
                        <w:w w:val="80"/>
                        <w:sz w:val="38"/>
                      </w:rPr>
                      <w:t> </w:t>
                    </w:r>
                    <w:r>
                      <w:rPr>
                        <w:color w:val="632423"/>
                        <w:w w:val="80"/>
                        <w:sz w:val="38"/>
                      </w:rPr>
                      <w:t>través</w:t>
                    </w:r>
                    <w:r>
                      <w:rPr>
                        <w:color w:val="632423"/>
                        <w:spacing w:val="-54"/>
                        <w:w w:val="80"/>
                        <w:sz w:val="38"/>
                      </w:rPr>
                      <w:t> </w:t>
                    </w:r>
                    <w:r>
                      <w:rPr>
                        <w:color w:val="632423"/>
                        <w:w w:val="80"/>
                        <w:sz w:val="38"/>
                      </w:rPr>
                      <w:t>del</w:t>
                    </w:r>
                    <w:r>
                      <w:rPr>
                        <w:color w:val="632423"/>
                        <w:spacing w:val="-54"/>
                        <w:w w:val="80"/>
                        <w:sz w:val="38"/>
                      </w:rPr>
                      <w:t> </w:t>
                    </w:r>
                    <w:r>
                      <w:rPr>
                        <w:color w:val="632423"/>
                        <w:w w:val="80"/>
                        <w:sz w:val="38"/>
                      </w:rPr>
                      <w:t>cual</w:t>
                    </w:r>
                    <w:r>
                      <w:rPr>
                        <w:color w:val="632423"/>
                        <w:spacing w:val="-53"/>
                        <w:w w:val="80"/>
                        <w:sz w:val="38"/>
                      </w:rPr>
                      <w:t> </w:t>
                    </w:r>
                    <w:r>
                      <w:rPr>
                        <w:color w:val="632423"/>
                        <w:w w:val="80"/>
                        <w:sz w:val="38"/>
                      </w:rPr>
                      <w:t>se</w:t>
                    </w:r>
                  </w:p>
                  <w:p>
                    <w:pPr>
                      <w:spacing w:before="0"/>
                      <w:ind w:left="0" w:right="143" w:firstLine="0"/>
                      <w:jc w:val="right"/>
                      <w:rPr>
                        <w:sz w:val="38"/>
                      </w:rPr>
                    </w:pPr>
                    <w:r>
                      <w:rPr>
                        <w:color w:val="632423"/>
                        <w:w w:val="80"/>
                        <w:sz w:val="38"/>
                      </w:rPr>
                      <w:t>deben</w:t>
                    </w:r>
                    <w:r>
                      <w:rPr>
                        <w:color w:val="632423"/>
                        <w:spacing w:val="-50"/>
                        <w:w w:val="80"/>
                        <w:sz w:val="38"/>
                      </w:rPr>
                      <w:t> </w:t>
                    </w:r>
                    <w:r>
                      <w:rPr>
                        <w:color w:val="632423"/>
                        <w:w w:val="80"/>
                        <w:sz w:val="38"/>
                      </w:rPr>
                      <w:t>ver</w:t>
                    </w:r>
                    <w:r>
                      <w:rPr>
                        <w:color w:val="632423"/>
                        <w:spacing w:val="-51"/>
                        <w:w w:val="80"/>
                        <w:sz w:val="38"/>
                      </w:rPr>
                      <w:t> </w:t>
                    </w:r>
                    <w:r>
                      <w:rPr>
                        <w:color w:val="632423"/>
                        <w:w w:val="80"/>
                        <w:sz w:val="38"/>
                      </w:rPr>
                      <w:t>las</w:t>
                    </w:r>
                    <w:r>
                      <w:rPr>
                        <w:color w:val="632423"/>
                        <w:spacing w:val="-50"/>
                        <w:w w:val="80"/>
                        <w:sz w:val="38"/>
                      </w:rPr>
                      <w:t> </w:t>
                    </w:r>
                    <w:r>
                      <w:rPr>
                        <w:color w:val="632423"/>
                        <w:w w:val="80"/>
                        <w:sz w:val="38"/>
                      </w:rPr>
                      <w:t>normas</w:t>
                    </w:r>
                    <w:r>
                      <w:rPr>
                        <w:color w:val="632423"/>
                        <w:spacing w:val="-50"/>
                        <w:w w:val="80"/>
                        <w:sz w:val="38"/>
                      </w:rPr>
                      <w:t> </w:t>
                    </w:r>
                    <w:r>
                      <w:rPr>
                        <w:color w:val="632423"/>
                        <w:w w:val="80"/>
                        <w:sz w:val="38"/>
                      </w:rPr>
                      <w:t>de</w:t>
                    </w:r>
                    <w:r>
                      <w:rPr>
                        <w:color w:val="632423"/>
                        <w:spacing w:val="-51"/>
                        <w:w w:val="80"/>
                        <w:sz w:val="38"/>
                      </w:rPr>
                      <w:t> </w:t>
                    </w:r>
                    <w:r>
                      <w:rPr>
                        <w:color w:val="632423"/>
                        <w:w w:val="80"/>
                        <w:sz w:val="38"/>
                      </w:rPr>
                      <w:t>producción”.</w:t>
                    </w:r>
                  </w:p>
                  <w:p>
                    <w:pPr>
                      <w:spacing w:before="252"/>
                      <w:ind w:left="0" w:right="143" w:firstLine="0"/>
                      <w:jc w:val="right"/>
                      <w:rPr>
                        <w:sz w:val="23"/>
                      </w:rPr>
                    </w:pPr>
                    <w:r>
                      <w:rPr>
                        <w:color w:val="632423"/>
                        <w:w w:val="85"/>
                        <w:sz w:val="23"/>
                      </w:rPr>
                      <w:t>COP 13 (2007)</w:t>
                    </w:r>
                  </w:p>
                </w:txbxContent>
              </v:textbox>
              <w10:wrap type="none"/>
            </v:shape>
            <w10:wrap type="topAndBottom"/>
          </v:group>
        </w:pict>
      </w:r>
    </w:p>
    <w:p>
      <w:pPr>
        <w:spacing w:after="0"/>
        <w:rPr>
          <w:sz w:val="15"/>
        </w:rPr>
        <w:sectPr>
          <w:pgSz w:w="12240" w:h="15840"/>
          <w:pgMar w:header="741" w:footer="739" w:top="1220" w:bottom="920" w:left="1720" w:right="1260"/>
        </w:sectPr>
      </w:pPr>
    </w:p>
    <w:p>
      <w:pPr>
        <w:pStyle w:val="BodyText"/>
        <w:spacing w:before="9"/>
        <w:rPr>
          <w:rFonts w:ascii="Times New Roman"/>
          <w:sz w:val="17"/>
        </w:rPr>
      </w:pPr>
    </w:p>
    <w:p>
      <w:pPr>
        <w:pStyle w:val="BodyText"/>
        <w:ind w:left="276"/>
        <w:rPr>
          <w:rFonts w:ascii="Times New Roman"/>
          <w:sz w:val="20"/>
        </w:rPr>
      </w:pPr>
      <w:r>
        <w:rPr>
          <w:rFonts w:ascii="Times New Roman"/>
          <w:sz w:val="20"/>
        </w:rPr>
        <w:drawing>
          <wp:inline distT="0" distB="0" distL="0" distR="0">
            <wp:extent cx="5543751" cy="7416641"/>
            <wp:effectExtent l="0" t="0" r="0" b="0"/>
            <wp:docPr id="31" name="image120.jpeg" descr=""/>
            <wp:cNvGraphicFramePr>
              <a:graphicFrameLocks noChangeAspect="1"/>
            </wp:cNvGraphicFramePr>
            <a:graphic>
              <a:graphicData uri="http://schemas.openxmlformats.org/drawingml/2006/picture">
                <pic:pic>
                  <pic:nvPicPr>
                    <pic:cNvPr id="32" name="image120.jpeg"/>
                    <pic:cNvPicPr/>
                  </pic:nvPicPr>
                  <pic:blipFill>
                    <a:blip r:embed="rId169" cstate="print"/>
                    <a:stretch>
                      <a:fillRect/>
                    </a:stretch>
                  </pic:blipFill>
                  <pic:spPr>
                    <a:xfrm>
                      <a:off x="0" y="0"/>
                      <a:ext cx="5543751" cy="741664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1" w:footer="739" w:top="1220" w:bottom="920" w:left="1720" w:right="1260"/>
        </w:sectPr>
      </w:pPr>
    </w:p>
    <w:p>
      <w:pPr>
        <w:pStyle w:val="BodyText"/>
        <w:spacing w:before="9"/>
        <w:rPr>
          <w:rFonts w:ascii="Times New Roman"/>
          <w:sz w:val="17"/>
        </w:rPr>
      </w:pPr>
    </w:p>
    <w:p>
      <w:pPr>
        <w:pStyle w:val="BodyText"/>
        <w:ind w:left="730"/>
        <w:rPr>
          <w:rFonts w:ascii="Times New Roman"/>
          <w:sz w:val="20"/>
        </w:rPr>
      </w:pPr>
      <w:r>
        <w:rPr>
          <w:rFonts w:ascii="Times New Roman"/>
          <w:sz w:val="20"/>
        </w:rPr>
        <w:drawing>
          <wp:inline distT="0" distB="0" distL="0" distR="0">
            <wp:extent cx="5348584" cy="7103554"/>
            <wp:effectExtent l="0" t="0" r="0" b="0"/>
            <wp:docPr id="33" name="image121.jpeg" descr=""/>
            <wp:cNvGraphicFramePr>
              <a:graphicFrameLocks noChangeAspect="1"/>
            </wp:cNvGraphicFramePr>
            <a:graphic>
              <a:graphicData uri="http://schemas.openxmlformats.org/drawingml/2006/picture">
                <pic:pic>
                  <pic:nvPicPr>
                    <pic:cNvPr id="34" name="image121.jpeg"/>
                    <pic:cNvPicPr/>
                  </pic:nvPicPr>
                  <pic:blipFill>
                    <a:blip r:embed="rId170" cstate="print"/>
                    <a:stretch>
                      <a:fillRect/>
                    </a:stretch>
                  </pic:blipFill>
                  <pic:spPr>
                    <a:xfrm>
                      <a:off x="0" y="0"/>
                      <a:ext cx="5348584" cy="710355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1" w:footer="739" w:top="1220" w:bottom="920" w:left="1720" w:right="1180"/>
        </w:sectPr>
      </w:pPr>
    </w:p>
    <w:p>
      <w:pPr>
        <w:pStyle w:val="BodyText"/>
        <w:spacing w:before="7"/>
        <w:rPr>
          <w:rFonts w:ascii="Times New Roman"/>
          <w:sz w:val="12"/>
        </w:rPr>
      </w:pPr>
    </w:p>
    <w:p>
      <w:pPr>
        <w:pStyle w:val="Heading2"/>
        <w:spacing w:line="249" w:lineRule="auto"/>
        <w:ind w:left="694" w:right="560" w:hanging="2"/>
        <w:jc w:val="center"/>
      </w:pPr>
      <w:r>
        <w:rPr/>
        <w:t>La ganadería y la emisión de Gases de Efecto Invernadero (GEI): un nuevo paradigma a  </w:t>
      </w:r>
      <w:r>
        <w:rPr>
          <w:spacing w:val="54"/>
        </w:rPr>
        <w:t> </w:t>
      </w:r>
      <w:r>
        <w:rPr/>
        <w:t>considerar</w:t>
      </w:r>
    </w:p>
    <w:p>
      <w:pPr>
        <w:pStyle w:val="BodyText"/>
        <w:rPr>
          <w:b/>
          <w:sz w:val="32"/>
        </w:rPr>
      </w:pPr>
    </w:p>
    <w:p>
      <w:pPr>
        <w:pStyle w:val="Heading6"/>
        <w:spacing w:before="273"/>
      </w:pPr>
      <w:r>
        <w:rPr/>
        <w:t>Introducción</w:t>
      </w:r>
    </w:p>
    <w:p>
      <w:pPr>
        <w:pStyle w:val="BodyText"/>
        <w:spacing w:before="8"/>
        <w:rPr>
          <w:b/>
          <w:sz w:val="32"/>
        </w:rPr>
      </w:pPr>
    </w:p>
    <w:p>
      <w:pPr>
        <w:pStyle w:val="BodyText"/>
        <w:spacing w:line="360" w:lineRule="auto" w:before="1"/>
        <w:ind w:left="276" w:right="143"/>
        <w:jc w:val="both"/>
      </w:pPr>
      <w:r>
        <w:rPr/>
        <w:t>Uno de los grandes retos que enfrenta la humanidad es el fenómeno del cambio climático.</w:t>
      </w:r>
      <w:r>
        <w:rPr>
          <w:spacing w:val="-13"/>
        </w:rPr>
        <w:t> </w:t>
      </w:r>
      <w:r>
        <w:rPr/>
        <w:t>Las</w:t>
      </w:r>
      <w:r>
        <w:rPr>
          <w:spacing w:val="-13"/>
        </w:rPr>
        <w:t> </w:t>
      </w:r>
      <w:r>
        <w:rPr/>
        <w:t>políticas</w:t>
      </w:r>
      <w:r>
        <w:rPr>
          <w:spacing w:val="-13"/>
        </w:rPr>
        <w:t> </w:t>
      </w:r>
      <w:r>
        <w:rPr/>
        <w:t>mundiales</w:t>
      </w:r>
      <w:r>
        <w:rPr>
          <w:spacing w:val="-13"/>
        </w:rPr>
        <w:t> </w:t>
      </w:r>
      <w:r>
        <w:rPr/>
        <w:t>se</w:t>
      </w:r>
      <w:r>
        <w:rPr>
          <w:spacing w:val="-13"/>
        </w:rPr>
        <w:t> </w:t>
      </w:r>
      <w:r>
        <w:rPr/>
        <w:t>enmarcan</w:t>
      </w:r>
      <w:r>
        <w:rPr>
          <w:spacing w:val="-13"/>
        </w:rPr>
        <w:t> </w:t>
      </w:r>
      <w:r>
        <w:rPr/>
        <w:t>en</w:t>
      </w:r>
      <w:r>
        <w:rPr>
          <w:spacing w:val="-13"/>
        </w:rPr>
        <w:t> </w:t>
      </w:r>
      <w:r>
        <w:rPr/>
        <w:t>la</w:t>
      </w:r>
      <w:r>
        <w:rPr>
          <w:spacing w:val="-13"/>
        </w:rPr>
        <w:t> </w:t>
      </w:r>
      <w:r>
        <w:rPr/>
        <w:t>necesidad</w:t>
      </w:r>
      <w:r>
        <w:rPr>
          <w:spacing w:val="-13"/>
        </w:rPr>
        <w:t> </w:t>
      </w:r>
      <w:r>
        <w:rPr/>
        <w:t>de</w:t>
      </w:r>
      <w:r>
        <w:rPr>
          <w:spacing w:val="-13"/>
        </w:rPr>
        <w:t> </w:t>
      </w:r>
      <w:r>
        <w:rPr/>
        <w:t>crear</w:t>
      </w:r>
      <w:r>
        <w:rPr>
          <w:spacing w:val="-13"/>
        </w:rPr>
        <w:t> </w:t>
      </w:r>
      <w:r>
        <w:rPr/>
        <w:t>conciencia, en que el cambio climático representa una emergencia mundial y su estabilización es un nuevo paradigma a través del cual se deben ver las normas de producción. El clima y el nivel de emisiones de cada uno de los países en los próximos años será el agente imperante en la transformación de las reglas de desarrollo de la</w:t>
      </w:r>
      <w:r>
        <w:rPr>
          <w:spacing w:val="-42"/>
        </w:rPr>
        <w:t> </w:t>
      </w:r>
      <w:r>
        <w:rPr/>
        <w:t>vida y economía global (COP13, 2007).</w:t>
      </w:r>
    </w:p>
    <w:p>
      <w:pPr>
        <w:pStyle w:val="BodyText"/>
        <w:spacing w:before="1"/>
        <w:rPr>
          <w:sz w:val="21"/>
        </w:rPr>
      </w:pPr>
    </w:p>
    <w:p>
      <w:pPr>
        <w:pStyle w:val="BodyText"/>
        <w:spacing w:line="360" w:lineRule="auto"/>
        <w:ind w:left="276" w:right="143"/>
        <w:jc w:val="both"/>
      </w:pPr>
      <w:r>
        <w:rPr/>
        <w:t>Se considera que el cambio climático de origen antropogénico es un hecho comprobado y sus repercusiones en el ambiente han comenzado a someterse a examen.</w:t>
      </w:r>
      <w:r>
        <w:rPr>
          <w:spacing w:val="-6"/>
        </w:rPr>
        <w:t> </w:t>
      </w:r>
      <w:r>
        <w:rPr/>
        <w:t>El</w:t>
      </w:r>
      <w:r>
        <w:rPr>
          <w:spacing w:val="-6"/>
        </w:rPr>
        <w:t> </w:t>
      </w:r>
      <w:r>
        <w:rPr/>
        <w:t>efecto</w:t>
      </w:r>
      <w:r>
        <w:rPr>
          <w:spacing w:val="-6"/>
        </w:rPr>
        <w:t> </w:t>
      </w:r>
      <w:r>
        <w:rPr/>
        <w:t>invernadero</w:t>
      </w:r>
      <w:r>
        <w:rPr>
          <w:spacing w:val="-6"/>
        </w:rPr>
        <w:t> </w:t>
      </w:r>
      <w:r>
        <w:rPr/>
        <w:t>es</w:t>
      </w:r>
      <w:r>
        <w:rPr>
          <w:spacing w:val="-6"/>
        </w:rPr>
        <w:t> </w:t>
      </w:r>
      <w:r>
        <w:rPr/>
        <w:t>un</w:t>
      </w:r>
      <w:r>
        <w:rPr>
          <w:spacing w:val="-6"/>
        </w:rPr>
        <w:t> </w:t>
      </w:r>
      <w:r>
        <w:rPr/>
        <w:t>mecanismo</w:t>
      </w:r>
      <w:r>
        <w:rPr>
          <w:spacing w:val="-6"/>
        </w:rPr>
        <w:t> </w:t>
      </w:r>
      <w:r>
        <w:rPr/>
        <w:t>fundamental</w:t>
      </w:r>
      <w:r>
        <w:rPr>
          <w:spacing w:val="-6"/>
        </w:rPr>
        <w:t> </w:t>
      </w:r>
      <w:r>
        <w:rPr/>
        <w:t>para</w:t>
      </w:r>
      <w:r>
        <w:rPr>
          <w:spacing w:val="-6"/>
        </w:rPr>
        <w:t> </w:t>
      </w:r>
      <w:r>
        <w:rPr/>
        <w:t>la</w:t>
      </w:r>
      <w:r>
        <w:rPr>
          <w:spacing w:val="-6"/>
        </w:rPr>
        <w:t> </w:t>
      </w:r>
      <w:r>
        <w:rPr/>
        <w:t>regulación</w:t>
      </w:r>
      <w:r>
        <w:rPr>
          <w:spacing w:val="-6"/>
        </w:rPr>
        <w:t> </w:t>
      </w:r>
      <w:r>
        <w:rPr/>
        <w:t>de la temperatura, sin el cual la temperatura media de la superficie terrestre no  </w:t>
      </w:r>
      <w:r>
        <w:rPr>
          <w:spacing w:val="34"/>
        </w:rPr>
        <w:t> </w:t>
      </w:r>
      <w:r>
        <w:rPr/>
        <w:t>sería</w:t>
      </w:r>
    </w:p>
    <w:p>
      <w:pPr>
        <w:pStyle w:val="BodyText"/>
        <w:spacing w:line="333" w:lineRule="exact"/>
        <w:ind w:left="276"/>
        <w:jc w:val="both"/>
      </w:pPr>
      <w:r>
        <w:rPr/>
        <w:t>de 15ºC sino de </w:t>
      </w:r>
      <w:r>
        <w:rPr>
          <w:rFonts w:ascii="Lucida Sans Unicode" w:hAnsi="Lucida Sans Unicode"/>
        </w:rPr>
        <w:t>‑</w:t>
      </w:r>
      <w:r>
        <w:rPr/>
        <w:t>6ºC. La tierra emite de nuevo al espacio la energía recibida del sol</w:t>
      </w:r>
    </w:p>
    <w:p>
      <w:pPr>
        <w:pStyle w:val="BodyText"/>
        <w:spacing w:line="357" w:lineRule="auto" w:before="91"/>
        <w:ind w:left="276" w:right="143"/>
        <w:jc w:val="both"/>
      </w:pPr>
      <w:r>
        <w:rPr/>
        <w:t>a</w:t>
      </w:r>
      <w:r>
        <w:rPr>
          <w:spacing w:val="-10"/>
        </w:rPr>
        <w:t> </w:t>
      </w:r>
      <w:r>
        <w:rPr/>
        <w:t>través</w:t>
      </w:r>
      <w:r>
        <w:rPr>
          <w:spacing w:val="-10"/>
        </w:rPr>
        <w:t> </w:t>
      </w:r>
      <w:r>
        <w:rPr/>
        <w:t>de</w:t>
      </w:r>
      <w:r>
        <w:rPr>
          <w:spacing w:val="-10"/>
        </w:rPr>
        <w:t> </w:t>
      </w:r>
      <w:r>
        <w:rPr/>
        <w:t>la</w:t>
      </w:r>
      <w:r>
        <w:rPr>
          <w:spacing w:val="-10"/>
        </w:rPr>
        <w:t> </w:t>
      </w:r>
      <w:r>
        <w:rPr/>
        <w:t>reflexión</w:t>
      </w:r>
      <w:r>
        <w:rPr>
          <w:spacing w:val="-10"/>
        </w:rPr>
        <w:t> </w:t>
      </w:r>
      <w:r>
        <w:rPr/>
        <w:t>de</w:t>
      </w:r>
      <w:r>
        <w:rPr>
          <w:spacing w:val="-10"/>
        </w:rPr>
        <w:t> </w:t>
      </w:r>
      <w:r>
        <w:rPr/>
        <w:t>la</w:t>
      </w:r>
      <w:r>
        <w:rPr>
          <w:spacing w:val="-10"/>
        </w:rPr>
        <w:t> </w:t>
      </w:r>
      <w:r>
        <w:rPr/>
        <w:t>luz</w:t>
      </w:r>
      <w:r>
        <w:rPr>
          <w:spacing w:val="-10"/>
        </w:rPr>
        <w:t> </w:t>
      </w:r>
      <w:r>
        <w:rPr/>
        <w:t>y</w:t>
      </w:r>
      <w:r>
        <w:rPr>
          <w:spacing w:val="-10"/>
        </w:rPr>
        <w:t> </w:t>
      </w:r>
      <w:r>
        <w:rPr/>
        <w:t>las</w:t>
      </w:r>
      <w:r>
        <w:rPr>
          <w:spacing w:val="-10"/>
        </w:rPr>
        <w:t> </w:t>
      </w:r>
      <w:r>
        <w:rPr/>
        <w:t>emisiones</w:t>
      </w:r>
      <w:r>
        <w:rPr>
          <w:spacing w:val="-10"/>
        </w:rPr>
        <w:t> </w:t>
      </w:r>
      <w:r>
        <w:rPr/>
        <w:t>de</w:t>
      </w:r>
      <w:r>
        <w:rPr>
          <w:spacing w:val="-10"/>
        </w:rPr>
        <w:t> </w:t>
      </w:r>
      <w:r>
        <w:rPr/>
        <w:t>calor.</w:t>
      </w:r>
      <w:r>
        <w:rPr>
          <w:spacing w:val="-10"/>
        </w:rPr>
        <w:t> </w:t>
      </w:r>
      <w:r>
        <w:rPr/>
        <w:t>Una</w:t>
      </w:r>
      <w:r>
        <w:rPr>
          <w:spacing w:val="-10"/>
        </w:rPr>
        <w:t> </w:t>
      </w:r>
      <w:r>
        <w:rPr/>
        <w:t>parte</w:t>
      </w:r>
      <w:r>
        <w:rPr>
          <w:spacing w:val="-10"/>
        </w:rPr>
        <w:t> </w:t>
      </w:r>
      <w:r>
        <w:rPr/>
        <w:t>del</w:t>
      </w:r>
      <w:r>
        <w:rPr>
          <w:spacing w:val="-10"/>
        </w:rPr>
        <w:t> </w:t>
      </w:r>
      <w:r>
        <w:rPr/>
        <w:t>flujo</w:t>
      </w:r>
      <w:r>
        <w:rPr>
          <w:spacing w:val="-10"/>
        </w:rPr>
        <w:t> </w:t>
      </w:r>
      <w:r>
        <w:rPr/>
        <w:t>de</w:t>
      </w:r>
      <w:r>
        <w:rPr>
          <w:spacing w:val="-10"/>
        </w:rPr>
        <w:t> </w:t>
      </w:r>
      <w:r>
        <w:rPr/>
        <w:t>calor se absorbe por los gases denominados de efecto invernadero y queda atrapado</w:t>
      </w:r>
      <w:r>
        <w:rPr>
          <w:spacing w:val="-12"/>
        </w:rPr>
        <w:t> </w:t>
      </w:r>
      <w:r>
        <w:rPr/>
        <w:t>en la atmósfera. Entre los principales gases de efecto invernadero (GEI) que guardan relación con este proceso destacan el dióxido de carbono (CO</w:t>
      </w:r>
      <w:r>
        <w:rPr>
          <w:position w:val="-2"/>
          <w:sz w:val="16"/>
        </w:rPr>
        <w:t>2</w:t>
      </w:r>
      <w:r>
        <w:rPr/>
        <w:t>), el metano (CH</w:t>
      </w:r>
      <w:r>
        <w:rPr>
          <w:position w:val="-2"/>
          <w:sz w:val="16"/>
        </w:rPr>
        <w:t>4</w:t>
      </w:r>
      <w:r>
        <w:rPr/>
        <w:t>), el</w:t>
      </w:r>
      <w:r>
        <w:rPr>
          <w:spacing w:val="-8"/>
        </w:rPr>
        <w:t> </w:t>
      </w:r>
      <w:r>
        <w:rPr/>
        <w:t>óxido</w:t>
      </w:r>
      <w:r>
        <w:rPr>
          <w:spacing w:val="-8"/>
        </w:rPr>
        <w:t> </w:t>
      </w:r>
      <w:r>
        <w:rPr/>
        <w:t>nitroso</w:t>
      </w:r>
      <w:r>
        <w:rPr>
          <w:spacing w:val="-8"/>
        </w:rPr>
        <w:t> </w:t>
      </w:r>
      <w:r>
        <w:rPr/>
        <w:t>(N</w:t>
      </w:r>
      <w:r>
        <w:rPr>
          <w:position w:val="-2"/>
          <w:sz w:val="16"/>
        </w:rPr>
        <w:t>2</w:t>
      </w:r>
      <w:r>
        <w:rPr/>
        <w:t>O)</w:t>
      </w:r>
      <w:r>
        <w:rPr>
          <w:spacing w:val="-8"/>
        </w:rPr>
        <w:t> </w:t>
      </w:r>
      <w:r>
        <w:rPr/>
        <w:t>y</w:t>
      </w:r>
      <w:r>
        <w:rPr>
          <w:spacing w:val="-8"/>
        </w:rPr>
        <w:t> </w:t>
      </w:r>
      <w:r>
        <w:rPr/>
        <w:t>los</w:t>
      </w:r>
      <w:r>
        <w:rPr>
          <w:spacing w:val="-8"/>
        </w:rPr>
        <w:t> </w:t>
      </w:r>
      <w:r>
        <w:rPr/>
        <w:t>clorofluorocarbonos</w:t>
      </w:r>
      <w:r>
        <w:rPr>
          <w:spacing w:val="-8"/>
        </w:rPr>
        <w:t> </w:t>
      </w:r>
      <w:r>
        <w:rPr/>
        <w:t>(CFC).</w:t>
      </w:r>
      <w:r>
        <w:rPr>
          <w:spacing w:val="-8"/>
        </w:rPr>
        <w:t> </w:t>
      </w:r>
      <w:r>
        <w:rPr/>
        <w:t>Desde</w:t>
      </w:r>
      <w:r>
        <w:rPr>
          <w:spacing w:val="-8"/>
        </w:rPr>
        <w:t> </w:t>
      </w:r>
      <w:r>
        <w:rPr/>
        <w:t>el</w:t>
      </w:r>
      <w:r>
        <w:rPr>
          <w:spacing w:val="-8"/>
        </w:rPr>
        <w:t> </w:t>
      </w:r>
      <w:r>
        <w:rPr/>
        <w:t>comienzo</w:t>
      </w:r>
      <w:r>
        <w:rPr>
          <w:spacing w:val="-8"/>
        </w:rPr>
        <w:t> </w:t>
      </w:r>
      <w:r>
        <w:rPr/>
        <w:t>de</w:t>
      </w:r>
      <w:r>
        <w:rPr>
          <w:spacing w:val="-8"/>
        </w:rPr>
        <w:t> </w:t>
      </w:r>
      <w:r>
        <w:rPr/>
        <w:t>la</w:t>
      </w:r>
      <w:r>
        <w:rPr>
          <w:spacing w:val="-8"/>
        </w:rPr>
        <w:t> </w:t>
      </w:r>
      <w:r>
        <w:rPr/>
        <w:t>era industrial las emisiones antropogénicas han originado un incremento de la concentración de estos gases en la atmósfera, los cuales han producido a su vez un calentamiento global. La temperatura media de la superficie terrestre ha aumentado en 0.6ºC desde finales del siglo XIX (Steinfeld </w:t>
      </w:r>
      <w:r>
        <w:rPr>
          <w:i/>
        </w:rPr>
        <w:t>et al.,</w:t>
      </w:r>
      <w:r>
        <w:rPr>
          <w:i/>
          <w:spacing w:val="-8"/>
        </w:rPr>
        <w:t> </w:t>
      </w:r>
      <w:r>
        <w:rPr/>
        <w:t>2009).</w:t>
      </w:r>
    </w:p>
    <w:p>
      <w:pPr>
        <w:pStyle w:val="BodyText"/>
        <w:spacing w:before="3"/>
        <w:rPr>
          <w:sz w:val="21"/>
        </w:rPr>
      </w:pPr>
    </w:p>
    <w:p>
      <w:pPr>
        <w:pStyle w:val="BodyText"/>
        <w:spacing w:line="360" w:lineRule="auto" w:before="1"/>
        <w:ind w:left="276" w:right="143"/>
        <w:jc w:val="both"/>
      </w:pPr>
      <w:r>
        <w:rPr/>
        <w:t>El Panel Intergubernamental de Expertos sobre Cambio Climático (IPCC), mencionan que el cambio climático se debe a variaciones internas del sistema climático, a la interacción entre sus componentes, o a cambios del forzamiento interno</w:t>
      </w:r>
      <w:r>
        <w:rPr>
          <w:spacing w:val="51"/>
        </w:rPr>
        <w:t> </w:t>
      </w:r>
      <w:r>
        <w:rPr/>
        <w:t>debidos</w:t>
      </w:r>
      <w:r>
        <w:rPr>
          <w:spacing w:val="51"/>
        </w:rPr>
        <w:t> </w:t>
      </w:r>
      <w:r>
        <w:rPr/>
        <w:t>a</w:t>
      </w:r>
      <w:r>
        <w:rPr>
          <w:spacing w:val="51"/>
        </w:rPr>
        <w:t> </w:t>
      </w:r>
      <w:r>
        <w:rPr/>
        <w:t>causas</w:t>
      </w:r>
      <w:r>
        <w:rPr>
          <w:spacing w:val="51"/>
        </w:rPr>
        <w:t> </w:t>
      </w:r>
      <w:r>
        <w:rPr/>
        <w:t>naturales</w:t>
      </w:r>
      <w:r>
        <w:rPr>
          <w:spacing w:val="51"/>
        </w:rPr>
        <w:t> </w:t>
      </w:r>
      <w:r>
        <w:rPr/>
        <w:t>o</w:t>
      </w:r>
      <w:r>
        <w:rPr>
          <w:spacing w:val="51"/>
        </w:rPr>
        <w:t> </w:t>
      </w:r>
      <w:r>
        <w:rPr/>
        <w:t>actividades</w:t>
      </w:r>
      <w:r>
        <w:rPr>
          <w:spacing w:val="51"/>
        </w:rPr>
        <w:t> </w:t>
      </w:r>
      <w:r>
        <w:rPr/>
        <w:t>humanas.</w:t>
      </w:r>
      <w:r>
        <w:rPr>
          <w:spacing w:val="51"/>
        </w:rPr>
        <w:t> </w:t>
      </w:r>
      <w:r>
        <w:rPr/>
        <w:t>En</w:t>
      </w:r>
      <w:r>
        <w:rPr>
          <w:spacing w:val="51"/>
        </w:rPr>
        <w:t> </w:t>
      </w:r>
      <w:r>
        <w:rPr/>
        <w:t>general,</w:t>
      </w:r>
      <w:r>
        <w:rPr>
          <w:spacing w:val="51"/>
        </w:rPr>
        <w:t> </w:t>
      </w:r>
      <w:r>
        <w:rPr/>
        <w:t>no</w:t>
      </w:r>
      <w:r>
        <w:rPr>
          <w:spacing w:val="51"/>
        </w:rPr>
        <w:t> </w:t>
      </w:r>
      <w:r>
        <w:rPr/>
        <w:t>es</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posible determinar claramente en qué medida influye cada una de esas causas.</w:t>
      </w:r>
      <w:r>
        <w:rPr>
          <w:spacing w:val="-24"/>
        </w:rPr>
        <w:t> </w:t>
      </w:r>
      <w:r>
        <w:rPr/>
        <w:t>En las proyecciones de cambio climático, el IPCC suele tener en cuenta únicamente</w:t>
      </w:r>
      <w:r>
        <w:rPr>
          <w:spacing w:val="-24"/>
        </w:rPr>
        <w:t> </w:t>
      </w:r>
      <w:r>
        <w:rPr/>
        <w:t>la influencia ejercida sobre el clima por los aumentos antropogénicos de los GEI y</w:t>
      </w:r>
      <w:r>
        <w:rPr>
          <w:spacing w:val="-39"/>
        </w:rPr>
        <w:t> </w:t>
      </w:r>
      <w:r>
        <w:rPr/>
        <w:t>por otros factores relacionados con los seres humanos (IPCC, 1997). En los últimos años</w:t>
      </w:r>
      <w:r>
        <w:rPr>
          <w:spacing w:val="-15"/>
        </w:rPr>
        <w:t> </w:t>
      </w:r>
      <w:r>
        <w:rPr/>
        <w:t>se</w:t>
      </w:r>
      <w:r>
        <w:rPr>
          <w:spacing w:val="-15"/>
        </w:rPr>
        <w:t> </w:t>
      </w:r>
      <w:r>
        <w:rPr/>
        <w:t>ha</w:t>
      </w:r>
      <w:r>
        <w:rPr>
          <w:spacing w:val="-15"/>
        </w:rPr>
        <w:t> </w:t>
      </w:r>
      <w:r>
        <w:rPr/>
        <w:t>producido</w:t>
      </w:r>
      <w:r>
        <w:rPr>
          <w:spacing w:val="-15"/>
        </w:rPr>
        <w:t> </w:t>
      </w:r>
      <w:r>
        <w:rPr/>
        <w:t>un</w:t>
      </w:r>
      <w:r>
        <w:rPr>
          <w:spacing w:val="-15"/>
        </w:rPr>
        <w:t> </w:t>
      </w:r>
      <w:r>
        <w:rPr/>
        <w:t>considerable</w:t>
      </w:r>
      <w:r>
        <w:rPr>
          <w:spacing w:val="-15"/>
        </w:rPr>
        <w:t> </w:t>
      </w:r>
      <w:r>
        <w:rPr/>
        <w:t>debate</w:t>
      </w:r>
      <w:r>
        <w:rPr>
          <w:spacing w:val="-15"/>
        </w:rPr>
        <w:t> </w:t>
      </w:r>
      <w:r>
        <w:rPr/>
        <w:t>y</w:t>
      </w:r>
      <w:r>
        <w:rPr>
          <w:spacing w:val="-15"/>
        </w:rPr>
        <w:t> </w:t>
      </w:r>
      <w:r>
        <w:rPr/>
        <w:t>una</w:t>
      </w:r>
      <w:r>
        <w:rPr>
          <w:spacing w:val="-15"/>
        </w:rPr>
        <w:t> </w:t>
      </w:r>
      <w:r>
        <w:rPr/>
        <w:t>creciente</w:t>
      </w:r>
      <w:r>
        <w:rPr>
          <w:spacing w:val="-15"/>
        </w:rPr>
        <w:t> </w:t>
      </w:r>
      <w:r>
        <w:rPr/>
        <w:t>preocupación</w:t>
      </w:r>
      <w:r>
        <w:rPr>
          <w:spacing w:val="-15"/>
        </w:rPr>
        <w:t> </w:t>
      </w:r>
      <w:r>
        <w:rPr/>
        <w:t>en</w:t>
      </w:r>
      <w:r>
        <w:rPr>
          <w:spacing w:val="-15"/>
        </w:rPr>
        <w:t> </w:t>
      </w:r>
      <w:r>
        <w:rPr/>
        <w:t>torno al</w:t>
      </w:r>
      <w:r>
        <w:rPr>
          <w:spacing w:val="-11"/>
        </w:rPr>
        <w:t> </w:t>
      </w:r>
      <w:r>
        <w:rPr/>
        <w:t>incremento</w:t>
      </w:r>
      <w:r>
        <w:rPr>
          <w:spacing w:val="-11"/>
        </w:rPr>
        <w:t> </w:t>
      </w:r>
      <w:r>
        <w:rPr/>
        <w:t>de</w:t>
      </w:r>
      <w:r>
        <w:rPr>
          <w:spacing w:val="-11"/>
        </w:rPr>
        <w:t> </w:t>
      </w:r>
      <w:r>
        <w:rPr/>
        <w:t>las</w:t>
      </w:r>
      <w:r>
        <w:rPr>
          <w:spacing w:val="-11"/>
        </w:rPr>
        <w:t> </w:t>
      </w:r>
      <w:r>
        <w:rPr/>
        <w:t>emisiones</w:t>
      </w:r>
      <w:r>
        <w:rPr>
          <w:spacing w:val="-11"/>
        </w:rPr>
        <w:t> </w:t>
      </w:r>
      <w:r>
        <w:rPr/>
        <w:t>de</w:t>
      </w:r>
      <w:r>
        <w:rPr>
          <w:spacing w:val="-11"/>
        </w:rPr>
        <w:t> </w:t>
      </w:r>
      <w:r>
        <w:rPr/>
        <w:t>gases</w:t>
      </w:r>
      <w:r>
        <w:rPr>
          <w:spacing w:val="-11"/>
        </w:rPr>
        <w:t> </w:t>
      </w:r>
      <w:r>
        <w:rPr/>
        <w:t>con</w:t>
      </w:r>
      <w:r>
        <w:rPr>
          <w:spacing w:val="-11"/>
        </w:rPr>
        <w:t> </w:t>
      </w:r>
      <w:r>
        <w:rPr/>
        <w:t>efecto</w:t>
      </w:r>
      <w:r>
        <w:rPr>
          <w:spacing w:val="-11"/>
        </w:rPr>
        <w:t> </w:t>
      </w:r>
      <w:r>
        <w:rPr/>
        <w:t>invernadero,</w:t>
      </w:r>
      <w:r>
        <w:rPr>
          <w:spacing w:val="-11"/>
        </w:rPr>
        <w:t> </w:t>
      </w:r>
      <w:r>
        <w:rPr/>
        <w:t>como</w:t>
      </w:r>
      <w:r>
        <w:rPr>
          <w:spacing w:val="-11"/>
        </w:rPr>
        <w:t> </w:t>
      </w:r>
      <w:r>
        <w:rPr/>
        <w:t>resultado</w:t>
      </w:r>
      <w:r>
        <w:rPr>
          <w:spacing w:val="-11"/>
        </w:rPr>
        <w:t> </w:t>
      </w:r>
      <w:r>
        <w:rPr/>
        <w:t>de la actividad humana en general, y de la ganadería en particular. Entre los sistemas de producción ganadera más implicados en estas emisiones se encuentran los rumiantes</w:t>
      </w:r>
      <w:r>
        <w:rPr>
          <w:spacing w:val="-12"/>
        </w:rPr>
        <w:t> </w:t>
      </w:r>
      <w:r>
        <w:rPr/>
        <w:t>tanto</w:t>
      </w:r>
      <w:r>
        <w:rPr>
          <w:spacing w:val="-12"/>
        </w:rPr>
        <w:t> </w:t>
      </w:r>
      <w:r>
        <w:rPr/>
        <w:t>para</w:t>
      </w:r>
      <w:r>
        <w:rPr>
          <w:spacing w:val="-12"/>
        </w:rPr>
        <w:t> </w:t>
      </w:r>
      <w:r>
        <w:rPr/>
        <w:t>la</w:t>
      </w:r>
      <w:r>
        <w:rPr>
          <w:spacing w:val="-12"/>
        </w:rPr>
        <w:t> </w:t>
      </w:r>
      <w:r>
        <w:rPr/>
        <w:t>producción</w:t>
      </w:r>
      <w:r>
        <w:rPr>
          <w:spacing w:val="-12"/>
        </w:rPr>
        <w:t> </w:t>
      </w:r>
      <w:r>
        <w:rPr/>
        <w:t>de</w:t>
      </w:r>
      <w:r>
        <w:rPr>
          <w:spacing w:val="-12"/>
        </w:rPr>
        <w:t> </w:t>
      </w:r>
      <w:r>
        <w:rPr/>
        <w:t>leche</w:t>
      </w:r>
      <w:r>
        <w:rPr>
          <w:spacing w:val="-12"/>
        </w:rPr>
        <w:t> </w:t>
      </w:r>
      <w:r>
        <w:rPr/>
        <w:t>como</w:t>
      </w:r>
      <w:r>
        <w:rPr>
          <w:spacing w:val="-12"/>
        </w:rPr>
        <w:t> </w:t>
      </w:r>
      <w:r>
        <w:rPr/>
        <w:t>para</w:t>
      </w:r>
      <w:r>
        <w:rPr>
          <w:spacing w:val="-12"/>
        </w:rPr>
        <w:t> </w:t>
      </w:r>
      <w:r>
        <w:rPr/>
        <w:t>la</w:t>
      </w:r>
      <w:r>
        <w:rPr>
          <w:spacing w:val="-12"/>
        </w:rPr>
        <w:t> </w:t>
      </w:r>
      <w:r>
        <w:rPr/>
        <w:t>producción</w:t>
      </w:r>
      <w:r>
        <w:rPr>
          <w:spacing w:val="-12"/>
        </w:rPr>
        <w:t> </w:t>
      </w:r>
      <w:r>
        <w:rPr/>
        <w:t>de</w:t>
      </w:r>
      <w:r>
        <w:rPr>
          <w:spacing w:val="-12"/>
        </w:rPr>
        <w:t> </w:t>
      </w:r>
      <w:r>
        <w:rPr/>
        <w:t>carne</w:t>
      </w:r>
      <w:r>
        <w:rPr>
          <w:spacing w:val="-12"/>
        </w:rPr>
        <w:t> </w:t>
      </w:r>
      <w:r>
        <w:rPr/>
        <w:t>(Blas </w:t>
      </w:r>
      <w:r>
        <w:rPr>
          <w:i/>
        </w:rPr>
        <w:t>et al.,</w:t>
      </w:r>
      <w:r>
        <w:rPr>
          <w:i/>
          <w:spacing w:val="-2"/>
        </w:rPr>
        <w:t> </w:t>
      </w:r>
      <w:r>
        <w:rPr/>
        <w:t>2008).</w:t>
      </w:r>
    </w:p>
    <w:p>
      <w:pPr>
        <w:pStyle w:val="BodyText"/>
        <w:spacing w:before="1"/>
        <w:rPr>
          <w:sz w:val="21"/>
        </w:rPr>
      </w:pPr>
    </w:p>
    <w:p>
      <w:pPr>
        <w:pStyle w:val="BodyText"/>
        <w:spacing w:line="360" w:lineRule="auto"/>
        <w:ind w:left="276" w:right="143"/>
        <w:jc w:val="both"/>
      </w:pPr>
      <w:r>
        <w:rPr/>
        <w:t>La</w:t>
      </w:r>
      <w:r>
        <w:rPr>
          <w:spacing w:val="-18"/>
        </w:rPr>
        <w:t> </w:t>
      </w:r>
      <w:r>
        <w:rPr/>
        <w:t>FAO</w:t>
      </w:r>
      <w:r>
        <w:rPr>
          <w:spacing w:val="-18"/>
        </w:rPr>
        <w:t> </w:t>
      </w:r>
      <w:r>
        <w:rPr/>
        <w:t>(2010),</w:t>
      </w:r>
      <w:r>
        <w:rPr>
          <w:spacing w:val="-18"/>
        </w:rPr>
        <w:t> </w:t>
      </w:r>
      <w:r>
        <w:rPr/>
        <w:t>indica</w:t>
      </w:r>
      <w:r>
        <w:rPr>
          <w:spacing w:val="-18"/>
        </w:rPr>
        <w:t> </w:t>
      </w:r>
      <w:r>
        <w:rPr/>
        <w:t>que</w:t>
      </w:r>
      <w:r>
        <w:rPr>
          <w:spacing w:val="-18"/>
        </w:rPr>
        <w:t> </w:t>
      </w:r>
      <w:r>
        <w:rPr/>
        <w:t>la</w:t>
      </w:r>
      <w:r>
        <w:rPr>
          <w:spacing w:val="-18"/>
        </w:rPr>
        <w:t> </w:t>
      </w:r>
      <w:r>
        <w:rPr/>
        <w:t>ganadería</w:t>
      </w:r>
      <w:r>
        <w:rPr>
          <w:spacing w:val="-18"/>
        </w:rPr>
        <w:t> </w:t>
      </w:r>
      <w:r>
        <w:rPr/>
        <w:t>–especialmente</w:t>
      </w:r>
      <w:r>
        <w:rPr>
          <w:spacing w:val="-18"/>
        </w:rPr>
        <w:t> </w:t>
      </w:r>
      <w:r>
        <w:rPr/>
        <w:t>en</w:t>
      </w:r>
      <w:r>
        <w:rPr>
          <w:spacing w:val="-18"/>
        </w:rPr>
        <w:t> </w:t>
      </w:r>
      <w:r>
        <w:rPr/>
        <w:t>los</w:t>
      </w:r>
      <w:r>
        <w:rPr>
          <w:spacing w:val="-18"/>
        </w:rPr>
        <w:t> </w:t>
      </w:r>
      <w:r>
        <w:rPr/>
        <w:t>países</w:t>
      </w:r>
      <w:r>
        <w:rPr>
          <w:spacing w:val="-18"/>
        </w:rPr>
        <w:t> </w:t>
      </w:r>
      <w:r>
        <w:rPr/>
        <w:t>en</w:t>
      </w:r>
      <w:r>
        <w:rPr>
          <w:spacing w:val="-18"/>
        </w:rPr>
        <w:t> </w:t>
      </w:r>
      <w:r>
        <w:rPr/>
        <w:t>desarrollo– estuvo</w:t>
      </w:r>
      <w:r>
        <w:rPr>
          <w:spacing w:val="-6"/>
        </w:rPr>
        <w:t> </w:t>
      </w:r>
      <w:r>
        <w:rPr/>
        <w:t>ausente</w:t>
      </w:r>
      <w:r>
        <w:rPr>
          <w:spacing w:val="-6"/>
        </w:rPr>
        <w:t> </w:t>
      </w:r>
      <w:r>
        <w:rPr/>
        <w:t>en</w:t>
      </w:r>
      <w:r>
        <w:rPr>
          <w:spacing w:val="-6"/>
        </w:rPr>
        <w:t> </w:t>
      </w:r>
      <w:r>
        <w:rPr/>
        <w:t>las</w:t>
      </w:r>
      <w:r>
        <w:rPr>
          <w:spacing w:val="-6"/>
        </w:rPr>
        <w:t> </w:t>
      </w:r>
      <w:r>
        <w:rPr/>
        <w:t>discusiones</w:t>
      </w:r>
      <w:r>
        <w:rPr>
          <w:spacing w:val="-6"/>
        </w:rPr>
        <w:t> </w:t>
      </w:r>
      <w:r>
        <w:rPr/>
        <w:t>sobre</w:t>
      </w:r>
      <w:r>
        <w:rPr>
          <w:spacing w:val="-6"/>
        </w:rPr>
        <w:t> </w:t>
      </w:r>
      <w:r>
        <w:rPr/>
        <w:t>el</w:t>
      </w:r>
      <w:r>
        <w:rPr>
          <w:spacing w:val="-6"/>
        </w:rPr>
        <w:t> </w:t>
      </w:r>
      <w:r>
        <w:rPr/>
        <w:t>cambio</w:t>
      </w:r>
      <w:r>
        <w:rPr>
          <w:spacing w:val="-6"/>
        </w:rPr>
        <w:t> </w:t>
      </w:r>
      <w:r>
        <w:rPr/>
        <w:t>climático.</w:t>
      </w:r>
      <w:r>
        <w:rPr>
          <w:spacing w:val="-6"/>
        </w:rPr>
        <w:t> </w:t>
      </w:r>
      <w:r>
        <w:rPr/>
        <w:t>Sin</w:t>
      </w:r>
      <w:r>
        <w:rPr>
          <w:spacing w:val="-6"/>
        </w:rPr>
        <w:t> </w:t>
      </w:r>
      <w:r>
        <w:rPr/>
        <w:t>embargo,</w:t>
      </w:r>
      <w:r>
        <w:rPr>
          <w:spacing w:val="-6"/>
        </w:rPr>
        <w:t> </w:t>
      </w:r>
      <w:r>
        <w:rPr/>
        <w:t>además de sufrir sus consecuencias, la ganadería también contribuye al incremento del cambio</w:t>
      </w:r>
      <w:r>
        <w:rPr>
          <w:spacing w:val="-6"/>
        </w:rPr>
        <w:t> </w:t>
      </w:r>
      <w:r>
        <w:rPr/>
        <w:t>climático</w:t>
      </w:r>
      <w:r>
        <w:rPr>
          <w:spacing w:val="-6"/>
        </w:rPr>
        <w:t> </w:t>
      </w:r>
      <w:r>
        <w:rPr/>
        <w:t>de</w:t>
      </w:r>
      <w:r>
        <w:rPr>
          <w:spacing w:val="-6"/>
        </w:rPr>
        <w:t> </w:t>
      </w:r>
      <w:r>
        <w:rPr/>
        <w:t>manera</w:t>
      </w:r>
      <w:r>
        <w:rPr>
          <w:spacing w:val="-6"/>
        </w:rPr>
        <w:t> </w:t>
      </w:r>
      <w:r>
        <w:rPr/>
        <w:t>significativa.</w:t>
      </w:r>
      <w:r>
        <w:rPr>
          <w:spacing w:val="-6"/>
        </w:rPr>
        <w:t> </w:t>
      </w:r>
      <w:r>
        <w:rPr/>
        <w:t>La</w:t>
      </w:r>
      <w:r>
        <w:rPr>
          <w:spacing w:val="-6"/>
        </w:rPr>
        <w:t> </w:t>
      </w:r>
      <w:r>
        <w:rPr/>
        <w:t>ganadería</w:t>
      </w:r>
      <w:r>
        <w:rPr>
          <w:spacing w:val="-6"/>
        </w:rPr>
        <w:t> </w:t>
      </w:r>
      <w:r>
        <w:rPr/>
        <w:t>es</w:t>
      </w:r>
      <w:r>
        <w:rPr>
          <w:spacing w:val="-6"/>
        </w:rPr>
        <w:t> </w:t>
      </w:r>
      <w:r>
        <w:rPr/>
        <w:t>una</w:t>
      </w:r>
      <w:r>
        <w:rPr>
          <w:spacing w:val="-6"/>
        </w:rPr>
        <w:t> </w:t>
      </w:r>
      <w:r>
        <w:rPr/>
        <w:t>importante</w:t>
      </w:r>
      <w:r>
        <w:rPr>
          <w:spacing w:val="-6"/>
        </w:rPr>
        <w:t> </w:t>
      </w:r>
      <w:r>
        <w:rPr/>
        <w:t>fuente</w:t>
      </w:r>
      <w:r>
        <w:rPr>
          <w:spacing w:val="-6"/>
        </w:rPr>
        <w:t> </w:t>
      </w:r>
      <w:r>
        <w:rPr/>
        <w:t>de emisiones de GEI y representa el 14% del total global. Este porcentaje llega a ser más alto si se incluyen aspectos relacionados como el cambio de uso que se le da a la tierra, la deforestación y el efecto de las emisiones más allá de los límites de</w:t>
      </w:r>
      <w:r>
        <w:rPr>
          <w:spacing w:val="-34"/>
        </w:rPr>
        <w:t> </w:t>
      </w:r>
      <w:r>
        <w:rPr/>
        <w:t>la finca (FAO, 2009).</w:t>
      </w:r>
    </w:p>
    <w:p>
      <w:pPr>
        <w:pStyle w:val="BodyText"/>
        <w:spacing w:before="1"/>
        <w:rPr>
          <w:sz w:val="21"/>
        </w:rPr>
      </w:pPr>
    </w:p>
    <w:p>
      <w:pPr>
        <w:pStyle w:val="BodyText"/>
        <w:spacing w:line="355" w:lineRule="auto"/>
        <w:ind w:left="276" w:right="143"/>
        <w:jc w:val="both"/>
      </w:pPr>
      <w:r>
        <w:rPr/>
        <w:t>La agricultura y la producción pecuaria contribuyen ampliamente a las emisiones antropogénicas de CH</w:t>
      </w:r>
      <w:r>
        <w:rPr>
          <w:position w:val="-2"/>
          <w:sz w:val="16"/>
        </w:rPr>
        <w:t>4</w:t>
      </w:r>
      <w:r>
        <w:rPr/>
        <w:t>, CO</w:t>
      </w:r>
      <w:r>
        <w:rPr>
          <w:position w:val="-2"/>
          <w:sz w:val="16"/>
        </w:rPr>
        <w:t>2 </w:t>
      </w:r>
      <w:r>
        <w:rPr/>
        <w:t>y N</w:t>
      </w:r>
      <w:r>
        <w:rPr>
          <w:position w:val="-2"/>
          <w:sz w:val="16"/>
        </w:rPr>
        <w:t>2</w:t>
      </w:r>
      <w:r>
        <w:rPr/>
        <w:t>O a la atmósfera. El aumento de las concentraciones</w:t>
      </w:r>
      <w:r>
        <w:rPr>
          <w:spacing w:val="-5"/>
        </w:rPr>
        <w:t> </w:t>
      </w:r>
      <w:r>
        <w:rPr/>
        <w:t>de</w:t>
      </w:r>
      <w:r>
        <w:rPr>
          <w:spacing w:val="-5"/>
        </w:rPr>
        <w:t> </w:t>
      </w:r>
      <w:r>
        <w:rPr/>
        <w:t>estos</w:t>
      </w:r>
      <w:r>
        <w:rPr>
          <w:spacing w:val="-5"/>
        </w:rPr>
        <w:t> </w:t>
      </w:r>
      <w:r>
        <w:rPr/>
        <w:t>gases</w:t>
      </w:r>
      <w:r>
        <w:rPr>
          <w:spacing w:val="-5"/>
        </w:rPr>
        <w:t> </w:t>
      </w:r>
      <w:r>
        <w:rPr/>
        <w:t>provoca</w:t>
      </w:r>
      <w:r>
        <w:rPr>
          <w:spacing w:val="-5"/>
        </w:rPr>
        <w:t> </w:t>
      </w:r>
      <w:r>
        <w:rPr/>
        <w:t>un</w:t>
      </w:r>
      <w:r>
        <w:rPr>
          <w:spacing w:val="-5"/>
        </w:rPr>
        <w:t> </w:t>
      </w:r>
      <w:r>
        <w:rPr/>
        <w:t>calentamiento</w:t>
      </w:r>
      <w:r>
        <w:rPr>
          <w:spacing w:val="-5"/>
        </w:rPr>
        <w:t> </w:t>
      </w:r>
      <w:r>
        <w:rPr/>
        <w:t>de</w:t>
      </w:r>
      <w:r>
        <w:rPr>
          <w:spacing w:val="-5"/>
        </w:rPr>
        <w:t> </w:t>
      </w:r>
      <w:r>
        <w:rPr/>
        <w:t>la</w:t>
      </w:r>
      <w:r>
        <w:rPr>
          <w:spacing w:val="-5"/>
        </w:rPr>
        <w:t> </w:t>
      </w:r>
      <w:r>
        <w:rPr/>
        <w:t>superficie</w:t>
      </w:r>
      <w:r>
        <w:rPr>
          <w:spacing w:val="-5"/>
        </w:rPr>
        <w:t> </w:t>
      </w:r>
      <w:r>
        <w:rPr/>
        <w:t>terrestre y</w:t>
      </w:r>
      <w:r>
        <w:rPr>
          <w:spacing w:val="-9"/>
        </w:rPr>
        <w:t> </w:t>
      </w:r>
      <w:r>
        <w:rPr/>
        <w:t>la</w:t>
      </w:r>
      <w:r>
        <w:rPr>
          <w:spacing w:val="-8"/>
        </w:rPr>
        <w:t> </w:t>
      </w:r>
      <w:r>
        <w:rPr/>
        <w:t>destrucción</w:t>
      </w:r>
      <w:r>
        <w:rPr>
          <w:spacing w:val="-9"/>
        </w:rPr>
        <w:t> </w:t>
      </w:r>
      <w:r>
        <w:rPr/>
        <w:t>de</w:t>
      </w:r>
      <w:r>
        <w:rPr>
          <w:spacing w:val="-8"/>
        </w:rPr>
        <w:t> </w:t>
      </w:r>
      <w:r>
        <w:rPr/>
        <w:t>la</w:t>
      </w:r>
      <w:r>
        <w:rPr>
          <w:spacing w:val="-8"/>
        </w:rPr>
        <w:t> </w:t>
      </w:r>
      <w:r>
        <w:rPr/>
        <w:t>capa</w:t>
      </w:r>
      <w:r>
        <w:rPr>
          <w:spacing w:val="-9"/>
        </w:rPr>
        <w:t> </w:t>
      </w:r>
      <w:r>
        <w:rPr/>
        <w:t>de</w:t>
      </w:r>
      <w:r>
        <w:rPr>
          <w:spacing w:val="-8"/>
        </w:rPr>
        <w:t> </w:t>
      </w:r>
      <w:r>
        <w:rPr/>
        <w:t>ozono</w:t>
      </w:r>
      <w:r>
        <w:rPr>
          <w:spacing w:val="-9"/>
        </w:rPr>
        <w:t> </w:t>
      </w:r>
      <w:r>
        <w:rPr/>
        <w:t>en</w:t>
      </w:r>
      <w:r>
        <w:rPr>
          <w:spacing w:val="-8"/>
        </w:rPr>
        <w:t> </w:t>
      </w:r>
      <w:r>
        <w:rPr/>
        <w:t>la</w:t>
      </w:r>
      <w:r>
        <w:rPr>
          <w:spacing w:val="-8"/>
        </w:rPr>
        <w:t> </w:t>
      </w:r>
      <w:r>
        <w:rPr/>
        <w:t>estratosfera.</w:t>
      </w:r>
      <w:r>
        <w:rPr>
          <w:spacing w:val="-9"/>
        </w:rPr>
        <w:t> </w:t>
      </w:r>
      <w:r>
        <w:rPr/>
        <w:t>Dentro</w:t>
      </w:r>
      <w:r>
        <w:rPr>
          <w:spacing w:val="-8"/>
        </w:rPr>
        <w:t> </w:t>
      </w:r>
      <w:r>
        <w:rPr/>
        <w:t>de</w:t>
      </w:r>
      <w:r>
        <w:rPr>
          <w:spacing w:val="-8"/>
        </w:rPr>
        <w:t> </w:t>
      </w:r>
      <w:r>
        <w:rPr/>
        <w:t>la</w:t>
      </w:r>
      <w:r>
        <w:rPr>
          <w:spacing w:val="-9"/>
        </w:rPr>
        <w:t> </w:t>
      </w:r>
      <w:r>
        <w:rPr/>
        <w:t>gama</w:t>
      </w:r>
      <w:r>
        <w:rPr>
          <w:spacing w:val="-8"/>
        </w:rPr>
        <w:t> </w:t>
      </w:r>
      <w:r>
        <w:rPr/>
        <w:t>de</w:t>
      </w:r>
      <w:r>
        <w:rPr>
          <w:spacing w:val="-9"/>
        </w:rPr>
        <w:t> </w:t>
      </w:r>
      <w:r>
        <w:rPr/>
        <w:t>gases a los que se les atribuye efecto invernadero, se considera el CO</w:t>
      </w:r>
      <w:r>
        <w:rPr>
          <w:position w:val="-2"/>
          <w:sz w:val="16"/>
        </w:rPr>
        <w:t>2 </w:t>
      </w:r>
      <w:r>
        <w:rPr/>
        <w:t>el más</w:t>
      </w:r>
      <w:r>
        <w:rPr>
          <w:spacing w:val="-34"/>
        </w:rPr>
        <w:t> </w:t>
      </w:r>
      <w:r>
        <w:rPr/>
        <w:t>abundante y el que actualmente tiene un mayor aporte al incremento del calentamiento</w:t>
      </w:r>
      <w:r>
        <w:rPr>
          <w:spacing w:val="-12"/>
        </w:rPr>
        <w:t> </w:t>
      </w:r>
      <w:r>
        <w:rPr/>
        <w:t>global. Hoy día las concentraciones de CH</w:t>
      </w:r>
      <w:r>
        <w:rPr>
          <w:position w:val="-2"/>
          <w:sz w:val="16"/>
        </w:rPr>
        <w:t>4 </w:t>
      </w:r>
      <w:r>
        <w:rPr/>
        <w:t>son inferiores a las de CO</w:t>
      </w:r>
      <w:r>
        <w:rPr>
          <w:position w:val="-2"/>
          <w:sz w:val="16"/>
        </w:rPr>
        <w:t>2</w:t>
      </w:r>
      <w:r>
        <w:rPr/>
        <w:t>, sin embargo, el primero</w:t>
      </w:r>
      <w:r>
        <w:rPr>
          <w:spacing w:val="-13"/>
        </w:rPr>
        <w:t> </w:t>
      </w:r>
      <w:r>
        <w:rPr/>
        <w:t>se</w:t>
      </w:r>
      <w:r>
        <w:rPr>
          <w:spacing w:val="-13"/>
        </w:rPr>
        <w:t> </w:t>
      </w:r>
      <w:r>
        <w:rPr/>
        <w:t>está</w:t>
      </w:r>
      <w:r>
        <w:rPr>
          <w:spacing w:val="-13"/>
        </w:rPr>
        <w:t> </w:t>
      </w:r>
      <w:r>
        <w:rPr/>
        <w:t>incrementando</w:t>
      </w:r>
      <w:r>
        <w:rPr>
          <w:spacing w:val="-13"/>
        </w:rPr>
        <w:t> </w:t>
      </w:r>
      <w:r>
        <w:rPr/>
        <w:t>rápidamente</w:t>
      </w:r>
      <w:r>
        <w:rPr>
          <w:spacing w:val="-13"/>
        </w:rPr>
        <w:t> </w:t>
      </w:r>
      <w:r>
        <w:rPr/>
        <w:t>y</w:t>
      </w:r>
      <w:r>
        <w:rPr>
          <w:spacing w:val="-13"/>
        </w:rPr>
        <w:t> </w:t>
      </w:r>
      <w:r>
        <w:rPr/>
        <w:t>además</w:t>
      </w:r>
      <w:r>
        <w:rPr>
          <w:spacing w:val="-13"/>
        </w:rPr>
        <w:t> </w:t>
      </w:r>
      <w:r>
        <w:rPr/>
        <w:t>posee</w:t>
      </w:r>
      <w:r>
        <w:rPr>
          <w:spacing w:val="-13"/>
        </w:rPr>
        <w:t> </w:t>
      </w:r>
      <w:r>
        <w:rPr/>
        <w:t>un</w:t>
      </w:r>
      <w:r>
        <w:rPr>
          <w:spacing w:val="-13"/>
        </w:rPr>
        <w:t> </w:t>
      </w:r>
      <w:r>
        <w:rPr/>
        <w:t>efecto</w:t>
      </w:r>
      <w:r>
        <w:rPr>
          <w:spacing w:val="-13"/>
        </w:rPr>
        <w:t> </w:t>
      </w:r>
      <w:r>
        <w:rPr/>
        <w:t>21-30</w:t>
      </w:r>
      <w:r>
        <w:rPr>
          <w:spacing w:val="-13"/>
        </w:rPr>
        <w:t> </w:t>
      </w:r>
      <w:r>
        <w:rPr/>
        <w:t>veces más contaminante con respecto al CO</w:t>
      </w:r>
      <w:r>
        <w:rPr>
          <w:position w:val="-2"/>
          <w:sz w:val="16"/>
        </w:rPr>
        <w:t>2</w:t>
      </w:r>
      <w:r>
        <w:rPr/>
        <w:t>, considerándose que en el tiempo el CH</w:t>
      </w:r>
      <w:r>
        <w:rPr>
          <w:position w:val="-2"/>
          <w:sz w:val="16"/>
        </w:rPr>
        <w:t>4 </w:t>
      </w:r>
      <w:r>
        <w:rPr/>
        <w:t>pueda ser predominante. Las tasas de acumulación de CH</w:t>
      </w:r>
      <w:r>
        <w:rPr>
          <w:position w:val="-2"/>
          <w:sz w:val="16"/>
        </w:rPr>
        <w:t>4 </w:t>
      </w:r>
      <w:r>
        <w:rPr/>
        <w:t>y CO</w:t>
      </w:r>
      <w:r>
        <w:rPr>
          <w:position w:val="-2"/>
          <w:sz w:val="16"/>
        </w:rPr>
        <w:t>2 </w:t>
      </w:r>
      <w:r>
        <w:rPr/>
        <w:t>en la atmósfera han cambiado drásticamente en los últimos años presentándose un incremento de forma exponencial (Carmona </w:t>
      </w:r>
      <w:r>
        <w:rPr>
          <w:i/>
        </w:rPr>
        <w:t>et al.</w:t>
      </w:r>
      <w:r>
        <w:rPr/>
        <w:t>,</w:t>
      </w:r>
      <w:r>
        <w:rPr>
          <w:spacing w:val="-4"/>
        </w:rPr>
        <w:t> </w:t>
      </w:r>
      <w:r>
        <w:rPr/>
        <w:t>2005).</w:t>
      </w:r>
    </w:p>
    <w:p>
      <w:pPr>
        <w:spacing w:after="0" w:line="355" w:lineRule="auto"/>
        <w:jc w:val="both"/>
        <w:sectPr>
          <w:footerReference w:type="default" r:id="rId171"/>
          <w:pgSz w:w="12240" w:h="15840"/>
          <w:pgMar w:footer="739" w:header="741" w:top="1220" w:bottom="920" w:left="1720" w:right="1260"/>
        </w:sectPr>
      </w:pPr>
    </w:p>
    <w:p>
      <w:pPr>
        <w:pStyle w:val="BodyText"/>
        <w:spacing w:before="4"/>
        <w:rPr>
          <w:sz w:val="11"/>
        </w:rPr>
      </w:pPr>
    </w:p>
    <w:p>
      <w:pPr>
        <w:pStyle w:val="BodyText"/>
        <w:spacing w:line="360" w:lineRule="auto" w:before="69"/>
        <w:ind w:left="276" w:right="143"/>
        <w:jc w:val="both"/>
      </w:pPr>
      <w:r>
        <w:rPr/>
        <w:t>Steinfeld </w:t>
      </w:r>
      <w:r>
        <w:rPr>
          <w:i/>
        </w:rPr>
        <w:t>et al. </w:t>
      </w:r>
      <w:r>
        <w:rPr/>
        <w:t>(2009), menciona que la agricultura mundial tendrá que enfrentarse a numerosos desafíos durante las próximas décadas y el cambio climático hará la situación más compleja. Un calentamiento por encima de 2.5°C podría reducir la oferta mundial de alimentos y propiciar un incremento de su precio. Algunas regiones agrícolas, especialmente en los trópicos y subtrópicos, estarán en peligro por el cambio climático, mientras que otras regiones, en particular las situadas en áreas templadas o en latitudes más altas, pueden resultar beneficiadas.</w:t>
      </w:r>
    </w:p>
    <w:p>
      <w:pPr>
        <w:pStyle w:val="BodyText"/>
        <w:spacing w:before="1"/>
        <w:rPr>
          <w:sz w:val="21"/>
        </w:rPr>
      </w:pPr>
    </w:p>
    <w:p>
      <w:pPr>
        <w:pStyle w:val="BodyText"/>
        <w:spacing w:line="360" w:lineRule="auto"/>
        <w:ind w:left="276" w:right="143"/>
        <w:jc w:val="both"/>
      </w:pPr>
      <w:r>
        <w:rPr/>
        <w:t>Esta</w:t>
      </w:r>
      <w:r>
        <w:rPr>
          <w:spacing w:val="-11"/>
        </w:rPr>
        <w:t> </w:t>
      </w:r>
      <w:r>
        <w:rPr/>
        <w:t>revisión</w:t>
      </w:r>
      <w:r>
        <w:rPr>
          <w:spacing w:val="-11"/>
        </w:rPr>
        <w:t> </w:t>
      </w:r>
      <w:r>
        <w:rPr/>
        <w:t>tiene</w:t>
      </w:r>
      <w:r>
        <w:rPr>
          <w:spacing w:val="-11"/>
        </w:rPr>
        <w:t> </w:t>
      </w:r>
      <w:r>
        <w:rPr/>
        <w:t>como</w:t>
      </w:r>
      <w:r>
        <w:rPr>
          <w:spacing w:val="-11"/>
        </w:rPr>
        <w:t> </w:t>
      </w:r>
      <w:r>
        <w:rPr/>
        <w:t>objetivo</w:t>
      </w:r>
      <w:r>
        <w:rPr>
          <w:spacing w:val="-11"/>
        </w:rPr>
        <w:t> </w:t>
      </w:r>
      <w:r>
        <w:rPr/>
        <w:t>analizar</w:t>
      </w:r>
      <w:r>
        <w:rPr>
          <w:spacing w:val="-11"/>
        </w:rPr>
        <w:t> </w:t>
      </w:r>
      <w:r>
        <w:rPr/>
        <w:t>los</w:t>
      </w:r>
      <w:r>
        <w:rPr>
          <w:spacing w:val="-11"/>
        </w:rPr>
        <w:t> </w:t>
      </w:r>
      <w:r>
        <w:rPr/>
        <w:t>diferentes</w:t>
      </w:r>
      <w:r>
        <w:rPr>
          <w:spacing w:val="-11"/>
        </w:rPr>
        <w:t> </w:t>
      </w:r>
      <w:r>
        <w:rPr/>
        <w:t>factores</w:t>
      </w:r>
      <w:r>
        <w:rPr>
          <w:spacing w:val="-11"/>
        </w:rPr>
        <w:t> </w:t>
      </w:r>
      <w:r>
        <w:rPr/>
        <w:t>involucrados</w:t>
      </w:r>
      <w:r>
        <w:rPr>
          <w:spacing w:val="-11"/>
        </w:rPr>
        <w:t> </w:t>
      </w:r>
      <w:r>
        <w:rPr/>
        <w:t>en</w:t>
      </w:r>
      <w:r>
        <w:rPr>
          <w:spacing w:val="-11"/>
        </w:rPr>
        <w:t> </w:t>
      </w:r>
      <w:r>
        <w:rPr/>
        <w:t>las emisiones de GEI producto de los bovinos, así como la importancia del sector ganadero y su relación con las emisiones de GEI generados por la fermentación entérica y el manejo del estiércol y su impacto ambiental.</w:t>
      </w:r>
    </w:p>
    <w:p>
      <w:pPr>
        <w:pStyle w:val="BodyText"/>
        <w:spacing w:before="1"/>
        <w:rPr>
          <w:sz w:val="21"/>
        </w:rPr>
      </w:pPr>
    </w:p>
    <w:p>
      <w:pPr>
        <w:pStyle w:val="Heading6"/>
      </w:pPr>
      <w:r>
        <w:rPr/>
        <w:t>Importancia del sector ganadero y su relación con las emisiones de GEI</w:t>
      </w:r>
    </w:p>
    <w:p>
      <w:pPr>
        <w:pStyle w:val="BodyText"/>
        <w:spacing w:before="8"/>
        <w:rPr>
          <w:b/>
          <w:sz w:val="32"/>
        </w:rPr>
      </w:pPr>
    </w:p>
    <w:p>
      <w:pPr>
        <w:pStyle w:val="BodyText"/>
        <w:spacing w:line="360" w:lineRule="auto" w:before="1"/>
        <w:ind w:left="276" w:right="143"/>
        <w:jc w:val="both"/>
      </w:pPr>
      <w:r>
        <w:rPr/>
        <w:t>Es evidente la importancia de la agricultura como actividad económica y el impacto que esta ocasiona a los recursos naturales que son la base de su producción. Este sector representa el 40% del producto interno bruto (PIB), genera empleo para mil trescientos millones de personas y medios de subsistencia para mil millones de pobres en todo el mundo (Steinfeld </w:t>
      </w:r>
      <w:r>
        <w:rPr>
          <w:i/>
        </w:rPr>
        <w:t>et al., </w:t>
      </w:r>
      <w:r>
        <w:rPr/>
        <w:t>2009). Debido al crecimiento poblacional estimado</w:t>
      </w:r>
      <w:r>
        <w:rPr>
          <w:spacing w:val="-14"/>
        </w:rPr>
        <w:t> </w:t>
      </w:r>
      <w:r>
        <w:rPr/>
        <w:t>para</w:t>
      </w:r>
      <w:r>
        <w:rPr>
          <w:spacing w:val="-14"/>
        </w:rPr>
        <w:t> </w:t>
      </w:r>
      <w:r>
        <w:rPr/>
        <w:t>el</w:t>
      </w:r>
      <w:r>
        <w:rPr>
          <w:spacing w:val="-14"/>
        </w:rPr>
        <w:t> </w:t>
      </w:r>
      <w:r>
        <w:rPr/>
        <w:t>año</w:t>
      </w:r>
      <w:r>
        <w:rPr>
          <w:spacing w:val="-14"/>
        </w:rPr>
        <w:t> </w:t>
      </w:r>
      <w:r>
        <w:rPr/>
        <w:t>2050</w:t>
      </w:r>
      <w:r>
        <w:rPr>
          <w:spacing w:val="-14"/>
        </w:rPr>
        <w:t> </w:t>
      </w:r>
      <w:r>
        <w:rPr/>
        <w:t>en</w:t>
      </w:r>
      <w:r>
        <w:rPr>
          <w:spacing w:val="-14"/>
        </w:rPr>
        <w:t> </w:t>
      </w:r>
      <w:r>
        <w:rPr/>
        <w:t>9100</w:t>
      </w:r>
      <w:r>
        <w:rPr>
          <w:spacing w:val="-14"/>
        </w:rPr>
        <w:t> </w:t>
      </w:r>
      <w:r>
        <w:rPr/>
        <w:t>millones</w:t>
      </w:r>
      <w:r>
        <w:rPr>
          <w:spacing w:val="-14"/>
        </w:rPr>
        <w:t> </w:t>
      </w:r>
      <w:r>
        <w:rPr/>
        <w:t>de</w:t>
      </w:r>
      <w:r>
        <w:rPr>
          <w:spacing w:val="-14"/>
        </w:rPr>
        <w:t> </w:t>
      </w:r>
      <w:r>
        <w:rPr/>
        <w:t>habitantes,</w:t>
      </w:r>
      <w:r>
        <w:rPr>
          <w:spacing w:val="-14"/>
        </w:rPr>
        <w:t> </w:t>
      </w:r>
      <w:r>
        <w:rPr/>
        <w:t>se</w:t>
      </w:r>
      <w:r>
        <w:rPr>
          <w:spacing w:val="-14"/>
        </w:rPr>
        <w:t> </w:t>
      </w:r>
      <w:r>
        <w:rPr/>
        <w:t>estima</w:t>
      </w:r>
      <w:r>
        <w:rPr>
          <w:spacing w:val="-14"/>
        </w:rPr>
        <w:t> </w:t>
      </w:r>
      <w:r>
        <w:rPr/>
        <w:t>un</w:t>
      </w:r>
      <w:r>
        <w:rPr>
          <w:spacing w:val="-14"/>
        </w:rPr>
        <w:t> </w:t>
      </w:r>
      <w:r>
        <w:rPr/>
        <w:t>crecimiento del 70% en la producción de alimentos según la FAO. La producción ganadera suministra</w:t>
      </w:r>
      <w:r>
        <w:rPr>
          <w:spacing w:val="-17"/>
        </w:rPr>
        <w:t> </w:t>
      </w:r>
      <w:r>
        <w:rPr/>
        <w:t>un</w:t>
      </w:r>
      <w:r>
        <w:rPr>
          <w:spacing w:val="-17"/>
        </w:rPr>
        <w:t> </w:t>
      </w:r>
      <w:r>
        <w:rPr/>
        <w:t>tercio</w:t>
      </w:r>
      <w:r>
        <w:rPr>
          <w:spacing w:val="-17"/>
        </w:rPr>
        <w:t> </w:t>
      </w:r>
      <w:r>
        <w:rPr/>
        <w:t>del</w:t>
      </w:r>
      <w:r>
        <w:rPr>
          <w:spacing w:val="-17"/>
        </w:rPr>
        <w:t> </w:t>
      </w:r>
      <w:r>
        <w:rPr/>
        <w:t>consumo</w:t>
      </w:r>
      <w:r>
        <w:rPr>
          <w:spacing w:val="-17"/>
        </w:rPr>
        <w:t> </w:t>
      </w:r>
      <w:r>
        <w:rPr/>
        <w:t>mundial</w:t>
      </w:r>
      <w:r>
        <w:rPr>
          <w:spacing w:val="-17"/>
        </w:rPr>
        <w:t> </w:t>
      </w:r>
      <w:r>
        <w:rPr/>
        <w:t>de</w:t>
      </w:r>
      <w:r>
        <w:rPr>
          <w:spacing w:val="-17"/>
        </w:rPr>
        <w:t> </w:t>
      </w:r>
      <w:r>
        <w:rPr/>
        <w:t>proteínas</w:t>
      </w:r>
      <w:r>
        <w:rPr>
          <w:spacing w:val="-17"/>
        </w:rPr>
        <w:t> </w:t>
      </w:r>
      <w:r>
        <w:rPr/>
        <w:t>y</w:t>
      </w:r>
      <w:r>
        <w:rPr>
          <w:spacing w:val="-17"/>
        </w:rPr>
        <w:t> </w:t>
      </w:r>
      <w:r>
        <w:rPr/>
        <w:t>se</w:t>
      </w:r>
      <w:r>
        <w:rPr>
          <w:spacing w:val="-17"/>
        </w:rPr>
        <w:t> </w:t>
      </w:r>
      <w:r>
        <w:rPr/>
        <w:t>considera</w:t>
      </w:r>
      <w:r>
        <w:rPr>
          <w:spacing w:val="-17"/>
        </w:rPr>
        <w:t> </w:t>
      </w:r>
      <w:r>
        <w:rPr/>
        <w:t>un</w:t>
      </w:r>
      <w:r>
        <w:rPr>
          <w:spacing w:val="-17"/>
        </w:rPr>
        <w:t> </w:t>
      </w:r>
      <w:r>
        <w:rPr/>
        <w:t>incremento de la producción mundial de carne y de leche para el 2050 en un 50% de la producción del 2000 (Steinfeld, </w:t>
      </w:r>
      <w:r>
        <w:rPr>
          <w:i/>
        </w:rPr>
        <w:t>et al.,</w:t>
      </w:r>
      <w:r>
        <w:rPr>
          <w:i/>
          <w:spacing w:val="-3"/>
        </w:rPr>
        <w:t> </w:t>
      </w:r>
      <w:r>
        <w:rPr/>
        <w:t>2009).</w:t>
      </w:r>
    </w:p>
    <w:p>
      <w:pPr>
        <w:pStyle w:val="BodyText"/>
        <w:spacing w:before="1"/>
        <w:rPr>
          <w:sz w:val="21"/>
        </w:rPr>
      </w:pPr>
    </w:p>
    <w:p>
      <w:pPr>
        <w:pStyle w:val="BodyText"/>
        <w:spacing w:line="357" w:lineRule="auto"/>
        <w:ind w:left="276" w:right="143"/>
        <w:jc w:val="both"/>
      </w:pPr>
      <w:r>
        <w:rPr/>
        <w:t>La ganadería como actividad productiva ocupa la mayor parte de la superficie terrestre,</w:t>
      </w:r>
      <w:r>
        <w:rPr>
          <w:spacing w:val="-4"/>
        </w:rPr>
        <w:t> </w:t>
      </w:r>
      <w:r>
        <w:rPr/>
        <w:t>aproximadamente</w:t>
      </w:r>
      <w:r>
        <w:rPr>
          <w:spacing w:val="-4"/>
        </w:rPr>
        <w:t> </w:t>
      </w:r>
      <w:r>
        <w:rPr/>
        <w:t>el</w:t>
      </w:r>
      <w:r>
        <w:rPr>
          <w:spacing w:val="-4"/>
        </w:rPr>
        <w:t> </w:t>
      </w:r>
      <w:r>
        <w:rPr/>
        <w:t>26%</w:t>
      </w:r>
      <w:r>
        <w:rPr>
          <w:spacing w:val="-4"/>
        </w:rPr>
        <w:t> </w:t>
      </w:r>
      <w:r>
        <w:rPr/>
        <w:t>del</w:t>
      </w:r>
      <w:r>
        <w:rPr>
          <w:spacing w:val="-4"/>
        </w:rPr>
        <w:t> </w:t>
      </w:r>
      <w:r>
        <w:rPr/>
        <w:t>área</w:t>
      </w:r>
      <w:r>
        <w:rPr>
          <w:spacing w:val="-4"/>
        </w:rPr>
        <w:t> </w:t>
      </w:r>
      <w:r>
        <w:rPr/>
        <w:t>total</w:t>
      </w:r>
      <w:r>
        <w:rPr>
          <w:spacing w:val="-4"/>
        </w:rPr>
        <w:t> </w:t>
      </w:r>
      <w:r>
        <w:rPr/>
        <w:t>libre</w:t>
      </w:r>
      <w:r>
        <w:rPr>
          <w:spacing w:val="-4"/>
        </w:rPr>
        <w:t> </w:t>
      </w:r>
      <w:r>
        <w:rPr/>
        <w:t>de</w:t>
      </w:r>
      <w:r>
        <w:rPr>
          <w:spacing w:val="-4"/>
        </w:rPr>
        <w:t> </w:t>
      </w:r>
      <w:r>
        <w:rPr/>
        <w:t>glaciares</w:t>
      </w:r>
      <w:r>
        <w:rPr>
          <w:spacing w:val="-4"/>
        </w:rPr>
        <w:t> </w:t>
      </w:r>
      <w:r>
        <w:rPr/>
        <w:t>se</w:t>
      </w:r>
      <w:r>
        <w:rPr>
          <w:spacing w:val="-4"/>
        </w:rPr>
        <w:t> </w:t>
      </w:r>
      <w:r>
        <w:rPr/>
        <w:t>utiliza</w:t>
      </w:r>
      <w:r>
        <w:rPr>
          <w:spacing w:val="-4"/>
        </w:rPr>
        <w:t> </w:t>
      </w:r>
      <w:r>
        <w:rPr/>
        <w:t>para</w:t>
      </w:r>
      <w:r>
        <w:rPr>
          <w:spacing w:val="-4"/>
        </w:rPr>
        <w:t> </w:t>
      </w:r>
      <w:r>
        <w:rPr/>
        <w:t>el pastoreo y el área para la producción de forraje representa el 33% del total de la tierra cultivable. El 20% de las praderas del mundo presentan grados de degradación</w:t>
      </w:r>
      <w:r>
        <w:rPr>
          <w:spacing w:val="-10"/>
        </w:rPr>
        <w:t> </w:t>
      </w:r>
      <w:r>
        <w:rPr/>
        <w:t>por</w:t>
      </w:r>
      <w:r>
        <w:rPr>
          <w:spacing w:val="-10"/>
        </w:rPr>
        <w:t> </w:t>
      </w:r>
      <w:r>
        <w:rPr/>
        <w:t>sobrepastoreo</w:t>
      </w:r>
      <w:r>
        <w:rPr>
          <w:spacing w:val="-10"/>
        </w:rPr>
        <w:t> </w:t>
      </w:r>
      <w:r>
        <w:rPr/>
        <w:t>y</w:t>
      </w:r>
      <w:r>
        <w:rPr>
          <w:spacing w:val="-10"/>
        </w:rPr>
        <w:t> </w:t>
      </w:r>
      <w:r>
        <w:rPr/>
        <w:t>en</w:t>
      </w:r>
      <w:r>
        <w:rPr>
          <w:spacing w:val="-10"/>
        </w:rPr>
        <w:t> </w:t>
      </w:r>
      <w:r>
        <w:rPr/>
        <w:t>general</w:t>
      </w:r>
      <w:r>
        <w:rPr>
          <w:spacing w:val="-10"/>
        </w:rPr>
        <w:t> </w:t>
      </w:r>
      <w:r>
        <w:rPr/>
        <w:t>se</w:t>
      </w:r>
      <w:r>
        <w:rPr>
          <w:spacing w:val="-10"/>
        </w:rPr>
        <w:t> </w:t>
      </w:r>
      <w:r>
        <w:rPr/>
        <w:t>le</w:t>
      </w:r>
      <w:r>
        <w:rPr>
          <w:spacing w:val="-10"/>
        </w:rPr>
        <w:t> </w:t>
      </w:r>
      <w:r>
        <w:rPr/>
        <w:t>señala</w:t>
      </w:r>
      <w:r>
        <w:rPr>
          <w:spacing w:val="-10"/>
        </w:rPr>
        <w:t> </w:t>
      </w:r>
      <w:r>
        <w:rPr/>
        <w:t>como</w:t>
      </w:r>
      <w:r>
        <w:rPr>
          <w:spacing w:val="-10"/>
        </w:rPr>
        <w:t> </w:t>
      </w:r>
      <w:r>
        <w:rPr/>
        <w:t>fuente</w:t>
      </w:r>
      <w:r>
        <w:rPr>
          <w:spacing w:val="-10"/>
        </w:rPr>
        <w:t> </w:t>
      </w:r>
      <w:r>
        <w:rPr/>
        <w:t>de</w:t>
      </w:r>
      <w:r>
        <w:rPr>
          <w:spacing w:val="-10"/>
        </w:rPr>
        <w:t> </w:t>
      </w:r>
      <w:r>
        <w:rPr/>
        <w:t>emisiones de CO</w:t>
      </w:r>
      <w:r>
        <w:rPr>
          <w:position w:val="-2"/>
          <w:sz w:val="16"/>
        </w:rPr>
        <w:t>2 </w:t>
      </w:r>
      <w:r>
        <w:rPr/>
        <w:t>con el 18% de las emisiones totales de origen antropogénico (Steinfeld, </w:t>
      </w:r>
      <w:r>
        <w:rPr>
          <w:i/>
        </w:rPr>
        <w:t>et </w:t>
      </w:r>
      <w:r>
        <w:rPr>
          <w:i/>
        </w:rPr>
        <w:t>al.,</w:t>
      </w:r>
      <w:r>
        <w:rPr>
          <w:i/>
          <w:spacing w:val="-1"/>
        </w:rPr>
        <w:t> </w:t>
      </w:r>
      <w:r>
        <w:rPr/>
        <w:t>2009).</w:t>
      </w:r>
    </w:p>
    <w:p>
      <w:pPr>
        <w:spacing w:after="0" w:line="357" w:lineRule="auto"/>
        <w:jc w:val="both"/>
        <w:sectPr>
          <w:footerReference w:type="default" r:id="rId172"/>
          <w:pgSz w:w="12240" w:h="15840"/>
          <w:pgMar w:footer="739" w:header="741" w:top="1220" w:bottom="920" w:left="1720" w:right="1260"/>
          <w:pgNumType w:start="101"/>
        </w:sectPr>
      </w:pPr>
    </w:p>
    <w:p>
      <w:pPr>
        <w:pStyle w:val="BodyText"/>
        <w:spacing w:before="4"/>
        <w:rPr>
          <w:sz w:val="11"/>
        </w:rPr>
      </w:pPr>
    </w:p>
    <w:p>
      <w:pPr>
        <w:pStyle w:val="BodyText"/>
        <w:spacing w:line="355" w:lineRule="auto" w:before="69"/>
        <w:ind w:left="276" w:right="143"/>
        <w:jc w:val="both"/>
      </w:pPr>
      <w:r>
        <w:rPr/>
        <w:t>La emisiones de GEI que genera la agricultura está compuesta principalmente por las provenientes de actividades agrícolas (cultivos y manejo de suelos) y</w:t>
      </w:r>
      <w:r>
        <w:rPr>
          <w:spacing w:val="-12"/>
        </w:rPr>
        <w:t> </w:t>
      </w:r>
      <w:r>
        <w:rPr/>
        <w:t>pecuarias (fermentación</w:t>
      </w:r>
      <w:r>
        <w:rPr>
          <w:spacing w:val="-8"/>
        </w:rPr>
        <w:t> </w:t>
      </w:r>
      <w:r>
        <w:rPr/>
        <w:t>entérica</w:t>
      </w:r>
      <w:r>
        <w:rPr>
          <w:spacing w:val="-8"/>
        </w:rPr>
        <w:t> </w:t>
      </w:r>
      <w:r>
        <w:rPr/>
        <w:t>y</w:t>
      </w:r>
      <w:r>
        <w:rPr>
          <w:spacing w:val="-8"/>
        </w:rPr>
        <w:t> </w:t>
      </w:r>
      <w:r>
        <w:rPr/>
        <w:t>manejo</w:t>
      </w:r>
      <w:r>
        <w:rPr>
          <w:spacing w:val="-8"/>
        </w:rPr>
        <w:t> </w:t>
      </w:r>
      <w:r>
        <w:rPr/>
        <w:t>de</w:t>
      </w:r>
      <w:r>
        <w:rPr>
          <w:spacing w:val="-8"/>
        </w:rPr>
        <w:t> </w:t>
      </w:r>
      <w:r>
        <w:rPr/>
        <w:t>estiércol).</w:t>
      </w:r>
      <w:r>
        <w:rPr>
          <w:spacing w:val="-8"/>
        </w:rPr>
        <w:t> </w:t>
      </w:r>
      <w:r>
        <w:rPr/>
        <w:t>Sus</w:t>
      </w:r>
      <w:r>
        <w:rPr>
          <w:spacing w:val="-8"/>
        </w:rPr>
        <w:t> </w:t>
      </w:r>
      <w:r>
        <w:rPr/>
        <w:t>principales</w:t>
      </w:r>
      <w:r>
        <w:rPr>
          <w:spacing w:val="-8"/>
        </w:rPr>
        <w:t> </w:t>
      </w:r>
      <w:r>
        <w:rPr/>
        <w:t>gases</w:t>
      </w:r>
      <w:r>
        <w:rPr>
          <w:spacing w:val="-8"/>
        </w:rPr>
        <w:t> </w:t>
      </w:r>
      <w:r>
        <w:rPr/>
        <w:t>son</w:t>
      </w:r>
      <w:r>
        <w:rPr>
          <w:spacing w:val="-8"/>
        </w:rPr>
        <w:t> </w:t>
      </w:r>
      <w:r>
        <w:rPr/>
        <w:t>el</w:t>
      </w:r>
      <w:r>
        <w:rPr>
          <w:spacing w:val="-8"/>
        </w:rPr>
        <w:t> </w:t>
      </w:r>
      <w:r>
        <w:rPr/>
        <w:t>CH</w:t>
      </w:r>
      <w:r>
        <w:rPr>
          <w:position w:val="-2"/>
          <w:sz w:val="16"/>
        </w:rPr>
        <w:t>4</w:t>
      </w:r>
      <w:r>
        <w:rPr>
          <w:spacing w:val="15"/>
          <w:position w:val="-2"/>
          <w:sz w:val="16"/>
        </w:rPr>
        <w:t> </w:t>
      </w:r>
      <w:r>
        <w:rPr/>
        <w:t>y</w:t>
      </w:r>
      <w:r>
        <w:rPr>
          <w:spacing w:val="-8"/>
        </w:rPr>
        <w:t> </w:t>
      </w:r>
      <w:r>
        <w:rPr/>
        <w:t>el N</w:t>
      </w:r>
      <w:r>
        <w:rPr>
          <w:position w:val="-2"/>
          <w:sz w:val="16"/>
        </w:rPr>
        <w:t>2</w:t>
      </w:r>
      <w:r>
        <w:rPr/>
        <w:t>O. La agricultura aporta aproximadamente del 21 a 25, 60 y 65-80% de las emisiones</w:t>
      </w:r>
      <w:r>
        <w:rPr>
          <w:spacing w:val="-8"/>
        </w:rPr>
        <w:t> </w:t>
      </w:r>
      <w:r>
        <w:rPr/>
        <w:t>antropogénicas</w:t>
      </w:r>
      <w:r>
        <w:rPr>
          <w:spacing w:val="-8"/>
        </w:rPr>
        <w:t> </w:t>
      </w:r>
      <w:r>
        <w:rPr/>
        <w:t>totales</w:t>
      </w:r>
      <w:r>
        <w:rPr>
          <w:spacing w:val="-8"/>
        </w:rPr>
        <w:t> </w:t>
      </w:r>
      <w:r>
        <w:rPr/>
        <w:t>de</w:t>
      </w:r>
      <w:r>
        <w:rPr>
          <w:spacing w:val="-8"/>
        </w:rPr>
        <w:t> </w:t>
      </w:r>
      <w:r>
        <w:rPr/>
        <w:t>CO</w:t>
      </w:r>
      <w:r>
        <w:rPr>
          <w:position w:val="-2"/>
          <w:sz w:val="16"/>
        </w:rPr>
        <w:t>2</w:t>
      </w:r>
      <w:r>
        <w:rPr/>
        <w:t>,</w:t>
      </w:r>
      <w:r>
        <w:rPr>
          <w:spacing w:val="-7"/>
        </w:rPr>
        <w:t> </w:t>
      </w:r>
      <w:r>
        <w:rPr/>
        <w:t>CH</w:t>
      </w:r>
      <w:r>
        <w:rPr>
          <w:position w:val="-2"/>
          <w:sz w:val="16"/>
        </w:rPr>
        <w:t>4</w:t>
      </w:r>
      <w:r>
        <w:rPr>
          <w:spacing w:val="16"/>
          <w:position w:val="-2"/>
          <w:sz w:val="16"/>
        </w:rPr>
        <w:t> </w:t>
      </w:r>
      <w:r>
        <w:rPr/>
        <w:t>y</w:t>
      </w:r>
      <w:r>
        <w:rPr>
          <w:spacing w:val="-8"/>
        </w:rPr>
        <w:t> </w:t>
      </w:r>
      <w:r>
        <w:rPr/>
        <w:t>N</w:t>
      </w:r>
      <w:r>
        <w:rPr>
          <w:position w:val="-2"/>
          <w:sz w:val="16"/>
        </w:rPr>
        <w:t>2</w:t>
      </w:r>
      <w:r>
        <w:rPr/>
        <w:t>O</w:t>
      </w:r>
      <w:r>
        <w:rPr>
          <w:spacing w:val="-8"/>
        </w:rPr>
        <w:t> </w:t>
      </w:r>
      <w:r>
        <w:rPr/>
        <w:t>respectivamente.</w:t>
      </w:r>
      <w:r>
        <w:rPr>
          <w:spacing w:val="-8"/>
        </w:rPr>
        <w:t> </w:t>
      </w:r>
      <w:r>
        <w:rPr/>
        <w:t>También</w:t>
      </w:r>
      <w:r>
        <w:rPr>
          <w:spacing w:val="-8"/>
        </w:rPr>
        <w:t> </w:t>
      </w:r>
      <w:r>
        <w:rPr/>
        <w:t>se cree que la agricultura será responsable de más del 95% del amoníaco, el 50% del monóxido de carbono y el 35% de los óxidos de nitrógeno liberados a la atmósfera como consecuencia de los desechos por las actividades humanas. La liberación</w:t>
      </w:r>
      <w:r>
        <w:rPr>
          <w:spacing w:val="-23"/>
        </w:rPr>
        <w:t> </w:t>
      </w:r>
      <w:r>
        <w:rPr/>
        <w:t>de unos</w:t>
      </w:r>
      <w:r>
        <w:rPr>
          <w:spacing w:val="-9"/>
        </w:rPr>
        <w:t> </w:t>
      </w:r>
      <w:r>
        <w:rPr/>
        <w:t>205</w:t>
      </w:r>
      <w:r>
        <w:rPr>
          <w:spacing w:val="-9"/>
        </w:rPr>
        <w:t> </w:t>
      </w:r>
      <w:r>
        <w:rPr/>
        <w:t>a</w:t>
      </w:r>
      <w:r>
        <w:rPr>
          <w:spacing w:val="-9"/>
        </w:rPr>
        <w:t> </w:t>
      </w:r>
      <w:r>
        <w:rPr/>
        <w:t>245</w:t>
      </w:r>
      <w:r>
        <w:rPr>
          <w:spacing w:val="-9"/>
        </w:rPr>
        <w:t> </w:t>
      </w:r>
      <w:r>
        <w:rPr/>
        <w:t>millones</w:t>
      </w:r>
      <w:r>
        <w:rPr>
          <w:spacing w:val="-9"/>
        </w:rPr>
        <w:t> </w:t>
      </w:r>
      <w:r>
        <w:rPr/>
        <w:t>de</w:t>
      </w:r>
      <w:r>
        <w:rPr>
          <w:spacing w:val="-9"/>
        </w:rPr>
        <w:t> </w:t>
      </w:r>
      <w:r>
        <w:rPr/>
        <w:t>toneladas</w:t>
      </w:r>
      <w:r>
        <w:rPr>
          <w:spacing w:val="-9"/>
        </w:rPr>
        <w:t> </w:t>
      </w:r>
      <w:r>
        <w:rPr/>
        <w:t>de</w:t>
      </w:r>
      <w:r>
        <w:rPr>
          <w:spacing w:val="-9"/>
        </w:rPr>
        <w:t> </w:t>
      </w:r>
      <w:r>
        <w:rPr/>
        <w:t>CH</w:t>
      </w:r>
      <w:r>
        <w:rPr>
          <w:position w:val="-2"/>
          <w:sz w:val="16"/>
        </w:rPr>
        <w:t>4</w:t>
      </w:r>
      <w:r>
        <w:rPr>
          <w:spacing w:val="14"/>
          <w:position w:val="-2"/>
          <w:sz w:val="16"/>
        </w:rPr>
        <w:t> </w:t>
      </w:r>
      <w:r>
        <w:rPr/>
        <w:t>al</w:t>
      </w:r>
      <w:r>
        <w:rPr>
          <w:spacing w:val="-9"/>
        </w:rPr>
        <w:t> </w:t>
      </w:r>
      <w:r>
        <w:rPr/>
        <w:t>año</w:t>
      </w:r>
      <w:r>
        <w:rPr>
          <w:spacing w:val="-9"/>
        </w:rPr>
        <w:t> </w:t>
      </w:r>
      <w:r>
        <w:rPr/>
        <w:t>a</w:t>
      </w:r>
      <w:r>
        <w:rPr>
          <w:spacing w:val="-9"/>
        </w:rPr>
        <w:t> </w:t>
      </w:r>
      <w:r>
        <w:rPr/>
        <w:t>partir</w:t>
      </w:r>
      <w:r>
        <w:rPr>
          <w:spacing w:val="-9"/>
        </w:rPr>
        <w:t> </w:t>
      </w:r>
      <w:r>
        <w:rPr/>
        <w:t>de</w:t>
      </w:r>
      <w:r>
        <w:rPr>
          <w:spacing w:val="-9"/>
        </w:rPr>
        <w:t> </w:t>
      </w:r>
      <w:r>
        <w:rPr/>
        <w:t>la</w:t>
      </w:r>
      <w:r>
        <w:rPr>
          <w:spacing w:val="-9"/>
        </w:rPr>
        <w:t> </w:t>
      </w:r>
      <w:r>
        <w:rPr/>
        <w:t>agricultura,</w:t>
      </w:r>
      <w:r>
        <w:rPr>
          <w:spacing w:val="-9"/>
        </w:rPr>
        <w:t> </w:t>
      </w:r>
      <w:r>
        <w:rPr/>
        <w:t>de</w:t>
      </w:r>
      <w:r>
        <w:rPr>
          <w:spacing w:val="-9"/>
        </w:rPr>
        <w:t> </w:t>
      </w:r>
      <w:r>
        <w:rPr/>
        <w:t>las cuales 80 toneladas corresponden a la fermentación entérica (Moss </w:t>
      </w:r>
      <w:r>
        <w:rPr>
          <w:i/>
        </w:rPr>
        <w:t>et al.</w:t>
      </w:r>
      <w:r>
        <w:rPr/>
        <w:t>,</w:t>
      </w:r>
      <w:r>
        <w:rPr>
          <w:spacing w:val="-3"/>
        </w:rPr>
        <w:t> </w:t>
      </w:r>
      <w:r>
        <w:rPr/>
        <w:t>2000).</w:t>
      </w:r>
    </w:p>
    <w:p>
      <w:pPr>
        <w:pStyle w:val="BodyText"/>
        <w:spacing w:before="6"/>
        <w:rPr>
          <w:sz w:val="21"/>
        </w:rPr>
      </w:pPr>
    </w:p>
    <w:p>
      <w:pPr>
        <w:pStyle w:val="BodyText"/>
        <w:spacing w:line="355" w:lineRule="auto"/>
        <w:ind w:left="276" w:right="143"/>
        <w:jc w:val="both"/>
      </w:pPr>
      <w:r>
        <w:rPr/>
        <w:t>En</w:t>
      </w:r>
      <w:r>
        <w:rPr>
          <w:spacing w:val="-6"/>
        </w:rPr>
        <w:t> </w:t>
      </w:r>
      <w:r>
        <w:rPr/>
        <w:t>México,</w:t>
      </w:r>
      <w:r>
        <w:rPr>
          <w:spacing w:val="-6"/>
        </w:rPr>
        <w:t> </w:t>
      </w:r>
      <w:r>
        <w:rPr/>
        <w:t>La</w:t>
      </w:r>
      <w:r>
        <w:rPr>
          <w:spacing w:val="-6"/>
        </w:rPr>
        <w:t> </w:t>
      </w:r>
      <w:r>
        <w:rPr/>
        <w:t>ganadería</w:t>
      </w:r>
      <w:r>
        <w:rPr>
          <w:spacing w:val="-6"/>
        </w:rPr>
        <w:t> </w:t>
      </w:r>
      <w:r>
        <w:rPr/>
        <w:t>es</w:t>
      </w:r>
      <w:r>
        <w:rPr>
          <w:spacing w:val="-6"/>
        </w:rPr>
        <w:t> </w:t>
      </w:r>
      <w:r>
        <w:rPr/>
        <w:t>la</w:t>
      </w:r>
      <w:r>
        <w:rPr>
          <w:spacing w:val="-6"/>
        </w:rPr>
        <w:t> </w:t>
      </w:r>
      <w:r>
        <w:rPr/>
        <w:t>tercera</w:t>
      </w:r>
      <w:r>
        <w:rPr>
          <w:spacing w:val="-6"/>
        </w:rPr>
        <w:t> </w:t>
      </w:r>
      <w:r>
        <w:rPr/>
        <w:t>fuente</w:t>
      </w:r>
      <w:r>
        <w:rPr>
          <w:spacing w:val="-6"/>
        </w:rPr>
        <w:t> </w:t>
      </w:r>
      <w:r>
        <w:rPr/>
        <w:t>más</w:t>
      </w:r>
      <w:r>
        <w:rPr>
          <w:spacing w:val="-6"/>
        </w:rPr>
        <w:t> </w:t>
      </w:r>
      <w:r>
        <w:rPr/>
        <w:t>importante</w:t>
      </w:r>
      <w:r>
        <w:rPr>
          <w:spacing w:val="-6"/>
        </w:rPr>
        <w:t> </w:t>
      </w:r>
      <w:r>
        <w:rPr/>
        <w:t>de</w:t>
      </w:r>
      <w:r>
        <w:rPr>
          <w:spacing w:val="-6"/>
        </w:rPr>
        <w:t> </w:t>
      </w:r>
      <w:r>
        <w:rPr/>
        <w:t>emisiones</w:t>
      </w:r>
      <w:r>
        <w:rPr>
          <w:spacing w:val="-6"/>
        </w:rPr>
        <w:t> </w:t>
      </w:r>
      <w:r>
        <w:rPr/>
        <w:t>de</w:t>
      </w:r>
      <w:r>
        <w:rPr>
          <w:spacing w:val="-6"/>
        </w:rPr>
        <w:t> </w:t>
      </w:r>
      <w:r>
        <w:rPr/>
        <w:t>CH</w:t>
      </w:r>
      <w:r>
        <w:rPr>
          <w:position w:val="-2"/>
          <w:sz w:val="16"/>
        </w:rPr>
        <w:t>4</w:t>
      </w:r>
      <w:r>
        <w:rPr/>
        <w:t>, y las principales medidas de mitigación aplicables a esta actividad se refieren a un manejo sustentable de las tierras de pastoreo y al manejo de productos derivados de</w:t>
      </w:r>
      <w:r>
        <w:rPr>
          <w:spacing w:val="-7"/>
        </w:rPr>
        <w:t> </w:t>
      </w:r>
      <w:r>
        <w:rPr/>
        <w:t>la</w:t>
      </w:r>
      <w:r>
        <w:rPr>
          <w:spacing w:val="-7"/>
        </w:rPr>
        <w:t> </w:t>
      </w:r>
      <w:r>
        <w:rPr/>
        <w:t>fermentación</w:t>
      </w:r>
      <w:r>
        <w:rPr>
          <w:spacing w:val="-7"/>
        </w:rPr>
        <w:t> </w:t>
      </w:r>
      <w:r>
        <w:rPr/>
        <w:t>entérica</w:t>
      </w:r>
      <w:r>
        <w:rPr>
          <w:spacing w:val="-7"/>
        </w:rPr>
        <w:t> </w:t>
      </w:r>
      <w:r>
        <w:rPr/>
        <w:t>y</w:t>
      </w:r>
      <w:r>
        <w:rPr>
          <w:spacing w:val="-7"/>
        </w:rPr>
        <w:t> </w:t>
      </w:r>
      <w:r>
        <w:rPr/>
        <w:t>de</w:t>
      </w:r>
      <w:r>
        <w:rPr>
          <w:spacing w:val="-7"/>
        </w:rPr>
        <w:t> </w:t>
      </w:r>
      <w:r>
        <w:rPr/>
        <w:t>las</w:t>
      </w:r>
      <w:r>
        <w:rPr>
          <w:spacing w:val="-7"/>
        </w:rPr>
        <w:t> </w:t>
      </w:r>
      <w:r>
        <w:rPr/>
        <w:t>excretas</w:t>
      </w:r>
      <w:r>
        <w:rPr>
          <w:spacing w:val="-7"/>
        </w:rPr>
        <w:t> </w:t>
      </w:r>
      <w:r>
        <w:rPr/>
        <w:t>de</w:t>
      </w:r>
      <w:r>
        <w:rPr>
          <w:spacing w:val="-7"/>
        </w:rPr>
        <w:t> </w:t>
      </w:r>
      <w:r>
        <w:rPr/>
        <w:t>animales</w:t>
      </w:r>
      <w:r>
        <w:rPr>
          <w:spacing w:val="-7"/>
        </w:rPr>
        <w:t> </w:t>
      </w:r>
      <w:r>
        <w:rPr/>
        <w:t>(INE-SEMARNAT,</w:t>
      </w:r>
      <w:r>
        <w:rPr>
          <w:spacing w:val="-7"/>
        </w:rPr>
        <w:t> </w:t>
      </w:r>
      <w:r>
        <w:rPr/>
        <w:t>2009). Las emisiones promedio de CH</w:t>
      </w:r>
      <w:r>
        <w:rPr>
          <w:position w:val="-2"/>
          <w:sz w:val="16"/>
        </w:rPr>
        <w:t>4 </w:t>
      </w:r>
      <w:r>
        <w:rPr/>
        <w:t>en México para el periodo de 1990 - 2002 fueron de 1823 Gg, como suma de la fermentación entérica y el manejo de estiércol. así también, las emisiones generadas fueron principalmente por el ganado bovino, donde</w:t>
      </w:r>
      <w:r>
        <w:rPr>
          <w:spacing w:val="-14"/>
        </w:rPr>
        <w:t> </w:t>
      </w:r>
      <w:r>
        <w:rPr/>
        <w:t>el</w:t>
      </w:r>
      <w:r>
        <w:rPr>
          <w:spacing w:val="-14"/>
        </w:rPr>
        <w:t> </w:t>
      </w:r>
      <w:r>
        <w:rPr/>
        <w:t>de</w:t>
      </w:r>
      <w:r>
        <w:rPr>
          <w:spacing w:val="-14"/>
        </w:rPr>
        <w:t> </w:t>
      </w:r>
      <w:r>
        <w:rPr/>
        <w:t>carne</w:t>
      </w:r>
      <w:r>
        <w:rPr>
          <w:spacing w:val="-14"/>
        </w:rPr>
        <w:t> </w:t>
      </w:r>
      <w:r>
        <w:rPr/>
        <w:t>y</w:t>
      </w:r>
      <w:r>
        <w:rPr>
          <w:spacing w:val="-14"/>
        </w:rPr>
        <w:t> </w:t>
      </w:r>
      <w:r>
        <w:rPr/>
        <w:t>doble</w:t>
      </w:r>
      <w:r>
        <w:rPr>
          <w:spacing w:val="-14"/>
        </w:rPr>
        <w:t> </w:t>
      </w:r>
      <w:r>
        <w:rPr/>
        <w:t>propósito</w:t>
      </w:r>
      <w:r>
        <w:rPr>
          <w:spacing w:val="-14"/>
        </w:rPr>
        <w:t> </w:t>
      </w:r>
      <w:r>
        <w:rPr/>
        <w:t>produjeron</w:t>
      </w:r>
      <w:r>
        <w:rPr>
          <w:spacing w:val="-14"/>
        </w:rPr>
        <w:t> </w:t>
      </w:r>
      <w:r>
        <w:rPr/>
        <w:t>el</w:t>
      </w:r>
      <w:r>
        <w:rPr>
          <w:spacing w:val="-14"/>
        </w:rPr>
        <w:t> </w:t>
      </w:r>
      <w:r>
        <w:rPr/>
        <w:t>89%,</w:t>
      </w:r>
      <w:r>
        <w:rPr>
          <w:spacing w:val="-14"/>
        </w:rPr>
        <w:t> </w:t>
      </w:r>
      <w:r>
        <w:rPr/>
        <w:t>el</w:t>
      </w:r>
      <w:r>
        <w:rPr>
          <w:spacing w:val="-14"/>
        </w:rPr>
        <w:t> </w:t>
      </w:r>
      <w:r>
        <w:rPr/>
        <w:t>lechero</w:t>
      </w:r>
      <w:r>
        <w:rPr>
          <w:spacing w:val="-14"/>
        </w:rPr>
        <w:t> </w:t>
      </w:r>
      <w:r>
        <w:rPr/>
        <w:t>fue</w:t>
      </w:r>
      <w:r>
        <w:rPr>
          <w:spacing w:val="-14"/>
        </w:rPr>
        <w:t> </w:t>
      </w:r>
      <w:r>
        <w:rPr/>
        <w:t>el</w:t>
      </w:r>
      <w:r>
        <w:rPr>
          <w:spacing w:val="-14"/>
        </w:rPr>
        <w:t> </w:t>
      </w:r>
      <w:r>
        <w:rPr/>
        <w:t>responsable del 10% y los demás animales el 1% restante. Las emisiones promedio de CH</w:t>
      </w:r>
      <w:r>
        <w:rPr>
          <w:position w:val="-2"/>
          <w:sz w:val="16"/>
        </w:rPr>
        <w:t>4 </w:t>
      </w:r>
      <w:r>
        <w:rPr/>
        <w:t>estimadas de la sección ganadera en CO</w:t>
      </w:r>
      <w:r>
        <w:rPr>
          <w:position w:val="-2"/>
          <w:sz w:val="16"/>
        </w:rPr>
        <w:t>2 </w:t>
      </w:r>
      <w:r>
        <w:rPr/>
        <w:t>equivalente (CO</w:t>
      </w:r>
      <w:r>
        <w:rPr>
          <w:position w:val="-2"/>
          <w:sz w:val="16"/>
        </w:rPr>
        <w:t>2</w:t>
      </w:r>
      <w:r>
        <w:rPr/>
        <w:t>-eq) fueron del orden de 34241 Gg. para el periodo comprendido entre los años 1990 – 2002, que equivalen al 88% del total de las emisiones de CH</w:t>
      </w:r>
      <w:r>
        <w:rPr>
          <w:position w:val="-2"/>
          <w:sz w:val="16"/>
        </w:rPr>
        <w:t>4 </w:t>
      </w:r>
      <w:r>
        <w:rPr/>
        <w:t>de todo el sector y el 12 % restante corresponde al N</w:t>
      </w:r>
      <w:r>
        <w:rPr>
          <w:position w:val="-2"/>
          <w:sz w:val="16"/>
        </w:rPr>
        <w:t>2</w:t>
      </w:r>
      <w:r>
        <w:rPr/>
        <w:t>O. Para el mismo periodo, las emisiones promedio de CH</w:t>
      </w:r>
      <w:r>
        <w:rPr>
          <w:position w:val="-2"/>
          <w:sz w:val="16"/>
        </w:rPr>
        <w:t>4 </w:t>
      </w:r>
      <w:r>
        <w:rPr/>
        <w:t>representan el 84% de la categoría y las de N</w:t>
      </w:r>
      <w:r>
        <w:rPr>
          <w:position w:val="-2"/>
          <w:sz w:val="16"/>
        </w:rPr>
        <w:t>2</w:t>
      </w:r>
      <w:r>
        <w:rPr/>
        <w:t>O el 16% restante. (INE- SEMARNAT, 2006). Para 2006, la Cuarta Comunicación Nacional ante la Convención Marco de las Naciones Unidas Sobre Cambio Climático de México, señala que las emisiones en unidades de CO</w:t>
      </w:r>
      <w:r>
        <w:rPr>
          <w:position w:val="-2"/>
          <w:sz w:val="16"/>
        </w:rPr>
        <w:t>2</w:t>
      </w:r>
      <w:r>
        <w:rPr/>
        <w:t>-eq en el sector agrícola fueron de 6.4% (45552.1 Gg). Las emisiones de CH</w:t>
      </w:r>
      <w:r>
        <w:rPr>
          <w:position w:val="-2"/>
          <w:sz w:val="16"/>
        </w:rPr>
        <w:t>4 </w:t>
      </w:r>
      <w:r>
        <w:rPr/>
        <w:t>fueron de 8828.1 Gg, lo que representa un incremento de 73.7% con respecto a 1990. La fermentación entérica presenta una contribución porcentual de emisiones de CH</w:t>
      </w:r>
      <w:r>
        <w:rPr>
          <w:position w:val="-2"/>
          <w:sz w:val="16"/>
        </w:rPr>
        <w:t>4 </w:t>
      </w:r>
      <w:r>
        <w:rPr/>
        <w:t>del 20.1% del sector pecuario (INE-SEMARNAT, 2009).</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BodyText"/>
        <w:spacing w:line="352" w:lineRule="auto" w:before="69"/>
        <w:ind w:left="276" w:right="143"/>
        <w:jc w:val="both"/>
      </w:pPr>
      <w:r>
        <w:rPr/>
        <w:t>En</w:t>
      </w:r>
      <w:r>
        <w:rPr>
          <w:spacing w:val="-18"/>
        </w:rPr>
        <w:t> </w:t>
      </w:r>
      <w:r>
        <w:rPr/>
        <w:t>2007,</w:t>
      </w:r>
      <w:r>
        <w:rPr>
          <w:spacing w:val="-18"/>
        </w:rPr>
        <w:t> </w:t>
      </w:r>
      <w:r>
        <w:rPr/>
        <w:t>el</w:t>
      </w:r>
      <w:r>
        <w:rPr>
          <w:spacing w:val="-18"/>
        </w:rPr>
        <w:t> </w:t>
      </w:r>
      <w:r>
        <w:rPr/>
        <w:t>sector</w:t>
      </w:r>
      <w:r>
        <w:rPr>
          <w:spacing w:val="-18"/>
        </w:rPr>
        <w:t> </w:t>
      </w:r>
      <w:r>
        <w:rPr/>
        <w:t>lácteo</w:t>
      </w:r>
      <w:r>
        <w:rPr>
          <w:spacing w:val="-18"/>
        </w:rPr>
        <w:t> </w:t>
      </w:r>
      <w:r>
        <w:rPr/>
        <w:t>emitió</w:t>
      </w:r>
      <w:r>
        <w:rPr>
          <w:spacing w:val="-18"/>
        </w:rPr>
        <w:t> </w:t>
      </w:r>
      <w:r>
        <w:rPr/>
        <w:t>1969</w:t>
      </w:r>
      <w:r>
        <w:rPr>
          <w:spacing w:val="-18"/>
        </w:rPr>
        <w:t> </w:t>
      </w:r>
      <w:r>
        <w:rPr/>
        <w:t>millones</w:t>
      </w:r>
      <w:r>
        <w:rPr>
          <w:spacing w:val="-18"/>
        </w:rPr>
        <w:t> </w:t>
      </w:r>
      <w:r>
        <w:rPr/>
        <w:t>de</w:t>
      </w:r>
      <w:r>
        <w:rPr>
          <w:spacing w:val="-18"/>
        </w:rPr>
        <w:t> </w:t>
      </w:r>
      <w:r>
        <w:rPr/>
        <w:t>toneladas</w:t>
      </w:r>
      <w:r>
        <w:rPr>
          <w:spacing w:val="-18"/>
        </w:rPr>
        <w:t> </w:t>
      </w:r>
      <w:r>
        <w:rPr/>
        <w:t>de</w:t>
      </w:r>
      <w:r>
        <w:rPr>
          <w:spacing w:val="-18"/>
        </w:rPr>
        <w:t> </w:t>
      </w:r>
      <w:r>
        <w:rPr/>
        <w:t>CO</w:t>
      </w:r>
      <w:r>
        <w:rPr>
          <w:position w:val="-2"/>
          <w:sz w:val="16"/>
        </w:rPr>
        <w:t>2</w:t>
      </w:r>
      <w:r>
        <w:rPr/>
        <w:t>-eq,</w:t>
      </w:r>
      <w:r>
        <w:rPr>
          <w:spacing w:val="-18"/>
        </w:rPr>
        <w:t> </w:t>
      </w:r>
      <w:r>
        <w:rPr/>
        <w:t>de</w:t>
      </w:r>
      <w:r>
        <w:rPr>
          <w:spacing w:val="-18"/>
        </w:rPr>
        <w:t> </w:t>
      </w:r>
      <w:r>
        <w:rPr/>
        <w:t>las</w:t>
      </w:r>
      <w:r>
        <w:rPr>
          <w:spacing w:val="-18"/>
        </w:rPr>
        <w:t> </w:t>
      </w:r>
      <w:r>
        <w:rPr/>
        <w:t>cuales 1328 millones de toneladas se atribuyen a la leche, 151 millones de toneladas a la carne de animales sacrificados y 490 millones de toneladas a terneros criados</w:t>
      </w:r>
      <w:r>
        <w:rPr>
          <w:spacing w:val="-36"/>
        </w:rPr>
        <w:t> </w:t>
      </w:r>
      <w:r>
        <w:rPr/>
        <w:t>para la producción de carne. La emisión CO</w:t>
      </w:r>
      <w:r>
        <w:rPr>
          <w:position w:val="-2"/>
          <w:sz w:val="16"/>
        </w:rPr>
        <w:t>2</w:t>
      </w:r>
      <w:r>
        <w:rPr/>
        <w:t>-eq es una medida estándar para</w:t>
      </w:r>
      <w:r>
        <w:rPr>
          <w:spacing w:val="-26"/>
        </w:rPr>
        <w:t> </w:t>
      </w:r>
      <w:r>
        <w:rPr/>
        <w:t>comparar emisiones</w:t>
      </w:r>
      <w:r>
        <w:rPr>
          <w:spacing w:val="-5"/>
        </w:rPr>
        <w:t> </w:t>
      </w:r>
      <w:r>
        <w:rPr/>
        <w:t>de</w:t>
      </w:r>
      <w:r>
        <w:rPr>
          <w:spacing w:val="-5"/>
        </w:rPr>
        <w:t> </w:t>
      </w:r>
      <w:r>
        <w:rPr/>
        <w:t>diferentes</w:t>
      </w:r>
      <w:r>
        <w:rPr>
          <w:spacing w:val="-5"/>
        </w:rPr>
        <w:t> </w:t>
      </w:r>
      <w:r>
        <w:rPr/>
        <w:t>GEI.</w:t>
      </w:r>
      <w:r>
        <w:rPr>
          <w:spacing w:val="-5"/>
        </w:rPr>
        <w:t> </w:t>
      </w:r>
      <w:r>
        <w:rPr/>
        <w:t>Se</w:t>
      </w:r>
      <w:r>
        <w:rPr>
          <w:spacing w:val="-5"/>
        </w:rPr>
        <w:t> </w:t>
      </w:r>
      <w:r>
        <w:rPr/>
        <w:t>calcula</w:t>
      </w:r>
      <w:r>
        <w:rPr>
          <w:spacing w:val="-5"/>
        </w:rPr>
        <w:t> </w:t>
      </w:r>
      <w:r>
        <w:rPr/>
        <w:t>que</w:t>
      </w:r>
      <w:r>
        <w:rPr>
          <w:spacing w:val="-5"/>
        </w:rPr>
        <w:t> </w:t>
      </w:r>
      <w:r>
        <w:rPr/>
        <w:t>la</w:t>
      </w:r>
      <w:r>
        <w:rPr>
          <w:spacing w:val="-5"/>
        </w:rPr>
        <w:t> </w:t>
      </w:r>
      <w:r>
        <w:rPr/>
        <w:t>media</w:t>
      </w:r>
      <w:r>
        <w:rPr>
          <w:spacing w:val="-5"/>
        </w:rPr>
        <w:t> </w:t>
      </w:r>
      <w:r>
        <w:rPr/>
        <w:t>mundial</w:t>
      </w:r>
      <w:r>
        <w:rPr>
          <w:spacing w:val="-5"/>
        </w:rPr>
        <w:t> </w:t>
      </w:r>
      <w:r>
        <w:rPr/>
        <w:t>de</w:t>
      </w:r>
      <w:r>
        <w:rPr>
          <w:spacing w:val="-5"/>
        </w:rPr>
        <w:t> </w:t>
      </w:r>
      <w:r>
        <w:rPr/>
        <w:t>emisiones</w:t>
      </w:r>
      <w:r>
        <w:rPr>
          <w:spacing w:val="-5"/>
        </w:rPr>
        <w:t> </w:t>
      </w:r>
      <w:r>
        <w:rPr/>
        <w:t>de</w:t>
      </w:r>
      <w:r>
        <w:rPr>
          <w:spacing w:val="-5"/>
        </w:rPr>
        <w:t> </w:t>
      </w:r>
      <w:r>
        <w:rPr/>
        <w:t>GEI por</w:t>
      </w:r>
      <w:r>
        <w:rPr>
          <w:spacing w:val="-8"/>
        </w:rPr>
        <w:t> </w:t>
      </w:r>
      <w:r>
        <w:rPr/>
        <w:t>kilogramo</w:t>
      </w:r>
      <w:r>
        <w:rPr>
          <w:spacing w:val="-8"/>
        </w:rPr>
        <w:t> </w:t>
      </w:r>
      <w:r>
        <w:rPr/>
        <w:t>de</w:t>
      </w:r>
      <w:r>
        <w:rPr>
          <w:spacing w:val="-8"/>
        </w:rPr>
        <w:t> </w:t>
      </w:r>
      <w:r>
        <w:rPr/>
        <w:t>leche</w:t>
      </w:r>
      <w:r>
        <w:rPr>
          <w:spacing w:val="-8"/>
        </w:rPr>
        <w:t> </w:t>
      </w:r>
      <w:r>
        <w:rPr/>
        <w:t>y</w:t>
      </w:r>
      <w:r>
        <w:rPr>
          <w:spacing w:val="-8"/>
        </w:rPr>
        <w:t> </w:t>
      </w:r>
      <w:r>
        <w:rPr/>
        <w:t>productos</w:t>
      </w:r>
      <w:r>
        <w:rPr>
          <w:spacing w:val="-8"/>
        </w:rPr>
        <w:t> </w:t>
      </w:r>
      <w:r>
        <w:rPr/>
        <w:t>lácteos</w:t>
      </w:r>
      <w:r>
        <w:rPr>
          <w:spacing w:val="-8"/>
        </w:rPr>
        <w:t> </w:t>
      </w:r>
      <w:r>
        <w:rPr/>
        <w:t>asociados</w:t>
      </w:r>
      <w:r>
        <w:rPr>
          <w:spacing w:val="-8"/>
        </w:rPr>
        <w:t> </w:t>
      </w:r>
      <w:r>
        <w:rPr/>
        <w:t>asciende</w:t>
      </w:r>
      <w:r>
        <w:rPr>
          <w:spacing w:val="-8"/>
        </w:rPr>
        <w:t> </w:t>
      </w:r>
      <w:r>
        <w:rPr/>
        <w:t>a</w:t>
      </w:r>
      <w:r>
        <w:rPr>
          <w:spacing w:val="-8"/>
        </w:rPr>
        <w:t> </w:t>
      </w:r>
      <w:r>
        <w:rPr/>
        <w:t>2.4</w:t>
      </w:r>
      <w:r>
        <w:rPr>
          <w:spacing w:val="-8"/>
        </w:rPr>
        <w:t> </w:t>
      </w:r>
      <w:r>
        <w:rPr/>
        <w:t>kg</w:t>
      </w:r>
      <w:r>
        <w:rPr>
          <w:spacing w:val="-8"/>
        </w:rPr>
        <w:t> </w:t>
      </w:r>
      <w:r>
        <w:rPr/>
        <w:t>de</w:t>
      </w:r>
      <w:r>
        <w:rPr>
          <w:spacing w:val="-8"/>
        </w:rPr>
        <w:t> </w:t>
      </w:r>
      <w:r>
        <w:rPr/>
        <w:t>CO</w:t>
      </w:r>
      <w:r>
        <w:rPr>
          <w:position w:val="-2"/>
          <w:sz w:val="16"/>
        </w:rPr>
        <w:t>2</w:t>
      </w:r>
      <w:r>
        <w:rPr/>
        <w:t>-eq. El CH</w:t>
      </w:r>
      <w:r>
        <w:rPr>
          <w:position w:val="-2"/>
          <w:sz w:val="16"/>
        </w:rPr>
        <w:t>4 </w:t>
      </w:r>
      <w:r>
        <w:rPr/>
        <w:t>contribuye a la mayor parte del impacto de la leche sobre el calentamiento global, ya que supone en torno a un 52 por ciento de las emisiones de GEI en los países desarrollados y en desarrollo. Las emisiones de N</w:t>
      </w:r>
      <w:r>
        <w:rPr>
          <w:position w:val="-2"/>
          <w:sz w:val="16"/>
        </w:rPr>
        <w:t>2</w:t>
      </w:r>
      <w:r>
        <w:rPr/>
        <w:t>O ascienden a un 27 por ciento de las emisiones de GEI en los países desarrollados y a un 38 por ciento en los países en desarrollo. El CO</w:t>
      </w:r>
      <w:r>
        <w:rPr>
          <w:position w:val="-2"/>
          <w:sz w:val="16"/>
        </w:rPr>
        <w:t>2 </w:t>
      </w:r>
      <w:r>
        <w:rPr/>
        <w:t>genera el 21 por ciento de emisiones en los</w:t>
      </w:r>
      <w:r>
        <w:rPr>
          <w:spacing w:val="-24"/>
        </w:rPr>
        <w:t> </w:t>
      </w:r>
      <w:r>
        <w:rPr/>
        <w:t>países desarrollados y el 10 por ciento en los países en desarrollo (FAO 2010).</w:t>
      </w:r>
    </w:p>
    <w:p>
      <w:pPr>
        <w:pStyle w:val="BodyText"/>
        <w:spacing w:before="9"/>
        <w:rPr>
          <w:sz w:val="21"/>
        </w:rPr>
      </w:pPr>
    </w:p>
    <w:p>
      <w:pPr>
        <w:pStyle w:val="Heading6"/>
      </w:pPr>
      <w:r>
        <w:rPr/>
        <w:t>Gases provenientes de la ganadería</w:t>
      </w:r>
    </w:p>
    <w:p>
      <w:pPr>
        <w:pStyle w:val="BodyText"/>
        <w:spacing w:before="2"/>
        <w:rPr>
          <w:b/>
          <w:sz w:val="33"/>
        </w:rPr>
      </w:pPr>
    </w:p>
    <w:p>
      <w:pPr>
        <w:pStyle w:val="BodyText"/>
        <w:spacing w:line="352" w:lineRule="auto"/>
        <w:ind w:left="276" w:right="143"/>
        <w:jc w:val="both"/>
      </w:pPr>
      <w:r>
        <w:rPr/>
        <w:t>La producción de ganado puede traer como resultado emisiones de CH</w:t>
      </w:r>
      <w:r>
        <w:rPr>
          <w:position w:val="-2"/>
          <w:sz w:val="16"/>
        </w:rPr>
        <w:t>4 </w:t>
      </w:r>
      <w:r>
        <w:rPr/>
        <w:t>resultante de</w:t>
      </w:r>
      <w:r>
        <w:rPr>
          <w:spacing w:val="-12"/>
        </w:rPr>
        <w:t> </w:t>
      </w:r>
      <w:r>
        <w:rPr/>
        <w:t>la</w:t>
      </w:r>
      <w:r>
        <w:rPr>
          <w:spacing w:val="-12"/>
        </w:rPr>
        <w:t> </w:t>
      </w:r>
      <w:r>
        <w:rPr/>
        <w:t>fermentación</w:t>
      </w:r>
      <w:r>
        <w:rPr>
          <w:spacing w:val="-12"/>
        </w:rPr>
        <w:t> </w:t>
      </w:r>
      <w:r>
        <w:rPr/>
        <w:t>entérica</w:t>
      </w:r>
      <w:r>
        <w:rPr>
          <w:spacing w:val="-12"/>
        </w:rPr>
        <w:t> </w:t>
      </w:r>
      <w:r>
        <w:rPr/>
        <w:t>y</w:t>
      </w:r>
      <w:r>
        <w:rPr>
          <w:spacing w:val="-12"/>
        </w:rPr>
        <w:t> </w:t>
      </w:r>
      <w:r>
        <w:rPr/>
        <w:t>emisiones</w:t>
      </w:r>
      <w:r>
        <w:rPr>
          <w:spacing w:val="-12"/>
        </w:rPr>
        <w:t> </w:t>
      </w:r>
      <w:r>
        <w:rPr/>
        <w:t>de</w:t>
      </w:r>
      <w:r>
        <w:rPr>
          <w:spacing w:val="-12"/>
        </w:rPr>
        <w:t> </w:t>
      </w:r>
      <w:r>
        <w:rPr/>
        <w:t>CH</w:t>
      </w:r>
      <w:r>
        <w:rPr>
          <w:position w:val="-2"/>
          <w:sz w:val="16"/>
        </w:rPr>
        <w:t>4</w:t>
      </w:r>
      <w:r>
        <w:rPr>
          <w:spacing w:val="11"/>
          <w:position w:val="-2"/>
          <w:sz w:val="16"/>
        </w:rPr>
        <w:t> </w:t>
      </w:r>
      <w:r>
        <w:rPr/>
        <w:t>y</w:t>
      </w:r>
      <w:r>
        <w:rPr>
          <w:spacing w:val="-12"/>
        </w:rPr>
        <w:t> </w:t>
      </w:r>
      <w:r>
        <w:rPr/>
        <w:t>de</w:t>
      </w:r>
      <w:r>
        <w:rPr>
          <w:spacing w:val="-12"/>
        </w:rPr>
        <w:t> </w:t>
      </w:r>
      <w:r>
        <w:rPr/>
        <w:t>N</w:t>
      </w:r>
      <w:r>
        <w:rPr>
          <w:position w:val="-2"/>
          <w:sz w:val="16"/>
        </w:rPr>
        <w:t>2</w:t>
      </w:r>
      <w:r>
        <w:rPr/>
        <w:t>O</w:t>
      </w:r>
      <w:r>
        <w:rPr>
          <w:spacing w:val="-12"/>
        </w:rPr>
        <w:t> </w:t>
      </w:r>
      <w:r>
        <w:rPr/>
        <w:t>de</w:t>
      </w:r>
      <w:r>
        <w:rPr>
          <w:spacing w:val="-12"/>
        </w:rPr>
        <w:t> </w:t>
      </w:r>
      <w:r>
        <w:rPr/>
        <w:t>los</w:t>
      </w:r>
      <w:r>
        <w:rPr>
          <w:spacing w:val="-12"/>
        </w:rPr>
        <w:t> </w:t>
      </w:r>
      <w:r>
        <w:rPr/>
        <w:t>sistemas</w:t>
      </w:r>
      <w:r>
        <w:rPr>
          <w:spacing w:val="-12"/>
        </w:rPr>
        <w:t> </w:t>
      </w:r>
      <w:r>
        <w:rPr/>
        <w:t>de</w:t>
      </w:r>
      <w:r>
        <w:rPr>
          <w:spacing w:val="-12"/>
        </w:rPr>
        <w:t> </w:t>
      </w:r>
      <w:r>
        <w:rPr/>
        <w:t>gestión del estiércol del ganado. Los vacunos constituyen una fuente importante de CH</w:t>
      </w:r>
      <w:r>
        <w:rPr>
          <w:position w:val="-2"/>
          <w:sz w:val="16"/>
        </w:rPr>
        <w:t>4</w:t>
      </w:r>
      <w:r>
        <w:rPr>
          <w:spacing w:val="-17"/>
          <w:position w:val="-2"/>
          <w:sz w:val="16"/>
        </w:rPr>
        <w:t> </w:t>
      </w:r>
      <w:r>
        <w:rPr/>
        <w:t>en muchos países debido a su gran población y a la alta tasa de emisión de CH</w:t>
      </w:r>
      <w:r>
        <w:rPr>
          <w:position w:val="-2"/>
          <w:sz w:val="16"/>
        </w:rPr>
        <w:t>4 </w:t>
      </w:r>
      <w:r>
        <w:rPr/>
        <w:t>provocada</w:t>
      </w:r>
      <w:r>
        <w:rPr>
          <w:spacing w:val="-9"/>
        </w:rPr>
        <w:t> </w:t>
      </w:r>
      <w:r>
        <w:rPr/>
        <w:t>por</w:t>
      </w:r>
      <w:r>
        <w:rPr>
          <w:spacing w:val="-9"/>
        </w:rPr>
        <w:t> </w:t>
      </w:r>
      <w:r>
        <w:rPr/>
        <w:t>su</w:t>
      </w:r>
      <w:r>
        <w:rPr>
          <w:spacing w:val="-9"/>
        </w:rPr>
        <w:t> </w:t>
      </w:r>
      <w:r>
        <w:rPr/>
        <w:t>sistema</w:t>
      </w:r>
      <w:r>
        <w:rPr>
          <w:spacing w:val="-9"/>
        </w:rPr>
        <w:t> </w:t>
      </w:r>
      <w:r>
        <w:rPr/>
        <w:t>digestivo</w:t>
      </w:r>
      <w:r>
        <w:rPr>
          <w:spacing w:val="-9"/>
        </w:rPr>
        <w:t> </w:t>
      </w:r>
      <w:r>
        <w:rPr/>
        <w:t>rumiante.</w:t>
      </w:r>
      <w:r>
        <w:rPr>
          <w:spacing w:val="-9"/>
        </w:rPr>
        <w:t> </w:t>
      </w:r>
      <w:r>
        <w:rPr/>
        <w:t>Las</w:t>
      </w:r>
      <w:r>
        <w:rPr>
          <w:spacing w:val="-9"/>
        </w:rPr>
        <w:t> </w:t>
      </w:r>
      <w:r>
        <w:rPr/>
        <w:t>emisiones</w:t>
      </w:r>
      <w:r>
        <w:rPr>
          <w:spacing w:val="-9"/>
        </w:rPr>
        <w:t> </w:t>
      </w:r>
      <w:r>
        <w:rPr/>
        <w:t>de</w:t>
      </w:r>
      <w:r>
        <w:rPr>
          <w:spacing w:val="-9"/>
        </w:rPr>
        <w:t> </w:t>
      </w:r>
      <w:r>
        <w:rPr/>
        <w:t>CH</w:t>
      </w:r>
      <w:r>
        <w:rPr>
          <w:position w:val="-2"/>
          <w:sz w:val="16"/>
        </w:rPr>
        <w:t>4</w:t>
      </w:r>
      <w:r>
        <w:rPr>
          <w:spacing w:val="14"/>
          <w:position w:val="-2"/>
          <w:sz w:val="16"/>
        </w:rPr>
        <w:t> </w:t>
      </w:r>
      <w:r>
        <w:rPr/>
        <w:t>producidas</w:t>
      </w:r>
      <w:r>
        <w:rPr>
          <w:spacing w:val="-9"/>
        </w:rPr>
        <w:t> </w:t>
      </w:r>
      <w:r>
        <w:rPr/>
        <w:t>por la gestión del estiércol tienden a ser menores que las entéricas; las emisiones más significativas se asocian con operaciones de gestión de animales confinados en</w:t>
      </w:r>
      <w:r>
        <w:rPr>
          <w:spacing w:val="-45"/>
        </w:rPr>
        <w:t> </w:t>
      </w:r>
      <w:r>
        <w:rPr/>
        <w:t>las que el estiércol se maneja por medio de sistemas basados en líquidos. Las emisiones de N</w:t>
      </w:r>
      <w:r>
        <w:rPr>
          <w:position w:val="-2"/>
          <w:sz w:val="16"/>
        </w:rPr>
        <w:t>2</w:t>
      </w:r>
      <w:r>
        <w:rPr/>
        <w:t>O resultantes de la gestión del estiércol varían significativamente entre los tipos de sistemas de gestión utilizados y, además, pueden provocar emisiones indirectas debidas a otras formas de pérdida de nitrógeno del sistema (IPCC, 2006).</w:t>
      </w:r>
    </w:p>
    <w:p>
      <w:pPr>
        <w:pStyle w:val="BodyText"/>
        <w:spacing w:before="9"/>
        <w:rPr>
          <w:sz w:val="21"/>
        </w:rPr>
      </w:pPr>
    </w:p>
    <w:p>
      <w:pPr>
        <w:pStyle w:val="Heading6"/>
      </w:pPr>
      <w:r>
        <w:rPr/>
        <w:t>Emisiones de metano por fermentación entérica</w:t>
      </w:r>
    </w:p>
    <w:p>
      <w:pPr>
        <w:pStyle w:val="BodyText"/>
        <w:spacing w:before="2"/>
        <w:rPr>
          <w:b/>
          <w:sz w:val="33"/>
        </w:rPr>
      </w:pPr>
    </w:p>
    <w:p>
      <w:pPr>
        <w:pStyle w:val="BodyText"/>
        <w:spacing w:line="352" w:lineRule="auto"/>
        <w:ind w:left="276" w:right="143"/>
        <w:jc w:val="both"/>
      </w:pPr>
      <w:r>
        <w:rPr/>
        <w:t>El CH</w:t>
      </w:r>
      <w:r>
        <w:rPr>
          <w:position w:val="-2"/>
          <w:sz w:val="16"/>
        </w:rPr>
        <w:t>4 </w:t>
      </w:r>
      <w:r>
        <w:rPr/>
        <w:t>es un compuesto molecular que se encuentra en abundancia en la atmósfera, con unas propiedades radiactivas tales que le confieren una capacidad elevada de absorción de la energía infrarroja, contribuyendo así al    calentamiento</w:t>
      </w:r>
    </w:p>
    <w:p>
      <w:pPr>
        <w:spacing w:after="0" w:line="352" w:lineRule="auto"/>
        <w:jc w:val="both"/>
        <w:sectPr>
          <w:pgSz w:w="12240" w:h="15840"/>
          <w:pgMar w:header="741" w:footer="739" w:top="1220" w:bottom="920" w:left="1720" w:right="1260"/>
        </w:sectPr>
      </w:pPr>
    </w:p>
    <w:p>
      <w:pPr>
        <w:pStyle w:val="BodyText"/>
        <w:spacing w:before="4"/>
        <w:rPr>
          <w:sz w:val="11"/>
        </w:rPr>
      </w:pPr>
    </w:p>
    <w:p>
      <w:pPr>
        <w:pStyle w:val="BodyText"/>
        <w:spacing w:line="355" w:lineRule="auto" w:before="69"/>
        <w:ind w:left="276" w:right="143"/>
        <w:jc w:val="both"/>
      </w:pPr>
      <w:r>
        <w:rPr/>
        <w:t>global. Es el GEI más importantes que se emite a la atmósfera, luego del CO</w:t>
      </w:r>
      <w:r>
        <w:rPr>
          <w:position w:val="-2"/>
          <w:sz w:val="16"/>
        </w:rPr>
        <w:t>2 </w:t>
      </w:r>
      <w:r>
        <w:rPr/>
        <w:t>(UNFCCC, 2007; IPCC, 2001) y tiene un potencial de calentamiento de la tierra 23 veces superior al CO</w:t>
      </w:r>
      <w:r>
        <w:rPr>
          <w:position w:val="-2"/>
          <w:sz w:val="16"/>
        </w:rPr>
        <w:t>2 </w:t>
      </w:r>
      <w:r>
        <w:rPr/>
        <w:t>(IPCC, 2001). La concentración de CH</w:t>
      </w:r>
      <w:r>
        <w:rPr>
          <w:position w:val="-2"/>
          <w:sz w:val="16"/>
        </w:rPr>
        <w:t>4 </w:t>
      </w:r>
      <w:r>
        <w:rPr/>
        <w:t>en la atmósfera ha aumentado rápidamente y se ha multiplicado por dos desde el comienzo de la Era Industrial (IPCC, 1996).</w:t>
      </w:r>
    </w:p>
    <w:p>
      <w:pPr>
        <w:pStyle w:val="BodyText"/>
        <w:spacing w:line="412" w:lineRule="exact" w:before="148"/>
        <w:ind w:left="276" w:right="143"/>
        <w:jc w:val="both"/>
      </w:pPr>
      <w:r>
        <w:rPr/>
        <w:t>El papel fundamental del ganado en las emisiones de CH</w:t>
      </w:r>
      <w:r>
        <w:rPr>
          <w:position w:val="-2"/>
          <w:sz w:val="16"/>
        </w:rPr>
        <w:t>4 </w:t>
      </w:r>
      <w:r>
        <w:rPr/>
        <w:t>es bien conocido desde hace mucho tiempo. La fermentación entérica y el estiércol generan en conjunto cerca del 80 por ciento de las emisiones de CH</w:t>
      </w:r>
      <w:r>
        <w:rPr>
          <w:position w:val="-2"/>
          <w:sz w:val="16"/>
        </w:rPr>
        <w:t>4 </w:t>
      </w:r>
      <w:r>
        <w:rPr/>
        <w:t>procedentes de la agricultura y aproximadamente el 35</w:t>
      </w:r>
      <w:r>
        <w:rPr>
          <w:rFonts w:ascii="Lucida Sans Unicode" w:hAnsi="Lucida Sans Unicode"/>
        </w:rPr>
        <w:t>‑</w:t>
      </w:r>
      <w:r>
        <w:rPr/>
        <w:t>40 por ciento del total de las emisiones antropogénicas</w:t>
      </w:r>
      <w:r>
        <w:rPr>
          <w:spacing w:val="50"/>
        </w:rPr>
        <w:t> </w:t>
      </w:r>
      <w:r>
        <w:rPr/>
        <w:t>de</w:t>
      </w:r>
    </w:p>
    <w:p>
      <w:pPr>
        <w:spacing w:before="119"/>
        <w:ind w:left="276" w:right="0" w:firstLine="0"/>
        <w:jc w:val="both"/>
        <w:rPr>
          <w:sz w:val="24"/>
        </w:rPr>
      </w:pPr>
      <w:r>
        <w:rPr>
          <w:sz w:val="24"/>
        </w:rPr>
        <w:t>CH</w:t>
      </w:r>
      <w:r>
        <w:rPr>
          <w:position w:val="-2"/>
          <w:sz w:val="16"/>
        </w:rPr>
        <w:t>4 </w:t>
      </w:r>
      <w:r>
        <w:rPr>
          <w:sz w:val="24"/>
        </w:rPr>
        <w:t>(Steinfeld, </w:t>
      </w:r>
      <w:r>
        <w:rPr>
          <w:i/>
          <w:sz w:val="24"/>
        </w:rPr>
        <w:t>et al., </w:t>
      </w:r>
      <w:r>
        <w:rPr>
          <w:sz w:val="24"/>
        </w:rPr>
        <w:t>2009).</w:t>
      </w:r>
    </w:p>
    <w:p>
      <w:pPr>
        <w:pStyle w:val="BodyText"/>
        <w:spacing w:before="7"/>
        <w:rPr>
          <w:sz w:val="31"/>
        </w:rPr>
      </w:pPr>
    </w:p>
    <w:p>
      <w:pPr>
        <w:pStyle w:val="BodyText"/>
        <w:spacing w:line="355" w:lineRule="auto"/>
        <w:ind w:left="276" w:right="143"/>
        <w:jc w:val="both"/>
      </w:pPr>
      <w:r>
        <w:rPr/>
        <w:t>Berra y Finster (2002), mencionan que la producción de CH</w:t>
      </w:r>
      <w:r>
        <w:rPr>
          <w:position w:val="-2"/>
          <w:sz w:val="16"/>
        </w:rPr>
        <w:t>4 </w:t>
      </w:r>
      <w:r>
        <w:rPr/>
        <w:t>es parte de los procesos digestivos normales de los animales, durante la digestión y que los microorganismos presentes en el aparato digestivo fermentan el alimento consumido por el animal. Este proceso conocido como fermentación entérica, produce CH</w:t>
      </w:r>
      <w:r>
        <w:rPr>
          <w:position w:val="-2"/>
          <w:sz w:val="16"/>
        </w:rPr>
        <w:t>4 </w:t>
      </w:r>
      <w:r>
        <w:rPr/>
        <w:t>como un subproducto, que puede ser exhalado o eructado por el animal. Entre las especies ganaderas, los rumiantes son los principales emisores de CH</w:t>
      </w:r>
      <w:r>
        <w:rPr>
          <w:position w:val="-2"/>
          <w:sz w:val="16"/>
        </w:rPr>
        <w:t>4</w:t>
      </w:r>
      <w:r>
        <w:rPr/>
        <w:t>.</w:t>
      </w:r>
    </w:p>
    <w:p>
      <w:pPr>
        <w:pStyle w:val="BodyText"/>
        <w:spacing w:before="3"/>
        <w:rPr>
          <w:sz w:val="20"/>
        </w:rPr>
      </w:pPr>
    </w:p>
    <w:p>
      <w:pPr>
        <w:pStyle w:val="BodyText"/>
        <w:spacing w:line="355" w:lineRule="auto"/>
        <w:ind w:left="276" w:right="143"/>
        <w:jc w:val="both"/>
      </w:pPr>
      <w:r>
        <w:rPr/>
        <w:t>Los rumiantes, poseen un sistema digestivo que tiene la capacidad de aprovechar y convertir material fibroso con altos contenidos de carbohidratos estructurales, en alimentos de alta calidad nutritiva: carne y leche. Sin embargo, por sus características innatas, este mismo sistema digestivo también produce CH</w:t>
      </w:r>
      <w:r>
        <w:rPr>
          <w:position w:val="-2"/>
          <w:sz w:val="16"/>
        </w:rPr>
        <w:t>4</w:t>
      </w:r>
      <w:r>
        <w:rPr/>
        <w:t>, el que liberado a la atmósfera tiene consecuencias indeseadas desde el punto de vista ambiental (Carmona </w:t>
      </w:r>
      <w:r>
        <w:rPr>
          <w:i/>
        </w:rPr>
        <w:t>et al., </w:t>
      </w:r>
      <w:r>
        <w:rPr/>
        <w:t>2005). Según publicaciones recientes, las emisiones de CH</w:t>
      </w:r>
      <w:r>
        <w:rPr>
          <w:position w:val="-2"/>
          <w:sz w:val="16"/>
        </w:rPr>
        <w:t>4 </w:t>
      </w:r>
      <w:r>
        <w:rPr/>
        <w:t>de origen animal podrían llegar a representar hasta el 18% del total de las emisiones responsables del calentamiento global, superado sólo por el CO</w:t>
      </w:r>
      <w:r>
        <w:rPr>
          <w:position w:val="-2"/>
          <w:sz w:val="16"/>
        </w:rPr>
        <w:t>2 </w:t>
      </w:r>
      <w:r>
        <w:rPr/>
        <w:t>(FAO, 2006).</w:t>
      </w:r>
    </w:p>
    <w:p>
      <w:pPr>
        <w:pStyle w:val="BodyText"/>
        <w:spacing w:before="11"/>
        <w:rPr>
          <w:sz w:val="21"/>
        </w:rPr>
      </w:pPr>
    </w:p>
    <w:p>
      <w:pPr>
        <w:pStyle w:val="BodyText"/>
        <w:spacing w:line="352" w:lineRule="auto"/>
        <w:ind w:left="276" w:right="143"/>
        <w:jc w:val="both"/>
      </w:pPr>
      <w:r>
        <w:rPr/>
        <w:t>El CH</w:t>
      </w:r>
      <w:r>
        <w:rPr>
          <w:position w:val="-2"/>
          <w:sz w:val="16"/>
        </w:rPr>
        <w:t>4 </w:t>
      </w:r>
      <w:r>
        <w:rPr/>
        <w:t>de origen animal es producido fundamentalmente por fermentación entérica y en menor medida por la fermentación de las deposiciones ganaderas (Cambra- López </w:t>
      </w:r>
      <w:r>
        <w:rPr>
          <w:i/>
        </w:rPr>
        <w:t>et al., </w:t>
      </w:r>
      <w:r>
        <w:rPr/>
        <w:t>2008; IPCC, 2006). De ahí que el tipo de sistema digestivo tiene   una</w:t>
      </w:r>
    </w:p>
    <w:p>
      <w:pPr>
        <w:spacing w:after="0" w:line="352"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influencia significativa en la tasa de emisión de CH</w:t>
      </w:r>
      <w:r>
        <w:rPr>
          <w:position w:val="-2"/>
          <w:sz w:val="16"/>
        </w:rPr>
        <w:t>4</w:t>
      </w:r>
      <w:r>
        <w:rPr/>
        <w:t>. Los rumiantes tienen una cámara expansiva, el rumen, en la parte delantera de su tracto digestivo, donde se produce la fermentación microbiana intensiva de su dieta, lo que les significa la capacidad de digerir celulosa (IPCC 2000; IPCC, 2006).</w:t>
      </w:r>
    </w:p>
    <w:p>
      <w:pPr>
        <w:pStyle w:val="BodyText"/>
        <w:spacing w:before="3"/>
        <w:rPr>
          <w:sz w:val="21"/>
        </w:rPr>
      </w:pPr>
    </w:p>
    <w:p>
      <w:pPr>
        <w:pStyle w:val="BodyText"/>
        <w:spacing w:line="357" w:lineRule="auto" w:before="1"/>
        <w:ind w:left="276" w:right="143"/>
        <w:jc w:val="both"/>
      </w:pPr>
      <w:r>
        <w:rPr/>
        <w:t>Existen evidencias que muestran que la tasa de emisión de CH</w:t>
      </w:r>
      <w:r>
        <w:rPr>
          <w:position w:val="-2"/>
          <w:sz w:val="16"/>
        </w:rPr>
        <w:t>4</w:t>
      </w:r>
      <w:r>
        <w:rPr/>
        <w:t>, por fermentación entérica, está relacionada con el alimento consumido. También se ha determinado que</w:t>
      </w:r>
      <w:r>
        <w:rPr>
          <w:spacing w:val="-10"/>
        </w:rPr>
        <w:t> </w:t>
      </w:r>
      <w:r>
        <w:rPr/>
        <w:t>entre</w:t>
      </w:r>
      <w:r>
        <w:rPr>
          <w:spacing w:val="-10"/>
        </w:rPr>
        <w:t> </w:t>
      </w:r>
      <w:r>
        <w:rPr/>
        <w:t>los</w:t>
      </w:r>
      <w:r>
        <w:rPr>
          <w:spacing w:val="-10"/>
        </w:rPr>
        <w:t> </w:t>
      </w:r>
      <w:r>
        <w:rPr/>
        <w:t>factores</w:t>
      </w:r>
      <w:r>
        <w:rPr>
          <w:spacing w:val="-10"/>
        </w:rPr>
        <w:t> </w:t>
      </w:r>
      <w:r>
        <w:rPr/>
        <w:t>que</w:t>
      </w:r>
      <w:r>
        <w:rPr>
          <w:spacing w:val="-10"/>
        </w:rPr>
        <w:t> </w:t>
      </w:r>
      <w:r>
        <w:rPr/>
        <w:t>influyen</w:t>
      </w:r>
      <w:r>
        <w:rPr>
          <w:spacing w:val="-10"/>
        </w:rPr>
        <w:t> </w:t>
      </w:r>
      <w:r>
        <w:rPr/>
        <w:t>en</w:t>
      </w:r>
      <w:r>
        <w:rPr>
          <w:spacing w:val="-10"/>
        </w:rPr>
        <w:t> </w:t>
      </w:r>
      <w:r>
        <w:rPr/>
        <w:t>su</w:t>
      </w:r>
      <w:r>
        <w:rPr>
          <w:spacing w:val="-10"/>
        </w:rPr>
        <w:t> </w:t>
      </w:r>
      <w:r>
        <w:rPr/>
        <w:t>producción</w:t>
      </w:r>
      <w:r>
        <w:rPr>
          <w:spacing w:val="-10"/>
        </w:rPr>
        <w:t> </w:t>
      </w:r>
      <w:r>
        <w:rPr/>
        <w:t>están</w:t>
      </w:r>
      <w:r>
        <w:rPr>
          <w:spacing w:val="-10"/>
        </w:rPr>
        <w:t> </w:t>
      </w:r>
      <w:r>
        <w:rPr/>
        <w:t>las</w:t>
      </w:r>
      <w:r>
        <w:rPr>
          <w:spacing w:val="-10"/>
        </w:rPr>
        <w:t> </w:t>
      </w:r>
      <w:r>
        <w:rPr/>
        <w:t>características</w:t>
      </w:r>
      <w:r>
        <w:rPr>
          <w:spacing w:val="-10"/>
        </w:rPr>
        <w:t> </w:t>
      </w:r>
      <w:r>
        <w:rPr/>
        <w:t>físicas y químicas del alimento, las cuales afectan directamente el nivel de consumo y la frecuencia</w:t>
      </w:r>
      <w:r>
        <w:rPr>
          <w:spacing w:val="-13"/>
        </w:rPr>
        <w:t> </w:t>
      </w:r>
      <w:r>
        <w:rPr/>
        <w:t>de</w:t>
      </w:r>
      <w:r>
        <w:rPr>
          <w:spacing w:val="-13"/>
        </w:rPr>
        <w:t> </w:t>
      </w:r>
      <w:r>
        <w:rPr/>
        <w:t>alimentación.</w:t>
      </w:r>
      <w:r>
        <w:rPr>
          <w:spacing w:val="-13"/>
        </w:rPr>
        <w:t> </w:t>
      </w:r>
      <w:r>
        <w:rPr/>
        <w:t>Por</w:t>
      </w:r>
      <w:r>
        <w:rPr>
          <w:spacing w:val="-13"/>
        </w:rPr>
        <w:t> </w:t>
      </w:r>
      <w:r>
        <w:rPr/>
        <w:t>ello</w:t>
      </w:r>
      <w:r>
        <w:rPr>
          <w:spacing w:val="-13"/>
        </w:rPr>
        <w:t> </w:t>
      </w:r>
      <w:r>
        <w:rPr/>
        <w:t>se</w:t>
      </w:r>
      <w:r>
        <w:rPr>
          <w:spacing w:val="-13"/>
        </w:rPr>
        <w:t> </w:t>
      </w:r>
      <w:r>
        <w:rPr/>
        <w:t>puede</w:t>
      </w:r>
      <w:r>
        <w:rPr>
          <w:spacing w:val="-13"/>
        </w:rPr>
        <w:t> </w:t>
      </w:r>
      <w:r>
        <w:rPr/>
        <w:t>decir</w:t>
      </w:r>
      <w:r>
        <w:rPr>
          <w:spacing w:val="-13"/>
        </w:rPr>
        <w:t> </w:t>
      </w:r>
      <w:r>
        <w:rPr/>
        <w:t>que</w:t>
      </w:r>
      <w:r>
        <w:rPr>
          <w:spacing w:val="-13"/>
        </w:rPr>
        <w:t> </w:t>
      </w:r>
      <w:r>
        <w:rPr/>
        <w:t>la</w:t>
      </w:r>
      <w:r>
        <w:rPr>
          <w:spacing w:val="-13"/>
        </w:rPr>
        <w:t> </w:t>
      </w:r>
      <w:r>
        <w:rPr/>
        <w:t>pobre</w:t>
      </w:r>
      <w:r>
        <w:rPr>
          <w:spacing w:val="-13"/>
        </w:rPr>
        <w:t> </w:t>
      </w:r>
      <w:r>
        <w:rPr/>
        <w:t>nutrición</w:t>
      </w:r>
      <w:r>
        <w:rPr>
          <w:spacing w:val="-13"/>
        </w:rPr>
        <w:t> </w:t>
      </w:r>
      <w:r>
        <w:rPr/>
        <w:t>contribuye a incrementar los niveles de emisión de CH</w:t>
      </w:r>
      <w:r>
        <w:rPr>
          <w:position w:val="-2"/>
          <w:sz w:val="16"/>
        </w:rPr>
        <w:t>4</w:t>
      </w:r>
      <w:r>
        <w:rPr/>
        <w:t>. También son factores importantes a considerar, el uso de elementos aditivos para mejorar la eficiencia de utilización de los alimentos, el manejo y la salud animal. (Montenegro y Abarca,</w:t>
      </w:r>
      <w:r>
        <w:rPr>
          <w:spacing w:val="-1"/>
        </w:rPr>
        <w:t> </w:t>
      </w:r>
      <w:r>
        <w:rPr/>
        <w:t>2002).</w:t>
      </w:r>
    </w:p>
    <w:p>
      <w:pPr>
        <w:pStyle w:val="BodyText"/>
        <w:spacing w:before="3"/>
        <w:rPr>
          <w:sz w:val="21"/>
        </w:rPr>
      </w:pPr>
    </w:p>
    <w:p>
      <w:pPr>
        <w:pStyle w:val="BodyText"/>
        <w:spacing w:line="355" w:lineRule="auto" w:before="1"/>
        <w:ind w:left="276" w:right="143"/>
        <w:jc w:val="both"/>
      </w:pPr>
      <w:r>
        <w:rPr/>
        <w:t>Steinfeld, </w:t>
      </w:r>
      <w:r>
        <w:rPr>
          <w:i/>
        </w:rPr>
        <w:t>et al., </w:t>
      </w:r>
      <w:r>
        <w:rPr/>
        <w:t>(2009) indica que las emisiones de CH</w:t>
      </w:r>
      <w:r>
        <w:rPr>
          <w:position w:val="-2"/>
          <w:sz w:val="16"/>
        </w:rPr>
        <w:t>4 </w:t>
      </w:r>
      <w:r>
        <w:rPr/>
        <w:t>procedentes del estiércol del ganado están influidas por diversos factores que afectan al crecimiento de las bacterias responsables de la formación de CH</w:t>
      </w:r>
      <w:r>
        <w:rPr>
          <w:position w:val="-2"/>
          <w:sz w:val="16"/>
        </w:rPr>
        <w:t>4</w:t>
      </w:r>
      <w:r>
        <w:rPr/>
        <w:t>, entre las que destaca la temperatura</w:t>
      </w:r>
      <w:r>
        <w:rPr>
          <w:spacing w:val="-5"/>
        </w:rPr>
        <w:t> </w:t>
      </w:r>
      <w:r>
        <w:rPr/>
        <w:t>ambiental,</w:t>
      </w:r>
      <w:r>
        <w:rPr>
          <w:spacing w:val="-5"/>
        </w:rPr>
        <w:t> </w:t>
      </w:r>
      <w:r>
        <w:rPr/>
        <w:t>la</w:t>
      </w:r>
      <w:r>
        <w:rPr>
          <w:spacing w:val="-5"/>
        </w:rPr>
        <w:t> </w:t>
      </w:r>
      <w:r>
        <w:rPr/>
        <w:t>humedad</w:t>
      </w:r>
      <w:r>
        <w:rPr>
          <w:spacing w:val="-5"/>
        </w:rPr>
        <w:t> </w:t>
      </w:r>
      <w:r>
        <w:rPr/>
        <w:t>y</w:t>
      </w:r>
      <w:r>
        <w:rPr>
          <w:spacing w:val="-5"/>
        </w:rPr>
        <w:t> </w:t>
      </w:r>
      <w:r>
        <w:rPr/>
        <w:t>el</w:t>
      </w:r>
      <w:r>
        <w:rPr>
          <w:spacing w:val="-5"/>
        </w:rPr>
        <w:t> </w:t>
      </w:r>
      <w:r>
        <w:rPr/>
        <w:t>tiempo</w:t>
      </w:r>
      <w:r>
        <w:rPr>
          <w:spacing w:val="-5"/>
        </w:rPr>
        <w:t> </w:t>
      </w:r>
      <w:r>
        <w:rPr/>
        <w:t>de</w:t>
      </w:r>
      <w:r>
        <w:rPr>
          <w:spacing w:val="-5"/>
        </w:rPr>
        <w:t> </w:t>
      </w:r>
      <w:r>
        <w:rPr/>
        <w:t>almacenamiento.</w:t>
      </w:r>
      <w:r>
        <w:rPr>
          <w:spacing w:val="-5"/>
        </w:rPr>
        <w:t> </w:t>
      </w:r>
      <w:r>
        <w:rPr/>
        <w:t>La</w:t>
      </w:r>
      <w:r>
        <w:rPr>
          <w:spacing w:val="-5"/>
        </w:rPr>
        <w:t> </w:t>
      </w:r>
      <w:r>
        <w:rPr/>
        <w:t>cantidad</w:t>
      </w:r>
      <w:r>
        <w:rPr>
          <w:spacing w:val="-5"/>
        </w:rPr>
        <w:t> </w:t>
      </w:r>
      <w:r>
        <w:rPr/>
        <w:t>de CH</w:t>
      </w:r>
      <w:r>
        <w:rPr>
          <w:position w:val="-2"/>
          <w:sz w:val="16"/>
        </w:rPr>
        <w:t>4 </w:t>
      </w:r>
      <w:r>
        <w:rPr/>
        <w:t>producida también depende del contenido de energía del estiércol, el cual</w:t>
      </w:r>
      <w:r>
        <w:rPr>
          <w:spacing w:val="-26"/>
        </w:rPr>
        <w:t> </w:t>
      </w:r>
      <w:r>
        <w:rPr/>
        <w:t>está determinado en gran medida por la dieta del ganado. Mayores cantidades de estiércol generan mayores cantidades de CH</w:t>
      </w:r>
      <w:r>
        <w:rPr>
          <w:position w:val="-2"/>
          <w:sz w:val="16"/>
        </w:rPr>
        <w:t>4</w:t>
      </w:r>
      <w:r>
        <w:rPr/>
        <w:t>, si bien hay que tener también en cuenta que los alimentos con contenidos energéticos más altos producen un estiércol con más sólidos volátiles, lo que incrementa el sustrato a partir del cual</w:t>
      </w:r>
      <w:r>
        <w:rPr>
          <w:spacing w:val="-29"/>
        </w:rPr>
        <w:t> </w:t>
      </w:r>
      <w:r>
        <w:rPr/>
        <w:t>se produce el CH</w:t>
      </w:r>
      <w:r>
        <w:rPr>
          <w:position w:val="-2"/>
          <w:sz w:val="16"/>
        </w:rPr>
        <w:t>4</w:t>
      </w:r>
      <w:r>
        <w:rPr/>
        <w:t>. Sin embargo, este impacto queda compensado hasta cierto punto por la posibilidad de lograr alimentos más digeribles y, por consiguiente, un menor desperdicio de energía.</w:t>
      </w:r>
    </w:p>
    <w:p>
      <w:pPr>
        <w:pStyle w:val="BodyText"/>
        <w:spacing w:before="6"/>
        <w:rPr>
          <w:sz w:val="21"/>
        </w:rPr>
      </w:pPr>
    </w:p>
    <w:p>
      <w:pPr>
        <w:pStyle w:val="Heading6"/>
      </w:pPr>
      <w:r>
        <w:rPr/>
        <w:t>Emisiones de óxido nitroso por manejo de estiércol</w:t>
      </w:r>
    </w:p>
    <w:p>
      <w:pPr>
        <w:pStyle w:val="BodyText"/>
        <w:spacing w:before="8"/>
        <w:rPr>
          <w:b/>
          <w:sz w:val="32"/>
        </w:rPr>
      </w:pPr>
    </w:p>
    <w:p>
      <w:pPr>
        <w:pStyle w:val="BodyText"/>
        <w:spacing w:line="357" w:lineRule="auto" w:before="1"/>
        <w:ind w:left="276" w:right="143"/>
        <w:jc w:val="both"/>
      </w:pPr>
      <w:r>
        <w:rPr/>
        <w:t>Las actividades pecuarias contribuyen en gran medida a la producción de N</w:t>
      </w:r>
      <w:r>
        <w:rPr>
          <w:position w:val="-2"/>
          <w:sz w:val="16"/>
        </w:rPr>
        <w:t>2</w:t>
      </w:r>
      <w:r>
        <w:rPr/>
        <w:t>O, el más</w:t>
      </w:r>
      <w:r>
        <w:rPr>
          <w:spacing w:val="-4"/>
        </w:rPr>
        <w:t> </w:t>
      </w:r>
      <w:r>
        <w:rPr/>
        <w:t>potente</w:t>
      </w:r>
      <w:r>
        <w:rPr>
          <w:spacing w:val="-4"/>
        </w:rPr>
        <w:t> </w:t>
      </w:r>
      <w:r>
        <w:rPr/>
        <w:t>de</w:t>
      </w:r>
      <w:r>
        <w:rPr>
          <w:spacing w:val="-4"/>
        </w:rPr>
        <w:t> </w:t>
      </w:r>
      <w:r>
        <w:rPr/>
        <w:t>los</w:t>
      </w:r>
      <w:r>
        <w:rPr>
          <w:spacing w:val="-4"/>
        </w:rPr>
        <w:t> </w:t>
      </w:r>
      <w:r>
        <w:rPr/>
        <w:t>tres</w:t>
      </w:r>
      <w:r>
        <w:rPr>
          <w:spacing w:val="-4"/>
        </w:rPr>
        <w:t> </w:t>
      </w:r>
      <w:r>
        <w:rPr/>
        <w:t>principales</w:t>
      </w:r>
      <w:r>
        <w:rPr>
          <w:spacing w:val="-4"/>
        </w:rPr>
        <w:t> </w:t>
      </w:r>
      <w:r>
        <w:rPr/>
        <w:t>gases</w:t>
      </w:r>
      <w:r>
        <w:rPr>
          <w:spacing w:val="-4"/>
        </w:rPr>
        <w:t> </w:t>
      </w:r>
      <w:r>
        <w:rPr/>
        <w:t>de</w:t>
      </w:r>
      <w:r>
        <w:rPr>
          <w:spacing w:val="-4"/>
        </w:rPr>
        <w:t> </w:t>
      </w:r>
      <w:r>
        <w:rPr/>
        <w:t>efecto</w:t>
      </w:r>
      <w:r>
        <w:rPr>
          <w:spacing w:val="-4"/>
        </w:rPr>
        <w:t> </w:t>
      </w:r>
      <w:r>
        <w:rPr/>
        <w:t>invernadero.</w:t>
      </w:r>
      <w:r>
        <w:rPr>
          <w:spacing w:val="-4"/>
        </w:rPr>
        <w:t> </w:t>
      </w:r>
      <w:r>
        <w:rPr/>
        <w:t>Se</w:t>
      </w:r>
      <w:r>
        <w:rPr>
          <w:spacing w:val="-4"/>
        </w:rPr>
        <w:t> </w:t>
      </w:r>
      <w:r>
        <w:rPr/>
        <w:t>calcula</w:t>
      </w:r>
      <w:r>
        <w:rPr>
          <w:spacing w:val="-4"/>
        </w:rPr>
        <w:t> </w:t>
      </w:r>
      <w:r>
        <w:rPr/>
        <w:t>que</w:t>
      </w:r>
      <w:r>
        <w:rPr>
          <w:spacing w:val="-4"/>
        </w:rPr>
        <w:t> </w:t>
      </w:r>
      <w:r>
        <w:rPr/>
        <w:t>los aportes del ganado representan casi las dos terceras partes del total de las emisiones</w:t>
      </w:r>
      <w:r>
        <w:rPr>
          <w:spacing w:val="-12"/>
        </w:rPr>
        <w:t> </w:t>
      </w:r>
      <w:r>
        <w:rPr/>
        <w:t>antropogénicas</w:t>
      </w:r>
      <w:r>
        <w:rPr>
          <w:spacing w:val="-12"/>
        </w:rPr>
        <w:t> </w:t>
      </w:r>
      <w:r>
        <w:rPr/>
        <w:t>de</w:t>
      </w:r>
      <w:r>
        <w:rPr>
          <w:spacing w:val="-12"/>
        </w:rPr>
        <w:t> </w:t>
      </w:r>
      <w:r>
        <w:rPr/>
        <w:t>N</w:t>
      </w:r>
      <w:r>
        <w:rPr>
          <w:position w:val="-2"/>
          <w:sz w:val="16"/>
        </w:rPr>
        <w:t>2</w:t>
      </w:r>
      <w:r>
        <w:rPr/>
        <w:t>O,</w:t>
      </w:r>
      <w:r>
        <w:rPr>
          <w:spacing w:val="-12"/>
        </w:rPr>
        <w:t> </w:t>
      </w:r>
      <w:r>
        <w:rPr/>
        <w:t>y</w:t>
      </w:r>
      <w:r>
        <w:rPr>
          <w:spacing w:val="-12"/>
        </w:rPr>
        <w:t> </w:t>
      </w:r>
      <w:r>
        <w:rPr/>
        <w:t>entre</w:t>
      </w:r>
      <w:r>
        <w:rPr>
          <w:spacing w:val="-12"/>
        </w:rPr>
        <w:t> </w:t>
      </w:r>
      <w:r>
        <w:rPr/>
        <w:t>un</w:t>
      </w:r>
      <w:r>
        <w:rPr>
          <w:spacing w:val="-12"/>
        </w:rPr>
        <w:t> </w:t>
      </w:r>
      <w:r>
        <w:rPr/>
        <w:t>75</w:t>
      </w:r>
      <w:r>
        <w:rPr>
          <w:spacing w:val="-12"/>
        </w:rPr>
        <w:t> </w:t>
      </w:r>
      <w:r>
        <w:rPr/>
        <w:t>y</w:t>
      </w:r>
      <w:r>
        <w:rPr>
          <w:spacing w:val="-12"/>
        </w:rPr>
        <w:t> </w:t>
      </w:r>
      <w:r>
        <w:rPr/>
        <w:t>un</w:t>
      </w:r>
      <w:r>
        <w:rPr>
          <w:spacing w:val="-12"/>
        </w:rPr>
        <w:t> </w:t>
      </w:r>
      <w:r>
        <w:rPr/>
        <w:t>80</w:t>
      </w:r>
      <w:r>
        <w:rPr>
          <w:spacing w:val="-12"/>
        </w:rPr>
        <w:t> </w:t>
      </w:r>
      <w:r>
        <w:rPr/>
        <w:t>por</w:t>
      </w:r>
      <w:r>
        <w:rPr>
          <w:spacing w:val="-12"/>
        </w:rPr>
        <w:t> </w:t>
      </w:r>
      <w:r>
        <w:rPr/>
        <w:t>ciento</w:t>
      </w:r>
      <w:r>
        <w:rPr>
          <w:spacing w:val="-12"/>
        </w:rPr>
        <w:t> </w:t>
      </w:r>
      <w:r>
        <w:rPr/>
        <w:t>de</w:t>
      </w:r>
      <w:r>
        <w:rPr>
          <w:spacing w:val="-12"/>
        </w:rPr>
        <w:t> </w:t>
      </w:r>
      <w:r>
        <w:rPr/>
        <w:t>las</w:t>
      </w:r>
      <w:r>
        <w:rPr>
          <w:spacing w:val="-12"/>
        </w:rPr>
        <w:t> </w:t>
      </w:r>
      <w:r>
        <w:rPr/>
        <w:t>emisiones</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62" w:lineRule="auto" w:before="69"/>
        <w:ind w:left="276" w:right="144"/>
        <w:jc w:val="both"/>
      </w:pPr>
      <w:r>
        <w:rPr/>
        <w:t>agrícolas. Las tendencias actuales sugieren que estos niveles se incrementarán considerablemente durante las próximas décadas (Steinfeld, </w:t>
      </w:r>
      <w:r>
        <w:rPr>
          <w:i/>
        </w:rPr>
        <w:t>et al., </w:t>
      </w:r>
      <w:r>
        <w:rPr/>
        <w:t>2009).</w:t>
      </w:r>
    </w:p>
    <w:p>
      <w:pPr>
        <w:pStyle w:val="BodyText"/>
        <w:spacing w:before="10"/>
        <w:rPr>
          <w:sz w:val="20"/>
        </w:rPr>
      </w:pPr>
    </w:p>
    <w:p>
      <w:pPr>
        <w:pStyle w:val="BodyText"/>
        <w:spacing w:line="355" w:lineRule="auto"/>
        <w:ind w:left="276" w:right="143"/>
        <w:jc w:val="both"/>
      </w:pPr>
      <w:r>
        <w:rPr/>
        <w:t>La composición del estiércol, que depende de la dieta de los animales, también afecta la cantidad de CH</w:t>
      </w:r>
      <w:r>
        <w:rPr>
          <w:position w:val="-2"/>
          <w:sz w:val="16"/>
        </w:rPr>
        <w:t>4 </w:t>
      </w:r>
      <w:r>
        <w:rPr/>
        <w:t>producido, cuanto mayor es el contenido energético y la digestibilidad del alimento, mayor es el potencial de emisión de CH</w:t>
      </w:r>
      <w:r>
        <w:rPr>
          <w:position w:val="-2"/>
          <w:sz w:val="16"/>
        </w:rPr>
        <w:t>4</w:t>
      </w:r>
      <w:r>
        <w:rPr/>
        <w:t>. Por ejemplo, los</w:t>
      </w:r>
      <w:r>
        <w:rPr>
          <w:spacing w:val="-12"/>
        </w:rPr>
        <w:t> </w:t>
      </w:r>
      <w:r>
        <w:rPr/>
        <w:t>animales</w:t>
      </w:r>
      <w:r>
        <w:rPr>
          <w:spacing w:val="-12"/>
        </w:rPr>
        <w:t> </w:t>
      </w:r>
      <w:r>
        <w:rPr/>
        <w:t>en</w:t>
      </w:r>
      <w:r>
        <w:rPr>
          <w:spacing w:val="-12"/>
        </w:rPr>
        <w:t> </w:t>
      </w:r>
      <w:r>
        <w:rPr/>
        <w:t>corrales</w:t>
      </w:r>
      <w:r>
        <w:rPr>
          <w:spacing w:val="-12"/>
        </w:rPr>
        <w:t> </w:t>
      </w:r>
      <w:r>
        <w:rPr/>
        <w:t>de</w:t>
      </w:r>
      <w:r>
        <w:rPr>
          <w:spacing w:val="-12"/>
        </w:rPr>
        <w:t> </w:t>
      </w:r>
      <w:r>
        <w:rPr/>
        <w:t>engorda,</w:t>
      </w:r>
      <w:r>
        <w:rPr>
          <w:spacing w:val="-12"/>
        </w:rPr>
        <w:t> </w:t>
      </w:r>
      <w:r>
        <w:rPr/>
        <w:t>alimentados</w:t>
      </w:r>
      <w:r>
        <w:rPr>
          <w:spacing w:val="-12"/>
        </w:rPr>
        <w:t> </w:t>
      </w:r>
      <w:r>
        <w:rPr/>
        <w:t>con</w:t>
      </w:r>
      <w:r>
        <w:rPr>
          <w:spacing w:val="-12"/>
        </w:rPr>
        <w:t> </w:t>
      </w:r>
      <w:r>
        <w:rPr/>
        <w:t>dietas</w:t>
      </w:r>
      <w:r>
        <w:rPr>
          <w:spacing w:val="-12"/>
        </w:rPr>
        <w:t> </w:t>
      </w:r>
      <w:r>
        <w:rPr/>
        <w:t>altamente</w:t>
      </w:r>
      <w:r>
        <w:rPr>
          <w:spacing w:val="-12"/>
        </w:rPr>
        <w:t> </w:t>
      </w:r>
      <w:r>
        <w:rPr/>
        <w:t>energéticas, generan estiércol con gran capacidad de producción de CH</w:t>
      </w:r>
      <w:r>
        <w:rPr>
          <w:position w:val="-2"/>
          <w:sz w:val="16"/>
        </w:rPr>
        <w:t>4</w:t>
      </w:r>
      <w:r>
        <w:rPr/>
        <w:t>, mientras que el ganado mantenido con forrajes de baja concentración energética, producen estiércol con la mitad de capacidad de formación de CH</w:t>
      </w:r>
      <w:r>
        <w:rPr>
          <w:position w:val="-2"/>
          <w:sz w:val="16"/>
        </w:rPr>
        <w:t>4 </w:t>
      </w:r>
      <w:r>
        <w:rPr/>
        <w:t>que en el caso de los corrales de engorda de ganado. Por otra parte, La cantidad de N</w:t>
      </w:r>
      <w:r>
        <w:rPr>
          <w:position w:val="-2"/>
          <w:sz w:val="16"/>
        </w:rPr>
        <w:t>2</w:t>
      </w:r>
      <w:r>
        <w:rPr/>
        <w:t>O producido es variable,</w:t>
      </w:r>
      <w:r>
        <w:rPr>
          <w:spacing w:val="-14"/>
        </w:rPr>
        <w:t> </w:t>
      </w:r>
      <w:r>
        <w:rPr/>
        <w:t>dependiendo</w:t>
      </w:r>
      <w:r>
        <w:rPr>
          <w:spacing w:val="-14"/>
        </w:rPr>
        <w:t> </w:t>
      </w:r>
      <w:r>
        <w:rPr/>
        <w:t>de</w:t>
      </w:r>
      <w:r>
        <w:rPr>
          <w:spacing w:val="-14"/>
        </w:rPr>
        <w:t> </w:t>
      </w:r>
      <w:r>
        <w:rPr/>
        <w:t>la</w:t>
      </w:r>
      <w:r>
        <w:rPr>
          <w:spacing w:val="-14"/>
        </w:rPr>
        <w:t> </w:t>
      </w:r>
      <w:r>
        <w:rPr/>
        <w:t>composición</w:t>
      </w:r>
      <w:r>
        <w:rPr>
          <w:spacing w:val="-14"/>
        </w:rPr>
        <w:t> </w:t>
      </w:r>
      <w:r>
        <w:rPr/>
        <w:t>del</w:t>
      </w:r>
      <w:r>
        <w:rPr>
          <w:spacing w:val="-14"/>
        </w:rPr>
        <w:t> </w:t>
      </w:r>
      <w:r>
        <w:rPr/>
        <w:t>estiércol</w:t>
      </w:r>
      <w:r>
        <w:rPr>
          <w:spacing w:val="-14"/>
        </w:rPr>
        <w:t> </w:t>
      </w:r>
      <w:r>
        <w:rPr/>
        <w:t>y</w:t>
      </w:r>
      <w:r>
        <w:rPr>
          <w:spacing w:val="-14"/>
        </w:rPr>
        <w:t> </w:t>
      </w:r>
      <w:r>
        <w:rPr/>
        <w:t>la</w:t>
      </w:r>
      <w:r>
        <w:rPr>
          <w:spacing w:val="-14"/>
        </w:rPr>
        <w:t> </w:t>
      </w:r>
      <w:r>
        <w:rPr/>
        <w:t>orina,</w:t>
      </w:r>
      <w:r>
        <w:rPr>
          <w:spacing w:val="-14"/>
        </w:rPr>
        <w:t> </w:t>
      </w:r>
      <w:r>
        <w:rPr/>
        <w:t>del</w:t>
      </w:r>
      <w:r>
        <w:rPr>
          <w:spacing w:val="-14"/>
        </w:rPr>
        <w:t> </w:t>
      </w:r>
      <w:r>
        <w:rPr/>
        <w:t>tipo</w:t>
      </w:r>
      <w:r>
        <w:rPr>
          <w:spacing w:val="-14"/>
        </w:rPr>
        <w:t> </w:t>
      </w:r>
      <w:r>
        <w:rPr/>
        <w:t>de</w:t>
      </w:r>
      <w:r>
        <w:rPr>
          <w:spacing w:val="-14"/>
        </w:rPr>
        <w:t> </w:t>
      </w:r>
      <w:r>
        <w:rPr/>
        <w:t>bacterias involucradas en el proceso y de la cantidad de oxígeno y líquido en el sistema de manejo. Las emisiones de N</w:t>
      </w:r>
      <w:r>
        <w:rPr>
          <w:position w:val="-2"/>
          <w:sz w:val="16"/>
        </w:rPr>
        <w:t>2</w:t>
      </w:r>
      <w:r>
        <w:rPr/>
        <w:t>O resultan del estiércol y la orina del ganado que se maneja en sistemas líquidos o que se recolecta y almacena en forma sólida (Berra y Finster, 2002).</w:t>
      </w:r>
    </w:p>
    <w:p>
      <w:pPr>
        <w:pStyle w:val="BodyText"/>
        <w:spacing w:before="6"/>
        <w:rPr>
          <w:sz w:val="21"/>
        </w:rPr>
      </w:pPr>
    </w:p>
    <w:p>
      <w:pPr>
        <w:pStyle w:val="BodyText"/>
        <w:spacing w:line="355" w:lineRule="auto"/>
        <w:ind w:left="276" w:right="143"/>
        <w:jc w:val="both"/>
      </w:pPr>
      <w:r>
        <w:rPr/>
        <w:t>En la producción animal, el almacenamiento y manejo de estiércol también contribuye a emisiones de N</w:t>
      </w:r>
      <w:r>
        <w:rPr>
          <w:position w:val="-2"/>
          <w:sz w:val="16"/>
        </w:rPr>
        <w:t>2</w:t>
      </w:r>
      <w:r>
        <w:rPr/>
        <w:t>O. La tasa de nitrificación de estiércol almacenado depende de la cantidad de nitrógeno que contiene, y del oxígeno disponible para</w:t>
      </w:r>
      <w:r>
        <w:rPr>
          <w:spacing w:val="-13"/>
        </w:rPr>
        <w:t> </w:t>
      </w:r>
      <w:r>
        <w:rPr/>
        <w:t>la reacción química. Los procesos de manejo de estiércol en forma anaeróbica producen</w:t>
      </w:r>
      <w:r>
        <w:rPr>
          <w:spacing w:val="-13"/>
        </w:rPr>
        <w:t> </w:t>
      </w:r>
      <w:r>
        <w:rPr/>
        <w:t>baja</w:t>
      </w:r>
      <w:r>
        <w:rPr>
          <w:spacing w:val="-13"/>
        </w:rPr>
        <w:t> </w:t>
      </w:r>
      <w:r>
        <w:rPr/>
        <w:t>nitrificación,</w:t>
      </w:r>
      <w:r>
        <w:rPr>
          <w:spacing w:val="-13"/>
        </w:rPr>
        <w:t> </w:t>
      </w:r>
      <w:r>
        <w:rPr/>
        <w:t>aunque</w:t>
      </w:r>
      <w:r>
        <w:rPr>
          <w:spacing w:val="-13"/>
        </w:rPr>
        <w:t> </w:t>
      </w:r>
      <w:r>
        <w:rPr/>
        <w:t>sí</w:t>
      </w:r>
      <w:r>
        <w:rPr>
          <w:spacing w:val="-13"/>
        </w:rPr>
        <w:t> </w:t>
      </w:r>
      <w:r>
        <w:rPr/>
        <w:t>denitrificación</w:t>
      </w:r>
      <w:r>
        <w:rPr>
          <w:spacing w:val="-13"/>
        </w:rPr>
        <w:t> </w:t>
      </w:r>
      <w:r>
        <w:rPr/>
        <w:t>y</w:t>
      </w:r>
      <w:r>
        <w:rPr>
          <w:spacing w:val="-13"/>
        </w:rPr>
        <w:t> </w:t>
      </w:r>
      <w:r>
        <w:rPr/>
        <w:t>consecuentemente</w:t>
      </w:r>
      <w:r>
        <w:rPr>
          <w:spacing w:val="-13"/>
        </w:rPr>
        <w:t> </w:t>
      </w:r>
      <w:r>
        <w:rPr/>
        <w:t>emisiones de N</w:t>
      </w:r>
      <w:r>
        <w:rPr>
          <w:position w:val="-2"/>
          <w:sz w:val="16"/>
        </w:rPr>
        <w:t>2</w:t>
      </w:r>
      <w:r>
        <w:rPr/>
        <w:t>O en forma anaeróbica. Entonces, para evaluar las intensidades de emisión debe</w:t>
      </w:r>
      <w:r>
        <w:rPr>
          <w:spacing w:val="-17"/>
        </w:rPr>
        <w:t> </w:t>
      </w:r>
      <w:r>
        <w:rPr/>
        <w:t>considerarse</w:t>
      </w:r>
      <w:r>
        <w:rPr>
          <w:spacing w:val="-17"/>
        </w:rPr>
        <w:t> </w:t>
      </w:r>
      <w:r>
        <w:rPr/>
        <w:t>en</w:t>
      </w:r>
      <w:r>
        <w:rPr>
          <w:spacing w:val="-17"/>
        </w:rPr>
        <w:t> </w:t>
      </w:r>
      <w:r>
        <w:rPr/>
        <w:t>especial</w:t>
      </w:r>
      <w:r>
        <w:rPr>
          <w:spacing w:val="-17"/>
        </w:rPr>
        <w:t> </w:t>
      </w:r>
      <w:r>
        <w:rPr/>
        <w:t>cada</w:t>
      </w:r>
      <w:r>
        <w:rPr>
          <w:spacing w:val="-17"/>
        </w:rPr>
        <w:t> </w:t>
      </w:r>
      <w:r>
        <w:rPr/>
        <w:t>forma</w:t>
      </w:r>
      <w:r>
        <w:rPr>
          <w:spacing w:val="-17"/>
        </w:rPr>
        <w:t> </w:t>
      </w:r>
      <w:r>
        <w:rPr/>
        <w:t>de</w:t>
      </w:r>
      <w:r>
        <w:rPr>
          <w:spacing w:val="-17"/>
        </w:rPr>
        <w:t> </w:t>
      </w:r>
      <w:r>
        <w:rPr/>
        <w:t>almacenamiento</w:t>
      </w:r>
      <w:r>
        <w:rPr>
          <w:spacing w:val="-17"/>
        </w:rPr>
        <w:t> </w:t>
      </w:r>
      <w:r>
        <w:rPr/>
        <w:t>y</w:t>
      </w:r>
      <w:r>
        <w:rPr>
          <w:spacing w:val="-17"/>
        </w:rPr>
        <w:t> </w:t>
      </w:r>
      <w:r>
        <w:rPr/>
        <w:t>manejo</w:t>
      </w:r>
      <w:r>
        <w:rPr>
          <w:spacing w:val="-17"/>
        </w:rPr>
        <w:t> </w:t>
      </w:r>
      <w:r>
        <w:rPr/>
        <w:t>de</w:t>
      </w:r>
      <w:r>
        <w:rPr>
          <w:spacing w:val="-17"/>
        </w:rPr>
        <w:t> </w:t>
      </w:r>
      <w:r>
        <w:rPr/>
        <w:t>estiércol de la producción animal. El almacenamiento y manejo de estiércol también puede producir emisiones de CH</w:t>
      </w:r>
      <w:r>
        <w:rPr>
          <w:position w:val="-2"/>
          <w:sz w:val="16"/>
        </w:rPr>
        <w:t>4</w:t>
      </w:r>
      <w:r>
        <w:rPr/>
        <w:t>. En este caso el mecanismo dominante es la descomposición del estiércol, la cual es independiente de la fermentación entérica. Las mayores emisiones de CH</w:t>
      </w:r>
      <w:r>
        <w:rPr>
          <w:position w:val="-2"/>
          <w:sz w:val="16"/>
        </w:rPr>
        <w:t>4 </w:t>
      </w:r>
      <w:r>
        <w:rPr/>
        <w:t>se producen en los manejos de estiércol en sistemas líquidos, los cuales son usuales en corrales de engorda de vacunos y en la producción lechera. Por el contrario, el estiércol depositado sobre la superficie presenta factores de emisión de CH</w:t>
      </w:r>
      <w:r>
        <w:rPr>
          <w:position w:val="-2"/>
          <w:sz w:val="16"/>
        </w:rPr>
        <w:t>4 </w:t>
      </w:r>
      <w:r>
        <w:rPr/>
        <w:t>bajos, pero altos en emisión de N</w:t>
      </w:r>
      <w:r>
        <w:rPr>
          <w:position w:val="-2"/>
          <w:sz w:val="16"/>
        </w:rPr>
        <w:t>2</w:t>
      </w:r>
      <w:r>
        <w:rPr/>
        <w:t>O por procesos aeróbicos (González,</w:t>
      </w:r>
      <w:r>
        <w:rPr>
          <w:spacing w:val="-1"/>
        </w:rPr>
        <w:t> </w:t>
      </w:r>
      <w:r>
        <w:rPr/>
        <w:t>2007).</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Heading6"/>
        <w:spacing w:before="69"/>
      </w:pPr>
      <w:r>
        <w:rPr/>
        <w:t>Impacto de los GEI en el Medio Ambiente</w:t>
      </w:r>
    </w:p>
    <w:p>
      <w:pPr>
        <w:pStyle w:val="BodyText"/>
        <w:spacing w:before="2"/>
        <w:rPr>
          <w:b/>
          <w:sz w:val="33"/>
        </w:rPr>
      </w:pPr>
    </w:p>
    <w:p>
      <w:pPr>
        <w:pStyle w:val="BodyText"/>
        <w:spacing w:line="360" w:lineRule="auto"/>
        <w:ind w:left="276" w:right="143"/>
        <w:jc w:val="both"/>
      </w:pPr>
      <w:r>
        <w:rPr/>
        <w:t>El</w:t>
      </w:r>
      <w:r>
        <w:rPr>
          <w:spacing w:val="-10"/>
        </w:rPr>
        <w:t> </w:t>
      </w:r>
      <w:r>
        <w:rPr/>
        <w:t>impacto</w:t>
      </w:r>
      <w:r>
        <w:rPr>
          <w:spacing w:val="-10"/>
        </w:rPr>
        <w:t> </w:t>
      </w:r>
      <w:r>
        <w:rPr/>
        <w:t>ambiental</w:t>
      </w:r>
      <w:r>
        <w:rPr>
          <w:spacing w:val="-10"/>
        </w:rPr>
        <w:t> </w:t>
      </w:r>
      <w:r>
        <w:rPr/>
        <w:t>de</w:t>
      </w:r>
      <w:r>
        <w:rPr>
          <w:spacing w:val="-10"/>
        </w:rPr>
        <w:t> </w:t>
      </w:r>
      <w:r>
        <w:rPr/>
        <w:t>la</w:t>
      </w:r>
      <w:r>
        <w:rPr>
          <w:spacing w:val="-10"/>
        </w:rPr>
        <w:t> </w:t>
      </w:r>
      <w:r>
        <w:rPr/>
        <w:t>producción</w:t>
      </w:r>
      <w:r>
        <w:rPr>
          <w:spacing w:val="-10"/>
        </w:rPr>
        <w:t> </w:t>
      </w:r>
      <w:r>
        <w:rPr/>
        <w:t>ganadera</w:t>
      </w:r>
      <w:r>
        <w:rPr>
          <w:spacing w:val="-10"/>
        </w:rPr>
        <w:t> </w:t>
      </w:r>
      <w:r>
        <w:rPr/>
        <w:t>ha</w:t>
      </w:r>
      <w:r>
        <w:rPr>
          <w:spacing w:val="-10"/>
        </w:rPr>
        <w:t> </w:t>
      </w:r>
      <w:r>
        <w:rPr/>
        <w:t>obtenido</w:t>
      </w:r>
      <w:r>
        <w:rPr>
          <w:spacing w:val="-10"/>
        </w:rPr>
        <w:t> </w:t>
      </w:r>
      <w:r>
        <w:rPr/>
        <w:t>una</w:t>
      </w:r>
      <w:r>
        <w:rPr>
          <w:spacing w:val="-10"/>
        </w:rPr>
        <w:t> </w:t>
      </w:r>
      <w:r>
        <w:rPr/>
        <w:t>atención</w:t>
      </w:r>
      <w:r>
        <w:rPr>
          <w:spacing w:val="-10"/>
        </w:rPr>
        <w:t> </w:t>
      </w:r>
      <w:r>
        <w:rPr/>
        <w:t>creciente durante los últimos años (Steinfeld </w:t>
      </w:r>
      <w:r>
        <w:rPr>
          <w:i/>
        </w:rPr>
        <w:t>et al.</w:t>
      </w:r>
      <w:r>
        <w:rPr/>
        <w:t>, 2009). Cada vez más, el sector ganadero compite</w:t>
      </w:r>
      <w:r>
        <w:rPr>
          <w:spacing w:val="-7"/>
        </w:rPr>
        <w:t> </w:t>
      </w:r>
      <w:r>
        <w:rPr/>
        <w:t>por</w:t>
      </w:r>
      <w:r>
        <w:rPr>
          <w:spacing w:val="-7"/>
        </w:rPr>
        <w:t> </w:t>
      </w:r>
      <w:r>
        <w:rPr/>
        <w:t>recursos</w:t>
      </w:r>
      <w:r>
        <w:rPr>
          <w:spacing w:val="-7"/>
        </w:rPr>
        <w:t> </w:t>
      </w:r>
      <w:r>
        <w:rPr/>
        <w:t>escasos,</w:t>
      </w:r>
      <w:r>
        <w:rPr>
          <w:spacing w:val="-7"/>
        </w:rPr>
        <w:t> </w:t>
      </w:r>
      <w:r>
        <w:rPr/>
        <w:t>tales</w:t>
      </w:r>
      <w:r>
        <w:rPr>
          <w:spacing w:val="-7"/>
        </w:rPr>
        <w:t> </w:t>
      </w:r>
      <w:r>
        <w:rPr/>
        <w:t>como</w:t>
      </w:r>
      <w:r>
        <w:rPr>
          <w:spacing w:val="-7"/>
        </w:rPr>
        <w:t> </w:t>
      </w:r>
      <w:r>
        <w:rPr/>
        <w:t>tierra,</w:t>
      </w:r>
      <w:r>
        <w:rPr>
          <w:spacing w:val="-7"/>
        </w:rPr>
        <w:t> </w:t>
      </w:r>
      <w:r>
        <w:rPr/>
        <w:t>agua</w:t>
      </w:r>
      <w:r>
        <w:rPr>
          <w:spacing w:val="-7"/>
        </w:rPr>
        <w:t> </w:t>
      </w:r>
      <w:r>
        <w:rPr/>
        <w:t>y</w:t>
      </w:r>
      <w:r>
        <w:rPr>
          <w:spacing w:val="-7"/>
        </w:rPr>
        <w:t> </w:t>
      </w:r>
      <w:r>
        <w:rPr/>
        <w:t>energía,</w:t>
      </w:r>
      <w:r>
        <w:rPr>
          <w:spacing w:val="-7"/>
        </w:rPr>
        <w:t> </w:t>
      </w:r>
      <w:r>
        <w:rPr/>
        <w:t>y</w:t>
      </w:r>
      <w:r>
        <w:rPr>
          <w:spacing w:val="-7"/>
        </w:rPr>
        <w:t> </w:t>
      </w:r>
      <w:r>
        <w:rPr/>
        <w:t>tiene</w:t>
      </w:r>
      <w:r>
        <w:rPr>
          <w:spacing w:val="-7"/>
        </w:rPr>
        <w:t> </w:t>
      </w:r>
      <w:r>
        <w:rPr/>
        <w:t>un</w:t>
      </w:r>
      <w:r>
        <w:rPr>
          <w:spacing w:val="-7"/>
        </w:rPr>
        <w:t> </w:t>
      </w:r>
      <w:r>
        <w:rPr/>
        <w:t>impacto severo en el aire, agua y la calidad del suelo (De Vries </w:t>
      </w:r>
      <w:r>
        <w:rPr>
          <w:i/>
        </w:rPr>
        <w:t>et al.</w:t>
      </w:r>
      <w:r>
        <w:rPr/>
        <w:t>, 2010). La OCDE (2004), indica que los problemas medioambientales más importantes derivados de la producción lechera tienen que ver con la contaminación del aire y del agua y</w:t>
      </w:r>
      <w:r>
        <w:rPr>
          <w:spacing w:val="-30"/>
        </w:rPr>
        <w:t> </w:t>
      </w:r>
      <w:r>
        <w:rPr/>
        <w:t>con la biodiversidad. La contaminación del agua se produce por el inadecuado tratamiento de los residuos del estiércol y por el empleo de fertilizantes en la producción forrajera.</w:t>
      </w:r>
    </w:p>
    <w:p>
      <w:pPr>
        <w:pStyle w:val="BodyText"/>
        <w:spacing w:before="1"/>
        <w:rPr>
          <w:sz w:val="21"/>
        </w:rPr>
      </w:pPr>
    </w:p>
    <w:p>
      <w:pPr>
        <w:pStyle w:val="BodyText"/>
        <w:spacing w:line="360" w:lineRule="auto"/>
        <w:ind w:left="276" w:right="143"/>
        <w:jc w:val="both"/>
      </w:pPr>
      <w:r>
        <w:rPr/>
        <w:t>El nivel absoluto de emisiones procedentes de explotaciones lecheras en términos de</w:t>
      </w:r>
      <w:r>
        <w:rPr>
          <w:spacing w:val="-4"/>
        </w:rPr>
        <w:t> </w:t>
      </w:r>
      <w:r>
        <w:rPr/>
        <w:t>CO</w:t>
      </w:r>
      <w:r>
        <w:rPr>
          <w:position w:val="-2"/>
          <w:sz w:val="16"/>
        </w:rPr>
        <w:t>2</w:t>
      </w:r>
      <w:r>
        <w:rPr/>
        <w:t>-eq</w:t>
      </w:r>
      <w:r>
        <w:rPr>
          <w:spacing w:val="-4"/>
        </w:rPr>
        <w:t> </w:t>
      </w:r>
      <w:r>
        <w:rPr/>
        <w:t>es</w:t>
      </w:r>
      <w:r>
        <w:rPr>
          <w:spacing w:val="-4"/>
        </w:rPr>
        <w:t> </w:t>
      </w:r>
      <w:r>
        <w:rPr/>
        <w:t>el</w:t>
      </w:r>
      <w:r>
        <w:rPr>
          <w:spacing w:val="-4"/>
        </w:rPr>
        <w:t> </w:t>
      </w:r>
      <w:r>
        <w:rPr/>
        <w:t>más</w:t>
      </w:r>
      <w:r>
        <w:rPr>
          <w:spacing w:val="-4"/>
        </w:rPr>
        <w:t> </w:t>
      </w:r>
      <w:r>
        <w:rPr/>
        <w:t>alto</w:t>
      </w:r>
      <w:r>
        <w:rPr>
          <w:spacing w:val="-4"/>
        </w:rPr>
        <w:t> </w:t>
      </w:r>
      <w:r>
        <w:rPr/>
        <w:t>en</w:t>
      </w:r>
      <w:r>
        <w:rPr>
          <w:spacing w:val="-4"/>
        </w:rPr>
        <w:t> </w:t>
      </w:r>
      <w:r>
        <w:rPr/>
        <w:t>países</w:t>
      </w:r>
      <w:r>
        <w:rPr>
          <w:spacing w:val="-4"/>
        </w:rPr>
        <w:t> </w:t>
      </w:r>
      <w:r>
        <w:rPr/>
        <w:t>que</w:t>
      </w:r>
      <w:r>
        <w:rPr>
          <w:spacing w:val="-4"/>
        </w:rPr>
        <w:t> </w:t>
      </w:r>
      <w:r>
        <w:rPr/>
        <w:t>reflejan</w:t>
      </w:r>
      <w:r>
        <w:rPr>
          <w:spacing w:val="-4"/>
        </w:rPr>
        <w:t> </w:t>
      </w:r>
      <w:r>
        <w:rPr/>
        <w:t>un</w:t>
      </w:r>
      <w:r>
        <w:rPr>
          <w:spacing w:val="-4"/>
        </w:rPr>
        <w:t> </w:t>
      </w:r>
      <w:r>
        <w:rPr/>
        <w:t>número</w:t>
      </w:r>
      <w:r>
        <w:rPr>
          <w:spacing w:val="-4"/>
        </w:rPr>
        <w:t> </w:t>
      </w:r>
      <w:r>
        <w:rPr/>
        <w:t>superior</w:t>
      </w:r>
      <w:r>
        <w:rPr>
          <w:spacing w:val="-4"/>
        </w:rPr>
        <w:t> </w:t>
      </w:r>
      <w:r>
        <w:rPr/>
        <w:t>de</w:t>
      </w:r>
      <w:r>
        <w:rPr>
          <w:spacing w:val="-4"/>
        </w:rPr>
        <w:t> </w:t>
      </w:r>
      <w:r>
        <w:rPr/>
        <w:t>cabezas</w:t>
      </w:r>
      <w:r>
        <w:rPr>
          <w:spacing w:val="-4"/>
        </w:rPr>
        <w:t> </w:t>
      </w:r>
      <w:r>
        <w:rPr/>
        <w:t>de ganado y una mayor tasa de emisión por vaca. Generando problemas medioambientales</w:t>
      </w:r>
      <w:r>
        <w:rPr>
          <w:spacing w:val="-12"/>
        </w:rPr>
        <w:t> </w:t>
      </w:r>
      <w:r>
        <w:rPr/>
        <w:t>importantes</w:t>
      </w:r>
      <w:r>
        <w:rPr>
          <w:spacing w:val="-12"/>
        </w:rPr>
        <w:t> </w:t>
      </w:r>
      <w:r>
        <w:rPr/>
        <w:t>que</w:t>
      </w:r>
      <w:r>
        <w:rPr>
          <w:spacing w:val="-12"/>
        </w:rPr>
        <w:t> </w:t>
      </w:r>
      <w:r>
        <w:rPr/>
        <w:t>tienen</w:t>
      </w:r>
      <w:r>
        <w:rPr>
          <w:spacing w:val="-12"/>
        </w:rPr>
        <w:t> </w:t>
      </w:r>
      <w:r>
        <w:rPr/>
        <w:t>que</w:t>
      </w:r>
      <w:r>
        <w:rPr>
          <w:spacing w:val="-12"/>
        </w:rPr>
        <w:t> </w:t>
      </w:r>
      <w:r>
        <w:rPr/>
        <w:t>ver</w:t>
      </w:r>
      <w:r>
        <w:rPr>
          <w:spacing w:val="-12"/>
        </w:rPr>
        <w:t> </w:t>
      </w:r>
      <w:r>
        <w:rPr/>
        <w:t>con</w:t>
      </w:r>
      <w:r>
        <w:rPr>
          <w:spacing w:val="-12"/>
        </w:rPr>
        <w:t> </w:t>
      </w:r>
      <w:r>
        <w:rPr/>
        <w:t>la</w:t>
      </w:r>
      <w:r>
        <w:rPr>
          <w:spacing w:val="-12"/>
        </w:rPr>
        <w:t> </w:t>
      </w:r>
      <w:r>
        <w:rPr/>
        <w:t>contaminación</w:t>
      </w:r>
      <w:r>
        <w:rPr>
          <w:spacing w:val="-12"/>
        </w:rPr>
        <w:t> </w:t>
      </w:r>
      <w:r>
        <w:rPr/>
        <w:t>del</w:t>
      </w:r>
      <w:r>
        <w:rPr>
          <w:spacing w:val="-12"/>
        </w:rPr>
        <w:t> </w:t>
      </w:r>
      <w:r>
        <w:rPr/>
        <w:t>aire,</w:t>
      </w:r>
      <w:r>
        <w:rPr>
          <w:spacing w:val="-12"/>
        </w:rPr>
        <w:t> </w:t>
      </w:r>
      <w:r>
        <w:rPr/>
        <w:t>del agua y con la biodiversidad. La contaminación del agua se produce por el inadecuado tratamiento de los residuos del estiércol y por el empleo de</w:t>
      </w:r>
      <w:r>
        <w:rPr>
          <w:spacing w:val="-24"/>
        </w:rPr>
        <w:t> </w:t>
      </w:r>
      <w:r>
        <w:rPr/>
        <w:t>fertilizantes en la producción forrajera. Los nutrientes, en particular el nitrógeno y el fósforo, contaminan tierra, aguas superficiales, subterráneas y aguas marinas, dañando</w:t>
      </w:r>
      <w:r>
        <w:rPr>
          <w:spacing w:val="-9"/>
        </w:rPr>
        <w:t> </w:t>
      </w:r>
      <w:r>
        <w:rPr/>
        <w:t>los ecosistemas por eutrofización, a la vez que perjudican el uso del agua como elemento de recreo. Las aguas pueden contaminarse también por los efluentes orgánicos y los patógenos que contiene el estiércol. La contaminación del agua es fundamentalmente un problema local o regional, pero a veces puede llegar a tener carácter internacional (OCDE, 2004). Esto podría perjudicar la salud humana y contribuir al cambio climático, a la acidificación del suelo y del agua y a la degradación de los ecosistemas (FAO, 2009).</w:t>
      </w:r>
    </w:p>
    <w:p>
      <w:pPr>
        <w:pStyle w:val="BodyText"/>
        <w:spacing w:before="1"/>
        <w:rPr>
          <w:sz w:val="21"/>
        </w:rPr>
      </w:pPr>
    </w:p>
    <w:p>
      <w:pPr>
        <w:pStyle w:val="BodyText"/>
        <w:spacing w:line="360" w:lineRule="auto"/>
        <w:ind w:left="276" w:right="143"/>
        <w:jc w:val="both"/>
      </w:pPr>
      <w:r>
        <w:rPr/>
        <w:t>La FAO (2009), indica que el cambio climático desempeñará un papel importante en la difusión de enfermedades transmitidas por vectores y de parásitos animales, que tendrán efectos desproporcionadamente notables en los hombres y mujeres más vulnerables del sector pecuario. Con la subida de las temperaturas y el incremento  de  la  variabilidad  de  las  precipitaciones  podrían  aparecer   nuevas</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enfermedades</w:t>
      </w:r>
      <w:r>
        <w:rPr>
          <w:spacing w:val="-8"/>
        </w:rPr>
        <w:t> </w:t>
      </w:r>
      <w:r>
        <w:rPr/>
        <w:t>o</w:t>
      </w:r>
      <w:r>
        <w:rPr>
          <w:spacing w:val="-8"/>
        </w:rPr>
        <w:t> </w:t>
      </w:r>
      <w:r>
        <w:rPr/>
        <w:t>trasladarse</w:t>
      </w:r>
      <w:r>
        <w:rPr>
          <w:spacing w:val="-8"/>
        </w:rPr>
        <w:t> </w:t>
      </w:r>
      <w:r>
        <w:rPr/>
        <w:t>a</w:t>
      </w:r>
      <w:r>
        <w:rPr>
          <w:spacing w:val="-8"/>
        </w:rPr>
        <w:t> </w:t>
      </w:r>
      <w:r>
        <w:rPr/>
        <w:t>lugares</w:t>
      </w:r>
      <w:r>
        <w:rPr>
          <w:spacing w:val="-8"/>
        </w:rPr>
        <w:t> </w:t>
      </w:r>
      <w:r>
        <w:rPr/>
        <w:t>en</w:t>
      </w:r>
      <w:r>
        <w:rPr>
          <w:spacing w:val="-8"/>
        </w:rPr>
        <w:t> </w:t>
      </w:r>
      <w:r>
        <w:rPr/>
        <w:t>los</w:t>
      </w:r>
      <w:r>
        <w:rPr>
          <w:spacing w:val="-8"/>
        </w:rPr>
        <w:t> </w:t>
      </w:r>
      <w:r>
        <w:rPr/>
        <w:t>que</w:t>
      </w:r>
      <w:r>
        <w:rPr>
          <w:spacing w:val="-8"/>
        </w:rPr>
        <w:t> </w:t>
      </w:r>
      <w:r>
        <w:rPr/>
        <w:t>previamente</w:t>
      </w:r>
      <w:r>
        <w:rPr>
          <w:spacing w:val="-8"/>
        </w:rPr>
        <w:t> </w:t>
      </w:r>
      <w:r>
        <w:rPr/>
        <w:t>no</w:t>
      </w:r>
      <w:r>
        <w:rPr>
          <w:spacing w:val="-8"/>
        </w:rPr>
        <w:t> </w:t>
      </w:r>
      <w:r>
        <w:rPr/>
        <w:t>existían.</w:t>
      </w:r>
      <w:r>
        <w:rPr>
          <w:spacing w:val="-8"/>
        </w:rPr>
        <w:t> </w:t>
      </w:r>
      <w:r>
        <w:rPr/>
        <w:t>Además, el</w:t>
      </w:r>
      <w:r>
        <w:rPr>
          <w:spacing w:val="-5"/>
        </w:rPr>
        <w:t> </w:t>
      </w:r>
      <w:r>
        <w:rPr/>
        <w:t>cambio</w:t>
      </w:r>
      <w:r>
        <w:rPr>
          <w:spacing w:val="-5"/>
        </w:rPr>
        <w:t> </w:t>
      </w:r>
      <w:r>
        <w:rPr/>
        <w:t>climático</w:t>
      </w:r>
      <w:r>
        <w:rPr>
          <w:spacing w:val="-5"/>
        </w:rPr>
        <w:t> </w:t>
      </w:r>
      <w:r>
        <w:rPr/>
        <w:t>podría</w:t>
      </w:r>
      <w:r>
        <w:rPr>
          <w:spacing w:val="-5"/>
        </w:rPr>
        <w:t> </w:t>
      </w:r>
      <w:r>
        <w:rPr/>
        <w:t>resultar</w:t>
      </w:r>
      <w:r>
        <w:rPr>
          <w:spacing w:val="-5"/>
        </w:rPr>
        <w:t> </w:t>
      </w:r>
      <w:r>
        <w:rPr/>
        <w:t>en</w:t>
      </w:r>
      <w:r>
        <w:rPr>
          <w:spacing w:val="-5"/>
        </w:rPr>
        <w:t> </w:t>
      </w:r>
      <w:r>
        <w:rPr/>
        <w:t>nuevos</w:t>
      </w:r>
      <w:r>
        <w:rPr>
          <w:spacing w:val="-5"/>
        </w:rPr>
        <w:t> </w:t>
      </w:r>
      <w:r>
        <w:rPr/>
        <w:t>mecanismos</w:t>
      </w:r>
      <w:r>
        <w:rPr>
          <w:spacing w:val="-5"/>
        </w:rPr>
        <w:t> </w:t>
      </w:r>
      <w:r>
        <w:rPr/>
        <w:t>de</w:t>
      </w:r>
      <w:r>
        <w:rPr>
          <w:spacing w:val="-5"/>
        </w:rPr>
        <w:t> </w:t>
      </w:r>
      <w:r>
        <w:rPr/>
        <w:t>transmisión</w:t>
      </w:r>
      <w:r>
        <w:rPr>
          <w:spacing w:val="-5"/>
        </w:rPr>
        <w:t> </w:t>
      </w:r>
      <w:r>
        <w:rPr/>
        <w:t>y</w:t>
      </w:r>
      <w:r>
        <w:rPr>
          <w:spacing w:val="-5"/>
        </w:rPr>
        <w:t> </w:t>
      </w:r>
      <w:r>
        <w:rPr/>
        <w:t>nuevas especies huésped. Es probable que todos los países sufran el aumento de la incidencia de las enfermedades animales, pero los países pobres serán más vulnerables a las nuevas enfermedades debido a sus deficientes servicios veterinarios.</w:t>
      </w:r>
    </w:p>
    <w:p>
      <w:pPr>
        <w:pStyle w:val="BodyText"/>
        <w:spacing w:before="1"/>
        <w:rPr>
          <w:sz w:val="21"/>
        </w:rPr>
      </w:pPr>
    </w:p>
    <w:p>
      <w:pPr>
        <w:pStyle w:val="BodyText"/>
        <w:spacing w:line="360" w:lineRule="auto"/>
        <w:ind w:left="276" w:right="143"/>
        <w:jc w:val="both"/>
      </w:pPr>
      <w:r>
        <w:rPr/>
        <w:t>La contribución del sector pecuario en su conjunto en los procesos antropogénicos que tienen relación con el cambio climático y la contaminación atmosférica no es bien</w:t>
      </w:r>
      <w:r>
        <w:rPr>
          <w:spacing w:val="-11"/>
        </w:rPr>
        <w:t> </w:t>
      </w:r>
      <w:r>
        <w:rPr/>
        <w:t>conocida.</w:t>
      </w:r>
      <w:r>
        <w:rPr>
          <w:spacing w:val="-11"/>
        </w:rPr>
        <w:t> </w:t>
      </w:r>
      <w:r>
        <w:rPr/>
        <w:t>Prácticamente</w:t>
      </w:r>
      <w:r>
        <w:rPr>
          <w:spacing w:val="-11"/>
        </w:rPr>
        <w:t> </w:t>
      </w:r>
      <w:r>
        <w:rPr/>
        <w:t>en</w:t>
      </w:r>
      <w:r>
        <w:rPr>
          <w:spacing w:val="-11"/>
        </w:rPr>
        <w:t> </w:t>
      </w:r>
      <w:r>
        <w:rPr/>
        <w:t>todas</w:t>
      </w:r>
      <w:r>
        <w:rPr>
          <w:spacing w:val="-11"/>
        </w:rPr>
        <w:t> </w:t>
      </w:r>
      <w:r>
        <w:rPr/>
        <w:t>las</w:t>
      </w:r>
      <w:r>
        <w:rPr>
          <w:spacing w:val="-11"/>
        </w:rPr>
        <w:t> </w:t>
      </w:r>
      <w:r>
        <w:rPr/>
        <w:t>etapas</w:t>
      </w:r>
      <w:r>
        <w:rPr>
          <w:spacing w:val="-11"/>
        </w:rPr>
        <w:t> </w:t>
      </w:r>
      <w:r>
        <w:rPr/>
        <w:t>del</w:t>
      </w:r>
      <w:r>
        <w:rPr>
          <w:spacing w:val="-11"/>
        </w:rPr>
        <w:t> </w:t>
      </w:r>
      <w:r>
        <w:rPr/>
        <w:t>proceso</w:t>
      </w:r>
      <w:r>
        <w:rPr>
          <w:spacing w:val="-11"/>
        </w:rPr>
        <w:t> </w:t>
      </w:r>
      <w:r>
        <w:rPr/>
        <w:t>de</w:t>
      </w:r>
      <w:r>
        <w:rPr>
          <w:spacing w:val="-11"/>
        </w:rPr>
        <w:t> </w:t>
      </w:r>
      <w:r>
        <w:rPr/>
        <w:t>producción</w:t>
      </w:r>
      <w:r>
        <w:rPr>
          <w:spacing w:val="-11"/>
        </w:rPr>
        <w:t> </w:t>
      </w:r>
      <w:r>
        <w:rPr/>
        <w:t>animal se emiten y liberan en la atmósfera sustancias que contribuyen al cambio climático o a la contaminación del aire, o se obstaculiza su retención en otros reservorios. Estos cambios son no sólo el efecto directo de la cría del ganado sino también la contribución indirecta de otras fases del largo camino que conduce a la comercialización de los productos pecuarios (Steinfeld, </w:t>
      </w:r>
      <w:r>
        <w:rPr>
          <w:i/>
        </w:rPr>
        <w:t>et al.,</w:t>
      </w:r>
      <w:r>
        <w:rPr>
          <w:i/>
          <w:spacing w:val="-3"/>
        </w:rPr>
        <w:t> </w:t>
      </w:r>
      <w:r>
        <w:rPr/>
        <w:t>2009).</w:t>
      </w:r>
    </w:p>
    <w:p>
      <w:pPr>
        <w:pStyle w:val="BodyText"/>
        <w:spacing w:before="1"/>
        <w:rPr>
          <w:sz w:val="21"/>
        </w:rPr>
      </w:pPr>
    </w:p>
    <w:p>
      <w:pPr>
        <w:pStyle w:val="Heading6"/>
      </w:pPr>
      <w:r>
        <w:rPr/>
        <w:t>Metodologías empleadas para la medición de GEI</w:t>
      </w:r>
    </w:p>
    <w:p>
      <w:pPr>
        <w:pStyle w:val="BodyText"/>
        <w:spacing w:before="8"/>
        <w:rPr>
          <w:b/>
          <w:sz w:val="32"/>
        </w:rPr>
      </w:pPr>
    </w:p>
    <w:p>
      <w:pPr>
        <w:pStyle w:val="BodyText"/>
        <w:spacing w:line="360" w:lineRule="auto" w:before="1"/>
        <w:ind w:left="276" w:right="143"/>
        <w:jc w:val="both"/>
      </w:pPr>
      <w:r>
        <w:rPr/>
        <w:t>A fin de desarrollar estrategias para mitigar las emisiones de GEI por el ganado, debe ser posible cuantificarlas en una amplia gama de circunstancias. Las</w:t>
      </w:r>
      <w:r>
        <w:rPr>
          <w:spacing w:val="-22"/>
        </w:rPr>
        <w:t> </w:t>
      </w:r>
      <w:r>
        <w:rPr/>
        <w:t>técnicas analíticas para la determinación de GEI comprenden: espectroscopia infrarroja, cromatografía</w:t>
      </w:r>
      <w:r>
        <w:rPr>
          <w:spacing w:val="-17"/>
        </w:rPr>
        <w:t> </w:t>
      </w:r>
      <w:r>
        <w:rPr/>
        <w:t>de</w:t>
      </w:r>
      <w:r>
        <w:rPr>
          <w:spacing w:val="-17"/>
        </w:rPr>
        <w:t> </w:t>
      </w:r>
      <w:r>
        <w:rPr/>
        <w:t>gases,</w:t>
      </w:r>
      <w:r>
        <w:rPr>
          <w:spacing w:val="-17"/>
        </w:rPr>
        <w:t> </w:t>
      </w:r>
      <w:r>
        <w:rPr/>
        <w:t>espectroscopia</w:t>
      </w:r>
      <w:r>
        <w:rPr>
          <w:spacing w:val="-17"/>
        </w:rPr>
        <w:t> </w:t>
      </w:r>
      <w:r>
        <w:rPr/>
        <w:t>de</w:t>
      </w:r>
      <w:r>
        <w:rPr>
          <w:spacing w:val="-17"/>
        </w:rPr>
        <w:t> </w:t>
      </w:r>
      <w:r>
        <w:rPr/>
        <w:t>masa</w:t>
      </w:r>
      <w:r>
        <w:rPr>
          <w:spacing w:val="-17"/>
        </w:rPr>
        <w:t> </w:t>
      </w:r>
      <w:r>
        <w:rPr/>
        <w:t>y</w:t>
      </w:r>
      <w:r>
        <w:rPr>
          <w:spacing w:val="-17"/>
        </w:rPr>
        <w:t> </w:t>
      </w:r>
      <w:r>
        <w:rPr/>
        <w:t>técnicas</w:t>
      </w:r>
      <w:r>
        <w:rPr>
          <w:spacing w:val="-17"/>
        </w:rPr>
        <w:t> </w:t>
      </w:r>
      <w:r>
        <w:rPr/>
        <w:t>de</w:t>
      </w:r>
      <w:r>
        <w:rPr>
          <w:spacing w:val="-17"/>
        </w:rPr>
        <w:t> </w:t>
      </w:r>
      <w:r>
        <w:rPr/>
        <w:t>diodo</w:t>
      </w:r>
      <w:r>
        <w:rPr>
          <w:spacing w:val="-17"/>
        </w:rPr>
        <w:t> </w:t>
      </w:r>
      <w:r>
        <w:rPr/>
        <w:t>laser</w:t>
      </w:r>
      <w:r>
        <w:rPr>
          <w:spacing w:val="-17"/>
        </w:rPr>
        <w:t> </w:t>
      </w:r>
      <w:r>
        <w:rPr/>
        <w:t>(Johnson </w:t>
      </w:r>
      <w:r>
        <w:rPr>
          <w:i/>
        </w:rPr>
        <w:t>et al</w:t>
      </w:r>
      <w:r>
        <w:rPr/>
        <w:t>., 1995). Existen también monitores automatizados para la detección de varios gases. En experimentos para medir las emisiones gaseosas de los rumiantes se han utilizado algunas de las siguientes metodologías: Calorimetría, uso de gases trazadores,</w:t>
      </w:r>
      <w:r>
        <w:rPr>
          <w:spacing w:val="-8"/>
        </w:rPr>
        <w:t> </w:t>
      </w:r>
      <w:r>
        <w:rPr/>
        <w:t>colecta</w:t>
      </w:r>
      <w:r>
        <w:rPr>
          <w:spacing w:val="-8"/>
        </w:rPr>
        <w:t> </w:t>
      </w:r>
      <w:r>
        <w:rPr/>
        <w:t>directa</w:t>
      </w:r>
      <w:r>
        <w:rPr>
          <w:spacing w:val="-8"/>
        </w:rPr>
        <w:t> </w:t>
      </w:r>
      <w:r>
        <w:rPr/>
        <w:t>y</w:t>
      </w:r>
      <w:r>
        <w:rPr>
          <w:spacing w:val="-8"/>
        </w:rPr>
        <w:t> </w:t>
      </w:r>
      <w:r>
        <w:rPr/>
        <w:t>método</w:t>
      </w:r>
      <w:r>
        <w:rPr>
          <w:spacing w:val="-8"/>
        </w:rPr>
        <w:t> </w:t>
      </w:r>
      <w:r>
        <w:rPr/>
        <w:t>micrometeorológico,</w:t>
      </w:r>
      <w:r>
        <w:rPr>
          <w:spacing w:val="-8"/>
        </w:rPr>
        <w:t> </w:t>
      </w:r>
      <w:r>
        <w:rPr/>
        <w:t>entre</w:t>
      </w:r>
      <w:r>
        <w:rPr>
          <w:spacing w:val="-8"/>
        </w:rPr>
        <w:t> </w:t>
      </w:r>
      <w:r>
        <w:rPr/>
        <w:t>otros</w:t>
      </w:r>
      <w:r>
        <w:rPr>
          <w:spacing w:val="-8"/>
        </w:rPr>
        <w:t> </w:t>
      </w:r>
      <w:r>
        <w:rPr/>
        <w:t>(Bonilla,</w:t>
      </w:r>
      <w:r>
        <w:rPr>
          <w:spacing w:val="-8"/>
        </w:rPr>
        <w:t> </w:t>
      </w:r>
      <w:r>
        <w:rPr>
          <w:i/>
        </w:rPr>
        <w:t>et</w:t>
      </w:r>
      <w:r>
        <w:rPr>
          <w:i/>
          <w:spacing w:val="-8"/>
        </w:rPr>
        <w:t> </w:t>
      </w:r>
      <w:r>
        <w:rPr>
          <w:i/>
        </w:rPr>
        <w:t>al., </w:t>
      </w:r>
      <w:r>
        <w:rPr/>
        <w:t>2012).</w:t>
      </w:r>
    </w:p>
    <w:p>
      <w:pPr>
        <w:pStyle w:val="BodyText"/>
        <w:spacing w:before="1"/>
        <w:rPr>
          <w:sz w:val="21"/>
        </w:rPr>
      </w:pPr>
    </w:p>
    <w:p>
      <w:pPr>
        <w:pStyle w:val="BodyText"/>
        <w:spacing w:line="360" w:lineRule="auto"/>
        <w:ind w:left="276" w:right="143"/>
        <w:jc w:val="both"/>
      </w:pPr>
      <w:r>
        <w:rPr/>
        <w:t>Por otra parte existe la metodología propuesta por el IPCC que sirve para la elaboración</w:t>
      </w:r>
      <w:r>
        <w:rPr>
          <w:spacing w:val="-10"/>
        </w:rPr>
        <w:t> </w:t>
      </w:r>
      <w:r>
        <w:rPr/>
        <w:t>de</w:t>
      </w:r>
      <w:r>
        <w:rPr>
          <w:spacing w:val="-10"/>
        </w:rPr>
        <w:t> </w:t>
      </w:r>
      <w:r>
        <w:rPr/>
        <w:t>los</w:t>
      </w:r>
      <w:r>
        <w:rPr>
          <w:spacing w:val="-10"/>
        </w:rPr>
        <w:t> </w:t>
      </w:r>
      <w:r>
        <w:rPr/>
        <w:t>inventarios</w:t>
      </w:r>
      <w:r>
        <w:rPr>
          <w:spacing w:val="-10"/>
        </w:rPr>
        <w:t> </w:t>
      </w:r>
      <w:r>
        <w:rPr/>
        <w:t>nacionales.</w:t>
      </w:r>
      <w:r>
        <w:rPr>
          <w:spacing w:val="-10"/>
        </w:rPr>
        <w:t> </w:t>
      </w:r>
      <w:r>
        <w:rPr/>
        <w:t>La</w:t>
      </w:r>
      <w:r>
        <w:rPr>
          <w:spacing w:val="-10"/>
        </w:rPr>
        <w:t> </w:t>
      </w:r>
      <w:r>
        <w:rPr/>
        <w:t>metodología</w:t>
      </w:r>
      <w:r>
        <w:rPr>
          <w:spacing w:val="-10"/>
        </w:rPr>
        <w:t> </w:t>
      </w:r>
      <w:r>
        <w:rPr/>
        <w:t>del</w:t>
      </w:r>
      <w:r>
        <w:rPr>
          <w:spacing w:val="-10"/>
        </w:rPr>
        <w:t> </w:t>
      </w:r>
      <w:r>
        <w:rPr/>
        <w:t>IPCC</w:t>
      </w:r>
      <w:r>
        <w:rPr>
          <w:spacing w:val="-10"/>
        </w:rPr>
        <w:t> </w:t>
      </w:r>
      <w:r>
        <w:rPr/>
        <w:t>está</w:t>
      </w:r>
      <w:r>
        <w:rPr>
          <w:spacing w:val="-10"/>
        </w:rPr>
        <w:t> </w:t>
      </w:r>
      <w:r>
        <w:rPr/>
        <w:t>dividida</w:t>
      </w:r>
      <w:r>
        <w:rPr>
          <w:spacing w:val="-10"/>
        </w:rPr>
        <w:t> </w:t>
      </w:r>
      <w:r>
        <w:rPr/>
        <w:t>en varios</w:t>
      </w:r>
      <w:r>
        <w:rPr>
          <w:spacing w:val="-10"/>
        </w:rPr>
        <w:t> </w:t>
      </w:r>
      <w:r>
        <w:rPr/>
        <w:t>niveles</w:t>
      </w:r>
      <w:r>
        <w:rPr>
          <w:spacing w:val="-10"/>
        </w:rPr>
        <w:t> </w:t>
      </w:r>
      <w:r>
        <w:rPr/>
        <w:t>o</w:t>
      </w:r>
      <w:r>
        <w:rPr>
          <w:spacing w:val="-10"/>
        </w:rPr>
        <w:t> </w:t>
      </w:r>
      <w:r>
        <w:rPr/>
        <w:t>métodos.</w:t>
      </w:r>
      <w:r>
        <w:rPr>
          <w:spacing w:val="-10"/>
        </w:rPr>
        <w:t> </w:t>
      </w:r>
      <w:r>
        <w:rPr/>
        <w:t>Generalmente</w:t>
      </w:r>
      <w:r>
        <w:rPr>
          <w:spacing w:val="-10"/>
        </w:rPr>
        <w:t> </w:t>
      </w:r>
      <w:r>
        <w:rPr/>
        <w:t>cuanto</w:t>
      </w:r>
      <w:r>
        <w:rPr>
          <w:spacing w:val="-10"/>
        </w:rPr>
        <w:t> </w:t>
      </w:r>
      <w:r>
        <w:rPr/>
        <w:t>mayor</w:t>
      </w:r>
      <w:r>
        <w:rPr>
          <w:spacing w:val="-10"/>
        </w:rPr>
        <w:t> </w:t>
      </w:r>
      <w:r>
        <w:rPr/>
        <w:t>sea</w:t>
      </w:r>
      <w:r>
        <w:rPr>
          <w:spacing w:val="-10"/>
        </w:rPr>
        <w:t> </w:t>
      </w:r>
      <w:r>
        <w:rPr/>
        <w:t>el</w:t>
      </w:r>
      <w:r>
        <w:rPr>
          <w:spacing w:val="-10"/>
        </w:rPr>
        <w:t> </w:t>
      </w:r>
      <w:r>
        <w:rPr/>
        <w:t>número</w:t>
      </w:r>
      <w:r>
        <w:rPr>
          <w:spacing w:val="-10"/>
        </w:rPr>
        <w:t> </w:t>
      </w:r>
      <w:r>
        <w:rPr/>
        <w:t>para</w:t>
      </w:r>
      <w:r>
        <w:rPr>
          <w:spacing w:val="-10"/>
        </w:rPr>
        <w:t> </w:t>
      </w:r>
      <w:r>
        <w:rPr/>
        <w:t>designar el nivel, más detallada es la metodología y más precisas son las estimaciones de emisiones.</w:t>
      </w:r>
      <w:r>
        <w:rPr>
          <w:spacing w:val="55"/>
        </w:rPr>
        <w:t> </w:t>
      </w:r>
      <w:r>
        <w:rPr/>
        <w:t>El</w:t>
      </w:r>
      <w:r>
        <w:rPr>
          <w:spacing w:val="55"/>
        </w:rPr>
        <w:t> </w:t>
      </w:r>
      <w:r>
        <w:rPr/>
        <w:t>nivel</w:t>
      </w:r>
      <w:r>
        <w:rPr>
          <w:spacing w:val="55"/>
        </w:rPr>
        <w:t> </w:t>
      </w:r>
      <w:r>
        <w:rPr/>
        <w:t>1</w:t>
      </w:r>
      <w:r>
        <w:rPr>
          <w:spacing w:val="55"/>
        </w:rPr>
        <w:t> </w:t>
      </w:r>
      <w:r>
        <w:rPr/>
        <w:t>representa</w:t>
      </w:r>
      <w:r>
        <w:rPr>
          <w:spacing w:val="55"/>
        </w:rPr>
        <w:t> </w:t>
      </w:r>
      <w:r>
        <w:rPr/>
        <w:t>la</w:t>
      </w:r>
      <w:r>
        <w:rPr>
          <w:spacing w:val="55"/>
        </w:rPr>
        <w:t> </w:t>
      </w:r>
      <w:r>
        <w:rPr/>
        <w:t>metodología</w:t>
      </w:r>
      <w:r>
        <w:rPr>
          <w:spacing w:val="55"/>
        </w:rPr>
        <w:t> </w:t>
      </w:r>
      <w:r>
        <w:rPr/>
        <w:t>mínima</w:t>
      </w:r>
      <w:r>
        <w:rPr>
          <w:spacing w:val="55"/>
        </w:rPr>
        <w:t> </w:t>
      </w:r>
      <w:r>
        <w:rPr/>
        <w:t>o</w:t>
      </w:r>
      <w:r>
        <w:rPr>
          <w:spacing w:val="55"/>
        </w:rPr>
        <w:t> </w:t>
      </w:r>
      <w:r>
        <w:rPr/>
        <w:t>por</w:t>
      </w:r>
      <w:r>
        <w:rPr>
          <w:spacing w:val="55"/>
        </w:rPr>
        <w:t> </w:t>
      </w:r>
      <w:r>
        <w:rPr/>
        <w:t>defecto.</w:t>
      </w:r>
      <w:r>
        <w:rPr>
          <w:spacing w:val="55"/>
        </w:rPr>
        <w:t> </w:t>
      </w:r>
      <w:r>
        <w:rPr/>
        <w:t>Si</w:t>
      </w:r>
      <w:r>
        <w:rPr>
          <w:spacing w:val="55"/>
        </w:rPr>
        <w:t> </w:t>
      </w:r>
      <w:r>
        <w:rPr/>
        <w:t>hay</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5"/>
        <w:jc w:val="both"/>
      </w:pPr>
      <w:r>
        <w:rPr/>
        <w:t>suficientes datos disponibles la Parte puede intentar aplicar un nivel mayor. Los niveles 2 ó 3 involucran métodos más elaborados que pueden ser específicos por categorías o basados en tecnologías. Estos métodos requieren datos más detallados y/o mediciones para su aplicación.</w:t>
      </w:r>
    </w:p>
    <w:p>
      <w:pPr>
        <w:pStyle w:val="BodyText"/>
        <w:spacing w:before="1"/>
        <w:rPr>
          <w:sz w:val="21"/>
        </w:rPr>
      </w:pPr>
    </w:p>
    <w:p>
      <w:pPr>
        <w:pStyle w:val="Heading6"/>
      </w:pPr>
      <w:r>
        <w:rPr/>
        <w:t>Conclusiones</w:t>
      </w:r>
    </w:p>
    <w:p>
      <w:pPr>
        <w:pStyle w:val="BodyText"/>
        <w:spacing w:before="2"/>
        <w:rPr>
          <w:b/>
          <w:sz w:val="33"/>
        </w:rPr>
      </w:pPr>
    </w:p>
    <w:p>
      <w:pPr>
        <w:pStyle w:val="BodyText"/>
        <w:spacing w:line="360" w:lineRule="auto"/>
        <w:ind w:left="276" w:right="143"/>
        <w:jc w:val="both"/>
      </w:pPr>
      <w:r>
        <w:rPr/>
        <w:t>Actualmente, el cambio climático no es exclusivamente un problema ambiental. Se ha convertido en un tema que afecta a la economía, al comercio y a la seguridad y que dominará cada vez más las políticas mundiales y nacionales, a medida que se hagan más patentes sus repercusiones. Sabemos que los costos del inmovilismo son</w:t>
      </w:r>
      <w:r>
        <w:rPr>
          <w:spacing w:val="-16"/>
        </w:rPr>
        <w:t> </w:t>
      </w:r>
      <w:r>
        <w:rPr/>
        <w:t>muy</w:t>
      </w:r>
      <w:r>
        <w:rPr>
          <w:spacing w:val="-16"/>
        </w:rPr>
        <w:t> </w:t>
      </w:r>
      <w:r>
        <w:rPr/>
        <w:t>superiores</w:t>
      </w:r>
      <w:r>
        <w:rPr>
          <w:spacing w:val="-16"/>
        </w:rPr>
        <w:t> </w:t>
      </w:r>
      <w:r>
        <w:rPr/>
        <w:t>a</w:t>
      </w:r>
      <w:r>
        <w:rPr>
          <w:spacing w:val="-16"/>
        </w:rPr>
        <w:t> </w:t>
      </w:r>
      <w:r>
        <w:rPr/>
        <w:t>los</w:t>
      </w:r>
      <w:r>
        <w:rPr>
          <w:spacing w:val="-16"/>
        </w:rPr>
        <w:t> </w:t>
      </w:r>
      <w:r>
        <w:rPr/>
        <w:t>de</w:t>
      </w:r>
      <w:r>
        <w:rPr>
          <w:spacing w:val="-16"/>
        </w:rPr>
        <w:t> </w:t>
      </w:r>
      <w:r>
        <w:rPr/>
        <w:t>la</w:t>
      </w:r>
      <w:r>
        <w:rPr>
          <w:spacing w:val="-16"/>
        </w:rPr>
        <w:t> </w:t>
      </w:r>
      <w:r>
        <w:rPr/>
        <w:t>intervención.</w:t>
      </w:r>
      <w:r>
        <w:rPr>
          <w:spacing w:val="-16"/>
        </w:rPr>
        <w:t> </w:t>
      </w:r>
      <w:r>
        <w:rPr/>
        <w:t>Es</w:t>
      </w:r>
      <w:r>
        <w:rPr>
          <w:spacing w:val="-16"/>
        </w:rPr>
        <w:t> </w:t>
      </w:r>
      <w:r>
        <w:rPr/>
        <w:t>cierto</w:t>
      </w:r>
      <w:r>
        <w:rPr>
          <w:spacing w:val="-16"/>
        </w:rPr>
        <w:t> </w:t>
      </w:r>
      <w:r>
        <w:rPr/>
        <w:t>que</w:t>
      </w:r>
      <w:r>
        <w:rPr>
          <w:spacing w:val="-16"/>
        </w:rPr>
        <w:t> </w:t>
      </w:r>
      <w:r>
        <w:rPr/>
        <w:t>se</w:t>
      </w:r>
      <w:r>
        <w:rPr>
          <w:spacing w:val="-16"/>
        </w:rPr>
        <w:t> </w:t>
      </w:r>
      <w:r>
        <w:rPr/>
        <w:t>necesita</w:t>
      </w:r>
      <w:r>
        <w:rPr>
          <w:spacing w:val="-16"/>
        </w:rPr>
        <w:t> </w:t>
      </w:r>
      <w:r>
        <w:rPr/>
        <w:t>financiamiento para atender las necesidades relacionadas con el cambio climático, pero lo mismo ocurre con la adaptación a sus efectos inevitables. Estos afectarán especialmente a quienes menos han contribuido a ellos: las personas de los países en desarrollo.</w:t>
      </w:r>
    </w:p>
    <w:p>
      <w:pPr>
        <w:pStyle w:val="BodyText"/>
        <w:spacing w:before="6"/>
        <w:rPr>
          <w:sz w:val="21"/>
        </w:rPr>
      </w:pPr>
    </w:p>
    <w:p>
      <w:pPr>
        <w:pStyle w:val="BodyText"/>
        <w:spacing w:line="360" w:lineRule="auto"/>
        <w:ind w:left="276" w:right="143"/>
        <w:jc w:val="both"/>
      </w:pPr>
      <w:r>
        <w:rPr/>
        <w:t>Es indiscutible que la ganadería bovina en México es una fuente importante de la generación</w:t>
      </w:r>
      <w:r>
        <w:rPr>
          <w:spacing w:val="-4"/>
        </w:rPr>
        <w:t> </w:t>
      </w:r>
      <w:r>
        <w:rPr/>
        <w:t>de</w:t>
      </w:r>
      <w:r>
        <w:rPr>
          <w:spacing w:val="-4"/>
        </w:rPr>
        <w:t> </w:t>
      </w:r>
      <w:r>
        <w:rPr/>
        <w:t>GEI</w:t>
      </w:r>
      <w:r>
        <w:rPr>
          <w:spacing w:val="-4"/>
        </w:rPr>
        <w:t> </w:t>
      </w:r>
      <w:r>
        <w:rPr/>
        <w:t>a</w:t>
      </w:r>
      <w:r>
        <w:rPr>
          <w:spacing w:val="-4"/>
        </w:rPr>
        <w:t> </w:t>
      </w:r>
      <w:r>
        <w:rPr/>
        <w:t>la</w:t>
      </w:r>
      <w:r>
        <w:rPr>
          <w:spacing w:val="-4"/>
        </w:rPr>
        <w:t> </w:t>
      </w:r>
      <w:r>
        <w:rPr/>
        <w:t>atmosfera</w:t>
      </w:r>
      <w:r>
        <w:rPr>
          <w:spacing w:val="-4"/>
        </w:rPr>
        <w:t> </w:t>
      </w:r>
      <w:r>
        <w:rPr/>
        <w:t>debido</w:t>
      </w:r>
      <w:r>
        <w:rPr>
          <w:spacing w:val="-4"/>
        </w:rPr>
        <w:t> </w:t>
      </w:r>
      <w:r>
        <w:rPr/>
        <w:t>a</w:t>
      </w:r>
      <w:r>
        <w:rPr>
          <w:spacing w:val="-4"/>
        </w:rPr>
        <w:t> </w:t>
      </w:r>
      <w:r>
        <w:rPr/>
        <w:t>la</w:t>
      </w:r>
      <w:r>
        <w:rPr>
          <w:spacing w:val="-4"/>
        </w:rPr>
        <w:t> </w:t>
      </w:r>
      <w:r>
        <w:rPr/>
        <w:t>fermentación</w:t>
      </w:r>
      <w:r>
        <w:rPr>
          <w:spacing w:val="-4"/>
        </w:rPr>
        <w:t> </w:t>
      </w:r>
      <w:r>
        <w:rPr/>
        <w:t>entérica</w:t>
      </w:r>
      <w:r>
        <w:rPr>
          <w:spacing w:val="-4"/>
        </w:rPr>
        <w:t> </w:t>
      </w:r>
      <w:r>
        <w:rPr/>
        <w:t>y</w:t>
      </w:r>
      <w:r>
        <w:rPr>
          <w:spacing w:val="-4"/>
        </w:rPr>
        <w:t> </w:t>
      </w:r>
      <w:r>
        <w:rPr/>
        <w:t>al</w:t>
      </w:r>
      <w:r>
        <w:rPr>
          <w:spacing w:val="-4"/>
        </w:rPr>
        <w:t> </w:t>
      </w:r>
      <w:r>
        <w:rPr/>
        <w:t>manejo</w:t>
      </w:r>
      <w:r>
        <w:rPr>
          <w:spacing w:val="-4"/>
        </w:rPr>
        <w:t> </w:t>
      </w:r>
      <w:r>
        <w:rPr/>
        <w:t>del estiércol, generando una serie de efectos negativos sobre el ambiente debido al aporte que los GEI hacen al calentamiento global y a la disminución de la capa de ozono, aspectos que llevan al cambio climático que afectan drásticamente a los sistemas de producción agropecuarios. Por lo anterior, es importante plantear alternativas que disminuyan estas emisiones, mejorando las condiciones productivas de los sistemas ganaderos, pero sin olvidar aminorar los impactos ambientales.</w:t>
      </w:r>
    </w:p>
    <w:p>
      <w:pPr>
        <w:pStyle w:val="BodyText"/>
        <w:spacing w:before="3"/>
        <w:rPr>
          <w:sz w:val="21"/>
        </w:rPr>
      </w:pPr>
    </w:p>
    <w:p>
      <w:pPr>
        <w:spacing w:before="1"/>
        <w:ind w:left="276" w:right="0" w:firstLine="0"/>
        <w:jc w:val="both"/>
        <w:rPr>
          <w:b/>
          <w:sz w:val="36"/>
        </w:rPr>
      </w:pPr>
      <w:r>
        <w:rPr>
          <w:b/>
          <w:sz w:val="36"/>
        </w:rPr>
        <w:t>Bibliografía</w:t>
      </w:r>
    </w:p>
    <w:p>
      <w:pPr>
        <w:pStyle w:val="BodyText"/>
        <w:tabs>
          <w:tab w:pos="2512" w:val="left" w:leader="none"/>
          <w:tab w:pos="3529" w:val="left" w:leader="none"/>
          <w:tab w:pos="4719" w:val="left" w:leader="none"/>
          <w:tab w:pos="6842" w:val="left" w:leader="none"/>
          <w:tab w:pos="8780" w:val="left" w:leader="none"/>
        </w:tabs>
        <w:spacing w:line="360" w:lineRule="auto" w:before="202"/>
        <w:ind w:left="1269" w:right="144" w:hanging="993"/>
        <w:jc w:val="both"/>
      </w:pPr>
      <w:r>
        <w:rPr>
          <w:b/>
        </w:rPr>
        <w:t>Berra,</w:t>
      </w:r>
      <w:r>
        <w:rPr>
          <w:b/>
          <w:spacing w:val="-10"/>
        </w:rPr>
        <w:t> </w:t>
      </w:r>
      <w:r>
        <w:rPr>
          <w:b/>
        </w:rPr>
        <w:t>G.</w:t>
      </w:r>
      <w:r>
        <w:rPr>
          <w:b/>
          <w:spacing w:val="-10"/>
        </w:rPr>
        <w:t> </w:t>
      </w:r>
      <w:r>
        <w:rPr>
          <w:b/>
        </w:rPr>
        <w:t>y</w:t>
      </w:r>
      <w:r>
        <w:rPr>
          <w:b/>
          <w:spacing w:val="-10"/>
        </w:rPr>
        <w:t> </w:t>
      </w:r>
      <w:r>
        <w:rPr>
          <w:b/>
        </w:rPr>
        <w:t>L.</w:t>
      </w:r>
      <w:r>
        <w:rPr>
          <w:b/>
          <w:spacing w:val="-10"/>
        </w:rPr>
        <w:t> </w:t>
      </w:r>
      <w:r>
        <w:rPr>
          <w:b/>
        </w:rPr>
        <w:t>Finster.</w:t>
      </w:r>
      <w:r>
        <w:rPr>
          <w:b/>
          <w:spacing w:val="-10"/>
        </w:rPr>
        <w:t> </w:t>
      </w:r>
      <w:r>
        <w:rPr>
          <w:b/>
        </w:rPr>
        <w:t>2002.</w:t>
      </w:r>
      <w:r>
        <w:rPr>
          <w:b/>
          <w:spacing w:val="-10"/>
        </w:rPr>
        <w:t> </w:t>
      </w:r>
      <w:r>
        <w:rPr/>
        <w:t>Emisiones</w:t>
      </w:r>
      <w:r>
        <w:rPr>
          <w:spacing w:val="-10"/>
        </w:rPr>
        <w:t> </w:t>
      </w:r>
      <w:r>
        <w:rPr/>
        <w:t>de</w:t>
      </w:r>
      <w:r>
        <w:rPr>
          <w:spacing w:val="-10"/>
        </w:rPr>
        <w:t> </w:t>
      </w:r>
      <w:r>
        <w:rPr/>
        <w:t>Gases</w:t>
      </w:r>
      <w:r>
        <w:rPr>
          <w:spacing w:val="-10"/>
        </w:rPr>
        <w:t> </w:t>
      </w:r>
      <w:r>
        <w:rPr/>
        <w:t>de</w:t>
      </w:r>
      <w:r>
        <w:rPr>
          <w:spacing w:val="-10"/>
        </w:rPr>
        <w:t> </w:t>
      </w:r>
      <w:r>
        <w:rPr/>
        <w:t>Efecto</w:t>
      </w:r>
      <w:r>
        <w:rPr>
          <w:spacing w:val="-10"/>
        </w:rPr>
        <w:t> </w:t>
      </w:r>
      <w:r>
        <w:rPr/>
        <w:t>Invernadero;</w:t>
      </w:r>
      <w:r>
        <w:rPr>
          <w:spacing w:val="-10"/>
        </w:rPr>
        <w:t> </w:t>
      </w:r>
      <w:r>
        <w:rPr/>
        <w:t>Influencia de la ganadería argentina. Cadena de la Carne Vacuna. Revista IDIA</w:t>
      </w:r>
      <w:r>
        <w:rPr>
          <w:spacing w:val="-44"/>
        </w:rPr>
        <w:t> </w:t>
      </w:r>
      <w:r>
        <w:rPr/>
        <w:t>XXI, Año</w:t>
        <w:tab/>
        <w:t>II,</w:t>
        <w:tab/>
        <w:t>No.</w:t>
        <w:tab/>
        <w:t>(2):212-215.</w:t>
        <w:tab/>
        <w:t>Disponible</w:t>
        <w:tab/>
        <w:t>en: </w:t>
      </w:r>
      <w:hyperlink r:id="rId173">
        <w:r>
          <w:rPr>
            <w:color w:val="0000FF"/>
            <w:u w:val="single" w:color="0000FF"/>
          </w:rPr>
          <w:t>http://www.inta.gov.ar/ediciones/idia/carne/IDIA_2.pdf</w:t>
        </w:r>
        <w:r>
          <w:rPr/>
          <w:t>.</w:t>
        </w:r>
      </w:hyperlink>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1269" w:right="144" w:hanging="993"/>
        <w:jc w:val="both"/>
      </w:pPr>
      <w:r>
        <w:rPr>
          <w:b/>
        </w:rPr>
        <w:t>Blas, C. et al. 2008. </w:t>
      </w:r>
      <w:r>
        <w:rPr/>
        <w:t>Contribución de los rumiantes a las emisiones de gases con efecto invernadero. XXIV Curso de especialización FEDNA. Madrid, España. pp. 121-151. Disponible en: http://www.produccion- animal.com.ar/sustentabilidad/89-gases.pdf.</w:t>
      </w:r>
    </w:p>
    <w:p>
      <w:pPr>
        <w:pStyle w:val="BodyText"/>
        <w:spacing w:line="360" w:lineRule="auto" w:before="2"/>
        <w:ind w:left="1269" w:right="143" w:hanging="993"/>
        <w:jc w:val="both"/>
      </w:pPr>
      <w:r>
        <w:rPr>
          <w:b/>
        </w:rPr>
        <w:t>Bonilla, C. J. A.; Lemus, F. C. 2012. </w:t>
      </w:r>
      <w:r>
        <w:rPr/>
        <w:t>Emisiones de metano entérico por rumiantes y su contribución al calentamiento global y al cambio climático. Revisión. Rev. Mex. Cienc. Pecu. 2012;3(2):215-246.</w:t>
      </w:r>
    </w:p>
    <w:p>
      <w:pPr>
        <w:spacing w:line="360" w:lineRule="auto" w:before="2"/>
        <w:ind w:left="1269" w:right="144" w:hanging="993"/>
        <w:jc w:val="both"/>
        <w:rPr>
          <w:sz w:val="24"/>
        </w:rPr>
      </w:pPr>
      <w:r>
        <w:rPr>
          <w:b/>
          <w:sz w:val="24"/>
        </w:rPr>
        <w:t>Cambra-López, M.; García, P.; Estellés, F.; Torres, A. 2008. </w:t>
      </w:r>
      <w:r>
        <w:rPr>
          <w:sz w:val="24"/>
        </w:rPr>
        <w:t>Estimación de las emisiones</w:t>
      </w:r>
      <w:r>
        <w:rPr>
          <w:spacing w:val="-11"/>
          <w:sz w:val="24"/>
        </w:rPr>
        <w:t> </w:t>
      </w:r>
      <w:r>
        <w:rPr>
          <w:sz w:val="24"/>
        </w:rPr>
        <w:t>de</w:t>
      </w:r>
      <w:r>
        <w:rPr>
          <w:spacing w:val="-11"/>
          <w:sz w:val="24"/>
        </w:rPr>
        <w:t> </w:t>
      </w:r>
      <w:r>
        <w:rPr>
          <w:sz w:val="24"/>
        </w:rPr>
        <w:t>los</w:t>
      </w:r>
      <w:r>
        <w:rPr>
          <w:spacing w:val="-11"/>
          <w:sz w:val="24"/>
        </w:rPr>
        <w:t> </w:t>
      </w:r>
      <w:r>
        <w:rPr>
          <w:sz w:val="24"/>
        </w:rPr>
        <w:t>rumiantes</w:t>
      </w:r>
      <w:r>
        <w:rPr>
          <w:spacing w:val="-11"/>
          <w:sz w:val="24"/>
        </w:rPr>
        <w:t> </w:t>
      </w:r>
      <w:r>
        <w:rPr>
          <w:sz w:val="24"/>
        </w:rPr>
        <w:t>en</w:t>
      </w:r>
      <w:r>
        <w:rPr>
          <w:spacing w:val="-11"/>
          <w:sz w:val="24"/>
        </w:rPr>
        <w:t> </w:t>
      </w:r>
      <w:r>
        <w:rPr>
          <w:sz w:val="24"/>
        </w:rPr>
        <w:t>España:</w:t>
      </w:r>
      <w:r>
        <w:rPr>
          <w:spacing w:val="-11"/>
          <w:sz w:val="24"/>
        </w:rPr>
        <w:t> </w:t>
      </w:r>
      <w:r>
        <w:rPr>
          <w:sz w:val="24"/>
        </w:rPr>
        <w:t>El</w:t>
      </w:r>
      <w:r>
        <w:rPr>
          <w:spacing w:val="-11"/>
          <w:sz w:val="24"/>
        </w:rPr>
        <w:t> </w:t>
      </w:r>
      <w:r>
        <w:rPr>
          <w:sz w:val="24"/>
        </w:rPr>
        <w:t>factor</w:t>
      </w:r>
      <w:r>
        <w:rPr>
          <w:spacing w:val="-11"/>
          <w:sz w:val="24"/>
        </w:rPr>
        <w:t> </w:t>
      </w:r>
      <w:r>
        <w:rPr>
          <w:sz w:val="24"/>
        </w:rPr>
        <w:t>de</w:t>
      </w:r>
      <w:r>
        <w:rPr>
          <w:spacing w:val="-11"/>
          <w:sz w:val="24"/>
        </w:rPr>
        <w:t> </w:t>
      </w:r>
      <w:r>
        <w:rPr>
          <w:sz w:val="24"/>
        </w:rPr>
        <w:t>conversión</w:t>
      </w:r>
      <w:r>
        <w:rPr>
          <w:spacing w:val="-11"/>
          <w:sz w:val="24"/>
        </w:rPr>
        <w:t> </w:t>
      </w:r>
      <w:r>
        <w:rPr>
          <w:sz w:val="24"/>
        </w:rPr>
        <w:t>de</w:t>
      </w:r>
      <w:r>
        <w:rPr>
          <w:spacing w:val="-11"/>
          <w:sz w:val="24"/>
        </w:rPr>
        <w:t> </w:t>
      </w:r>
      <w:r>
        <w:rPr>
          <w:sz w:val="24"/>
        </w:rPr>
        <w:t>metano. España.</w:t>
      </w:r>
    </w:p>
    <w:p>
      <w:pPr>
        <w:spacing w:line="360" w:lineRule="auto" w:before="2"/>
        <w:ind w:left="1269" w:right="144" w:hanging="993"/>
        <w:jc w:val="both"/>
        <w:rPr>
          <w:sz w:val="24"/>
        </w:rPr>
      </w:pPr>
      <w:r>
        <w:rPr>
          <w:b/>
          <w:sz w:val="24"/>
        </w:rPr>
        <w:t>Carmona,</w:t>
      </w:r>
      <w:r>
        <w:rPr>
          <w:b/>
          <w:spacing w:val="-17"/>
          <w:sz w:val="24"/>
        </w:rPr>
        <w:t> </w:t>
      </w:r>
      <w:r>
        <w:rPr>
          <w:b/>
          <w:sz w:val="24"/>
        </w:rPr>
        <w:t>J.</w:t>
      </w:r>
      <w:r>
        <w:rPr>
          <w:b/>
          <w:spacing w:val="-17"/>
          <w:sz w:val="24"/>
        </w:rPr>
        <w:t> </w:t>
      </w:r>
      <w:r>
        <w:rPr>
          <w:b/>
          <w:sz w:val="24"/>
        </w:rPr>
        <w:t>C.;</w:t>
      </w:r>
      <w:r>
        <w:rPr>
          <w:b/>
          <w:spacing w:val="-17"/>
          <w:sz w:val="24"/>
        </w:rPr>
        <w:t> </w:t>
      </w:r>
      <w:r>
        <w:rPr>
          <w:b/>
          <w:sz w:val="24"/>
        </w:rPr>
        <w:t>Bolívar,</w:t>
      </w:r>
      <w:r>
        <w:rPr>
          <w:b/>
          <w:spacing w:val="-17"/>
          <w:sz w:val="24"/>
        </w:rPr>
        <w:t> </w:t>
      </w:r>
      <w:r>
        <w:rPr>
          <w:b/>
          <w:sz w:val="24"/>
        </w:rPr>
        <w:t>D.</w:t>
      </w:r>
      <w:r>
        <w:rPr>
          <w:b/>
          <w:spacing w:val="-17"/>
          <w:sz w:val="24"/>
        </w:rPr>
        <w:t> </w:t>
      </w:r>
      <w:r>
        <w:rPr>
          <w:b/>
          <w:sz w:val="24"/>
        </w:rPr>
        <w:t>M.;</w:t>
      </w:r>
      <w:r>
        <w:rPr>
          <w:b/>
          <w:spacing w:val="-17"/>
          <w:sz w:val="24"/>
        </w:rPr>
        <w:t> </w:t>
      </w:r>
      <w:r>
        <w:rPr>
          <w:b/>
          <w:sz w:val="24"/>
        </w:rPr>
        <w:t>Giraldo,</w:t>
      </w:r>
      <w:r>
        <w:rPr>
          <w:b/>
          <w:spacing w:val="-17"/>
          <w:sz w:val="24"/>
        </w:rPr>
        <w:t> </w:t>
      </w:r>
      <w:r>
        <w:rPr>
          <w:b/>
          <w:sz w:val="24"/>
        </w:rPr>
        <w:t>L.</w:t>
      </w:r>
      <w:r>
        <w:rPr>
          <w:b/>
          <w:spacing w:val="-17"/>
          <w:sz w:val="24"/>
        </w:rPr>
        <w:t> </w:t>
      </w:r>
      <w:r>
        <w:rPr>
          <w:b/>
          <w:sz w:val="24"/>
        </w:rPr>
        <w:t>A.</w:t>
      </w:r>
      <w:r>
        <w:rPr>
          <w:b/>
          <w:spacing w:val="-17"/>
          <w:sz w:val="24"/>
        </w:rPr>
        <w:t> </w:t>
      </w:r>
      <w:r>
        <w:rPr>
          <w:b/>
          <w:sz w:val="24"/>
        </w:rPr>
        <w:t>2005.</w:t>
      </w:r>
      <w:r>
        <w:rPr>
          <w:b/>
          <w:spacing w:val="-17"/>
          <w:sz w:val="24"/>
        </w:rPr>
        <w:t> </w:t>
      </w:r>
      <w:r>
        <w:rPr>
          <w:sz w:val="24"/>
        </w:rPr>
        <w:t>El</w:t>
      </w:r>
      <w:r>
        <w:rPr>
          <w:spacing w:val="-17"/>
          <w:sz w:val="24"/>
        </w:rPr>
        <w:t> </w:t>
      </w:r>
      <w:r>
        <w:rPr>
          <w:sz w:val="24"/>
        </w:rPr>
        <w:t>gas</w:t>
      </w:r>
      <w:r>
        <w:rPr>
          <w:spacing w:val="-17"/>
          <w:sz w:val="24"/>
        </w:rPr>
        <w:t> </w:t>
      </w:r>
      <w:r>
        <w:rPr>
          <w:sz w:val="24"/>
        </w:rPr>
        <w:t>metano</w:t>
      </w:r>
      <w:r>
        <w:rPr>
          <w:spacing w:val="-17"/>
          <w:sz w:val="24"/>
        </w:rPr>
        <w:t> </w:t>
      </w:r>
      <w:r>
        <w:rPr>
          <w:sz w:val="24"/>
        </w:rPr>
        <w:t>en</w:t>
      </w:r>
      <w:r>
        <w:rPr>
          <w:spacing w:val="-17"/>
          <w:sz w:val="24"/>
        </w:rPr>
        <w:t> </w:t>
      </w:r>
      <w:r>
        <w:rPr>
          <w:sz w:val="24"/>
        </w:rPr>
        <w:t>la</w:t>
      </w:r>
      <w:r>
        <w:rPr>
          <w:spacing w:val="-17"/>
          <w:sz w:val="24"/>
        </w:rPr>
        <w:t> </w:t>
      </w:r>
      <w:r>
        <w:rPr>
          <w:sz w:val="24"/>
        </w:rPr>
        <w:t>producción ganadera y alternativas para medir sus emisiones y aminorar su impacto a nivel ambiental y productivo. Rev. Col. Cienc. Pec. 2005; Vol. 18:1; 49- 63.</w:t>
      </w:r>
    </w:p>
    <w:p>
      <w:pPr>
        <w:pStyle w:val="BodyText"/>
        <w:spacing w:line="360" w:lineRule="auto" w:before="2"/>
        <w:ind w:left="1269" w:right="143" w:hanging="993"/>
        <w:jc w:val="both"/>
      </w:pPr>
      <w:r>
        <w:rPr>
          <w:b/>
        </w:rPr>
        <w:t>COP, 13. 2007. </w:t>
      </w:r>
      <w:r>
        <w:rPr/>
        <w:t>Informe de la Conferencia de las Partes sobre su 13º período de sesiones, celebrado en Bali del 3 al 15 de diciembre de 2007. ONU. pp. 61.</w:t>
      </w:r>
    </w:p>
    <w:p>
      <w:pPr>
        <w:spacing w:line="360" w:lineRule="auto" w:before="7"/>
        <w:ind w:left="1269" w:right="144" w:hanging="993"/>
        <w:jc w:val="both"/>
        <w:rPr>
          <w:sz w:val="24"/>
        </w:rPr>
      </w:pPr>
      <w:r>
        <w:rPr>
          <w:b/>
          <w:sz w:val="24"/>
        </w:rPr>
        <w:t>De Vries, M; de Boer, I.J.M. 2010. </w:t>
      </w:r>
      <w:r>
        <w:rPr>
          <w:sz w:val="24"/>
        </w:rPr>
        <w:t>Comparing environmental impacts for livestock products: A review of life cycle assessments. In: Livestock Science. Vol 128:1; 1-11.</w:t>
      </w:r>
    </w:p>
    <w:p>
      <w:pPr>
        <w:pStyle w:val="BodyText"/>
        <w:spacing w:line="362" w:lineRule="auto" w:before="2"/>
        <w:ind w:left="1269" w:right="143" w:hanging="993"/>
        <w:jc w:val="both"/>
      </w:pPr>
      <w:r>
        <w:rPr>
          <w:b/>
        </w:rPr>
        <w:t>FAO. 2006. </w:t>
      </w:r>
      <w:r>
        <w:rPr/>
        <w:t>La ganadería amenaza el medio ambiente. Consultado. Disponible en: </w:t>
      </w:r>
      <w:hyperlink r:id="rId175">
        <w:r>
          <w:rPr/>
          <w:t>http://www.fao.org/newsroom/es/news/2006/1000448/index.html</w:t>
        </w:r>
      </w:hyperlink>
    </w:p>
    <w:p>
      <w:pPr>
        <w:pStyle w:val="BodyText"/>
        <w:spacing w:line="360" w:lineRule="auto"/>
        <w:ind w:left="1269" w:right="144" w:hanging="993"/>
        <w:jc w:val="both"/>
      </w:pPr>
      <w:r>
        <w:rPr>
          <w:b/>
        </w:rPr>
        <w:t>FAO. 2009. </w:t>
      </w:r>
      <w:r>
        <w:rPr/>
        <w:t>La Ganadería a examen. El estado mundial de la agricultura y la alimentación. Consultado nov. 2009. Disponible en: </w:t>
      </w:r>
      <w:hyperlink r:id="rId176">
        <w:r>
          <w:rPr/>
          <w:t>http://www.fao.org/publications/sofa-2009/es/</w:t>
        </w:r>
      </w:hyperlink>
    </w:p>
    <w:p>
      <w:pPr>
        <w:pStyle w:val="BodyText"/>
        <w:tabs>
          <w:tab w:pos="7786" w:val="left" w:leader="none"/>
          <w:tab w:pos="8846" w:val="left" w:leader="none"/>
        </w:tabs>
        <w:spacing w:line="360" w:lineRule="auto" w:before="2"/>
        <w:ind w:left="1269" w:right="144" w:hanging="993"/>
        <w:jc w:val="both"/>
      </w:pPr>
      <w:r>
        <w:rPr>
          <w:b/>
        </w:rPr>
        <w:t>FAO. 2010. </w:t>
      </w:r>
      <w:r>
        <w:rPr/>
        <w:t>Greenhouse gas Emissions from the Dairy Sector: A Life Cycle Assessment. Food and Agriculture Organization of the United Nations. Animal Production and Health Division. Disponible en: </w:t>
      </w:r>
      <w:hyperlink r:id="rId177">
        <w:r>
          <w:rPr/>
          <w:t>http://www.fao.org/docrep/012/k7930e/k7930e00.pdf</w:t>
        </w:r>
      </w:hyperlink>
      <w:r>
        <w:rPr/>
        <w:tab/>
        <w:t>y</w:t>
        <w:tab/>
        <w:t>en </w:t>
      </w:r>
      <w:hyperlink r:id="rId161">
        <w:r>
          <w:rPr/>
          <w:t>http://www.fao.org/news/story/es/item/41353/icode/.</w:t>
        </w:r>
      </w:hyperlink>
    </w:p>
    <w:p>
      <w:pPr>
        <w:spacing w:after="0" w:line="360" w:lineRule="auto"/>
        <w:jc w:val="both"/>
        <w:sectPr>
          <w:footerReference w:type="default" r:id="rId174"/>
          <w:pgSz w:w="12240" w:h="15840"/>
          <w:pgMar w:footer="739" w:header="741" w:top="1220" w:bottom="920" w:left="1720" w:right="1260"/>
        </w:sectPr>
      </w:pPr>
    </w:p>
    <w:p>
      <w:pPr>
        <w:pStyle w:val="BodyText"/>
        <w:spacing w:before="4"/>
        <w:rPr>
          <w:sz w:val="11"/>
        </w:rPr>
      </w:pPr>
    </w:p>
    <w:p>
      <w:pPr>
        <w:spacing w:line="362" w:lineRule="auto" w:before="69"/>
        <w:ind w:left="1269" w:right="144" w:hanging="993"/>
        <w:jc w:val="both"/>
        <w:rPr>
          <w:sz w:val="24"/>
        </w:rPr>
      </w:pPr>
      <w:r>
        <w:rPr>
          <w:b/>
          <w:sz w:val="24"/>
        </w:rPr>
        <w:t>González,</w:t>
      </w:r>
      <w:r>
        <w:rPr>
          <w:b/>
          <w:spacing w:val="-10"/>
          <w:sz w:val="24"/>
        </w:rPr>
        <w:t> </w:t>
      </w:r>
      <w:r>
        <w:rPr>
          <w:b/>
          <w:sz w:val="24"/>
        </w:rPr>
        <w:t>D.</w:t>
      </w:r>
      <w:r>
        <w:rPr>
          <w:b/>
          <w:spacing w:val="-10"/>
          <w:sz w:val="24"/>
        </w:rPr>
        <w:t> </w:t>
      </w:r>
      <w:r>
        <w:rPr>
          <w:b/>
          <w:sz w:val="24"/>
        </w:rPr>
        <w:t>G.</w:t>
      </w:r>
      <w:r>
        <w:rPr>
          <w:b/>
          <w:spacing w:val="-10"/>
          <w:sz w:val="24"/>
        </w:rPr>
        <w:t> </w:t>
      </w:r>
      <w:r>
        <w:rPr>
          <w:b/>
          <w:sz w:val="24"/>
        </w:rPr>
        <w:t>y</w:t>
      </w:r>
      <w:r>
        <w:rPr>
          <w:b/>
          <w:spacing w:val="-10"/>
          <w:sz w:val="24"/>
        </w:rPr>
        <w:t> </w:t>
      </w:r>
      <w:r>
        <w:rPr>
          <w:b/>
          <w:sz w:val="24"/>
        </w:rPr>
        <w:t>Carlsson-Kanyama,</w:t>
      </w:r>
      <w:r>
        <w:rPr>
          <w:b/>
          <w:spacing w:val="-9"/>
          <w:sz w:val="24"/>
        </w:rPr>
        <w:t> </w:t>
      </w:r>
      <w:r>
        <w:rPr>
          <w:b/>
          <w:sz w:val="24"/>
        </w:rPr>
        <w:t>A.</w:t>
      </w:r>
      <w:r>
        <w:rPr>
          <w:b/>
          <w:spacing w:val="-10"/>
          <w:sz w:val="24"/>
        </w:rPr>
        <w:t> </w:t>
      </w:r>
      <w:r>
        <w:rPr>
          <w:b/>
          <w:sz w:val="24"/>
        </w:rPr>
        <w:t>2007.</w:t>
      </w:r>
      <w:r>
        <w:rPr>
          <w:b/>
          <w:spacing w:val="-10"/>
          <w:sz w:val="24"/>
        </w:rPr>
        <w:t> </w:t>
      </w:r>
      <w:r>
        <w:rPr>
          <w:sz w:val="24"/>
        </w:rPr>
        <w:t>Avances</w:t>
      </w:r>
      <w:r>
        <w:rPr>
          <w:spacing w:val="-10"/>
          <w:sz w:val="24"/>
        </w:rPr>
        <w:t> </w:t>
      </w:r>
      <w:r>
        <w:rPr>
          <w:sz w:val="24"/>
        </w:rPr>
        <w:t>en</w:t>
      </w:r>
      <w:r>
        <w:rPr>
          <w:spacing w:val="-10"/>
          <w:sz w:val="24"/>
        </w:rPr>
        <w:t> </w:t>
      </w:r>
      <w:r>
        <w:rPr>
          <w:sz w:val="24"/>
        </w:rPr>
        <w:t>Energías</w:t>
      </w:r>
      <w:r>
        <w:rPr>
          <w:spacing w:val="-10"/>
          <w:sz w:val="24"/>
        </w:rPr>
        <w:t> </w:t>
      </w:r>
      <w:r>
        <w:rPr>
          <w:sz w:val="24"/>
        </w:rPr>
        <w:t>Renovables y Medio Ambiente. Vol. 11 Impreso en la Argentina. pp. 07 –</w:t>
      </w:r>
      <w:r>
        <w:rPr>
          <w:spacing w:val="-1"/>
          <w:sz w:val="24"/>
        </w:rPr>
        <w:t> </w:t>
      </w:r>
      <w:r>
        <w:rPr>
          <w:sz w:val="24"/>
        </w:rPr>
        <w:t>14.</w:t>
      </w:r>
    </w:p>
    <w:p>
      <w:pPr>
        <w:pStyle w:val="BodyText"/>
        <w:spacing w:line="360" w:lineRule="auto"/>
        <w:ind w:left="1269" w:right="144" w:hanging="993"/>
        <w:jc w:val="both"/>
      </w:pPr>
      <w:r>
        <w:rPr>
          <w:b/>
        </w:rPr>
        <w:t>INE-SEMARNAT. 2006. </w:t>
      </w:r>
      <w:r>
        <w:rPr/>
        <w:t>Inventario Nacional de Emisiones de Gases de Efecto Invernadero 1990-2002. pp. 258.</w:t>
      </w:r>
    </w:p>
    <w:p>
      <w:pPr>
        <w:pStyle w:val="BodyText"/>
        <w:spacing w:line="360" w:lineRule="auto" w:before="2"/>
        <w:ind w:left="1269" w:right="143" w:hanging="993"/>
        <w:jc w:val="both"/>
      </w:pPr>
      <w:r>
        <w:rPr>
          <w:b/>
        </w:rPr>
        <w:t>INE-SEMARNAT.</w:t>
      </w:r>
      <w:r>
        <w:rPr>
          <w:b/>
          <w:spacing w:val="-8"/>
        </w:rPr>
        <w:t> </w:t>
      </w:r>
      <w:r>
        <w:rPr>
          <w:b/>
        </w:rPr>
        <w:t>2009.</w:t>
      </w:r>
      <w:r>
        <w:rPr>
          <w:b/>
          <w:spacing w:val="-8"/>
        </w:rPr>
        <w:t> </w:t>
      </w:r>
      <w:r>
        <w:rPr/>
        <w:t>México</w:t>
      </w:r>
      <w:r>
        <w:rPr>
          <w:spacing w:val="-8"/>
        </w:rPr>
        <w:t> </w:t>
      </w:r>
      <w:r>
        <w:rPr/>
        <w:t>Cuarta</w:t>
      </w:r>
      <w:r>
        <w:rPr>
          <w:spacing w:val="-8"/>
        </w:rPr>
        <w:t> </w:t>
      </w:r>
      <w:r>
        <w:rPr/>
        <w:t>Comunicación</w:t>
      </w:r>
      <w:r>
        <w:rPr>
          <w:spacing w:val="-8"/>
        </w:rPr>
        <w:t> </w:t>
      </w:r>
      <w:r>
        <w:rPr/>
        <w:t>Nacional</w:t>
      </w:r>
      <w:r>
        <w:rPr>
          <w:spacing w:val="-8"/>
        </w:rPr>
        <w:t> </w:t>
      </w:r>
      <w:r>
        <w:rPr/>
        <w:t>ante</w:t>
      </w:r>
      <w:r>
        <w:rPr>
          <w:spacing w:val="-8"/>
        </w:rPr>
        <w:t> </w:t>
      </w:r>
      <w:r>
        <w:rPr/>
        <w:t>la</w:t>
      </w:r>
      <w:r>
        <w:rPr>
          <w:spacing w:val="-8"/>
        </w:rPr>
        <w:t> </w:t>
      </w:r>
      <w:r>
        <w:rPr/>
        <w:t>Convención Marco de las Naciones Unidas sobre el Cambio Climático. México. Ed. Solar, Servicios Editoriales, S.A. de C.V. pp. 274.</w:t>
      </w:r>
    </w:p>
    <w:p>
      <w:pPr>
        <w:pStyle w:val="BodyText"/>
        <w:tabs>
          <w:tab w:pos="2700" w:val="left" w:leader="none"/>
          <w:tab w:pos="4331" w:val="left" w:leader="none"/>
          <w:tab w:pos="6269" w:val="left" w:leader="none"/>
          <w:tab w:pos="7419" w:val="left" w:leader="none"/>
        </w:tabs>
        <w:spacing w:line="360" w:lineRule="auto" w:before="2"/>
        <w:ind w:left="1269" w:right="145" w:hanging="993"/>
        <w:jc w:val="both"/>
      </w:pPr>
      <w:r>
        <w:rPr>
          <w:b/>
        </w:rPr>
        <w:t>IPCC.</w:t>
      </w:r>
      <w:r>
        <w:rPr>
          <w:b/>
          <w:spacing w:val="-13"/>
        </w:rPr>
        <w:t> </w:t>
      </w:r>
      <w:r>
        <w:rPr>
          <w:b/>
        </w:rPr>
        <w:t>1996.</w:t>
      </w:r>
      <w:r>
        <w:rPr>
          <w:b/>
          <w:spacing w:val="-13"/>
        </w:rPr>
        <w:t> </w:t>
      </w:r>
      <w:r>
        <w:rPr/>
        <w:t>Directrices</w:t>
      </w:r>
      <w:r>
        <w:rPr>
          <w:spacing w:val="-13"/>
        </w:rPr>
        <w:t> </w:t>
      </w:r>
      <w:r>
        <w:rPr/>
        <w:t>del</w:t>
      </w:r>
      <w:r>
        <w:rPr>
          <w:spacing w:val="-13"/>
        </w:rPr>
        <w:t> </w:t>
      </w:r>
      <w:r>
        <w:rPr/>
        <w:t>IPCC</w:t>
      </w:r>
      <w:r>
        <w:rPr>
          <w:spacing w:val="-13"/>
        </w:rPr>
        <w:t> </w:t>
      </w:r>
      <w:r>
        <w:rPr/>
        <w:t>para</w:t>
      </w:r>
      <w:r>
        <w:rPr>
          <w:spacing w:val="-13"/>
        </w:rPr>
        <w:t> </w:t>
      </w:r>
      <w:r>
        <w:rPr/>
        <w:t>los</w:t>
      </w:r>
      <w:r>
        <w:rPr>
          <w:spacing w:val="-13"/>
        </w:rPr>
        <w:t> </w:t>
      </w:r>
      <w:r>
        <w:rPr/>
        <w:t>inventarios</w:t>
      </w:r>
      <w:r>
        <w:rPr>
          <w:spacing w:val="-13"/>
        </w:rPr>
        <w:t> </w:t>
      </w:r>
      <w:r>
        <w:rPr/>
        <w:t>nacionales</w:t>
      </w:r>
      <w:r>
        <w:rPr>
          <w:spacing w:val="-13"/>
        </w:rPr>
        <w:t> </w:t>
      </w:r>
      <w:r>
        <w:rPr/>
        <w:t>de</w:t>
      </w:r>
      <w:r>
        <w:rPr>
          <w:spacing w:val="-13"/>
        </w:rPr>
        <w:t> </w:t>
      </w:r>
      <w:r>
        <w:rPr/>
        <w:t>gases</w:t>
      </w:r>
      <w:r>
        <w:rPr>
          <w:spacing w:val="-13"/>
        </w:rPr>
        <w:t> </w:t>
      </w:r>
      <w:r>
        <w:rPr/>
        <w:t>de</w:t>
      </w:r>
      <w:r>
        <w:rPr>
          <w:spacing w:val="-13"/>
        </w:rPr>
        <w:t> </w:t>
      </w:r>
      <w:r>
        <w:rPr/>
        <w:t>efecto invernadero</w:t>
      </w:r>
      <w:r>
        <w:rPr>
          <w:spacing w:val="-7"/>
        </w:rPr>
        <w:t> </w:t>
      </w:r>
      <w:r>
        <w:rPr/>
        <w:t>-</w:t>
      </w:r>
      <w:r>
        <w:rPr>
          <w:spacing w:val="-7"/>
        </w:rPr>
        <w:t> </w:t>
      </w:r>
      <w:r>
        <w:rPr/>
        <w:t>versión</w:t>
      </w:r>
      <w:r>
        <w:rPr>
          <w:spacing w:val="-7"/>
        </w:rPr>
        <w:t> </w:t>
      </w:r>
      <w:r>
        <w:rPr/>
        <w:t>revisada</w:t>
      </w:r>
      <w:r>
        <w:rPr>
          <w:spacing w:val="-7"/>
        </w:rPr>
        <w:t> </w:t>
      </w:r>
      <w:r>
        <w:rPr/>
        <w:t>en</w:t>
      </w:r>
      <w:r>
        <w:rPr>
          <w:spacing w:val="-7"/>
        </w:rPr>
        <w:t> </w:t>
      </w:r>
      <w:r>
        <w:rPr/>
        <w:t>1996.</w:t>
      </w:r>
      <w:r>
        <w:rPr>
          <w:spacing w:val="-7"/>
        </w:rPr>
        <w:t> </w:t>
      </w:r>
      <w:r>
        <w:rPr/>
        <w:t>Volumen</w:t>
      </w:r>
      <w:r>
        <w:rPr>
          <w:spacing w:val="-7"/>
        </w:rPr>
        <w:t> </w:t>
      </w:r>
      <w:r>
        <w:rPr/>
        <w:t>2.</w:t>
      </w:r>
      <w:r>
        <w:rPr>
          <w:spacing w:val="-7"/>
        </w:rPr>
        <w:t> </w:t>
      </w:r>
      <w:r>
        <w:rPr/>
        <w:t>Módulo</w:t>
      </w:r>
      <w:r>
        <w:rPr>
          <w:spacing w:val="-7"/>
        </w:rPr>
        <w:t> </w:t>
      </w:r>
      <w:r>
        <w:rPr/>
        <w:t>4,</w:t>
      </w:r>
      <w:r>
        <w:rPr>
          <w:spacing w:val="-7"/>
        </w:rPr>
        <w:t> </w:t>
      </w:r>
      <w:r>
        <w:rPr/>
        <w:t>Agricultura. Paris,</w:t>
        <w:tab/>
        <w:t>France.</w:t>
        <w:tab/>
        <w:t>Disponible</w:t>
        <w:tab/>
        <w:t>en:</w:t>
        <w:tab/>
        <w:t>http://www.ipcc- nggip.iges.or.jp/public/gl/invs1.html.</w:t>
      </w:r>
    </w:p>
    <w:p>
      <w:pPr>
        <w:pStyle w:val="BodyText"/>
        <w:spacing w:line="360" w:lineRule="auto" w:before="2"/>
        <w:ind w:left="1269" w:right="143" w:hanging="993"/>
        <w:jc w:val="both"/>
      </w:pPr>
      <w:r>
        <w:rPr>
          <w:b/>
        </w:rPr>
        <w:t>IPCC. 1997. </w:t>
      </w:r>
      <w:r>
        <w:rPr/>
        <w:t>Introducción a los modelos climáticos simples utilizados en el</w:t>
      </w:r>
      <w:r>
        <w:rPr>
          <w:spacing w:val="-44"/>
        </w:rPr>
        <w:t> </w:t>
      </w:r>
      <w:r>
        <w:rPr/>
        <w:t>segundo informe de evaluación del IPCC. PNUMA. Disponible en: </w:t>
      </w:r>
      <w:hyperlink r:id="rId179">
        <w:r>
          <w:rPr/>
          <w:t>http://www.ipcc.ch/pdf/technical-papers/paper-II-sp.pdf.</w:t>
        </w:r>
      </w:hyperlink>
    </w:p>
    <w:p>
      <w:pPr>
        <w:pStyle w:val="BodyText"/>
        <w:spacing w:line="360" w:lineRule="auto" w:before="2"/>
        <w:ind w:left="1269" w:right="145" w:hanging="993"/>
        <w:jc w:val="both"/>
      </w:pPr>
      <w:r>
        <w:rPr>
          <w:b/>
        </w:rPr>
        <w:t>IPCC. 2000. </w:t>
      </w:r>
      <w:r>
        <w:rPr/>
        <w:t>Orientación del IPCC sobre las buenas prácticas y la gestión de la incertidumbre en los inventarios nacionales de gases de efecto invernadero. Capítulo 4 Agricultura. Disponible en: http://www.ipcc- nggip.iges.or.jp/public/gp/spanish/gpgaum_es.html.</w:t>
      </w:r>
    </w:p>
    <w:p>
      <w:pPr>
        <w:pStyle w:val="BodyText"/>
        <w:spacing w:line="360" w:lineRule="auto" w:before="2"/>
        <w:ind w:left="1269" w:right="145" w:hanging="993"/>
        <w:jc w:val="both"/>
      </w:pPr>
      <w:r>
        <w:rPr>
          <w:b/>
        </w:rPr>
        <w:t>IPCC. 2001. </w:t>
      </w:r>
      <w:r>
        <w:rPr/>
        <w:t>Tercer Informe de Evaluación. Cambio climático Impactos, adaptación y vulnerabilidad. Consultado sep. 2009. Disponible en: </w:t>
      </w:r>
      <w:hyperlink r:id="rId180">
        <w:r>
          <w:rPr/>
          <w:t>http://www.ipcc.ch/home_languages_main_spanish.htm.</w:t>
        </w:r>
      </w:hyperlink>
    </w:p>
    <w:p>
      <w:pPr>
        <w:pStyle w:val="BodyText"/>
        <w:tabs>
          <w:tab w:pos="4738" w:val="left" w:leader="none"/>
          <w:tab w:pos="7419" w:val="left" w:leader="none"/>
        </w:tabs>
        <w:spacing w:line="360" w:lineRule="auto" w:before="7"/>
        <w:ind w:left="1269" w:right="143" w:hanging="993"/>
        <w:jc w:val="both"/>
      </w:pPr>
      <w:r>
        <w:rPr>
          <w:b/>
        </w:rPr>
        <w:t>IPCC. 2006. </w:t>
      </w:r>
      <w:r>
        <w:rPr/>
        <w:t>Directrices del IPCC de 2006 para los inventarios nacionales de</w:t>
      </w:r>
      <w:r>
        <w:rPr>
          <w:spacing w:val="-36"/>
        </w:rPr>
        <w:t> </w:t>
      </w:r>
      <w:r>
        <w:rPr/>
        <w:t>gases de efecto. Volumen 4. Agricultura, silvicultura y otros usos de la tierra. Disponible</w:t>
        <w:tab/>
        <w:t>en:</w:t>
        <w:tab/>
        <w:t>http://www.ipcc- nggip.iges.or.jp/public/2006gl/spanish/index.html.</w:t>
      </w:r>
    </w:p>
    <w:p>
      <w:pPr>
        <w:spacing w:line="362" w:lineRule="auto" w:before="2"/>
        <w:ind w:left="1269" w:right="144" w:hanging="993"/>
        <w:jc w:val="both"/>
        <w:rPr>
          <w:sz w:val="24"/>
        </w:rPr>
      </w:pPr>
      <w:r>
        <w:rPr>
          <w:b/>
          <w:sz w:val="24"/>
        </w:rPr>
        <w:t>Johnson, K. A., Johnson D.E. 1995. </w:t>
      </w:r>
      <w:r>
        <w:rPr>
          <w:sz w:val="24"/>
        </w:rPr>
        <w:t>Methane emissions from cattle. J Anim Sci 1995;(73):2483-2492.</w:t>
      </w:r>
    </w:p>
    <w:p>
      <w:pPr>
        <w:pStyle w:val="BodyText"/>
        <w:spacing w:line="360" w:lineRule="auto"/>
        <w:ind w:left="1269" w:right="143" w:hanging="993"/>
        <w:jc w:val="both"/>
      </w:pPr>
      <w:r>
        <w:rPr>
          <w:b/>
        </w:rPr>
        <w:t>Montenegro J, Abarca S. 2002. </w:t>
      </w:r>
      <w:r>
        <w:rPr/>
        <w:t>Fijación de Carbono, Emisión de Metano y de Óxido Nitroso en Sistemas de Producción Bovina en Costa Rica. Intensificación de la Ganadería en Centroamérica: Beneficios</w:t>
      </w:r>
      <w:r>
        <w:rPr>
          <w:spacing w:val="-28"/>
        </w:rPr>
        <w:t> </w:t>
      </w:r>
      <w:r>
        <w:rPr/>
        <w:t>económicos</w:t>
      </w:r>
    </w:p>
    <w:p>
      <w:pPr>
        <w:spacing w:after="0" w:line="360" w:lineRule="auto"/>
        <w:jc w:val="both"/>
        <w:sectPr>
          <w:footerReference w:type="default" r:id="rId178"/>
          <w:pgSz w:w="12240" w:h="15840"/>
          <w:pgMar w:footer="739" w:header="741" w:top="1220" w:bottom="920" w:left="1720" w:right="1260"/>
          <w:pgNumType w:start="111"/>
        </w:sectPr>
      </w:pPr>
    </w:p>
    <w:p>
      <w:pPr>
        <w:pStyle w:val="BodyText"/>
        <w:spacing w:before="4"/>
        <w:rPr>
          <w:sz w:val="11"/>
        </w:rPr>
      </w:pPr>
    </w:p>
    <w:p>
      <w:pPr>
        <w:pStyle w:val="BodyText"/>
        <w:tabs>
          <w:tab w:pos="1949" w:val="left" w:leader="none"/>
          <w:tab w:pos="3871" w:val="left" w:leader="none"/>
          <w:tab w:pos="4991" w:val="left" w:leader="none"/>
          <w:tab w:pos="7072" w:val="left" w:leader="none"/>
          <w:tab w:pos="7899" w:val="left" w:leader="none"/>
        </w:tabs>
        <w:spacing w:line="362" w:lineRule="auto" w:before="69"/>
        <w:ind w:left="1269" w:right="144"/>
      </w:pPr>
      <w:r>
        <w:rPr/>
        <w:t>y</w:t>
        <w:tab/>
        <w:t>ambientales.</w:t>
        <w:tab/>
        <w:t>FAO,</w:t>
        <w:tab/>
        <w:t>Departamento</w:t>
        <w:tab/>
        <w:t>de</w:t>
        <w:tab/>
        <w:t>Agricultura. </w:t>
      </w:r>
      <w:hyperlink r:id="rId165">
        <w:r>
          <w:rPr/>
          <w:t>http://www.fao.org/WAIRDOCS/LEAD/x6366s/x6366s10.htm#P0_0.</w:t>
        </w:r>
      </w:hyperlink>
    </w:p>
    <w:p>
      <w:pPr>
        <w:spacing w:line="360" w:lineRule="auto" w:before="0"/>
        <w:ind w:left="1269" w:right="144" w:hanging="993"/>
        <w:jc w:val="both"/>
        <w:rPr>
          <w:sz w:val="24"/>
        </w:rPr>
      </w:pPr>
      <w:r>
        <w:rPr>
          <w:b/>
          <w:sz w:val="24"/>
        </w:rPr>
        <w:t>Moss, A. R., J. P. Jouany, &amp; C. J. Newbold. 2000. </w:t>
      </w:r>
      <w:r>
        <w:rPr>
          <w:sz w:val="24"/>
        </w:rPr>
        <w:t>Methane production by ruminants: Its contribution to global warming. Ann. Zootech. 43: 231-253.</w:t>
      </w:r>
    </w:p>
    <w:p>
      <w:pPr>
        <w:pStyle w:val="BodyText"/>
        <w:spacing w:line="362" w:lineRule="auto" w:before="2"/>
        <w:ind w:left="1269" w:right="144" w:hanging="993"/>
        <w:jc w:val="both"/>
      </w:pPr>
      <w:r>
        <w:rPr>
          <w:b/>
        </w:rPr>
        <w:t>OCDE. 2004. </w:t>
      </w:r>
      <w:r>
        <w:rPr/>
        <w:t>Agricultura, comercio y medio ambiente Sector lechero. Resumen en español. pp. 236. Disponible en: </w:t>
      </w:r>
      <w:hyperlink r:id="rId181">
        <w:r>
          <w:rPr/>
          <w:t>www.oecd.org/bookshop/.</w:t>
        </w:r>
      </w:hyperlink>
    </w:p>
    <w:p>
      <w:pPr>
        <w:spacing w:line="360" w:lineRule="auto" w:before="0"/>
        <w:ind w:left="1269" w:right="143" w:hanging="993"/>
        <w:jc w:val="both"/>
        <w:rPr>
          <w:sz w:val="24"/>
        </w:rPr>
      </w:pPr>
      <w:r>
        <w:rPr>
          <w:b/>
          <w:sz w:val="24"/>
        </w:rPr>
        <w:t>Steinfeld,</w:t>
      </w:r>
      <w:r>
        <w:rPr>
          <w:b/>
          <w:spacing w:val="-9"/>
          <w:sz w:val="24"/>
        </w:rPr>
        <w:t> </w:t>
      </w:r>
      <w:r>
        <w:rPr>
          <w:b/>
          <w:sz w:val="24"/>
        </w:rPr>
        <w:t>Henning;</w:t>
      </w:r>
      <w:r>
        <w:rPr>
          <w:b/>
          <w:spacing w:val="-9"/>
          <w:sz w:val="24"/>
        </w:rPr>
        <w:t> </w:t>
      </w:r>
      <w:r>
        <w:rPr>
          <w:b/>
          <w:sz w:val="24"/>
        </w:rPr>
        <w:t>Gerber,</w:t>
      </w:r>
      <w:r>
        <w:rPr>
          <w:b/>
          <w:spacing w:val="-9"/>
          <w:sz w:val="24"/>
        </w:rPr>
        <w:t> </w:t>
      </w:r>
      <w:r>
        <w:rPr>
          <w:b/>
          <w:sz w:val="24"/>
        </w:rPr>
        <w:t>Pierre;</w:t>
      </w:r>
      <w:r>
        <w:rPr>
          <w:b/>
          <w:spacing w:val="-9"/>
          <w:sz w:val="24"/>
        </w:rPr>
        <w:t> </w:t>
      </w:r>
      <w:r>
        <w:rPr>
          <w:b/>
          <w:sz w:val="24"/>
        </w:rPr>
        <w:t>Wassenaar,</w:t>
      </w:r>
      <w:r>
        <w:rPr>
          <w:b/>
          <w:spacing w:val="-9"/>
          <w:sz w:val="24"/>
        </w:rPr>
        <w:t> </w:t>
      </w:r>
      <w:r>
        <w:rPr>
          <w:b/>
          <w:sz w:val="24"/>
        </w:rPr>
        <w:t>Tom;</w:t>
      </w:r>
      <w:r>
        <w:rPr>
          <w:b/>
          <w:spacing w:val="-9"/>
          <w:sz w:val="24"/>
        </w:rPr>
        <w:t> </w:t>
      </w:r>
      <w:r>
        <w:rPr>
          <w:b/>
          <w:sz w:val="24"/>
        </w:rPr>
        <w:t>Castel,</w:t>
      </w:r>
      <w:r>
        <w:rPr>
          <w:b/>
          <w:spacing w:val="-9"/>
          <w:sz w:val="24"/>
        </w:rPr>
        <w:t> </w:t>
      </w:r>
      <w:r>
        <w:rPr>
          <w:b/>
          <w:sz w:val="24"/>
        </w:rPr>
        <w:t>Vincent;</w:t>
      </w:r>
      <w:r>
        <w:rPr>
          <w:b/>
          <w:spacing w:val="-9"/>
          <w:sz w:val="24"/>
        </w:rPr>
        <w:t> </w:t>
      </w:r>
      <w:r>
        <w:rPr>
          <w:b/>
          <w:sz w:val="24"/>
        </w:rPr>
        <w:t>Rosales, Mauricio; de Haan, Cees. et al. 2009. </w:t>
      </w:r>
      <w:r>
        <w:rPr>
          <w:sz w:val="24"/>
        </w:rPr>
        <w:t>La Larga Sombra del Ganado: Problemas ambientales y opciones. Organización de las Naciones</w:t>
      </w:r>
      <w:r>
        <w:rPr>
          <w:spacing w:val="-16"/>
          <w:sz w:val="24"/>
        </w:rPr>
        <w:t> </w:t>
      </w:r>
      <w:r>
        <w:rPr>
          <w:sz w:val="24"/>
        </w:rPr>
        <w:t>Unidas Para la Agricultura y la Alimentación. Roma, Italia. pp. 464.</w:t>
      </w:r>
    </w:p>
    <w:p>
      <w:pPr>
        <w:pStyle w:val="BodyText"/>
        <w:spacing w:line="360" w:lineRule="auto" w:before="2"/>
        <w:ind w:left="1269" w:right="145" w:hanging="993"/>
        <w:jc w:val="both"/>
      </w:pPr>
      <w:r>
        <w:rPr>
          <w:b/>
        </w:rPr>
        <w:t>UNFCCC. 2007. </w:t>
      </w:r>
      <w:r>
        <w:rPr/>
        <w:t>Convención de las Naciones Unidas sobre el Cambio Climático. Unidos</w:t>
      </w:r>
      <w:r>
        <w:rPr>
          <w:spacing w:val="-7"/>
        </w:rPr>
        <w:t> </w:t>
      </w:r>
      <w:r>
        <w:rPr/>
        <w:t>por</w:t>
      </w:r>
      <w:r>
        <w:rPr>
          <w:spacing w:val="-7"/>
        </w:rPr>
        <w:t> </w:t>
      </w:r>
      <w:r>
        <w:rPr/>
        <w:t>el</w:t>
      </w:r>
      <w:r>
        <w:rPr>
          <w:spacing w:val="-7"/>
        </w:rPr>
        <w:t> </w:t>
      </w:r>
      <w:r>
        <w:rPr/>
        <w:t>clima.</w:t>
      </w:r>
      <w:r>
        <w:rPr>
          <w:spacing w:val="-7"/>
        </w:rPr>
        <w:t> </w:t>
      </w:r>
      <w:r>
        <w:rPr/>
        <w:t>Guía</w:t>
      </w:r>
      <w:r>
        <w:rPr>
          <w:spacing w:val="-7"/>
        </w:rPr>
        <w:t> </w:t>
      </w:r>
      <w:r>
        <w:rPr/>
        <w:t>de</w:t>
      </w:r>
      <w:r>
        <w:rPr>
          <w:spacing w:val="-7"/>
        </w:rPr>
        <w:t> </w:t>
      </w:r>
      <w:r>
        <w:rPr/>
        <w:t>la</w:t>
      </w:r>
      <w:r>
        <w:rPr>
          <w:spacing w:val="-7"/>
        </w:rPr>
        <w:t> </w:t>
      </w:r>
      <w:r>
        <w:rPr/>
        <w:t>Convención</w:t>
      </w:r>
      <w:r>
        <w:rPr>
          <w:spacing w:val="-7"/>
        </w:rPr>
        <w:t> </w:t>
      </w:r>
      <w:r>
        <w:rPr/>
        <w:t>sobre</w:t>
      </w:r>
      <w:r>
        <w:rPr>
          <w:spacing w:val="-7"/>
        </w:rPr>
        <w:t> </w:t>
      </w:r>
      <w:r>
        <w:rPr/>
        <w:t>el</w:t>
      </w:r>
      <w:r>
        <w:rPr>
          <w:spacing w:val="-7"/>
        </w:rPr>
        <w:t> </w:t>
      </w:r>
      <w:r>
        <w:rPr/>
        <w:t>Cambio</w:t>
      </w:r>
      <w:r>
        <w:rPr>
          <w:spacing w:val="-7"/>
        </w:rPr>
        <w:t> </w:t>
      </w:r>
      <w:r>
        <w:rPr/>
        <w:t>Climático</w:t>
      </w:r>
      <w:r>
        <w:rPr>
          <w:spacing w:val="-7"/>
        </w:rPr>
        <w:t> </w:t>
      </w:r>
      <w:r>
        <w:rPr/>
        <w:t>y</w:t>
      </w:r>
      <w:r>
        <w:rPr>
          <w:spacing w:val="-7"/>
        </w:rPr>
        <w:t> </w:t>
      </w:r>
      <w:r>
        <w:rPr/>
        <w:t>el Protocolo de Kyoto. Bonn, Alemania. pp. 43. Disponible en: </w:t>
      </w:r>
      <w:hyperlink r:id="rId182">
        <w:r>
          <w:rPr>
            <w:color w:val="0000FF"/>
            <w:u w:val="single" w:color="0000FF"/>
          </w:rPr>
          <w:t>http://www.unfccc.int/resource/docs/publications/unitingonclimate_spa.pdf</w:t>
        </w:r>
      </w:hyperlink>
    </w:p>
    <w:p>
      <w:pPr>
        <w:spacing w:after="0" w:line="360" w:lineRule="auto"/>
        <w:jc w:val="both"/>
        <w:sectPr>
          <w:pgSz w:w="12240" w:h="15840"/>
          <w:pgMar w:header="741" w:footer="739" w:top="1220" w:bottom="920" w:left="172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Heading1"/>
        <w:numPr>
          <w:ilvl w:val="1"/>
          <w:numId w:val="15"/>
        </w:numPr>
        <w:tabs>
          <w:tab w:pos="1367" w:val="left" w:leader="none"/>
        </w:tabs>
        <w:spacing w:line="240" w:lineRule="auto" w:before="36" w:after="23"/>
        <w:ind w:left="1366" w:right="0" w:hanging="1090"/>
        <w:jc w:val="left"/>
      </w:pPr>
      <w:r>
        <w:rPr/>
        <w:t>Capítulo</w:t>
      </w:r>
      <w:r>
        <w:rPr>
          <w:spacing w:val="41"/>
        </w:rPr>
        <w:t> </w:t>
      </w:r>
      <w:r>
        <w:rPr/>
        <w:t>3</w:t>
      </w:r>
    </w:p>
    <w:p>
      <w:pPr>
        <w:pStyle w:val="BodyText"/>
        <w:spacing w:line="120" w:lineRule="exact"/>
        <w:ind w:left="247"/>
        <w:rPr>
          <w:sz w:val="12"/>
        </w:rPr>
      </w:pPr>
      <w:r>
        <w:rPr>
          <w:position w:val="-1"/>
          <w:sz w:val="12"/>
        </w:rPr>
        <w:pict>
          <v:group style="width:444.75pt;height:6pt;mso-position-horizontal-relative:char;mso-position-vertical-relative:line" coordorigin="0,0" coordsize="8895,120">
            <v:rect style="position:absolute;left:0;top:0;width:8894;height:120" filled="true" fillcolor="#943634" stroked="false">
              <v:fill type="solid"/>
            </v:rect>
          </v:group>
        </w:pict>
      </w:r>
      <w:r>
        <w:rPr>
          <w:position w:val="-1"/>
          <w:sz w:val="12"/>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3"/>
        </w:rPr>
      </w:pPr>
      <w:r>
        <w:rPr/>
        <w:pict>
          <v:group style="position:absolute;margin-left:107.752403pt;margin-top:9.683907pt;width:412.1pt;height:181.95pt;mso-position-horizontal-relative:page;mso-position-vertical-relative:paragraph;z-index:5008;mso-wrap-distance-left:0;mso-wrap-distance-right:0" coordorigin="2155,194" coordsize="8242,3639">
            <v:shape style="position:absolute;left:2155;top:194;width:8242;height:3638" type="#_x0000_t75" stroked="false">
              <v:imagedata r:id="rId27" o:title=""/>
            </v:shape>
            <v:shape style="position:absolute;left:2587;top:198;width:206;height:552" type="#_x0000_t75" stroked="false">
              <v:imagedata r:id="rId9" o:title=""/>
            </v:shape>
            <v:shape style="position:absolute;left:2865;top:198;width:211;height:552" type="#_x0000_t75" stroked="false">
              <v:imagedata r:id="rId153" o:title=""/>
            </v:shape>
            <v:shape style="position:absolute;left:2155;top:194;width:8242;height:3639" type="#_x0000_t202" filled="false" stroked="false">
              <v:textbox inset="0,0,0,0">
                <w:txbxContent>
                  <w:p>
                    <w:pPr>
                      <w:spacing w:line="240" w:lineRule="auto" w:before="7"/>
                      <w:rPr>
                        <w:b/>
                        <w:sz w:val="46"/>
                      </w:rPr>
                    </w:pPr>
                  </w:p>
                  <w:p>
                    <w:pPr>
                      <w:spacing w:line="242" w:lineRule="auto" w:before="0"/>
                      <w:ind w:left="439" w:right="136" w:firstLine="724"/>
                      <w:jc w:val="right"/>
                      <w:rPr>
                        <w:sz w:val="38"/>
                      </w:rPr>
                    </w:pPr>
                    <w:r>
                      <w:rPr>
                        <w:color w:val="632423"/>
                        <w:w w:val="75"/>
                        <w:sz w:val="38"/>
                      </w:rPr>
                      <w:t>El cambio climático es global, entonces, las soluciones</w:t>
                    </w:r>
                    <w:r>
                      <w:rPr>
                        <w:color w:val="632423"/>
                        <w:w w:val="72"/>
                        <w:sz w:val="38"/>
                      </w:rPr>
                      <w:t> </w:t>
                    </w:r>
                    <w:r>
                      <w:rPr>
                        <w:color w:val="632423"/>
                        <w:w w:val="75"/>
                        <w:sz w:val="38"/>
                      </w:rPr>
                      <w:t>también tienen que serlo. La Convención Marco de Cambio</w:t>
                    </w:r>
                    <w:r>
                      <w:rPr>
                        <w:color w:val="632423"/>
                        <w:w w:val="76"/>
                        <w:sz w:val="38"/>
                      </w:rPr>
                      <w:t> </w:t>
                    </w:r>
                    <w:r>
                      <w:rPr>
                        <w:color w:val="632423"/>
                        <w:w w:val="80"/>
                        <w:sz w:val="38"/>
                      </w:rPr>
                      <w:t>Climático</w:t>
                    </w:r>
                    <w:r>
                      <w:rPr>
                        <w:color w:val="632423"/>
                        <w:spacing w:val="-55"/>
                        <w:w w:val="80"/>
                        <w:sz w:val="38"/>
                      </w:rPr>
                      <w:t> </w:t>
                    </w:r>
                    <w:r>
                      <w:rPr>
                        <w:color w:val="632423"/>
                        <w:w w:val="80"/>
                        <w:sz w:val="38"/>
                      </w:rPr>
                      <w:t>y</w:t>
                    </w:r>
                    <w:r>
                      <w:rPr>
                        <w:color w:val="632423"/>
                        <w:spacing w:val="-56"/>
                        <w:w w:val="80"/>
                        <w:sz w:val="38"/>
                      </w:rPr>
                      <w:t> </w:t>
                    </w:r>
                    <w:r>
                      <w:rPr>
                        <w:color w:val="632423"/>
                        <w:w w:val="80"/>
                        <w:sz w:val="38"/>
                      </w:rPr>
                      <w:t>su</w:t>
                    </w:r>
                    <w:r>
                      <w:rPr>
                        <w:color w:val="632423"/>
                        <w:spacing w:val="-55"/>
                        <w:w w:val="80"/>
                        <w:sz w:val="38"/>
                      </w:rPr>
                      <w:t> </w:t>
                    </w:r>
                    <w:r>
                      <w:rPr>
                        <w:color w:val="632423"/>
                        <w:w w:val="80"/>
                        <w:sz w:val="38"/>
                      </w:rPr>
                      <w:t>Protocolo</w:t>
                    </w:r>
                    <w:r>
                      <w:rPr>
                        <w:color w:val="632423"/>
                        <w:spacing w:val="-55"/>
                        <w:w w:val="80"/>
                        <w:sz w:val="38"/>
                      </w:rPr>
                      <w:t> </w:t>
                    </w:r>
                    <w:r>
                      <w:rPr>
                        <w:color w:val="632423"/>
                        <w:w w:val="80"/>
                        <w:sz w:val="38"/>
                      </w:rPr>
                      <w:t>de</w:t>
                    </w:r>
                    <w:r>
                      <w:rPr>
                        <w:color w:val="632423"/>
                        <w:spacing w:val="-56"/>
                        <w:w w:val="80"/>
                        <w:sz w:val="38"/>
                      </w:rPr>
                      <w:t> </w:t>
                    </w:r>
                    <w:r>
                      <w:rPr>
                        <w:color w:val="632423"/>
                        <w:w w:val="80"/>
                        <w:sz w:val="38"/>
                      </w:rPr>
                      <w:t>Kyoto</w:t>
                    </w:r>
                    <w:r>
                      <w:rPr>
                        <w:color w:val="632423"/>
                        <w:spacing w:val="-55"/>
                        <w:w w:val="80"/>
                        <w:sz w:val="38"/>
                      </w:rPr>
                      <w:t> </w:t>
                    </w:r>
                    <w:r>
                      <w:rPr>
                        <w:color w:val="632423"/>
                        <w:w w:val="80"/>
                        <w:sz w:val="38"/>
                      </w:rPr>
                      <w:t>fueron</w:t>
                    </w:r>
                    <w:r>
                      <w:rPr>
                        <w:color w:val="632423"/>
                        <w:spacing w:val="-55"/>
                        <w:w w:val="80"/>
                        <w:sz w:val="38"/>
                      </w:rPr>
                      <w:t> </w:t>
                    </w:r>
                    <w:r>
                      <w:rPr>
                        <w:color w:val="632423"/>
                        <w:w w:val="80"/>
                        <w:sz w:val="38"/>
                      </w:rPr>
                      <w:t>los</w:t>
                    </w:r>
                    <w:r>
                      <w:rPr>
                        <w:color w:val="632423"/>
                        <w:spacing w:val="-55"/>
                        <w:w w:val="80"/>
                        <w:sz w:val="38"/>
                      </w:rPr>
                      <w:t> </w:t>
                    </w:r>
                    <w:r>
                      <w:rPr>
                        <w:color w:val="632423"/>
                        <w:w w:val="80"/>
                        <w:sz w:val="38"/>
                      </w:rPr>
                      <w:t>primeros</w:t>
                    </w:r>
                    <w:r>
                      <w:rPr>
                        <w:color w:val="632423"/>
                        <w:w w:val="72"/>
                        <w:sz w:val="38"/>
                      </w:rPr>
                      <w:t> </w:t>
                    </w:r>
                    <w:r>
                      <w:rPr>
                        <w:color w:val="632423"/>
                        <w:w w:val="80"/>
                        <w:sz w:val="38"/>
                      </w:rPr>
                      <w:t>pasos,</w:t>
                    </w:r>
                    <w:r>
                      <w:rPr>
                        <w:color w:val="632423"/>
                        <w:spacing w:val="-54"/>
                        <w:w w:val="80"/>
                        <w:sz w:val="38"/>
                      </w:rPr>
                      <w:t> </w:t>
                    </w:r>
                    <w:r>
                      <w:rPr>
                        <w:color w:val="632423"/>
                        <w:w w:val="80"/>
                        <w:sz w:val="38"/>
                      </w:rPr>
                      <w:t>pero</w:t>
                    </w:r>
                    <w:r>
                      <w:rPr>
                        <w:color w:val="632423"/>
                        <w:spacing w:val="-53"/>
                        <w:w w:val="80"/>
                        <w:sz w:val="38"/>
                      </w:rPr>
                      <w:t> </w:t>
                    </w:r>
                    <w:r>
                      <w:rPr>
                        <w:color w:val="632423"/>
                        <w:w w:val="80"/>
                        <w:sz w:val="38"/>
                      </w:rPr>
                      <w:t>se</w:t>
                    </w:r>
                    <w:r>
                      <w:rPr>
                        <w:color w:val="632423"/>
                        <w:spacing w:val="-53"/>
                        <w:w w:val="80"/>
                        <w:sz w:val="38"/>
                      </w:rPr>
                      <w:t> </w:t>
                    </w:r>
                    <w:r>
                      <w:rPr>
                        <w:color w:val="632423"/>
                        <w:w w:val="80"/>
                        <w:sz w:val="38"/>
                      </w:rPr>
                      <w:t>consideran</w:t>
                    </w:r>
                    <w:r>
                      <w:rPr>
                        <w:color w:val="632423"/>
                        <w:spacing w:val="-53"/>
                        <w:w w:val="80"/>
                        <w:sz w:val="38"/>
                      </w:rPr>
                      <w:t> </w:t>
                    </w:r>
                    <w:r>
                      <w:rPr>
                        <w:color w:val="632423"/>
                        <w:w w:val="80"/>
                        <w:sz w:val="38"/>
                      </w:rPr>
                      <w:t>tímidos</w:t>
                    </w:r>
                    <w:r>
                      <w:rPr>
                        <w:color w:val="632423"/>
                        <w:spacing w:val="-53"/>
                        <w:w w:val="80"/>
                        <w:sz w:val="38"/>
                      </w:rPr>
                      <w:t> </w:t>
                    </w:r>
                    <w:r>
                      <w:rPr>
                        <w:color w:val="632423"/>
                        <w:w w:val="80"/>
                        <w:sz w:val="38"/>
                      </w:rPr>
                      <w:t>e</w:t>
                    </w:r>
                    <w:r>
                      <w:rPr>
                        <w:color w:val="632423"/>
                        <w:spacing w:val="-53"/>
                        <w:w w:val="80"/>
                        <w:sz w:val="38"/>
                      </w:rPr>
                      <w:t> </w:t>
                    </w:r>
                    <w:r>
                      <w:rPr>
                        <w:color w:val="632423"/>
                        <w:w w:val="80"/>
                        <w:sz w:val="38"/>
                      </w:rPr>
                      <w:t>insuficientes</w:t>
                    </w:r>
                    <w:r>
                      <w:rPr>
                        <w:color w:val="632423"/>
                        <w:spacing w:val="-53"/>
                        <w:w w:val="80"/>
                        <w:sz w:val="38"/>
                      </w:rPr>
                      <w:t> </w:t>
                    </w:r>
                    <w:r>
                      <w:rPr>
                        <w:color w:val="632423"/>
                        <w:w w:val="80"/>
                        <w:sz w:val="38"/>
                      </w:rPr>
                      <w:t>frente</w:t>
                    </w:r>
                    <w:r>
                      <w:rPr>
                        <w:color w:val="632423"/>
                        <w:spacing w:val="-53"/>
                        <w:w w:val="80"/>
                        <w:sz w:val="38"/>
                      </w:rPr>
                      <w:t> </w:t>
                    </w:r>
                    <w:r>
                      <w:rPr>
                        <w:color w:val="632423"/>
                        <w:w w:val="80"/>
                        <w:sz w:val="38"/>
                      </w:rPr>
                      <w:t>a</w:t>
                    </w:r>
                    <w:r>
                      <w:rPr>
                        <w:color w:val="632423"/>
                        <w:spacing w:val="-52"/>
                        <w:w w:val="80"/>
                        <w:sz w:val="38"/>
                      </w:rPr>
                      <w:t> </w:t>
                    </w:r>
                    <w:r>
                      <w:rPr>
                        <w:color w:val="632423"/>
                        <w:w w:val="80"/>
                        <w:sz w:val="38"/>
                      </w:rPr>
                      <w:t>la</w:t>
                    </w:r>
                  </w:p>
                  <w:p>
                    <w:pPr>
                      <w:spacing w:before="0"/>
                      <w:ind w:left="0" w:right="138" w:firstLine="0"/>
                      <w:jc w:val="right"/>
                      <w:rPr>
                        <w:sz w:val="38"/>
                      </w:rPr>
                    </w:pPr>
                    <w:r>
                      <w:rPr>
                        <w:color w:val="632423"/>
                        <w:w w:val="75"/>
                        <w:sz w:val="38"/>
                      </w:rPr>
                      <w:t>magnitud del</w:t>
                    </w:r>
                    <w:r>
                      <w:rPr>
                        <w:color w:val="632423"/>
                        <w:spacing w:val="66"/>
                        <w:w w:val="75"/>
                        <w:sz w:val="38"/>
                      </w:rPr>
                      <w:t> </w:t>
                    </w:r>
                    <w:r>
                      <w:rPr>
                        <w:color w:val="632423"/>
                        <w:w w:val="75"/>
                        <w:sz w:val="38"/>
                      </w:rPr>
                      <w:t>problema”</w:t>
                    </w:r>
                  </w:p>
                  <w:p>
                    <w:pPr>
                      <w:spacing w:line="274" w:lineRule="exact" w:before="254"/>
                      <w:ind w:left="5526" w:right="140" w:hanging="586"/>
                      <w:jc w:val="right"/>
                      <w:rPr>
                        <w:sz w:val="23"/>
                      </w:rPr>
                    </w:pPr>
                    <w:r>
                      <w:rPr>
                        <w:color w:val="632423"/>
                        <w:w w:val="80"/>
                        <w:sz w:val="23"/>
                      </w:rPr>
                      <w:t>Cambio climático: lo que esta en juego</w:t>
                    </w:r>
                    <w:r>
                      <w:rPr>
                        <w:color w:val="632423"/>
                        <w:w w:val="80"/>
                        <w:sz w:val="23"/>
                      </w:rPr>
                      <w:t> </w:t>
                    </w:r>
                    <w:r>
                      <w:rPr>
                        <w:color w:val="632423"/>
                        <w:w w:val="80"/>
                        <w:sz w:val="23"/>
                      </w:rPr>
                      <w:t>Rodríguez Becerra </w:t>
                    </w:r>
                    <w:r>
                      <w:rPr>
                        <w:rFonts w:ascii="Calibri" w:hAnsi="Calibri"/>
                        <w:i/>
                        <w:color w:val="632423"/>
                        <w:w w:val="80"/>
                        <w:sz w:val="24"/>
                      </w:rPr>
                      <w:t>et al</w:t>
                    </w:r>
                    <w:r>
                      <w:rPr>
                        <w:color w:val="632423"/>
                        <w:w w:val="80"/>
                        <w:sz w:val="23"/>
                      </w:rPr>
                      <w:t>., 2015</w:t>
                    </w:r>
                  </w:p>
                </w:txbxContent>
              </v:textbox>
              <w10:wrap type="none"/>
            </v:shape>
            <w10:wrap type="topAndBottom"/>
          </v:group>
        </w:pict>
      </w:r>
    </w:p>
    <w:p>
      <w:pPr>
        <w:spacing w:after="0"/>
        <w:rPr>
          <w:sz w:val="13"/>
        </w:rPr>
        <w:sectPr>
          <w:pgSz w:w="12240" w:h="15840"/>
          <w:pgMar w:header="741" w:footer="739" w:top="1220" w:bottom="920" w:left="1720" w:right="1260"/>
        </w:sectPr>
      </w:pPr>
    </w:p>
    <w:p>
      <w:pPr>
        <w:pStyle w:val="BodyText"/>
        <w:spacing w:before="9"/>
        <w:rPr>
          <w:rFonts w:ascii="Times New Roman"/>
          <w:sz w:val="17"/>
        </w:rPr>
      </w:pPr>
    </w:p>
    <w:p>
      <w:pPr>
        <w:pStyle w:val="BodyText"/>
        <w:ind w:left="276"/>
        <w:rPr>
          <w:rFonts w:ascii="Times New Roman"/>
          <w:sz w:val="20"/>
        </w:rPr>
      </w:pPr>
      <w:r>
        <w:rPr>
          <w:rFonts w:ascii="Times New Roman"/>
          <w:sz w:val="20"/>
        </w:rPr>
        <w:drawing>
          <wp:inline distT="0" distB="0" distL="0" distR="0">
            <wp:extent cx="5467779" cy="7214139"/>
            <wp:effectExtent l="0" t="0" r="0" b="0"/>
            <wp:docPr id="35" name="image122.jpeg" descr=""/>
            <wp:cNvGraphicFramePr>
              <a:graphicFrameLocks noChangeAspect="1"/>
            </wp:cNvGraphicFramePr>
            <a:graphic>
              <a:graphicData uri="http://schemas.openxmlformats.org/drawingml/2006/picture">
                <pic:pic>
                  <pic:nvPicPr>
                    <pic:cNvPr id="36" name="image122.jpeg"/>
                    <pic:cNvPicPr/>
                  </pic:nvPicPr>
                  <pic:blipFill>
                    <a:blip r:embed="rId183" cstate="print"/>
                    <a:stretch>
                      <a:fillRect/>
                    </a:stretch>
                  </pic:blipFill>
                  <pic:spPr>
                    <a:xfrm>
                      <a:off x="0" y="0"/>
                      <a:ext cx="5467779" cy="721413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1" w:footer="739" w:top="1220" w:bottom="920" w:left="1720" w:right="1260"/>
        </w:sectPr>
      </w:pPr>
    </w:p>
    <w:p>
      <w:pPr>
        <w:pStyle w:val="BodyText"/>
        <w:spacing w:before="7"/>
        <w:rPr>
          <w:rFonts w:ascii="Times New Roman"/>
          <w:sz w:val="12"/>
        </w:rPr>
      </w:pPr>
    </w:p>
    <w:p>
      <w:pPr>
        <w:pStyle w:val="Heading2"/>
        <w:spacing w:line="249" w:lineRule="auto"/>
        <w:ind w:left="320" w:right="189" w:hanging="1"/>
        <w:jc w:val="center"/>
      </w:pPr>
      <w:r>
        <w:rPr/>
        <w:t>Estimación de las Emisiones de Metano Entérico en el Sistema de Producción Lechera en Pequeña   Escala</w:t>
      </w:r>
    </w:p>
    <w:p>
      <w:pPr>
        <w:pStyle w:val="BodyText"/>
        <w:spacing w:before="9"/>
        <w:rPr>
          <w:b/>
          <w:sz w:val="35"/>
        </w:rPr>
      </w:pPr>
    </w:p>
    <w:p>
      <w:pPr>
        <w:spacing w:line="249" w:lineRule="auto" w:before="0"/>
        <w:ind w:left="131" w:right="0" w:firstLine="0"/>
        <w:jc w:val="center"/>
        <w:rPr>
          <w:b/>
          <w:sz w:val="31"/>
        </w:rPr>
      </w:pPr>
      <w:r>
        <w:rPr>
          <w:b/>
          <w:sz w:val="31"/>
        </w:rPr>
        <w:t>Estimate of Methane Enteric Emissions From Small-Scale Dairy  Production System</w:t>
      </w:r>
    </w:p>
    <w:p>
      <w:pPr>
        <w:pStyle w:val="BodyText"/>
        <w:rPr>
          <w:b/>
          <w:sz w:val="32"/>
        </w:rPr>
      </w:pPr>
    </w:p>
    <w:p>
      <w:pPr>
        <w:pStyle w:val="BodyText"/>
        <w:rPr>
          <w:b/>
          <w:sz w:val="32"/>
        </w:rPr>
      </w:pPr>
    </w:p>
    <w:p>
      <w:pPr>
        <w:pStyle w:val="BodyText"/>
        <w:spacing w:before="7"/>
        <w:rPr>
          <w:b/>
          <w:sz w:val="42"/>
        </w:rPr>
      </w:pPr>
    </w:p>
    <w:p>
      <w:pPr>
        <w:pStyle w:val="Heading6"/>
      </w:pPr>
      <w:r>
        <w:rPr/>
        <w:t>Introducción</w:t>
      </w:r>
    </w:p>
    <w:p>
      <w:pPr>
        <w:pStyle w:val="BodyText"/>
        <w:spacing w:line="355" w:lineRule="auto" w:before="137"/>
        <w:ind w:left="276" w:right="143"/>
        <w:jc w:val="both"/>
      </w:pPr>
      <w:r>
        <w:rPr/>
        <w:t>Los rumiantes, poseen un sistema digestivo que tiene la capacidad de aprovechar y convertir material fibroso con altos contenidos de carbohidratos estructurales en alimentos de alta calidad nutritiva: carne y leche. Sin embargo, por sus características innatas, también produce metano (CH</w:t>
      </w:r>
      <w:r>
        <w:rPr>
          <w:position w:val="-2"/>
          <w:sz w:val="16"/>
        </w:rPr>
        <w:t>4</w:t>
      </w:r>
      <w:r>
        <w:rPr/>
        <w:t>), (Carmona </w:t>
      </w:r>
      <w:r>
        <w:rPr>
          <w:i/>
        </w:rPr>
        <w:t>et al.</w:t>
      </w:r>
      <w:r>
        <w:rPr/>
        <w:t>, 2005). El CH</w:t>
      </w:r>
      <w:r>
        <w:rPr>
          <w:position w:val="-2"/>
          <w:sz w:val="16"/>
        </w:rPr>
        <w:t>4 </w:t>
      </w:r>
      <w:r>
        <w:rPr/>
        <w:t>de origen animal es producido fundamentalmente por fermentación entérica y en menor medida por la fermentación de las excretas (Cambra-López </w:t>
      </w:r>
      <w:r>
        <w:rPr>
          <w:i/>
        </w:rPr>
        <w:t>et al.</w:t>
      </w:r>
      <w:r>
        <w:rPr/>
        <w:t>, 2008; IPCC,</w:t>
      </w:r>
      <w:r>
        <w:rPr>
          <w:spacing w:val="-7"/>
        </w:rPr>
        <w:t> </w:t>
      </w:r>
      <w:r>
        <w:rPr/>
        <w:t>2006).</w:t>
      </w:r>
      <w:r>
        <w:rPr>
          <w:spacing w:val="-7"/>
        </w:rPr>
        <w:t> </w:t>
      </w:r>
      <w:r>
        <w:rPr/>
        <w:t>El</w:t>
      </w:r>
      <w:r>
        <w:rPr>
          <w:spacing w:val="-7"/>
        </w:rPr>
        <w:t> </w:t>
      </w:r>
      <w:r>
        <w:rPr/>
        <w:t>objetivo</w:t>
      </w:r>
      <w:r>
        <w:rPr>
          <w:spacing w:val="-7"/>
        </w:rPr>
        <w:t> </w:t>
      </w:r>
      <w:r>
        <w:rPr/>
        <w:t>de</w:t>
      </w:r>
      <w:r>
        <w:rPr>
          <w:spacing w:val="-7"/>
        </w:rPr>
        <w:t> </w:t>
      </w:r>
      <w:r>
        <w:rPr/>
        <w:t>esta</w:t>
      </w:r>
      <w:r>
        <w:rPr>
          <w:spacing w:val="-7"/>
        </w:rPr>
        <w:t> </w:t>
      </w:r>
      <w:r>
        <w:rPr/>
        <w:t>trabajo</w:t>
      </w:r>
      <w:r>
        <w:rPr>
          <w:spacing w:val="-7"/>
        </w:rPr>
        <w:t> </w:t>
      </w:r>
      <w:r>
        <w:rPr/>
        <w:t>fue</w:t>
      </w:r>
      <w:r>
        <w:rPr>
          <w:spacing w:val="-7"/>
        </w:rPr>
        <w:t> </w:t>
      </w:r>
      <w:r>
        <w:rPr/>
        <w:t>estimar</w:t>
      </w:r>
      <w:r>
        <w:rPr>
          <w:spacing w:val="-7"/>
        </w:rPr>
        <w:t> </w:t>
      </w:r>
      <w:r>
        <w:rPr/>
        <w:t>la</w:t>
      </w:r>
      <w:r>
        <w:rPr>
          <w:spacing w:val="-7"/>
        </w:rPr>
        <w:t> </w:t>
      </w:r>
      <w:r>
        <w:rPr/>
        <w:t>cantidad</w:t>
      </w:r>
      <w:r>
        <w:rPr>
          <w:spacing w:val="-7"/>
        </w:rPr>
        <w:t> </w:t>
      </w:r>
      <w:r>
        <w:rPr/>
        <w:t>de</w:t>
      </w:r>
      <w:r>
        <w:rPr>
          <w:spacing w:val="-7"/>
        </w:rPr>
        <w:t> </w:t>
      </w:r>
      <w:r>
        <w:rPr/>
        <w:t>CH</w:t>
      </w:r>
      <w:r>
        <w:rPr>
          <w:position w:val="-2"/>
          <w:sz w:val="16"/>
        </w:rPr>
        <w:t>4</w:t>
      </w:r>
      <w:r>
        <w:rPr>
          <w:spacing w:val="16"/>
          <w:position w:val="-2"/>
          <w:sz w:val="16"/>
        </w:rPr>
        <w:t> </w:t>
      </w:r>
      <w:r>
        <w:rPr/>
        <w:t>entérico</w:t>
      </w:r>
      <w:r>
        <w:rPr>
          <w:spacing w:val="-7"/>
        </w:rPr>
        <w:t> </w:t>
      </w:r>
      <w:r>
        <w:rPr/>
        <w:t>que emiten los bovinos de acuerdo al tipo de alimento que consumen en el sistema de producción</w:t>
      </w:r>
      <w:r>
        <w:rPr>
          <w:spacing w:val="-16"/>
        </w:rPr>
        <w:t> </w:t>
      </w:r>
      <w:r>
        <w:rPr/>
        <w:t>lechera</w:t>
      </w:r>
      <w:r>
        <w:rPr>
          <w:spacing w:val="-16"/>
        </w:rPr>
        <w:t> </w:t>
      </w:r>
      <w:r>
        <w:rPr/>
        <w:t>de</w:t>
      </w:r>
      <w:r>
        <w:rPr>
          <w:spacing w:val="-16"/>
        </w:rPr>
        <w:t> </w:t>
      </w:r>
      <w:r>
        <w:rPr/>
        <w:t>pequeña</w:t>
      </w:r>
      <w:r>
        <w:rPr>
          <w:spacing w:val="-16"/>
        </w:rPr>
        <w:t> </w:t>
      </w:r>
      <w:r>
        <w:rPr/>
        <w:t>escala</w:t>
      </w:r>
      <w:r>
        <w:rPr>
          <w:spacing w:val="-16"/>
        </w:rPr>
        <w:t> </w:t>
      </w:r>
      <w:r>
        <w:rPr/>
        <w:t>(SPLPE),</w:t>
      </w:r>
      <w:r>
        <w:rPr>
          <w:spacing w:val="-16"/>
        </w:rPr>
        <w:t> </w:t>
      </w:r>
      <w:r>
        <w:rPr/>
        <w:t>utilizando</w:t>
      </w:r>
      <w:r>
        <w:rPr>
          <w:spacing w:val="-16"/>
        </w:rPr>
        <w:t> </w:t>
      </w:r>
      <w:r>
        <w:rPr/>
        <w:t>la</w:t>
      </w:r>
      <w:r>
        <w:rPr>
          <w:spacing w:val="-16"/>
        </w:rPr>
        <w:t> </w:t>
      </w:r>
      <w:r>
        <w:rPr/>
        <w:t>metodología</w:t>
      </w:r>
      <w:r>
        <w:rPr>
          <w:spacing w:val="-16"/>
        </w:rPr>
        <w:t> </w:t>
      </w:r>
      <w:r>
        <w:rPr/>
        <w:t>del</w:t>
      </w:r>
      <w:r>
        <w:rPr>
          <w:spacing w:val="-16"/>
        </w:rPr>
        <w:t> </w:t>
      </w:r>
      <w:r>
        <w:rPr/>
        <w:t>Panel Intergubernamental de Cambio Climático (IPCC).</w:t>
      </w:r>
    </w:p>
    <w:p>
      <w:pPr>
        <w:pStyle w:val="BodyText"/>
      </w:pPr>
    </w:p>
    <w:p>
      <w:pPr>
        <w:pStyle w:val="Heading6"/>
        <w:spacing w:before="149"/>
      </w:pPr>
      <w:r>
        <w:rPr/>
        <w:t>Materiales y métodos</w:t>
      </w:r>
    </w:p>
    <w:p>
      <w:pPr>
        <w:pStyle w:val="BodyText"/>
        <w:spacing w:line="350" w:lineRule="auto" w:before="137"/>
        <w:ind w:left="276" w:right="143"/>
        <w:jc w:val="both"/>
      </w:pPr>
      <w:r>
        <w:rPr/>
        <w:t>Las emisiones de CH</w:t>
      </w:r>
      <w:r>
        <w:rPr>
          <w:position w:val="-2"/>
          <w:sz w:val="16"/>
        </w:rPr>
        <w:t>4 </w:t>
      </w:r>
      <w:r>
        <w:rPr/>
        <w:t>representan una pérdida de la energía alimenticia que se transforma en forma de gas y no es aprovechada por el animal. Generalmente, la ingesta</w:t>
      </w:r>
      <w:r>
        <w:rPr>
          <w:spacing w:val="-14"/>
        </w:rPr>
        <w:t> </w:t>
      </w:r>
      <w:r>
        <w:rPr/>
        <w:t>de</w:t>
      </w:r>
      <w:r>
        <w:rPr>
          <w:spacing w:val="-15"/>
        </w:rPr>
        <w:t> </w:t>
      </w:r>
      <w:r>
        <w:rPr/>
        <w:t>alimentos</w:t>
      </w:r>
      <w:r>
        <w:rPr>
          <w:spacing w:val="-15"/>
        </w:rPr>
        <w:t> </w:t>
      </w:r>
      <w:r>
        <w:rPr/>
        <w:t>se</w:t>
      </w:r>
      <w:r>
        <w:rPr>
          <w:spacing w:val="-14"/>
        </w:rPr>
        <w:t> </w:t>
      </w:r>
      <w:r>
        <w:rPr/>
        <w:t>mide</w:t>
      </w:r>
      <w:r>
        <w:rPr>
          <w:spacing w:val="-14"/>
        </w:rPr>
        <w:t> </w:t>
      </w:r>
      <w:r>
        <w:rPr/>
        <w:t>en</w:t>
      </w:r>
      <w:r>
        <w:rPr>
          <w:spacing w:val="-14"/>
        </w:rPr>
        <w:t> </w:t>
      </w:r>
      <w:r>
        <w:rPr/>
        <w:t>términos</w:t>
      </w:r>
      <w:r>
        <w:rPr>
          <w:spacing w:val="-15"/>
        </w:rPr>
        <w:t> </w:t>
      </w:r>
      <w:r>
        <w:rPr/>
        <w:t>de</w:t>
      </w:r>
      <w:r>
        <w:rPr>
          <w:spacing w:val="-14"/>
        </w:rPr>
        <w:t> </w:t>
      </w:r>
      <w:r>
        <w:rPr/>
        <w:t>energía</w:t>
      </w:r>
      <w:r>
        <w:rPr>
          <w:spacing w:val="-14"/>
        </w:rPr>
        <w:t> </w:t>
      </w:r>
      <w:r>
        <w:rPr/>
        <w:t>bruta,</w:t>
      </w:r>
      <w:r>
        <w:rPr>
          <w:spacing w:val="-15"/>
        </w:rPr>
        <w:t> </w:t>
      </w:r>
      <w:r>
        <w:rPr/>
        <w:t>expresada</w:t>
      </w:r>
      <w:r>
        <w:rPr>
          <w:spacing w:val="-14"/>
        </w:rPr>
        <w:t> </w:t>
      </w:r>
      <w:r>
        <w:rPr/>
        <w:t>en</w:t>
      </w:r>
      <w:r>
        <w:rPr>
          <w:spacing w:val="-14"/>
        </w:rPr>
        <w:t> </w:t>
      </w:r>
      <w:r>
        <w:rPr/>
        <w:t>Megajouls (MJ) día</w:t>
      </w:r>
      <w:r>
        <w:rPr>
          <w:position w:val="11"/>
          <w:sz w:val="16"/>
        </w:rPr>
        <w:t>-1</w:t>
      </w:r>
      <w:r>
        <w:rPr/>
        <w:t>. Para la medición de las emisiones de CH</w:t>
      </w:r>
      <w:r>
        <w:rPr>
          <w:position w:val="-2"/>
          <w:sz w:val="16"/>
        </w:rPr>
        <w:t>4 </w:t>
      </w:r>
      <w:r>
        <w:rPr/>
        <w:t>entérico de los bovinos, se utilizó la metodología del IPCC en sus Niveles 1 y 2, que consistente en el cálculo de la energía bruta del animal (GE) para determinar la cantidad de CH</w:t>
      </w:r>
      <w:r>
        <w:rPr>
          <w:position w:val="-2"/>
          <w:sz w:val="16"/>
        </w:rPr>
        <w:t>4 </w:t>
      </w:r>
      <w:r>
        <w:rPr/>
        <w:t>emitido por cada cabeza animal en un año a través del Factor de Emisión (FE) (IPCC, 2006). Se determinó la dieta de los bovinos para estimar la cantidad de energía (MJ día</w:t>
      </w:r>
      <w:r>
        <w:rPr>
          <w:position w:val="11"/>
          <w:sz w:val="16"/>
        </w:rPr>
        <w:t>-1</w:t>
      </w:r>
      <w:r>
        <w:rPr/>
        <w:t>) que</w:t>
      </w:r>
      <w:r>
        <w:rPr>
          <w:spacing w:val="-14"/>
        </w:rPr>
        <w:t> </w:t>
      </w:r>
      <w:r>
        <w:rPr/>
        <w:t>necesitan</w:t>
      </w:r>
      <w:r>
        <w:rPr>
          <w:spacing w:val="-14"/>
        </w:rPr>
        <w:t> </w:t>
      </w:r>
      <w:r>
        <w:rPr/>
        <w:t>para</w:t>
      </w:r>
      <w:r>
        <w:rPr>
          <w:spacing w:val="-14"/>
        </w:rPr>
        <w:t> </w:t>
      </w:r>
      <w:r>
        <w:rPr/>
        <w:t>su</w:t>
      </w:r>
      <w:r>
        <w:rPr>
          <w:spacing w:val="-14"/>
        </w:rPr>
        <w:t> </w:t>
      </w:r>
      <w:r>
        <w:rPr/>
        <w:t>mantenimiento,</w:t>
      </w:r>
      <w:r>
        <w:rPr>
          <w:spacing w:val="-14"/>
        </w:rPr>
        <w:t> </w:t>
      </w:r>
      <w:r>
        <w:rPr/>
        <w:t>crecimiento,</w:t>
      </w:r>
      <w:r>
        <w:rPr>
          <w:spacing w:val="-14"/>
        </w:rPr>
        <w:t> </w:t>
      </w:r>
      <w:r>
        <w:rPr/>
        <w:t>lactancia</w:t>
      </w:r>
      <w:r>
        <w:rPr>
          <w:spacing w:val="-14"/>
        </w:rPr>
        <w:t> </w:t>
      </w:r>
      <w:r>
        <w:rPr/>
        <w:t>y</w:t>
      </w:r>
      <w:r>
        <w:rPr>
          <w:spacing w:val="-14"/>
        </w:rPr>
        <w:t> </w:t>
      </w:r>
      <w:r>
        <w:rPr/>
        <w:t>preñez</w:t>
      </w:r>
      <w:r>
        <w:rPr>
          <w:spacing w:val="-14"/>
        </w:rPr>
        <w:t> </w:t>
      </w:r>
      <w:r>
        <w:rPr/>
        <w:t>(IPCC,</w:t>
      </w:r>
      <w:r>
        <w:rPr>
          <w:spacing w:val="-14"/>
        </w:rPr>
        <w:t> </w:t>
      </w:r>
      <w:r>
        <w:rPr/>
        <w:t>2006). Se encuestaron 25 unidades de producción lechera en pequeña escala (UPPE),</w:t>
      </w:r>
      <w:r>
        <w:rPr>
          <w:spacing w:val="-28"/>
        </w:rPr>
        <w:t> </w:t>
      </w:r>
      <w:r>
        <w:rPr/>
        <w:t>en Amecameca,</w:t>
      </w:r>
      <w:r>
        <w:rPr>
          <w:spacing w:val="-10"/>
        </w:rPr>
        <w:t> </w:t>
      </w:r>
      <w:r>
        <w:rPr/>
        <w:t>Estado</w:t>
      </w:r>
      <w:r>
        <w:rPr>
          <w:spacing w:val="-10"/>
        </w:rPr>
        <w:t> </w:t>
      </w:r>
      <w:r>
        <w:rPr/>
        <w:t>de</w:t>
      </w:r>
      <w:r>
        <w:rPr>
          <w:spacing w:val="-10"/>
        </w:rPr>
        <w:t> </w:t>
      </w:r>
      <w:r>
        <w:rPr/>
        <w:t>México,</w:t>
      </w:r>
      <w:r>
        <w:rPr>
          <w:spacing w:val="-10"/>
        </w:rPr>
        <w:t> </w:t>
      </w:r>
      <w:r>
        <w:rPr/>
        <w:t>México,</w:t>
      </w:r>
      <w:r>
        <w:rPr>
          <w:spacing w:val="-10"/>
        </w:rPr>
        <w:t> </w:t>
      </w:r>
      <w:r>
        <w:rPr/>
        <w:t>dicha</w:t>
      </w:r>
      <w:r>
        <w:rPr>
          <w:spacing w:val="-10"/>
        </w:rPr>
        <w:t> </w:t>
      </w:r>
      <w:r>
        <w:rPr/>
        <w:t>información</w:t>
      </w:r>
      <w:r>
        <w:rPr>
          <w:spacing w:val="-10"/>
        </w:rPr>
        <w:t> </w:t>
      </w:r>
      <w:r>
        <w:rPr/>
        <w:t>se</w:t>
      </w:r>
      <w:r>
        <w:rPr>
          <w:spacing w:val="-10"/>
        </w:rPr>
        <w:t> </w:t>
      </w:r>
      <w:r>
        <w:rPr/>
        <w:t>recabo</w:t>
      </w:r>
      <w:r>
        <w:rPr>
          <w:spacing w:val="-10"/>
        </w:rPr>
        <w:t> </w:t>
      </w:r>
      <w:r>
        <w:rPr/>
        <w:t>de</w:t>
      </w:r>
      <w:r>
        <w:rPr>
          <w:spacing w:val="-10"/>
        </w:rPr>
        <w:t> </w:t>
      </w:r>
      <w:r>
        <w:rPr/>
        <w:t>octubre</w:t>
      </w:r>
      <w:r>
        <w:rPr>
          <w:spacing w:val="-10"/>
        </w:rPr>
        <w:t> </w:t>
      </w:r>
      <w:r>
        <w:rPr/>
        <w:t>de</w:t>
      </w:r>
    </w:p>
    <w:p>
      <w:pPr>
        <w:spacing w:after="0" w:line="350" w:lineRule="auto"/>
        <w:jc w:val="both"/>
        <w:sectPr>
          <w:pgSz w:w="12240" w:h="15840"/>
          <w:pgMar w:header="741" w:footer="739" w:top="1220" w:bottom="920" w:left="1720" w:right="1260"/>
        </w:sectPr>
      </w:pPr>
    </w:p>
    <w:p>
      <w:pPr>
        <w:pStyle w:val="BodyText"/>
        <w:spacing w:before="4"/>
        <w:rPr>
          <w:sz w:val="11"/>
        </w:rPr>
      </w:pPr>
    </w:p>
    <w:p>
      <w:pPr>
        <w:pStyle w:val="BodyText"/>
        <w:spacing w:line="362" w:lineRule="auto" w:before="69"/>
        <w:ind w:left="276" w:right="304"/>
        <w:jc w:val="both"/>
      </w:pPr>
      <w:r>
        <w:rPr/>
        <w:t>2012 a septiembre de 2013, para obtener la información de la composición de las dietas, producción de leche, peso y subcategorías del hato.</w:t>
      </w:r>
    </w:p>
    <w:p>
      <w:pPr>
        <w:pStyle w:val="BodyText"/>
      </w:pPr>
    </w:p>
    <w:p>
      <w:pPr>
        <w:pStyle w:val="BodyText"/>
      </w:pPr>
    </w:p>
    <w:p>
      <w:pPr>
        <w:pStyle w:val="BodyText"/>
        <w:spacing w:before="9"/>
        <w:rPr>
          <w:sz w:val="23"/>
        </w:rPr>
      </w:pPr>
    </w:p>
    <w:p>
      <w:pPr>
        <w:pStyle w:val="Heading6"/>
      </w:pPr>
      <w:r>
        <w:rPr/>
        <w:t>Resultados y discusión</w:t>
      </w:r>
    </w:p>
    <w:p>
      <w:pPr>
        <w:pStyle w:val="BodyText"/>
        <w:spacing w:line="360" w:lineRule="auto" w:before="141"/>
        <w:ind w:left="276" w:right="303"/>
        <w:jc w:val="both"/>
      </w:pPr>
      <w:r>
        <w:rPr/>
        <w:t>La composición de las dietas representativas que consumen los bovinos en el SPLPE, por subcategoría animal y tipo de alimento (Cuadro 1), se observa que las vacas en producción requieren de un mayor consumo de alimentos de acuerdo al estado de producción.</w:t>
      </w:r>
    </w:p>
    <w:p>
      <w:pPr>
        <w:pStyle w:val="BodyText"/>
      </w:pPr>
    </w:p>
    <w:p>
      <w:pPr>
        <w:pStyle w:val="BodyText"/>
        <w:spacing w:line="360" w:lineRule="auto" w:before="144"/>
        <w:ind w:left="276" w:right="303"/>
        <w:jc w:val="both"/>
      </w:pPr>
      <w:r>
        <w:rPr/>
        <w:pict>
          <v:shape style="position:absolute;margin-left:99.832443pt;margin-top:48.935856pt;width:451.95pt;height:.1pt;mso-position-horizontal-relative:page;mso-position-vertical-relative:paragraph;z-index:-307000" coordorigin="1997,979" coordsize="9039,0" path="m1997,979l4800,979m4800,979l4809,979m4809,979l6398,979m6398,979l6408,979m6408,979l7493,979m7493,979l7502,979m7502,979l8769,979m8769,979l8779,979m8779,979l9902,979m9902,979l9912,979m9912,979l11035,979e" filled="false" stroked="true" strokeweight=".48pt" strokecolor="#000000">
            <v:path arrowok="t"/>
            <w10:wrap type="none"/>
          </v:shape>
        </w:pict>
      </w:r>
      <w:r>
        <w:rPr>
          <w:b/>
        </w:rPr>
        <w:t>Cuadro 1. </w:t>
      </w:r>
      <w:r>
        <w:rPr/>
        <w:t>Composición de la ración en base seca (% de inclusión en la dieta) por subcategoría animal.</w:t>
      </w:r>
    </w:p>
    <w:p>
      <w:pPr>
        <w:spacing w:after="0" w:line="360" w:lineRule="auto"/>
        <w:jc w:val="both"/>
        <w:sectPr>
          <w:pgSz w:w="12240" w:h="15840"/>
          <w:pgMar w:header="741" w:footer="739" w:top="1220" w:bottom="920" w:left="1720" w:right="1100"/>
        </w:sectPr>
      </w:pPr>
    </w:p>
    <w:p>
      <w:pPr>
        <w:tabs>
          <w:tab w:pos="3573" w:val="left" w:leader="none"/>
        </w:tabs>
        <w:spacing w:line="213" w:lineRule="exact" w:before="11"/>
        <w:ind w:left="1026" w:right="0" w:firstLine="0"/>
        <w:jc w:val="left"/>
        <w:rPr>
          <w:b/>
          <w:sz w:val="16"/>
        </w:rPr>
      </w:pPr>
      <w:r>
        <w:rPr>
          <w:b/>
          <w:sz w:val="16"/>
        </w:rPr>
        <w:t>Tipo</w:t>
      </w:r>
      <w:r>
        <w:rPr>
          <w:b/>
          <w:spacing w:val="-1"/>
          <w:sz w:val="16"/>
        </w:rPr>
        <w:t> </w:t>
      </w:r>
      <w:r>
        <w:rPr>
          <w:b/>
          <w:sz w:val="16"/>
        </w:rPr>
        <w:t>de</w:t>
      </w:r>
      <w:r>
        <w:rPr>
          <w:b/>
          <w:spacing w:val="-2"/>
          <w:sz w:val="16"/>
        </w:rPr>
        <w:t> </w:t>
      </w:r>
      <w:r>
        <w:rPr>
          <w:b/>
          <w:sz w:val="16"/>
        </w:rPr>
        <w:t>Alimento</w:t>
        <w:tab/>
      </w:r>
      <w:r>
        <w:rPr>
          <w:b/>
          <w:position w:val="10"/>
          <w:sz w:val="16"/>
        </w:rPr>
        <w:t>Vaca</w:t>
      </w:r>
      <w:r>
        <w:rPr>
          <w:b/>
          <w:spacing w:val="-5"/>
          <w:position w:val="10"/>
          <w:sz w:val="16"/>
        </w:rPr>
        <w:t> </w:t>
      </w:r>
      <w:r>
        <w:rPr>
          <w:b/>
          <w:position w:val="10"/>
          <w:sz w:val="16"/>
        </w:rPr>
        <w:t>en</w:t>
      </w:r>
    </w:p>
    <w:p>
      <w:pPr>
        <w:tabs>
          <w:tab w:pos="1883" w:val="left" w:leader="none"/>
          <w:tab w:pos="3133" w:val="left" w:leader="none"/>
          <w:tab w:pos="4235" w:val="left" w:leader="none"/>
        </w:tabs>
        <w:spacing w:line="113" w:lineRule="exact" w:before="111"/>
        <w:ind w:left="609" w:right="0" w:firstLine="0"/>
        <w:jc w:val="left"/>
        <w:rPr>
          <w:b/>
          <w:sz w:val="16"/>
        </w:rPr>
      </w:pPr>
      <w:r>
        <w:rPr/>
        <w:br w:type="column"/>
      </w:r>
      <w:r>
        <w:rPr>
          <w:b/>
          <w:sz w:val="16"/>
        </w:rPr>
        <w:t>Vaca</w:t>
      </w:r>
      <w:r>
        <w:rPr>
          <w:b/>
          <w:spacing w:val="-2"/>
          <w:sz w:val="16"/>
        </w:rPr>
        <w:t> </w:t>
      </w:r>
      <w:r>
        <w:rPr>
          <w:b/>
          <w:sz w:val="16"/>
        </w:rPr>
        <w:t>Seca</w:t>
        <w:tab/>
        <w:t>Vaquilla</w:t>
        <w:tab/>
        <w:t>Novilla</w:t>
        <w:tab/>
        <w:t>Ternera</w:t>
      </w:r>
    </w:p>
    <w:p>
      <w:pPr>
        <w:spacing w:after="0" w:line="113" w:lineRule="exact"/>
        <w:jc w:val="left"/>
        <w:rPr>
          <w:sz w:val="16"/>
        </w:rPr>
        <w:sectPr>
          <w:type w:val="continuous"/>
          <w:pgSz w:w="12240" w:h="15840"/>
          <w:pgMar w:top="1420" w:bottom="280" w:left="1720" w:right="1100"/>
          <w:cols w:num="2" w:equalWidth="0">
            <w:col w:w="4178" w:space="40"/>
            <w:col w:w="5202"/>
          </w:cols>
        </w:sectPr>
      </w:pPr>
    </w:p>
    <w:p>
      <w:pPr>
        <w:tabs>
          <w:tab w:pos="3436" w:val="left" w:leader="none"/>
          <w:tab w:pos="9314" w:val="left" w:leader="none"/>
        </w:tabs>
        <w:spacing w:line="162" w:lineRule="exact" w:before="0" w:after="36"/>
        <w:ind w:left="276" w:right="0" w:firstLine="0"/>
        <w:jc w:val="left"/>
        <w:rPr>
          <w:b/>
          <w:sz w:val="16"/>
        </w:rPr>
      </w:pPr>
      <w:r>
        <w:rPr>
          <w:rFonts w:ascii="Times New Roman" w:hAnsi="Times New Roman"/>
          <w:w w:val="98"/>
          <w:sz w:val="16"/>
          <w:u w:val="single"/>
        </w:rPr>
        <w:t> </w:t>
      </w:r>
      <w:r>
        <w:rPr>
          <w:rFonts w:ascii="Times New Roman" w:hAnsi="Times New Roman"/>
          <w:sz w:val="16"/>
          <w:u w:val="single"/>
        </w:rPr>
        <w:tab/>
      </w:r>
      <w:r>
        <w:rPr>
          <w:b/>
          <w:sz w:val="16"/>
          <w:u w:val="single"/>
        </w:rPr>
        <w:t>Producción</w:t>
        <w:tab/>
      </w:r>
    </w:p>
    <w:tbl>
      <w:tblPr>
        <w:tblW w:w="0" w:type="auto"/>
        <w:jc w:val="left"/>
        <w:tblInd w:w="2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75"/>
        <w:gridCol w:w="1378"/>
        <w:gridCol w:w="1185"/>
        <w:gridCol w:w="1205"/>
        <w:gridCol w:w="1134"/>
        <w:gridCol w:w="876"/>
      </w:tblGrid>
      <w:tr>
        <w:trPr>
          <w:trHeight w:val="318" w:hRule="exact"/>
        </w:trPr>
        <w:tc>
          <w:tcPr>
            <w:tcW w:w="3275" w:type="dxa"/>
          </w:tcPr>
          <w:p>
            <w:pPr>
              <w:pStyle w:val="TableParagraph"/>
              <w:spacing w:before="72"/>
              <w:ind w:left="119"/>
              <w:rPr>
                <w:rFonts w:ascii="Arial"/>
                <w:sz w:val="16"/>
              </w:rPr>
            </w:pPr>
            <w:r>
              <w:rPr>
                <w:rFonts w:ascii="Arial"/>
                <w:sz w:val="16"/>
              </w:rPr>
              <w:t>Concentrado Comercial</w:t>
            </w:r>
          </w:p>
        </w:tc>
        <w:tc>
          <w:tcPr>
            <w:tcW w:w="1378" w:type="dxa"/>
          </w:tcPr>
          <w:p>
            <w:pPr>
              <w:pStyle w:val="TableParagraph"/>
              <w:spacing w:before="72"/>
              <w:ind w:right="345"/>
              <w:jc w:val="right"/>
              <w:rPr>
                <w:rFonts w:ascii="Arial"/>
                <w:sz w:val="16"/>
              </w:rPr>
            </w:pPr>
            <w:r>
              <w:rPr>
                <w:rFonts w:ascii="Arial"/>
                <w:w w:val="95"/>
                <w:sz w:val="16"/>
              </w:rPr>
              <w:t>21,25</w:t>
            </w:r>
          </w:p>
        </w:tc>
        <w:tc>
          <w:tcPr>
            <w:tcW w:w="1185" w:type="dxa"/>
          </w:tcPr>
          <w:p>
            <w:pPr>
              <w:pStyle w:val="TableParagraph"/>
              <w:spacing w:before="72"/>
              <w:ind w:right="435"/>
              <w:jc w:val="right"/>
              <w:rPr>
                <w:rFonts w:ascii="Arial"/>
                <w:sz w:val="16"/>
              </w:rPr>
            </w:pPr>
            <w:r>
              <w:rPr>
                <w:rFonts w:ascii="Arial"/>
                <w:w w:val="95"/>
                <w:sz w:val="16"/>
              </w:rPr>
              <w:t>5,32</w:t>
            </w:r>
          </w:p>
        </w:tc>
        <w:tc>
          <w:tcPr>
            <w:tcW w:w="1205" w:type="dxa"/>
          </w:tcPr>
          <w:p>
            <w:pPr>
              <w:pStyle w:val="TableParagraph"/>
              <w:spacing w:before="72"/>
              <w:ind w:left="417" w:right="258"/>
              <w:jc w:val="center"/>
              <w:rPr>
                <w:rFonts w:ascii="Arial"/>
                <w:sz w:val="16"/>
              </w:rPr>
            </w:pPr>
            <w:r>
              <w:rPr>
                <w:rFonts w:ascii="Arial"/>
                <w:sz w:val="16"/>
              </w:rPr>
              <w:t>8,75</w:t>
            </w:r>
          </w:p>
        </w:tc>
        <w:tc>
          <w:tcPr>
            <w:tcW w:w="1134" w:type="dxa"/>
          </w:tcPr>
          <w:p>
            <w:pPr>
              <w:pStyle w:val="TableParagraph"/>
              <w:spacing w:before="72"/>
              <w:ind w:right="364"/>
              <w:jc w:val="right"/>
              <w:rPr>
                <w:rFonts w:ascii="Arial"/>
                <w:sz w:val="16"/>
              </w:rPr>
            </w:pPr>
            <w:r>
              <w:rPr>
                <w:rFonts w:ascii="Arial"/>
                <w:w w:val="95"/>
                <w:sz w:val="16"/>
              </w:rPr>
              <w:t>14,71</w:t>
            </w:r>
          </w:p>
        </w:tc>
        <w:tc>
          <w:tcPr>
            <w:tcW w:w="876" w:type="dxa"/>
          </w:tcPr>
          <w:p>
            <w:pPr>
              <w:pStyle w:val="TableParagraph"/>
              <w:spacing w:before="72"/>
              <w:ind w:right="107"/>
              <w:jc w:val="right"/>
              <w:rPr>
                <w:rFonts w:ascii="Arial"/>
                <w:sz w:val="16"/>
              </w:rPr>
            </w:pPr>
            <w:r>
              <w:rPr>
                <w:rFonts w:ascii="Arial"/>
                <w:w w:val="95"/>
                <w:sz w:val="16"/>
              </w:rPr>
              <w:t>8,33</w:t>
            </w:r>
          </w:p>
        </w:tc>
      </w:tr>
      <w:tr>
        <w:trPr>
          <w:trHeight w:val="293" w:hRule="exact"/>
        </w:trPr>
        <w:tc>
          <w:tcPr>
            <w:tcW w:w="3275" w:type="dxa"/>
          </w:tcPr>
          <w:p>
            <w:pPr>
              <w:pStyle w:val="TableParagraph"/>
              <w:spacing w:before="43"/>
              <w:ind w:left="119"/>
              <w:rPr>
                <w:rFonts w:ascii="Arial" w:hAnsi="Arial"/>
                <w:i/>
                <w:sz w:val="16"/>
              </w:rPr>
            </w:pPr>
            <w:r>
              <w:rPr>
                <w:rFonts w:ascii="Arial" w:hAnsi="Arial"/>
                <w:sz w:val="16"/>
              </w:rPr>
              <w:t>Maíz molido (</w:t>
            </w:r>
            <w:r>
              <w:rPr>
                <w:rFonts w:ascii="Arial" w:hAnsi="Arial"/>
                <w:i/>
                <w:sz w:val="16"/>
              </w:rPr>
              <w:t>Zea maiz)</w:t>
            </w:r>
          </w:p>
        </w:tc>
        <w:tc>
          <w:tcPr>
            <w:tcW w:w="1378" w:type="dxa"/>
          </w:tcPr>
          <w:p>
            <w:pPr>
              <w:pStyle w:val="TableParagraph"/>
              <w:spacing w:before="43"/>
              <w:ind w:right="345"/>
              <w:jc w:val="right"/>
              <w:rPr>
                <w:rFonts w:ascii="Arial"/>
                <w:sz w:val="16"/>
              </w:rPr>
            </w:pPr>
            <w:r>
              <w:rPr>
                <w:rFonts w:ascii="Arial"/>
                <w:w w:val="95"/>
                <w:sz w:val="16"/>
              </w:rPr>
              <w:t>2,65</w:t>
            </w:r>
          </w:p>
        </w:tc>
        <w:tc>
          <w:tcPr>
            <w:tcW w:w="1185" w:type="dxa"/>
          </w:tcPr>
          <w:p>
            <w:pPr>
              <w:pStyle w:val="TableParagraph"/>
              <w:spacing w:before="43"/>
              <w:ind w:right="435"/>
              <w:jc w:val="right"/>
              <w:rPr>
                <w:rFonts w:ascii="Arial"/>
                <w:sz w:val="16"/>
              </w:rPr>
            </w:pPr>
            <w:r>
              <w:rPr>
                <w:rFonts w:ascii="Arial"/>
                <w:w w:val="95"/>
                <w:sz w:val="16"/>
              </w:rPr>
              <w:t>2,13</w:t>
            </w:r>
          </w:p>
        </w:tc>
        <w:tc>
          <w:tcPr>
            <w:tcW w:w="1205" w:type="dxa"/>
          </w:tcPr>
          <w:p>
            <w:pPr>
              <w:pStyle w:val="TableParagraph"/>
              <w:spacing w:before="43"/>
              <w:ind w:left="417" w:right="258"/>
              <w:jc w:val="center"/>
              <w:rPr>
                <w:rFonts w:ascii="Arial"/>
                <w:sz w:val="16"/>
              </w:rPr>
            </w:pPr>
            <w:r>
              <w:rPr>
                <w:rFonts w:ascii="Arial"/>
                <w:sz w:val="16"/>
              </w:rPr>
              <w:t>0,00</w:t>
            </w:r>
          </w:p>
        </w:tc>
        <w:tc>
          <w:tcPr>
            <w:tcW w:w="1134" w:type="dxa"/>
          </w:tcPr>
          <w:p>
            <w:pPr>
              <w:pStyle w:val="TableParagraph"/>
              <w:spacing w:before="43"/>
              <w:ind w:right="364"/>
              <w:jc w:val="right"/>
              <w:rPr>
                <w:rFonts w:ascii="Arial"/>
                <w:sz w:val="16"/>
              </w:rPr>
            </w:pPr>
            <w:r>
              <w:rPr>
                <w:rFonts w:ascii="Arial"/>
                <w:w w:val="95"/>
                <w:sz w:val="16"/>
              </w:rPr>
              <w:t>0,00</w:t>
            </w:r>
          </w:p>
        </w:tc>
        <w:tc>
          <w:tcPr>
            <w:tcW w:w="876" w:type="dxa"/>
          </w:tcPr>
          <w:p>
            <w:pPr>
              <w:pStyle w:val="TableParagraph"/>
              <w:spacing w:before="43"/>
              <w:ind w:right="107"/>
              <w:jc w:val="right"/>
              <w:rPr>
                <w:rFonts w:ascii="Arial"/>
                <w:sz w:val="16"/>
              </w:rPr>
            </w:pPr>
            <w:r>
              <w:rPr>
                <w:rFonts w:ascii="Arial"/>
                <w:w w:val="95"/>
                <w:sz w:val="16"/>
              </w:rPr>
              <w:t>0,00</w:t>
            </w:r>
          </w:p>
        </w:tc>
      </w:tr>
      <w:tr>
        <w:trPr>
          <w:trHeight w:val="300" w:hRule="exact"/>
        </w:trPr>
        <w:tc>
          <w:tcPr>
            <w:tcW w:w="3275" w:type="dxa"/>
          </w:tcPr>
          <w:p>
            <w:pPr>
              <w:pStyle w:val="TableParagraph"/>
              <w:spacing w:before="48"/>
              <w:ind w:left="119"/>
              <w:rPr>
                <w:rFonts w:ascii="Arial"/>
                <w:sz w:val="16"/>
              </w:rPr>
            </w:pPr>
            <w:r>
              <w:rPr>
                <w:rFonts w:ascii="Arial"/>
                <w:sz w:val="16"/>
              </w:rPr>
              <w:t>Alfalfa henificada (</w:t>
            </w:r>
            <w:r>
              <w:rPr>
                <w:rFonts w:ascii="Arial"/>
                <w:i/>
                <w:sz w:val="16"/>
              </w:rPr>
              <w:t>Medicago sativa</w:t>
            </w:r>
            <w:r>
              <w:rPr>
                <w:rFonts w:ascii="Arial"/>
                <w:sz w:val="16"/>
              </w:rPr>
              <w:t>)</w:t>
            </w:r>
          </w:p>
        </w:tc>
        <w:tc>
          <w:tcPr>
            <w:tcW w:w="1378" w:type="dxa"/>
          </w:tcPr>
          <w:p>
            <w:pPr>
              <w:pStyle w:val="TableParagraph"/>
              <w:spacing w:before="48"/>
              <w:ind w:right="345"/>
              <w:jc w:val="right"/>
              <w:rPr>
                <w:rFonts w:ascii="Arial"/>
                <w:sz w:val="16"/>
              </w:rPr>
            </w:pPr>
            <w:r>
              <w:rPr>
                <w:rFonts w:ascii="Arial"/>
                <w:w w:val="95"/>
                <w:sz w:val="16"/>
              </w:rPr>
              <w:t>6,65</w:t>
            </w:r>
          </w:p>
        </w:tc>
        <w:tc>
          <w:tcPr>
            <w:tcW w:w="1185" w:type="dxa"/>
          </w:tcPr>
          <w:p>
            <w:pPr>
              <w:pStyle w:val="TableParagraph"/>
              <w:spacing w:before="48"/>
              <w:ind w:right="435"/>
              <w:jc w:val="right"/>
              <w:rPr>
                <w:rFonts w:ascii="Arial"/>
                <w:sz w:val="16"/>
              </w:rPr>
            </w:pPr>
            <w:r>
              <w:rPr>
                <w:rFonts w:ascii="Arial"/>
                <w:w w:val="95"/>
                <w:sz w:val="16"/>
              </w:rPr>
              <w:t>5,32</w:t>
            </w:r>
          </w:p>
        </w:tc>
        <w:tc>
          <w:tcPr>
            <w:tcW w:w="1205" w:type="dxa"/>
          </w:tcPr>
          <w:p>
            <w:pPr>
              <w:pStyle w:val="TableParagraph"/>
              <w:spacing w:before="48"/>
              <w:ind w:left="417" w:right="258"/>
              <w:jc w:val="center"/>
              <w:rPr>
                <w:rFonts w:ascii="Arial"/>
                <w:sz w:val="16"/>
              </w:rPr>
            </w:pPr>
            <w:r>
              <w:rPr>
                <w:rFonts w:ascii="Arial"/>
                <w:sz w:val="16"/>
              </w:rPr>
              <w:t>5,00</w:t>
            </w:r>
          </w:p>
        </w:tc>
        <w:tc>
          <w:tcPr>
            <w:tcW w:w="1134" w:type="dxa"/>
          </w:tcPr>
          <w:p>
            <w:pPr>
              <w:pStyle w:val="TableParagraph"/>
              <w:spacing w:before="48"/>
              <w:ind w:right="364"/>
              <w:jc w:val="right"/>
              <w:rPr>
                <w:rFonts w:ascii="Arial"/>
                <w:sz w:val="16"/>
              </w:rPr>
            </w:pPr>
            <w:r>
              <w:rPr>
                <w:rFonts w:ascii="Arial"/>
                <w:w w:val="95"/>
                <w:sz w:val="16"/>
              </w:rPr>
              <w:t>2,94</w:t>
            </w:r>
          </w:p>
        </w:tc>
        <w:tc>
          <w:tcPr>
            <w:tcW w:w="876" w:type="dxa"/>
          </w:tcPr>
          <w:p>
            <w:pPr>
              <w:pStyle w:val="TableParagraph"/>
              <w:spacing w:before="48"/>
              <w:ind w:right="107"/>
              <w:jc w:val="right"/>
              <w:rPr>
                <w:rFonts w:ascii="Arial"/>
                <w:sz w:val="16"/>
              </w:rPr>
            </w:pPr>
            <w:r>
              <w:rPr>
                <w:rFonts w:ascii="Arial"/>
                <w:w w:val="95"/>
                <w:sz w:val="16"/>
              </w:rPr>
              <w:t>4,17</w:t>
            </w:r>
          </w:p>
        </w:tc>
      </w:tr>
      <w:tr>
        <w:trPr>
          <w:trHeight w:val="300" w:hRule="exact"/>
        </w:trPr>
        <w:tc>
          <w:tcPr>
            <w:tcW w:w="3275" w:type="dxa"/>
          </w:tcPr>
          <w:p>
            <w:pPr>
              <w:pStyle w:val="TableParagraph"/>
              <w:spacing w:before="50"/>
              <w:ind w:left="119"/>
              <w:rPr>
                <w:rFonts w:ascii="Arial"/>
                <w:sz w:val="16"/>
              </w:rPr>
            </w:pPr>
            <w:r>
              <w:rPr>
                <w:rFonts w:ascii="Arial"/>
                <w:sz w:val="16"/>
              </w:rPr>
              <w:t>Avena henificada (</w:t>
            </w:r>
            <w:r>
              <w:rPr>
                <w:rFonts w:ascii="Arial"/>
                <w:i/>
                <w:sz w:val="16"/>
              </w:rPr>
              <w:t>Avena sativa</w:t>
            </w:r>
            <w:r>
              <w:rPr>
                <w:rFonts w:ascii="Arial"/>
                <w:sz w:val="16"/>
              </w:rPr>
              <w:t>)</w:t>
            </w:r>
          </w:p>
        </w:tc>
        <w:tc>
          <w:tcPr>
            <w:tcW w:w="1378" w:type="dxa"/>
          </w:tcPr>
          <w:p>
            <w:pPr>
              <w:pStyle w:val="TableParagraph"/>
              <w:spacing w:before="50"/>
              <w:ind w:right="345"/>
              <w:jc w:val="right"/>
              <w:rPr>
                <w:rFonts w:ascii="Arial"/>
                <w:sz w:val="16"/>
              </w:rPr>
            </w:pPr>
            <w:r>
              <w:rPr>
                <w:rFonts w:ascii="Arial"/>
                <w:w w:val="95"/>
                <w:sz w:val="16"/>
              </w:rPr>
              <w:t>25,01</w:t>
            </w:r>
          </w:p>
        </w:tc>
        <w:tc>
          <w:tcPr>
            <w:tcW w:w="1185" w:type="dxa"/>
          </w:tcPr>
          <w:p>
            <w:pPr>
              <w:pStyle w:val="TableParagraph"/>
              <w:spacing w:before="50"/>
              <w:ind w:right="435"/>
              <w:jc w:val="right"/>
              <w:rPr>
                <w:rFonts w:ascii="Arial"/>
                <w:sz w:val="16"/>
              </w:rPr>
            </w:pPr>
            <w:r>
              <w:rPr>
                <w:rFonts w:ascii="Arial"/>
                <w:w w:val="95"/>
                <w:sz w:val="16"/>
              </w:rPr>
              <w:t>17,02</w:t>
            </w:r>
          </w:p>
        </w:tc>
        <w:tc>
          <w:tcPr>
            <w:tcW w:w="1205" w:type="dxa"/>
          </w:tcPr>
          <w:p>
            <w:pPr>
              <w:pStyle w:val="TableParagraph"/>
              <w:spacing w:before="50"/>
              <w:ind w:left="417" w:right="347"/>
              <w:jc w:val="center"/>
              <w:rPr>
                <w:rFonts w:ascii="Arial"/>
                <w:sz w:val="16"/>
              </w:rPr>
            </w:pPr>
            <w:r>
              <w:rPr>
                <w:rFonts w:ascii="Arial"/>
                <w:sz w:val="16"/>
              </w:rPr>
              <w:t>31,25</w:t>
            </w:r>
          </w:p>
        </w:tc>
        <w:tc>
          <w:tcPr>
            <w:tcW w:w="1134" w:type="dxa"/>
          </w:tcPr>
          <w:p>
            <w:pPr>
              <w:pStyle w:val="TableParagraph"/>
              <w:spacing w:before="50"/>
              <w:ind w:right="364"/>
              <w:jc w:val="right"/>
              <w:rPr>
                <w:rFonts w:ascii="Arial"/>
                <w:sz w:val="16"/>
              </w:rPr>
            </w:pPr>
            <w:r>
              <w:rPr>
                <w:rFonts w:ascii="Arial"/>
                <w:w w:val="95"/>
                <w:sz w:val="16"/>
              </w:rPr>
              <w:t>23,53</w:t>
            </w:r>
          </w:p>
        </w:tc>
        <w:tc>
          <w:tcPr>
            <w:tcW w:w="876" w:type="dxa"/>
          </w:tcPr>
          <w:p>
            <w:pPr>
              <w:pStyle w:val="TableParagraph"/>
              <w:spacing w:before="50"/>
              <w:ind w:right="107"/>
              <w:jc w:val="right"/>
              <w:rPr>
                <w:rFonts w:ascii="Arial"/>
                <w:sz w:val="16"/>
              </w:rPr>
            </w:pPr>
            <w:r>
              <w:rPr>
                <w:rFonts w:ascii="Arial"/>
                <w:w w:val="95"/>
                <w:sz w:val="16"/>
              </w:rPr>
              <w:t>31,25</w:t>
            </w:r>
          </w:p>
        </w:tc>
      </w:tr>
      <w:tr>
        <w:trPr>
          <w:trHeight w:val="300" w:hRule="exact"/>
        </w:trPr>
        <w:tc>
          <w:tcPr>
            <w:tcW w:w="3275" w:type="dxa"/>
          </w:tcPr>
          <w:p>
            <w:pPr>
              <w:pStyle w:val="TableParagraph"/>
              <w:spacing w:before="48"/>
              <w:ind w:left="119"/>
              <w:rPr>
                <w:rFonts w:ascii="Arial"/>
                <w:sz w:val="16"/>
              </w:rPr>
            </w:pPr>
            <w:r>
              <w:rPr>
                <w:rFonts w:ascii="Arial"/>
                <w:sz w:val="16"/>
              </w:rPr>
              <w:t>Ebo henificado </w:t>
            </w:r>
            <w:r>
              <w:rPr>
                <w:rFonts w:ascii="Arial"/>
                <w:i/>
                <w:sz w:val="16"/>
              </w:rPr>
              <w:t>(Vicia sativa</w:t>
            </w:r>
            <w:r>
              <w:rPr>
                <w:rFonts w:ascii="Arial"/>
                <w:sz w:val="16"/>
              </w:rPr>
              <w:t>)</w:t>
            </w:r>
          </w:p>
        </w:tc>
        <w:tc>
          <w:tcPr>
            <w:tcW w:w="1378" w:type="dxa"/>
          </w:tcPr>
          <w:p>
            <w:pPr>
              <w:pStyle w:val="TableParagraph"/>
              <w:spacing w:before="48"/>
              <w:ind w:right="345"/>
              <w:jc w:val="right"/>
              <w:rPr>
                <w:rFonts w:ascii="Arial"/>
                <w:sz w:val="16"/>
              </w:rPr>
            </w:pPr>
            <w:r>
              <w:rPr>
                <w:rFonts w:ascii="Arial"/>
                <w:w w:val="95"/>
                <w:sz w:val="16"/>
              </w:rPr>
              <w:t>5,73</w:t>
            </w:r>
          </w:p>
        </w:tc>
        <w:tc>
          <w:tcPr>
            <w:tcW w:w="1185" w:type="dxa"/>
          </w:tcPr>
          <w:p>
            <w:pPr>
              <w:pStyle w:val="TableParagraph"/>
              <w:spacing w:before="48"/>
              <w:ind w:right="435"/>
              <w:jc w:val="right"/>
              <w:rPr>
                <w:rFonts w:ascii="Arial"/>
                <w:sz w:val="16"/>
              </w:rPr>
            </w:pPr>
            <w:r>
              <w:rPr>
                <w:rFonts w:ascii="Arial"/>
                <w:w w:val="95"/>
                <w:sz w:val="16"/>
              </w:rPr>
              <w:t>1,06</w:t>
            </w:r>
          </w:p>
        </w:tc>
        <w:tc>
          <w:tcPr>
            <w:tcW w:w="1205" w:type="dxa"/>
          </w:tcPr>
          <w:p>
            <w:pPr>
              <w:pStyle w:val="TableParagraph"/>
              <w:spacing w:before="48"/>
              <w:ind w:left="417" w:right="258"/>
              <w:jc w:val="center"/>
              <w:rPr>
                <w:rFonts w:ascii="Arial"/>
                <w:sz w:val="16"/>
              </w:rPr>
            </w:pPr>
            <w:r>
              <w:rPr>
                <w:rFonts w:ascii="Arial"/>
                <w:sz w:val="16"/>
              </w:rPr>
              <w:t>8,75</w:t>
            </w:r>
          </w:p>
        </w:tc>
        <w:tc>
          <w:tcPr>
            <w:tcW w:w="1134" w:type="dxa"/>
          </w:tcPr>
          <w:p>
            <w:pPr>
              <w:pStyle w:val="TableParagraph"/>
              <w:spacing w:before="48"/>
              <w:ind w:right="364"/>
              <w:jc w:val="right"/>
              <w:rPr>
                <w:rFonts w:ascii="Arial"/>
                <w:sz w:val="16"/>
              </w:rPr>
            </w:pPr>
            <w:r>
              <w:rPr>
                <w:rFonts w:ascii="Arial"/>
                <w:w w:val="95"/>
                <w:sz w:val="16"/>
              </w:rPr>
              <w:t>17,65</w:t>
            </w:r>
          </w:p>
        </w:tc>
        <w:tc>
          <w:tcPr>
            <w:tcW w:w="876" w:type="dxa"/>
          </w:tcPr>
          <w:p>
            <w:pPr>
              <w:pStyle w:val="TableParagraph"/>
              <w:spacing w:before="48"/>
              <w:ind w:right="107"/>
              <w:jc w:val="right"/>
              <w:rPr>
                <w:rFonts w:ascii="Arial"/>
                <w:sz w:val="16"/>
              </w:rPr>
            </w:pPr>
            <w:r>
              <w:rPr>
                <w:rFonts w:ascii="Arial"/>
                <w:w w:val="95"/>
                <w:sz w:val="16"/>
              </w:rPr>
              <w:t>8,33</w:t>
            </w:r>
          </w:p>
        </w:tc>
      </w:tr>
      <w:tr>
        <w:trPr>
          <w:trHeight w:val="300" w:hRule="exact"/>
        </w:trPr>
        <w:tc>
          <w:tcPr>
            <w:tcW w:w="3275" w:type="dxa"/>
          </w:tcPr>
          <w:p>
            <w:pPr>
              <w:pStyle w:val="TableParagraph"/>
              <w:spacing w:before="50"/>
              <w:ind w:left="119"/>
              <w:rPr>
                <w:rFonts w:ascii="Arial" w:hAnsi="Arial"/>
                <w:sz w:val="16"/>
              </w:rPr>
            </w:pPr>
            <w:r>
              <w:rPr>
                <w:rFonts w:ascii="Arial" w:hAnsi="Arial"/>
                <w:sz w:val="16"/>
              </w:rPr>
              <w:t>Ensilado de maíz</w:t>
            </w:r>
          </w:p>
        </w:tc>
        <w:tc>
          <w:tcPr>
            <w:tcW w:w="1378" w:type="dxa"/>
          </w:tcPr>
          <w:p>
            <w:pPr>
              <w:pStyle w:val="TableParagraph"/>
              <w:spacing w:before="50"/>
              <w:ind w:right="345"/>
              <w:jc w:val="right"/>
              <w:rPr>
                <w:rFonts w:ascii="Arial"/>
                <w:sz w:val="16"/>
              </w:rPr>
            </w:pPr>
            <w:r>
              <w:rPr>
                <w:rFonts w:ascii="Arial"/>
                <w:w w:val="95"/>
                <w:sz w:val="16"/>
              </w:rPr>
              <w:t>14,31</w:t>
            </w:r>
          </w:p>
        </w:tc>
        <w:tc>
          <w:tcPr>
            <w:tcW w:w="1185" w:type="dxa"/>
          </w:tcPr>
          <w:p>
            <w:pPr>
              <w:pStyle w:val="TableParagraph"/>
              <w:spacing w:before="50"/>
              <w:ind w:right="435"/>
              <w:jc w:val="right"/>
              <w:rPr>
                <w:rFonts w:ascii="Arial"/>
                <w:sz w:val="16"/>
              </w:rPr>
            </w:pPr>
            <w:r>
              <w:rPr>
                <w:rFonts w:ascii="Arial"/>
                <w:w w:val="95"/>
                <w:sz w:val="16"/>
              </w:rPr>
              <w:t>18,09</w:t>
            </w:r>
          </w:p>
        </w:tc>
        <w:tc>
          <w:tcPr>
            <w:tcW w:w="1205" w:type="dxa"/>
          </w:tcPr>
          <w:p>
            <w:pPr>
              <w:pStyle w:val="TableParagraph"/>
              <w:spacing w:before="50"/>
              <w:ind w:left="417" w:right="347"/>
              <w:jc w:val="center"/>
              <w:rPr>
                <w:rFonts w:ascii="Arial"/>
                <w:sz w:val="16"/>
              </w:rPr>
            </w:pPr>
            <w:r>
              <w:rPr>
                <w:rFonts w:ascii="Arial"/>
                <w:sz w:val="16"/>
              </w:rPr>
              <w:t>17,50</w:t>
            </w:r>
          </w:p>
        </w:tc>
        <w:tc>
          <w:tcPr>
            <w:tcW w:w="1134" w:type="dxa"/>
          </w:tcPr>
          <w:p>
            <w:pPr>
              <w:pStyle w:val="TableParagraph"/>
              <w:spacing w:before="50"/>
              <w:ind w:right="364"/>
              <w:jc w:val="right"/>
              <w:rPr>
                <w:rFonts w:ascii="Arial"/>
                <w:sz w:val="16"/>
              </w:rPr>
            </w:pPr>
            <w:r>
              <w:rPr>
                <w:rFonts w:ascii="Arial"/>
                <w:w w:val="95"/>
                <w:sz w:val="16"/>
              </w:rPr>
              <w:t>8,82</w:t>
            </w:r>
          </w:p>
        </w:tc>
        <w:tc>
          <w:tcPr>
            <w:tcW w:w="876" w:type="dxa"/>
          </w:tcPr>
          <w:p>
            <w:pPr>
              <w:pStyle w:val="TableParagraph"/>
              <w:spacing w:before="50"/>
              <w:ind w:right="107"/>
              <w:jc w:val="right"/>
              <w:rPr>
                <w:rFonts w:ascii="Arial"/>
                <w:sz w:val="16"/>
              </w:rPr>
            </w:pPr>
            <w:r>
              <w:rPr>
                <w:rFonts w:ascii="Arial"/>
                <w:w w:val="95"/>
                <w:sz w:val="16"/>
              </w:rPr>
              <w:t>16,67</w:t>
            </w:r>
          </w:p>
        </w:tc>
      </w:tr>
      <w:tr>
        <w:trPr>
          <w:trHeight w:val="356" w:hRule="exact"/>
        </w:trPr>
        <w:tc>
          <w:tcPr>
            <w:tcW w:w="3275" w:type="dxa"/>
            <w:tcBorders>
              <w:bottom w:val="single" w:sz="4" w:space="0" w:color="000000"/>
            </w:tcBorders>
          </w:tcPr>
          <w:p>
            <w:pPr>
              <w:pStyle w:val="TableParagraph"/>
              <w:spacing w:before="48"/>
              <w:ind w:left="119"/>
              <w:rPr>
                <w:rFonts w:ascii="Arial" w:hAnsi="Arial"/>
                <w:sz w:val="16"/>
              </w:rPr>
            </w:pPr>
            <w:r>
              <w:rPr>
                <w:rFonts w:ascii="Arial" w:hAnsi="Arial"/>
                <w:sz w:val="16"/>
              </w:rPr>
              <w:t>Rastrojo de maíz</w:t>
            </w:r>
          </w:p>
        </w:tc>
        <w:tc>
          <w:tcPr>
            <w:tcW w:w="1378" w:type="dxa"/>
            <w:tcBorders>
              <w:bottom w:val="single" w:sz="4" w:space="0" w:color="000000"/>
            </w:tcBorders>
          </w:tcPr>
          <w:p>
            <w:pPr>
              <w:pStyle w:val="TableParagraph"/>
              <w:spacing w:before="48"/>
              <w:ind w:right="345"/>
              <w:jc w:val="right"/>
              <w:rPr>
                <w:rFonts w:ascii="Arial"/>
                <w:sz w:val="16"/>
              </w:rPr>
            </w:pPr>
            <w:r>
              <w:rPr>
                <w:rFonts w:ascii="Arial"/>
                <w:w w:val="95"/>
                <w:sz w:val="16"/>
              </w:rPr>
              <w:t>24,39</w:t>
            </w:r>
          </w:p>
        </w:tc>
        <w:tc>
          <w:tcPr>
            <w:tcW w:w="1185" w:type="dxa"/>
            <w:tcBorders>
              <w:bottom w:val="single" w:sz="4" w:space="0" w:color="000000"/>
            </w:tcBorders>
          </w:tcPr>
          <w:p>
            <w:pPr>
              <w:pStyle w:val="TableParagraph"/>
              <w:spacing w:before="48"/>
              <w:ind w:right="435"/>
              <w:jc w:val="right"/>
              <w:rPr>
                <w:rFonts w:ascii="Arial"/>
                <w:sz w:val="16"/>
              </w:rPr>
            </w:pPr>
            <w:r>
              <w:rPr>
                <w:rFonts w:ascii="Arial"/>
                <w:w w:val="95"/>
                <w:sz w:val="16"/>
              </w:rPr>
              <w:t>51,06</w:t>
            </w:r>
          </w:p>
        </w:tc>
        <w:tc>
          <w:tcPr>
            <w:tcW w:w="1205" w:type="dxa"/>
            <w:tcBorders>
              <w:bottom w:val="single" w:sz="4" w:space="0" w:color="000000"/>
            </w:tcBorders>
          </w:tcPr>
          <w:p>
            <w:pPr>
              <w:pStyle w:val="TableParagraph"/>
              <w:spacing w:before="48"/>
              <w:ind w:left="417" w:right="347"/>
              <w:jc w:val="center"/>
              <w:rPr>
                <w:rFonts w:ascii="Arial"/>
                <w:sz w:val="16"/>
              </w:rPr>
            </w:pPr>
            <w:r>
              <w:rPr>
                <w:rFonts w:ascii="Arial"/>
                <w:sz w:val="16"/>
              </w:rPr>
              <w:t>28,75</w:t>
            </w:r>
          </w:p>
        </w:tc>
        <w:tc>
          <w:tcPr>
            <w:tcW w:w="1134" w:type="dxa"/>
            <w:tcBorders>
              <w:bottom w:val="single" w:sz="4" w:space="0" w:color="000000"/>
            </w:tcBorders>
          </w:tcPr>
          <w:p>
            <w:pPr>
              <w:pStyle w:val="TableParagraph"/>
              <w:spacing w:before="48"/>
              <w:ind w:right="364"/>
              <w:jc w:val="right"/>
              <w:rPr>
                <w:rFonts w:ascii="Arial"/>
                <w:sz w:val="16"/>
              </w:rPr>
            </w:pPr>
            <w:r>
              <w:rPr>
                <w:rFonts w:ascii="Arial"/>
                <w:w w:val="95"/>
                <w:sz w:val="16"/>
              </w:rPr>
              <w:t>32,35</w:t>
            </w:r>
          </w:p>
        </w:tc>
        <w:tc>
          <w:tcPr>
            <w:tcW w:w="876" w:type="dxa"/>
            <w:tcBorders>
              <w:bottom w:val="single" w:sz="4" w:space="0" w:color="000000"/>
            </w:tcBorders>
          </w:tcPr>
          <w:p>
            <w:pPr>
              <w:pStyle w:val="TableParagraph"/>
              <w:spacing w:before="48"/>
              <w:ind w:right="107"/>
              <w:jc w:val="right"/>
              <w:rPr>
                <w:rFonts w:ascii="Arial"/>
                <w:sz w:val="16"/>
              </w:rPr>
            </w:pPr>
            <w:r>
              <w:rPr>
                <w:rFonts w:ascii="Arial"/>
                <w:w w:val="95"/>
                <w:sz w:val="16"/>
              </w:rPr>
              <w:t>31,25</w:t>
            </w:r>
          </w:p>
        </w:tc>
      </w:tr>
    </w:tbl>
    <w:p>
      <w:pPr>
        <w:pStyle w:val="BodyText"/>
        <w:rPr>
          <w:b/>
          <w:sz w:val="20"/>
        </w:rPr>
      </w:pPr>
    </w:p>
    <w:p>
      <w:pPr>
        <w:pStyle w:val="BodyText"/>
        <w:rPr>
          <w:b/>
          <w:sz w:val="20"/>
        </w:rPr>
      </w:pPr>
    </w:p>
    <w:p>
      <w:pPr>
        <w:pStyle w:val="BodyText"/>
        <w:spacing w:before="4"/>
        <w:rPr>
          <w:b/>
          <w:sz w:val="25"/>
        </w:rPr>
      </w:pPr>
    </w:p>
    <w:p>
      <w:pPr>
        <w:pStyle w:val="BodyText"/>
        <w:spacing w:line="338" w:lineRule="auto" w:before="70"/>
        <w:ind w:left="276" w:right="304"/>
        <w:jc w:val="both"/>
      </w:pPr>
      <w:r>
        <w:rPr/>
        <w:t>En torno a las emisiones de CH</w:t>
      </w:r>
      <w:r>
        <w:rPr>
          <w:position w:val="-2"/>
          <w:sz w:val="16"/>
        </w:rPr>
        <w:t>4 </w:t>
      </w:r>
      <w:r>
        <w:rPr/>
        <w:t>entérico, el Cuadro 2 muestra los resultados de GE, consumo voluntario de materia seca en kg cabeza</w:t>
      </w:r>
      <w:r>
        <w:rPr>
          <w:position w:val="11"/>
          <w:sz w:val="16"/>
        </w:rPr>
        <w:t>-1 </w:t>
      </w:r>
      <w:r>
        <w:rPr/>
        <w:t>día</w:t>
      </w:r>
      <w:r>
        <w:rPr>
          <w:position w:val="11"/>
          <w:sz w:val="16"/>
        </w:rPr>
        <w:t>-1</w:t>
      </w:r>
      <w:r>
        <w:rPr/>
        <w:t>, digestibilidad del alimento</w:t>
      </w:r>
      <w:r>
        <w:rPr>
          <w:spacing w:val="-9"/>
        </w:rPr>
        <w:t> </w:t>
      </w:r>
      <w:r>
        <w:rPr/>
        <w:t>expresada</w:t>
      </w:r>
      <w:r>
        <w:rPr>
          <w:spacing w:val="-9"/>
        </w:rPr>
        <w:t> </w:t>
      </w:r>
      <w:r>
        <w:rPr/>
        <w:t>como</w:t>
      </w:r>
      <w:r>
        <w:rPr>
          <w:spacing w:val="-9"/>
        </w:rPr>
        <w:t> </w:t>
      </w:r>
      <w:r>
        <w:rPr/>
        <w:t>porcentaje</w:t>
      </w:r>
      <w:r>
        <w:rPr>
          <w:spacing w:val="-9"/>
        </w:rPr>
        <w:t> </w:t>
      </w:r>
      <w:r>
        <w:rPr/>
        <w:t>(DE</w:t>
      </w:r>
      <w:r>
        <w:rPr>
          <w:spacing w:val="-9"/>
        </w:rPr>
        <w:t> </w:t>
      </w:r>
      <w:r>
        <w:rPr/>
        <w:t>%),</w:t>
      </w:r>
      <w:r>
        <w:rPr>
          <w:spacing w:val="-9"/>
        </w:rPr>
        <w:t> </w:t>
      </w:r>
      <w:r>
        <w:rPr/>
        <w:t>factor</w:t>
      </w:r>
      <w:r>
        <w:rPr>
          <w:spacing w:val="-9"/>
        </w:rPr>
        <w:t> </w:t>
      </w:r>
      <w:r>
        <w:rPr/>
        <w:t>de</w:t>
      </w:r>
      <w:r>
        <w:rPr>
          <w:spacing w:val="-9"/>
        </w:rPr>
        <w:t> </w:t>
      </w:r>
      <w:r>
        <w:rPr/>
        <w:t>conversión</w:t>
      </w:r>
      <w:r>
        <w:rPr>
          <w:spacing w:val="-9"/>
        </w:rPr>
        <w:t> </w:t>
      </w:r>
      <w:r>
        <w:rPr/>
        <w:t>de</w:t>
      </w:r>
      <w:r>
        <w:rPr>
          <w:spacing w:val="-9"/>
        </w:rPr>
        <w:t> </w:t>
      </w:r>
      <w:r>
        <w:rPr/>
        <w:t>CH</w:t>
      </w:r>
      <w:r>
        <w:rPr>
          <w:position w:val="-2"/>
          <w:sz w:val="16"/>
        </w:rPr>
        <w:t>4</w:t>
      </w:r>
      <w:r>
        <w:rPr>
          <w:spacing w:val="14"/>
          <w:position w:val="-2"/>
          <w:sz w:val="16"/>
        </w:rPr>
        <w:t> </w:t>
      </w:r>
      <w:r>
        <w:rPr/>
        <w:t>(Ym),</w:t>
      </w:r>
      <w:r>
        <w:rPr>
          <w:spacing w:val="-9"/>
        </w:rPr>
        <w:t> </w:t>
      </w:r>
      <w:r>
        <w:rPr/>
        <w:t>FE</w:t>
      </w:r>
    </w:p>
    <w:p>
      <w:pPr>
        <w:pStyle w:val="BodyText"/>
        <w:spacing w:line="357" w:lineRule="auto" w:before="8"/>
        <w:ind w:left="276" w:right="303"/>
        <w:jc w:val="both"/>
      </w:pPr>
      <w:r>
        <w:rPr/>
        <w:t>de CH</w:t>
      </w:r>
      <w:r>
        <w:rPr>
          <w:position w:val="-2"/>
          <w:sz w:val="16"/>
        </w:rPr>
        <w:t>4 </w:t>
      </w:r>
      <w:r>
        <w:rPr/>
        <w:t>y el total de emisiones de CH</w:t>
      </w:r>
      <w:r>
        <w:rPr>
          <w:position w:val="-2"/>
          <w:sz w:val="16"/>
        </w:rPr>
        <w:t>4 </w:t>
      </w:r>
      <w:r>
        <w:rPr/>
        <w:t>al año expresado en Gg, para cada subcategoría de bovinos analizadas en el SPLPE. Las vacas en producción son</w:t>
      </w:r>
      <w:r>
        <w:rPr>
          <w:spacing w:val="-37"/>
        </w:rPr>
        <w:t> </w:t>
      </w:r>
      <w:r>
        <w:rPr/>
        <w:t>las que requieren una mayor cantidad de energía diaria, en contraste con las terneras quienes emplean menor cantidad. Como consecuencia, las vacas en producción generan mayores emisiones de CH</w:t>
      </w:r>
      <w:r>
        <w:rPr>
          <w:position w:val="-2"/>
          <w:sz w:val="16"/>
        </w:rPr>
        <w:t>4</w:t>
      </w:r>
      <w:r>
        <w:rPr>
          <w:spacing w:val="20"/>
          <w:position w:val="-2"/>
          <w:sz w:val="16"/>
        </w:rPr>
        <w:t> </w:t>
      </w:r>
      <w:r>
        <w:rPr/>
        <w:t>entérico.</w:t>
      </w:r>
    </w:p>
    <w:p>
      <w:pPr>
        <w:spacing w:after="0" w:line="357" w:lineRule="auto"/>
        <w:jc w:val="both"/>
        <w:sectPr>
          <w:type w:val="continuous"/>
          <w:pgSz w:w="12240" w:h="15840"/>
          <w:pgMar w:top="1420" w:bottom="280" w:left="1720" w:right="1100"/>
        </w:sectPr>
      </w:pPr>
    </w:p>
    <w:p>
      <w:pPr>
        <w:pStyle w:val="BodyText"/>
        <w:spacing w:before="4"/>
        <w:rPr>
          <w:sz w:val="11"/>
        </w:rPr>
      </w:pPr>
    </w:p>
    <w:p>
      <w:pPr>
        <w:pStyle w:val="BodyText"/>
        <w:spacing w:line="352" w:lineRule="auto" w:before="69"/>
        <w:ind w:left="276"/>
      </w:pPr>
      <w:r>
        <w:rPr/>
        <w:pict>
          <v:shape style="position:absolute;margin-left:99.832413pt;margin-top:45.42588pt;width:450pt;height:.1pt;mso-position-horizontal-relative:page;mso-position-vertical-relative:paragraph;z-index:5056" coordorigin="1997,909" coordsize="9000,0" path="m1997,909l3240,909m3240,909l3249,909m3249,909l3989,909m3989,909l3998,909m3998,909l4977,909m4977,909l4987,909m4987,909l6254,909m6254,909l6264,909m6264,909l7104,909m7104,909l7113,909m7113,909l8097,909m8097,909l8107,909m8107,909l8808,909m8808,909l8817,909m8817,909l9941,909m9941,909l9950,909m9950,909l10997,909e" filled="false" stroked="true" strokeweight=".48pt" strokecolor="#000000">
            <v:path arrowok="t"/>
            <w10:wrap type="none"/>
          </v:shape>
        </w:pict>
      </w:r>
      <w:r>
        <w:rPr>
          <w:b/>
        </w:rPr>
        <w:t>Cuadro 2. </w:t>
      </w:r>
      <w:r>
        <w:rPr/>
        <w:t>Emisiones totales de CH</w:t>
      </w:r>
      <w:r>
        <w:rPr>
          <w:position w:val="-2"/>
          <w:sz w:val="16"/>
        </w:rPr>
        <w:t>4 </w:t>
      </w:r>
      <w:r>
        <w:rPr/>
        <w:t>entérico por subcategoría de bovinos en el SPLPE.</w:t>
      </w:r>
    </w:p>
    <w:p>
      <w:pPr>
        <w:spacing w:after="0" w:line="352" w:lineRule="auto"/>
        <w:sectPr>
          <w:pgSz w:w="12240" w:h="15840"/>
          <w:pgMar w:header="741" w:footer="739" w:top="1220" w:bottom="920" w:left="1720" w:right="1120"/>
        </w:sectPr>
      </w:pPr>
    </w:p>
    <w:p>
      <w:pPr>
        <w:spacing w:before="86"/>
        <w:ind w:left="539" w:right="0" w:firstLine="0"/>
        <w:jc w:val="center"/>
        <w:rPr>
          <w:b/>
          <w:sz w:val="16"/>
        </w:rPr>
      </w:pPr>
      <w:r>
        <w:rPr>
          <w:b/>
          <w:sz w:val="16"/>
        </w:rPr>
        <w:t>Sub- </w:t>
      </w:r>
      <w:r>
        <w:rPr>
          <w:b/>
          <w:w w:val="95"/>
          <w:sz w:val="16"/>
        </w:rPr>
        <w:t>categoría </w:t>
      </w:r>
      <w:r>
        <w:rPr>
          <w:b/>
          <w:sz w:val="16"/>
        </w:rPr>
        <w:t>animal</w:t>
      </w:r>
    </w:p>
    <w:p>
      <w:pPr>
        <w:pStyle w:val="BodyText"/>
        <w:spacing w:before="4"/>
        <w:rPr>
          <w:b/>
          <w:sz w:val="15"/>
        </w:rPr>
      </w:pPr>
      <w:r>
        <w:rPr/>
        <w:br w:type="column"/>
      </w:r>
      <w:r>
        <w:rPr>
          <w:b/>
          <w:sz w:val="15"/>
        </w:rPr>
      </w:r>
    </w:p>
    <w:p>
      <w:pPr>
        <w:spacing w:before="0"/>
        <w:ind w:left="508" w:right="-2" w:hanging="98"/>
        <w:jc w:val="left"/>
        <w:rPr>
          <w:b/>
          <w:sz w:val="16"/>
        </w:rPr>
      </w:pPr>
      <w:r>
        <w:rPr>
          <w:b/>
          <w:w w:val="95"/>
          <w:sz w:val="16"/>
        </w:rPr>
        <w:t>Peso </w:t>
      </w:r>
      <w:r>
        <w:rPr>
          <w:b/>
          <w:sz w:val="16"/>
        </w:rPr>
        <w:t>kg</w:t>
      </w:r>
    </w:p>
    <w:p>
      <w:pPr>
        <w:pStyle w:val="BodyText"/>
        <w:spacing w:before="4"/>
        <w:rPr>
          <w:b/>
          <w:sz w:val="15"/>
        </w:rPr>
      </w:pPr>
      <w:r>
        <w:rPr/>
        <w:br w:type="column"/>
      </w:r>
      <w:r>
        <w:rPr>
          <w:b/>
          <w:sz w:val="15"/>
        </w:rPr>
      </w:r>
    </w:p>
    <w:p>
      <w:pPr>
        <w:spacing w:before="0"/>
        <w:ind w:left="284" w:right="0" w:firstLine="111"/>
        <w:jc w:val="left"/>
        <w:rPr>
          <w:b/>
          <w:sz w:val="16"/>
        </w:rPr>
      </w:pPr>
      <w:r>
        <w:rPr>
          <w:b/>
          <w:sz w:val="16"/>
        </w:rPr>
        <w:t>No. de </w:t>
      </w:r>
      <w:r>
        <w:rPr>
          <w:b/>
          <w:w w:val="95"/>
          <w:sz w:val="16"/>
        </w:rPr>
        <w:t>Animales</w:t>
      </w:r>
    </w:p>
    <w:p>
      <w:pPr>
        <w:spacing w:line="182" w:lineRule="exact" w:before="90"/>
        <w:ind w:left="246" w:right="0" w:firstLine="0"/>
        <w:jc w:val="center"/>
        <w:rPr>
          <w:b/>
          <w:sz w:val="9"/>
        </w:rPr>
      </w:pPr>
      <w:r>
        <w:rPr/>
        <w:br w:type="column"/>
      </w:r>
      <w:r>
        <w:rPr>
          <w:b/>
          <w:sz w:val="16"/>
        </w:rPr>
        <w:t>Materia Seca kg Cabeza</w:t>
      </w:r>
      <w:r>
        <w:rPr>
          <w:b/>
          <w:position w:val="8"/>
          <w:sz w:val="9"/>
        </w:rPr>
        <w:t>-1 </w:t>
      </w:r>
      <w:r>
        <w:rPr>
          <w:b/>
          <w:sz w:val="16"/>
        </w:rPr>
        <w:t>día</w:t>
      </w:r>
      <w:r>
        <w:rPr>
          <w:b/>
          <w:position w:val="8"/>
          <w:sz w:val="9"/>
        </w:rPr>
        <w:t>-1</w:t>
      </w:r>
    </w:p>
    <w:p>
      <w:pPr>
        <w:pStyle w:val="BodyText"/>
        <w:spacing w:before="3"/>
        <w:rPr>
          <w:b/>
          <w:sz w:val="23"/>
        </w:rPr>
      </w:pPr>
      <w:r>
        <w:rPr/>
        <w:br w:type="column"/>
      </w:r>
      <w:r>
        <w:rPr>
          <w:b/>
          <w:sz w:val="23"/>
        </w:rPr>
      </w:r>
    </w:p>
    <w:p>
      <w:pPr>
        <w:spacing w:before="0"/>
        <w:ind w:left="353" w:right="-3" w:firstLine="0"/>
        <w:jc w:val="left"/>
        <w:rPr>
          <w:b/>
          <w:sz w:val="16"/>
        </w:rPr>
      </w:pPr>
      <w:r>
        <w:rPr>
          <w:b/>
          <w:w w:val="95"/>
          <w:sz w:val="16"/>
        </w:rPr>
        <w:t>DE%</w:t>
      </w:r>
    </w:p>
    <w:p>
      <w:pPr>
        <w:pStyle w:val="BodyText"/>
        <w:spacing w:before="4"/>
        <w:rPr>
          <w:b/>
          <w:sz w:val="15"/>
        </w:rPr>
      </w:pPr>
      <w:r>
        <w:rPr/>
        <w:br w:type="column"/>
      </w:r>
      <w:r>
        <w:rPr>
          <w:b/>
          <w:sz w:val="15"/>
        </w:rPr>
      </w:r>
    </w:p>
    <w:p>
      <w:pPr>
        <w:spacing w:line="138" w:lineRule="exact" w:before="0"/>
        <w:ind w:left="566" w:right="838" w:firstLine="0"/>
        <w:jc w:val="center"/>
        <w:rPr>
          <w:b/>
          <w:sz w:val="16"/>
        </w:rPr>
      </w:pPr>
      <w:r>
        <w:rPr>
          <w:b/>
          <w:sz w:val="16"/>
        </w:rPr>
        <w:t>GE</w:t>
      </w:r>
    </w:p>
    <w:p>
      <w:pPr>
        <w:tabs>
          <w:tab w:pos="1426" w:val="left" w:leader="none"/>
        </w:tabs>
        <w:spacing w:line="228" w:lineRule="exact" w:before="0"/>
        <w:ind w:left="353" w:right="0" w:firstLine="0"/>
        <w:jc w:val="left"/>
        <w:rPr>
          <w:b/>
          <w:sz w:val="16"/>
        </w:rPr>
      </w:pPr>
      <w:r>
        <w:rPr>
          <w:b/>
          <w:sz w:val="16"/>
        </w:rPr>
        <w:t>(MJ</w:t>
      </w:r>
      <w:r>
        <w:rPr>
          <w:b/>
          <w:spacing w:val="1"/>
          <w:sz w:val="16"/>
        </w:rPr>
        <w:t> </w:t>
      </w:r>
      <w:r>
        <w:rPr>
          <w:b/>
          <w:sz w:val="16"/>
        </w:rPr>
        <w:t>día</w:t>
      </w:r>
      <w:r>
        <w:rPr>
          <w:b/>
          <w:position w:val="8"/>
          <w:sz w:val="9"/>
        </w:rPr>
        <w:t>-1</w:t>
      </w:r>
      <w:r>
        <w:rPr>
          <w:b/>
          <w:sz w:val="16"/>
        </w:rPr>
        <w:t>)</w:t>
        <w:tab/>
      </w:r>
      <w:r>
        <w:rPr>
          <w:b/>
          <w:position w:val="9"/>
          <w:sz w:val="16"/>
        </w:rPr>
        <w:t>Ym</w:t>
      </w:r>
    </w:p>
    <w:p>
      <w:pPr>
        <w:spacing w:line="179" w:lineRule="exact" w:before="85"/>
        <w:ind w:left="375" w:right="-16" w:firstLine="0"/>
        <w:jc w:val="left"/>
        <w:rPr>
          <w:b/>
          <w:sz w:val="9"/>
        </w:rPr>
      </w:pPr>
      <w:r>
        <w:rPr/>
        <w:br w:type="column"/>
      </w:r>
      <w:r>
        <w:rPr>
          <w:b/>
          <w:position w:val="2"/>
          <w:sz w:val="16"/>
        </w:rPr>
        <w:t>FE kg CH</w:t>
      </w:r>
      <w:r>
        <w:rPr>
          <w:b/>
          <w:sz w:val="9"/>
        </w:rPr>
        <w:t>4</w:t>
      </w:r>
    </w:p>
    <w:p>
      <w:pPr>
        <w:spacing w:line="182" w:lineRule="exact" w:before="8"/>
        <w:ind w:left="559" w:right="70" w:hanging="112"/>
        <w:jc w:val="left"/>
        <w:rPr>
          <w:b/>
          <w:sz w:val="9"/>
        </w:rPr>
      </w:pPr>
      <w:r>
        <w:rPr>
          <w:b/>
          <w:sz w:val="16"/>
        </w:rPr>
        <w:t>cabeza</w:t>
      </w:r>
      <w:r>
        <w:rPr>
          <w:b/>
          <w:position w:val="8"/>
          <w:sz w:val="9"/>
        </w:rPr>
        <w:t>-1 </w:t>
      </w:r>
      <w:r>
        <w:rPr>
          <w:b/>
          <w:sz w:val="16"/>
        </w:rPr>
        <w:t>Año</w:t>
      </w:r>
      <w:r>
        <w:rPr>
          <w:b/>
          <w:position w:val="8"/>
          <w:sz w:val="9"/>
        </w:rPr>
        <w:t>-1</w:t>
      </w:r>
    </w:p>
    <w:p>
      <w:pPr>
        <w:pStyle w:val="BodyText"/>
        <w:spacing w:before="3"/>
        <w:rPr>
          <w:b/>
          <w:sz w:val="15"/>
        </w:rPr>
      </w:pPr>
      <w:r>
        <w:rPr/>
        <w:br w:type="column"/>
      </w:r>
      <w:r>
        <w:rPr>
          <w:b/>
          <w:sz w:val="15"/>
        </w:rPr>
      </w:r>
    </w:p>
    <w:p>
      <w:pPr>
        <w:spacing w:line="179" w:lineRule="exact" w:before="0"/>
        <w:ind w:left="376" w:right="358" w:firstLine="0"/>
        <w:jc w:val="center"/>
        <w:rPr>
          <w:b/>
          <w:sz w:val="9"/>
        </w:rPr>
      </w:pPr>
      <w:r>
        <w:rPr>
          <w:b/>
          <w:position w:val="2"/>
          <w:sz w:val="16"/>
        </w:rPr>
        <w:t>Gg CH</w:t>
      </w:r>
      <w:r>
        <w:rPr>
          <w:b/>
          <w:sz w:val="9"/>
        </w:rPr>
        <w:t>4</w:t>
      </w:r>
    </w:p>
    <w:p>
      <w:pPr>
        <w:spacing w:line="188" w:lineRule="exact" w:before="0"/>
        <w:ind w:left="376" w:right="358" w:firstLine="0"/>
        <w:jc w:val="center"/>
        <w:rPr>
          <w:b/>
          <w:sz w:val="9"/>
        </w:rPr>
      </w:pPr>
      <w:r>
        <w:rPr>
          <w:b/>
          <w:sz w:val="16"/>
        </w:rPr>
        <w:t>año</w:t>
      </w:r>
      <w:r>
        <w:rPr>
          <w:b/>
          <w:position w:val="8"/>
          <w:sz w:val="9"/>
        </w:rPr>
        <w:t>-1</w:t>
      </w:r>
    </w:p>
    <w:p>
      <w:pPr>
        <w:spacing w:after="0" w:line="188" w:lineRule="exact"/>
        <w:jc w:val="center"/>
        <w:rPr>
          <w:sz w:val="9"/>
        </w:rPr>
        <w:sectPr>
          <w:type w:val="continuous"/>
          <w:pgSz w:w="12240" w:h="15840"/>
          <w:pgMar w:top="1420" w:bottom="280" w:left="1720" w:right="1120"/>
          <w:cols w:num="8" w:equalWidth="0">
            <w:col w:w="1251" w:space="40"/>
            <w:col w:w="792" w:space="40"/>
            <w:col w:w="996" w:space="40"/>
            <w:col w:w="1225" w:space="40"/>
            <w:col w:w="717" w:space="40"/>
            <w:col w:w="1676" w:space="40"/>
            <w:col w:w="1141" w:space="40"/>
            <w:col w:w="1322"/>
          </w:cols>
        </w:sectPr>
      </w:pPr>
    </w:p>
    <w:p>
      <w:pPr>
        <w:pStyle w:val="BodyText"/>
        <w:rPr>
          <w:b/>
          <w:sz w:val="6"/>
        </w:rPr>
      </w:pPr>
    </w:p>
    <w:tbl>
      <w:tblPr>
        <w:tblW w:w="0" w:type="auto"/>
        <w:jc w:val="left"/>
        <w:tblInd w:w="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6"/>
        <w:gridCol w:w="1077"/>
        <w:gridCol w:w="1111"/>
        <w:gridCol w:w="1017"/>
        <w:gridCol w:w="878"/>
        <w:gridCol w:w="984"/>
        <w:gridCol w:w="789"/>
        <w:gridCol w:w="1008"/>
        <w:gridCol w:w="970"/>
      </w:tblGrid>
      <w:tr>
        <w:trPr>
          <w:trHeight w:val="325" w:hRule="exact"/>
        </w:trPr>
        <w:tc>
          <w:tcPr>
            <w:tcW w:w="1166" w:type="dxa"/>
            <w:tcBorders>
              <w:left w:val="nil"/>
              <w:bottom w:val="nil"/>
              <w:right w:val="nil"/>
            </w:tcBorders>
          </w:tcPr>
          <w:p>
            <w:pPr>
              <w:pStyle w:val="TableParagraph"/>
              <w:spacing w:before="61"/>
              <w:ind w:left="105"/>
              <w:rPr>
                <w:rFonts w:ascii="Arial"/>
                <w:sz w:val="16"/>
              </w:rPr>
            </w:pPr>
            <w:r>
              <w:rPr>
                <w:rFonts w:ascii="Arial"/>
                <w:sz w:val="16"/>
              </w:rPr>
              <w:t>Vaca</w:t>
            </w:r>
          </w:p>
        </w:tc>
        <w:tc>
          <w:tcPr>
            <w:tcW w:w="1077" w:type="dxa"/>
            <w:tcBorders>
              <w:left w:val="nil"/>
              <w:bottom w:val="nil"/>
              <w:right w:val="nil"/>
            </w:tcBorders>
          </w:tcPr>
          <w:p>
            <w:pPr>
              <w:pStyle w:val="TableParagraph"/>
              <w:spacing w:before="61"/>
              <w:ind w:left="314"/>
              <w:rPr>
                <w:rFonts w:ascii="Arial"/>
                <w:sz w:val="16"/>
              </w:rPr>
            </w:pPr>
            <w:r>
              <w:rPr>
                <w:rFonts w:ascii="Arial"/>
                <w:sz w:val="16"/>
              </w:rPr>
              <w:t>485,1</w:t>
            </w:r>
          </w:p>
        </w:tc>
        <w:tc>
          <w:tcPr>
            <w:tcW w:w="1111" w:type="dxa"/>
            <w:tcBorders>
              <w:left w:val="nil"/>
              <w:bottom w:val="nil"/>
              <w:right w:val="nil"/>
            </w:tcBorders>
          </w:tcPr>
          <w:p>
            <w:pPr>
              <w:pStyle w:val="TableParagraph"/>
              <w:spacing w:before="61"/>
              <w:ind w:right="478"/>
              <w:jc w:val="right"/>
              <w:rPr>
                <w:rFonts w:ascii="Arial"/>
                <w:sz w:val="16"/>
              </w:rPr>
            </w:pPr>
            <w:r>
              <w:rPr>
                <w:rFonts w:ascii="Arial"/>
                <w:sz w:val="16"/>
              </w:rPr>
              <w:t>188</w:t>
            </w:r>
          </w:p>
        </w:tc>
        <w:tc>
          <w:tcPr>
            <w:tcW w:w="1017" w:type="dxa"/>
            <w:tcBorders>
              <w:left w:val="nil"/>
              <w:bottom w:val="nil"/>
              <w:right w:val="nil"/>
            </w:tcBorders>
          </w:tcPr>
          <w:p>
            <w:pPr>
              <w:pStyle w:val="TableParagraph"/>
              <w:spacing w:before="61"/>
              <w:ind w:right="223"/>
              <w:jc w:val="right"/>
              <w:rPr>
                <w:rFonts w:ascii="Arial"/>
                <w:sz w:val="16"/>
              </w:rPr>
            </w:pPr>
            <w:r>
              <w:rPr>
                <w:rFonts w:ascii="Arial"/>
                <w:w w:val="95"/>
                <w:sz w:val="16"/>
              </w:rPr>
              <w:t>13.2</w:t>
            </w:r>
          </w:p>
        </w:tc>
        <w:tc>
          <w:tcPr>
            <w:tcW w:w="878" w:type="dxa"/>
            <w:tcBorders>
              <w:left w:val="nil"/>
              <w:bottom w:val="nil"/>
              <w:right w:val="nil"/>
            </w:tcBorders>
          </w:tcPr>
          <w:p>
            <w:pPr>
              <w:pStyle w:val="TableParagraph"/>
              <w:spacing w:before="61"/>
              <w:ind w:left="225"/>
              <w:rPr>
                <w:rFonts w:ascii="Arial"/>
                <w:sz w:val="16"/>
              </w:rPr>
            </w:pPr>
            <w:r>
              <w:rPr>
                <w:rFonts w:ascii="Arial"/>
                <w:sz w:val="16"/>
              </w:rPr>
              <w:t>60,39</w:t>
            </w:r>
          </w:p>
        </w:tc>
        <w:tc>
          <w:tcPr>
            <w:tcW w:w="984" w:type="dxa"/>
            <w:tcBorders>
              <w:left w:val="nil"/>
              <w:bottom w:val="nil"/>
              <w:right w:val="nil"/>
            </w:tcBorders>
          </w:tcPr>
          <w:p>
            <w:pPr>
              <w:pStyle w:val="TableParagraph"/>
              <w:spacing w:before="61"/>
              <w:ind w:left="231" w:right="223"/>
              <w:jc w:val="center"/>
              <w:rPr>
                <w:rFonts w:ascii="Arial"/>
                <w:sz w:val="16"/>
              </w:rPr>
            </w:pPr>
            <w:r>
              <w:rPr>
                <w:rFonts w:ascii="Arial"/>
                <w:sz w:val="16"/>
              </w:rPr>
              <w:t>300.78</w:t>
            </w:r>
          </w:p>
        </w:tc>
        <w:tc>
          <w:tcPr>
            <w:tcW w:w="789" w:type="dxa"/>
            <w:tcBorders>
              <w:left w:val="nil"/>
              <w:bottom w:val="nil"/>
              <w:right w:val="nil"/>
            </w:tcBorders>
          </w:tcPr>
          <w:p>
            <w:pPr>
              <w:pStyle w:val="TableParagraph"/>
              <w:spacing w:before="61"/>
              <w:ind w:left="243"/>
              <w:rPr>
                <w:rFonts w:ascii="Arial"/>
                <w:sz w:val="16"/>
              </w:rPr>
            </w:pPr>
            <w:r>
              <w:rPr>
                <w:rFonts w:ascii="Arial"/>
                <w:sz w:val="16"/>
              </w:rPr>
              <w:t>6,5</w:t>
            </w:r>
          </w:p>
        </w:tc>
        <w:tc>
          <w:tcPr>
            <w:tcW w:w="1008" w:type="dxa"/>
            <w:tcBorders>
              <w:left w:val="nil"/>
              <w:bottom w:val="nil"/>
              <w:right w:val="nil"/>
            </w:tcBorders>
          </w:tcPr>
          <w:p>
            <w:pPr>
              <w:pStyle w:val="TableParagraph"/>
              <w:spacing w:before="61"/>
              <w:ind w:right="192"/>
              <w:jc w:val="right"/>
              <w:rPr>
                <w:rFonts w:ascii="Arial"/>
                <w:sz w:val="16"/>
              </w:rPr>
            </w:pPr>
            <w:r>
              <w:rPr>
                <w:rFonts w:ascii="Arial"/>
                <w:sz w:val="16"/>
              </w:rPr>
              <w:t>128.23</w:t>
            </w:r>
          </w:p>
        </w:tc>
        <w:tc>
          <w:tcPr>
            <w:tcW w:w="970" w:type="dxa"/>
            <w:tcBorders>
              <w:left w:val="nil"/>
              <w:bottom w:val="nil"/>
              <w:right w:val="nil"/>
            </w:tcBorders>
          </w:tcPr>
          <w:p>
            <w:pPr>
              <w:pStyle w:val="TableParagraph"/>
              <w:spacing w:before="61"/>
              <w:ind w:right="106"/>
              <w:jc w:val="right"/>
              <w:rPr>
                <w:rFonts w:ascii="Arial"/>
                <w:sz w:val="16"/>
              </w:rPr>
            </w:pPr>
            <w:r>
              <w:rPr>
                <w:rFonts w:ascii="Arial"/>
                <w:w w:val="95"/>
                <w:sz w:val="16"/>
              </w:rPr>
              <w:t>24107.35</w:t>
            </w:r>
          </w:p>
        </w:tc>
      </w:tr>
      <w:tr>
        <w:trPr>
          <w:trHeight w:val="317" w:hRule="exact"/>
        </w:trPr>
        <w:tc>
          <w:tcPr>
            <w:tcW w:w="1166" w:type="dxa"/>
            <w:tcBorders>
              <w:top w:val="nil"/>
              <w:left w:val="nil"/>
              <w:bottom w:val="nil"/>
              <w:right w:val="nil"/>
            </w:tcBorders>
          </w:tcPr>
          <w:p>
            <w:pPr>
              <w:pStyle w:val="TableParagraph"/>
              <w:spacing w:before="57"/>
              <w:ind w:left="105"/>
              <w:rPr>
                <w:rFonts w:ascii="Arial"/>
                <w:sz w:val="16"/>
              </w:rPr>
            </w:pPr>
            <w:r>
              <w:rPr>
                <w:rFonts w:ascii="Arial"/>
                <w:sz w:val="16"/>
              </w:rPr>
              <w:t>Vaca seca</w:t>
            </w:r>
          </w:p>
        </w:tc>
        <w:tc>
          <w:tcPr>
            <w:tcW w:w="1077" w:type="dxa"/>
            <w:tcBorders>
              <w:top w:val="nil"/>
              <w:left w:val="nil"/>
              <w:bottom w:val="nil"/>
              <w:right w:val="nil"/>
            </w:tcBorders>
          </w:tcPr>
          <w:p>
            <w:pPr>
              <w:pStyle w:val="TableParagraph"/>
              <w:spacing w:before="57"/>
              <w:ind w:left="314"/>
              <w:rPr>
                <w:rFonts w:ascii="Arial"/>
                <w:sz w:val="16"/>
              </w:rPr>
            </w:pPr>
            <w:r>
              <w:rPr>
                <w:rFonts w:ascii="Arial"/>
                <w:sz w:val="16"/>
              </w:rPr>
              <w:t>496,6</w:t>
            </w:r>
          </w:p>
        </w:tc>
        <w:tc>
          <w:tcPr>
            <w:tcW w:w="1111" w:type="dxa"/>
            <w:tcBorders>
              <w:top w:val="nil"/>
              <w:left w:val="nil"/>
              <w:bottom w:val="nil"/>
              <w:right w:val="nil"/>
            </w:tcBorders>
          </w:tcPr>
          <w:p>
            <w:pPr>
              <w:pStyle w:val="TableParagraph"/>
              <w:spacing w:before="57"/>
              <w:ind w:right="478"/>
              <w:jc w:val="right"/>
              <w:rPr>
                <w:rFonts w:ascii="Arial"/>
                <w:sz w:val="16"/>
              </w:rPr>
            </w:pPr>
            <w:r>
              <w:rPr>
                <w:rFonts w:ascii="Arial"/>
                <w:w w:val="95"/>
                <w:sz w:val="16"/>
              </w:rPr>
              <w:t>38</w:t>
            </w:r>
          </w:p>
        </w:tc>
        <w:tc>
          <w:tcPr>
            <w:tcW w:w="1017" w:type="dxa"/>
            <w:tcBorders>
              <w:top w:val="nil"/>
              <w:left w:val="nil"/>
              <w:bottom w:val="nil"/>
              <w:right w:val="nil"/>
            </w:tcBorders>
          </w:tcPr>
          <w:p>
            <w:pPr>
              <w:pStyle w:val="TableParagraph"/>
              <w:spacing w:before="57"/>
              <w:ind w:right="223"/>
              <w:jc w:val="right"/>
              <w:rPr>
                <w:rFonts w:ascii="Arial"/>
                <w:sz w:val="16"/>
              </w:rPr>
            </w:pPr>
            <w:r>
              <w:rPr>
                <w:rFonts w:ascii="Arial"/>
                <w:w w:val="95"/>
                <w:sz w:val="16"/>
              </w:rPr>
              <w:t>12.0</w:t>
            </w:r>
          </w:p>
        </w:tc>
        <w:tc>
          <w:tcPr>
            <w:tcW w:w="878" w:type="dxa"/>
            <w:tcBorders>
              <w:top w:val="nil"/>
              <w:left w:val="nil"/>
              <w:bottom w:val="nil"/>
              <w:right w:val="nil"/>
            </w:tcBorders>
          </w:tcPr>
          <w:p>
            <w:pPr>
              <w:pStyle w:val="TableParagraph"/>
              <w:spacing w:before="57"/>
              <w:ind w:left="225"/>
              <w:rPr>
                <w:rFonts w:ascii="Arial"/>
                <w:sz w:val="16"/>
              </w:rPr>
            </w:pPr>
            <w:r>
              <w:rPr>
                <w:rFonts w:ascii="Arial"/>
                <w:sz w:val="16"/>
              </w:rPr>
              <w:t>55,37</w:t>
            </w:r>
          </w:p>
        </w:tc>
        <w:tc>
          <w:tcPr>
            <w:tcW w:w="984" w:type="dxa"/>
            <w:tcBorders>
              <w:top w:val="nil"/>
              <w:left w:val="nil"/>
              <w:bottom w:val="nil"/>
              <w:right w:val="nil"/>
            </w:tcBorders>
          </w:tcPr>
          <w:p>
            <w:pPr>
              <w:pStyle w:val="TableParagraph"/>
              <w:spacing w:before="57"/>
              <w:ind w:left="231" w:right="223"/>
              <w:jc w:val="center"/>
              <w:rPr>
                <w:rFonts w:ascii="Arial"/>
                <w:sz w:val="16"/>
              </w:rPr>
            </w:pPr>
            <w:r>
              <w:rPr>
                <w:rFonts w:ascii="Arial"/>
                <w:sz w:val="16"/>
              </w:rPr>
              <w:t>142.50</w:t>
            </w:r>
          </w:p>
        </w:tc>
        <w:tc>
          <w:tcPr>
            <w:tcW w:w="789" w:type="dxa"/>
            <w:tcBorders>
              <w:top w:val="nil"/>
              <w:left w:val="nil"/>
              <w:bottom w:val="nil"/>
              <w:right w:val="nil"/>
            </w:tcBorders>
          </w:tcPr>
          <w:p>
            <w:pPr>
              <w:pStyle w:val="TableParagraph"/>
              <w:spacing w:before="57"/>
              <w:ind w:left="243"/>
              <w:rPr>
                <w:rFonts w:ascii="Arial"/>
                <w:sz w:val="16"/>
              </w:rPr>
            </w:pPr>
            <w:r>
              <w:rPr>
                <w:rFonts w:ascii="Arial"/>
                <w:sz w:val="16"/>
              </w:rPr>
              <w:t>6,5</w:t>
            </w:r>
          </w:p>
        </w:tc>
        <w:tc>
          <w:tcPr>
            <w:tcW w:w="1008" w:type="dxa"/>
            <w:tcBorders>
              <w:top w:val="nil"/>
              <w:left w:val="nil"/>
              <w:bottom w:val="nil"/>
              <w:right w:val="nil"/>
            </w:tcBorders>
          </w:tcPr>
          <w:p>
            <w:pPr>
              <w:pStyle w:val="TableParagraph"/>
              <w:spacing w:before="57"/>
              <w:ind w:right="192"/>
              <w:jc w:val="right"/>
              <w:rPr>
                <w:rFonts w:ascii="Arial"/>
                <w:sz w:val="16"/>
              </w:rPr>
            </w:pPr>
            <w:r>
              <w:rPr>
                <w:rFonts w:ascii="Arial"/>
                <w:w w:val="95"/>
                <w:sz w:val="16"/>
              </w:rPr>
              <w:t>60.75</w:t>
            </w:r>
          </w:p>
        </w:tc>
        <w:tc>
          <w:tcPr>
            <w:tcW w:w="970" w:type="dxa"/>
            <w:tcBorders>
              <w:top w:val="nil"/>
              <w:left w:val="nil"/>
              <w:bottom w:val="nil"/>
              <w:right w:val="nil"/>
            </w:tcBorders>
          </w:tcPr>
          <w:p>
            <w:pPr>
              <w:pStyle w:val="TableParagraph"/>
              <w:spacing w:before="57"/>
              <w:ind w:right="106"/>
              <w:jc w:val="right"/>
              <w:rPr>
                <w:rFonts w:ascii="Arial"/>
                <w:sz w:val="16"/>
              </w:rPr>
            </w:pPr>
            <w:r>
              <w:rPr>
                <w:rFonts w:ascii="Arial"/>
                <w:w w:val="95"/>
                <w:sz w:val="16"/>
              </w:rPr>
              <w:t>2308.40</w:t>
            </w:r>
          </w:p>
        </w:tc>
      </w:tr>
      <w:tr>
        <w:trPr>
          <w:trHeight w:val="314" w:hRule="exact"/>
        </w:trPr>
        <w:tc>
          <w:tcPr>
            <w:tcW w:w="1166" w:type="dxa"/>
            <w:tcBorders>
              <w:top w:val="nil"/>
              <w:left w:val="nil"/>
              <w:bottom w:val="nil"/>
              <w:right w:val="nil"/>
            </w:tcBorders>
          </w:tcPr>
          <w:p>
            <w:pPr>
              <w:pStyle w:val="TableParagraph"/>
              <w:spacing w:before="57"/>
              <w:ind w:left="105"/>
              <w:rPr>
                <w:rFonts w:ascii="Arial"/>
                <w:sz w:val="16"/>
              </w:rPr>
            </w:pPr>
            <w:r>
              <w:rPr>
                <w:rFonts w:ascii="Arial"/>
                <w:sz w:val="16"/>
              </w:rPr>
              <w:t>Vaquilla</w:t>
            </w:r>
          </w:p>
        </w:tc>
        <w:tc>
          <w:tcPr>
            <w:tcW w:w="1077" w:type="dxa"/>
            <w:tcBorders>
              <w:top w:val="nil"/>
              <w:left w:val="nil"/>
              <w:bottom w:val="nil"/>
              <w:right w:val="nil"/>
            </w:tcBorders>
          </w:tcPr>
          <w:p>
            <w:pPr>
              <w:pStyle w:val="TableParagraph"/>
              <w:spacing w:before="57"/>
              <w:ind w:left="314"/>
              <w:rPr>
                <w:rFonts w:ascii="Arial"/>
                <w:sz w:val="16"/>
              </w:rPr>
            </w:pPr>
            <w:r>
              <w:rPr>
                <w:rFonts w:ascii="Arial"/>
                <w:sz w:val="16"/>
              </w:rPr>
              <w:t>380,8</w:t>
            </w:r>
          </w:p>
        </w:tc>
        <w:tc>
          <w:tcPr>
            <w:tcW w:w="1111" w:type="dxa"/>
            <w:tcBorders>
              <w:top w:val="nil"/>
              <w:left w:val="nil"/>
              <w:bottom w:val="nil"/>
              <w:right w:val="nil"/>
            </w:tcBorders>
          </w:tcPr>
          <w:p>
            <w:pPr>
              <w:pStyle w:val="TableParagraph"/>
              <w:spacing w:before="57"/>
              <w:ind w:right="478"/>
              <w:jc w:val="right"/>
              <w:rPr>
                <w:rFonts w:ascii="Arial"/>
                <w:sz w:val="16"/>
              </w:rPr>
            </w:pPr>
            <w:r>
              <w:rPr>
                <w:rFonts w:ascii="Arial"/>
                <w:w w:val="95"/>
                <w:sz w:val="16"/>
              </w:rPr>
              <w:t>22</w:t>
            </w:r>
          </w:p>
        </w:tc>
        <w:tc>
          <w:tcPr>
            <w:tcW w:w="1017" w:type="dxa"/>
            <w:tcBorders>
              <w:top w:val="nil"/>
              <w:left w:val="nil"/>
              <w:bottom w:val="nil"/>
              <w:right w:val="nil"/>
            </w:tcBorders>
          </w:tcPr>
          <w:p>
            <w:pPr>
              <w:pStyle w:val="TableParagraph"/>
              <w:spacing w:before="57"/>
              <w:ind w:right="223"/>
              <w:jc w:val="right"/>
              <w:rPr>
                <w:rFonts w:ascii="Arial"/>
                <w:sz w:val="16"/>
              </w:rPr>
            </w:pPr>
            <w:r>
              <w:rPr>
                <w:rFonts w:ascii="Arial"/>
                <w:w w:val="95"/>
                <w:sz w:val="16"/>
              </w:rPr>
              <w:t>9.7</w:t>
            </w:r>
          </w:p>
        </w:tc>
        <w:tc>
          <w:tcPr>
            <w:tcW w:w="878" w:type="dxa"/>
            <w:tcBorders>
              <w:top w:val="nil"/>
              <w:left w:val="nil"/>
              <w:bottom w:val="nil"/>
              <w:right w:val="nil"/>
            </w:tcBorders>
          </w:tcPr>
          <w:p>
            <w:pPr>
              <w:pStyle w:val="TableParagraph"/>
              <w:spacing w:before="57"/>
              <w:ind w:left="225"/>
              <w:rPr>
                <w:rFonts w:ascii="Arial"/>
                <w:sz w:val="16"/>
              </w:rPr>
            </w:pPr>
            <w:r>
              <w:rPr>
                <w:rFonts w:ascii="Arial"/>
                <w:sz w:val="16"/>
              </w:rPr>
              <w:t>57,49</w:t>
            </w:r>
          </w:p>
        </w:tc>
        <w:tc>
          <w:tcPr>
            <w:tcW w:w="984" w:type="dxa"/>
            <w:tcBorders>
              <w:top w:val="nil"/>
              <w:left w:val="nil"/>
              <w:bottom w:val="nil"/>
              <w:right w:val="nil"/>
            </w:tcBorders>
          </w:tcPr>
          <w:p>
            <w:pPr>
              <w:pStyle w:val="TableParagraph"/>
              <w:spacing w:before="57"/>
              <w:ind w:left="231" w:right="223"/>
              <w:jc w:val="center"/>
              <w:rPr>
                <w:rFonts w:ascii="Arial"/>
                <w:sz w:val="16"/>
              </w:rPr>
            </w:pPr>
            <w:r>
              <w:rPr>
                <w:rFonts w:ascii="Arial"/>
                <w:sz w:val="16"/>
              </w:rPr>
              <w:t>109.92</w:t>
            </w:r>
          </w:p>
        </w:tc>
        <w:tc>
          <w:tcPr>
            <w:tcW w:w="789" w:type="dxa"/>
            <w:tcBorders>
              <w:top w:val="nil"/>
              <w:left w:val="nil"/>
              <w:bottom w:val="nil"/>
              <w:right w:val="nil"/>
            </w:tcBorders>
          </w:tcPr>
          <w:p>
            <w:pPr>
              <w:pStyle w:val="TableParagraph"/>
              <w:spacing w:before="57"/>
              <w:ind w:left="243"/>
              <w:rPr>
                <w:rFonts w:ascii="Arial"/>
                <w:sz w:val="16"/>
              </w:rPr>
            </w:pPr>
            <w:r>
              <w:rPr>
                <w:rFonts w:ascii="Arial"/>
                <w:sz w:val="16"/>
              </w:rPr>
              <w:t>6,5</w:t>
            </w:r>
          </w:p>
        </w:tc>
        <w:tc>
          <w:tcPr>
            <w:tcW w:w="1008" w:type="dxa"/>
            <w:tcBorders>
              <w:top w:val="nil"/>
              <w:left w:val="nil"/>
              <w:bottom w:val="nil"/>
              <w:right w:val="nil"/>
            </w:tcBorders>
          </w:tcPr>
          <w:p>
            <w:pPr>
              <w:pStyle w:val="TableParagraph"/>
              <w:spacing w:before="57"/>
              <w:ind w:right="192"/>
              <w:jc w:val="right"/>
              <w:rPr>
                <w:rFonts w:ascii="Arial"/>
                <w:sz w:val="16"/>
              </w:rPr>
            </w:pPr>
            <w:r>
              <w:rPr>
                <w:rFonts w:ascii="Arial"/>
                <w:w w:val="95"/>
                <w:sz w:val="16"/>
              </w:rPr>
              <w:t>46.86</w:t>
            </w:r>
          </w:p>
        </w:tc>
        <w:tc>
          <w:tcPr>
            <w:tcW w:w="970" w:type="dxa"/>
            <w:tcBorders>
              <w:top w:val="nil"/>
              <w:left w:val="nil"/>
              <w:bottom w:val="nil"/>
              <w:right w:val="nil"/>
            </w:tcBorders>
          </w:tcPr>
          <w:p>
            <w:pPr>
              <w:pStyle w:val="TableParagraph"/>
              <w:spacing w:before="57"/>
              <w:ind w:right="106"/>
              <w:jc w:val="right"/>
              <w:rPr>
                <w:rFonts w:ascii="Arial"/>
                <w:sz w:val="16"/>
              </w:rPr>
            </w:pPr>
            <w:r>
              <w:rPr>
                <w:rFonts w:ascii="Arial"/>
                <w:w w:val="95"/>
                <w:sz w:val="16"/>
              </w:rPr>
              <w:t>1031.03</w:t>
            </w:r>
          </w:p>
        </w:tc>
      </w:tr>
      <w:tr>
        <w:trPr>
          <w:trHeight w:val="314" w:hRule="exact"/>
        </w:trPr>
        <w:tc>
          <w:tcPr>
            <w:tcW w:w="1166" w:type="dxa"/>
            <w:tcBorders>
              <w:top w:val="nil"/>
              <w:left w:val="nil"/>
              <w:bottom w:val="nil"/>
              <w:right w:val="nil"/>
            </w:tcBorders>
          </w:tcPr>
          <w:p>
            <w:pPr>
              <w:pStyle w:val="TableParagraph"/>
              <w:spacing w:before="55"/>
              <w:ind w:left="105"/>
              <w:rPr>
                <w:rFonts w:ascii="Arial"/>
                <w:sz w:val="16"/>
              </w:rPr>
            </w:pPr>
            <w:r>
              <w:rPr>
                <w:rFonts w:ascii="Arial"/>
                <w:sz w:val="16"/>
              </w:rPr>
              <w:t>Novilla</w:t>
            </w:r>
          </w:p>
        </w:tc>
        <w:tc>
          <w:tcPr>
            <w:tcW w:w="1077" w:type="dxa"/>
            <w:tcBorders>
              <w:top w:val="nil"/>
              <w:left w:val="nil"/>
              <w:bottom w:val="nil"/>
              <w:right w:val="nil"/>
            </w:tcBorders>
          </w:tcPr>
          <w:p>
            <w:pPr>
              <w:pStyle w:val="TableParagraph"/>
              <w:spacing w:before="55"/>
              <w:ind w:left="314"/>
              <w:rPr>
                <w:rFonts w:ascii="Arial"/>
                <w:sz w:val="16"/>
              </w:rPr>
            </w:pPr>
            <w:r>
              <w:rPr>
                <w:rFonts w:ascii="Arial"/>
                <w:sz w:val="16"/>
              </w:rPr>
              <w:t>293,6</w:t>
            </w:r>
          </w:p>
        </w:tc>
        <w:tc>
          <w:tcPr>
            <w:tcW w:w="1111" w:type="dxa"/>
            <w:tcBorders>
              <w:top w:val="nil"/>
              <w:left w:val="nil"/>
              <w:bottom w:val="nil"/>
              <w:right w:val="nil"/>
            </w:tcBorders>
          </w:tcPr>
          <w:p>
            <w:pPr>
              <w:pStyle w:val="TableParagraph"/>
              <w:spacing w:before="55"/>
              <w:ind w:right="478"/>
              <w:jc w:val="right"/>
              <w:rPr>
                <w:rFonts w:ascii="Arial"/>
                <w:sz w:val="16"/>
              </w:rPr>
            </w:pPr>
            <w:r>
              <w:rPr>
                <w:rFonts w:ascii="Arial"/>
                <w:w w:val="95"/>
                <w:sz w:val="16"/>
              </w:rPr>
              <w:t>34</w:t>
            </w:r>
          </w:p>
        </w:tc>
        <w:tc>
          <w:tcPr>
            <w:tcW w:w="1017" w:type="dxa"/>
            <w:tcBorders>
              <w:top w:val="nil"/>
              <w:left w:val="nil"/>
              <w:bottom w:val="nil"/>
              <w:right w:val="nil"/>
            </w:tcBorders>
          </w:tcPr>
          <w:p>
            <w:pPr>
              <w:pStyle w:val="TableParagraph"/>
              <w:spacing w:before="55"/>
              <w:ind w:right="223"/>
              <w:jc w:val="right"/>
              <w:rPr>
                <w:rFonts w:ascii="Arial"/>
                <w:sz w:val="16"/>
              </w:rPr>
            </w:pPr>
            <w:r>
              <w:rPr>
                <w:rFonts w:ascii="Arial"/>
                <w:w w:val="95"/>
                <w:sz w:val="16"/>
              </w:rPr>
              <w:t>7.6</w:t>
            </w:r>
          </w:p>
        </w:tc>
        <w:tc>
          <w:tcPr>
            <w:tcW w:w="878" w:type="dxa"/>
            <w:tcBorders>
              <w:top w:val="nil"/>
              <w:left w:val="nil"/>
              <w:bottom w:val="nil"/>
              <w:right w:val="nil"/>
            </w:tcBorders>
          </w:tcPr>
          <w:p>
            <w:pPr>
              <w:pStyle w:val="TableParagraph"/>
              <w:spacing w:before="55"/>
              <w:ind w:left="225"/>
              <w:rPr>
                <w:rFonts w:ascii="Arial"/>
                <w:sz w:val="16"/>
              </w:rPr>
            </w:pPr>
            <w:r>
              <w:rPr>
                <w:rFonts w:ascii="Arial"/>
                <w:sz w:val="16"/>
              </w:rPr>
              <w:t>58,26</w:t>
            </w:r>
          </w:p>
        </w:tc>
        <w:tc>
          <w:tcPr>
            <w:tcW w:w="984" w:type="dxa"/>
            <w:tcBorders>
              <w:top w:val="nil"/>
              <w:left w:val="nil"/>
              <w:bottom w:val="nil"/>
              <w:right w:val="nil"/>
            </w:tcBorders>
          </w:tcPr>
          <w:p>
            <w:pPr>
              <w:pStyle w:val="TableParagraph"/>
              <w:spacing w:before="55"/>
              <w:ind w:left="231" w:right="134"/>
              <w:jc w:val="center"/>
              <w:rPr>
                <w:rFonts w:ascii="Arial"/>
                <w:sz w:val="16"/>
              </w:rPr>
            </w:pPr>
            <w:r>
              <w:rPr>
                <w:rFonts w:ascii="Arial"/>
                <w:sz w:val="16"/>
              </w:rPr>
              <w:t>88.59</w:t>
            </w:r>
          </w:p>
        </w:tc>
        <w:tc>
          <w:tcPr>
            <w:tcW w:w="789" w:type="dxa"/>
            <w:tcBorders>
              <w:top w:val="nil"/>
              <w:left w:val="nil"/>
              <w:bottom w:val="nil"/>
              <w:right w:val="nil"/>
            </w:tcBorders>
          </w:tcPr>
          <w:p>
            <w:pPr>
              <w:pStyle w:val="TableParagraph"/>
              <w:spacing w:before="55"/>
              <w:ind w:left="243"/>
              <w:rPr>
                <w:rFonts w:ascii="Arial"/>
                <w:sz w:val="16"/>
              </w:rPr>
            </w:pPr>
            <w:r>
              <w:rPr>
                <w:rFonts w:ascii="Arial"/>
                <w:sz w:val="16"/>
              </w:rPr>
              <w:t>6,5</w:t>
            </w:r>
          </w:p>
        </w:tc>
        <w:tc>
          <w:tcPr>
            <w:tcW w:w="1008" w:type="dxa"/>
            <w:tcBorders>
              <w:top w:val="nil"/>
              <w:left w:val="nil"/>
              <w:bottom w:val="nil"/>
              <w:right w:val="nil"/>
            </w:tcBorders>
          </w:tcPr>
          <w:p>
            <w:pPr>
              <w:pStyle w:val="TableParagraph"/>
              <w:spacing w:before="55"/>
              <w:ind w:right="192"/>
              <w:jc w:val="right"/>
              <w:rPr>
                <w:rFonts w:ascii="Arial"/>
                <w:sz w:val="16"/>
              </w:rPr>
            </w:pPr>
            <w:r>
              <w:rPr>
                <w:rFonts w:ascii="Arial"/>
                <w:w w:val="95"/>
                <w:sz w:val="16"/>
              </w:rPr>
              <w:t>37.77</w:t>
            </w:r>
          </w:p>
        </w:tc>
        <w:tc>
          <w:tcPr>
            <w:tcW w:w="970" w:type="dxa"/>
            <w:tcBorders>
              <w:top w:val="nil"/>
              <w:left w:val="nil"/>
              <w:bottom w:val="nil"/>
              <w:right w:val="nil"/>
            </w:tcBorders>
          </w:tcPr>
          <w:p>
            <w:pPr>
              <w:pStyle w:val="TableParagraph"/>
              <w:spacing w:before="55"/>
              <w:ind w:right="106"/>
              <w:jc w:val="right"/>
              <w:rPr>
                <w:rFonts w:ascii="Arial"/>
                <w:sz w:val="16"/>
              </w:rPr>
            </w:pPr>
            <w:r>
              <w:rPr>
                <w:rFonts w:ascii="Arial"/>
                <w:w w:val="95"/>
                <w:sz w:val="16"/>
              </w:rPr>
              <w:t>1284.23</w:t>
            </w:r>
          </w:p>
        </w:tc>
      </w:tr>
      <w:tr>
        <w:trPr>
          <w:trHeight w:val="313" w:hRule="exact"/>
        </w:trPr>
        <w:tc>
          <w:tcPr>
            <w:tcW w:w="1166" w:type="dxa"/>
            <w:tcBorders>
              <w:top w:val="nil"/>
              <w:left w:val="nil"/>
              <w:right w:val="nil"/>
            </w:tcBorders>
          </w:tcPr>
          <w:p>
            <w:pPr>
              <w:pStyle w:val="TableParagraph"/>
              <w:spacing w:before="57"/>
              <w:ind w:left="105"/>
              <w:rPr>
                <w:rFonts w:ascii="Arial"/>
                <w:sz w:val="16"/>
              </w:rPr>
            </w:pPr>
            <w:r>
              <w:rPr>
                <w:rFonts w:ascii="Arial"/>
                <w:sz w:val="16"/>
              </w:rPr>
              <w:t>Ternera</w:t>
            </w:r>
          </w:p>
        </w:tc>
        <w:tc>
          <w:tcPr>
            <w:tcW w:w="1077" w:type="dxa"/>
            <w:tcBorders>
              <w:top w:val="nil"/>
              <w:left w:val="nil"/>
              <w:right w:val="nil"/>
            </w:tcBorders>
          </w:tcPr>
          <w:p>
            <w:pPr>
              <w:pStyle w:val="TableParagraph"/>
              <w:spacing w:before="57"/>
              <w:ind w:left="314"/>
              <w:rPr>
                <w:rFonts w:ascii="Arial"/>
                <w:sz w:val="16"/>
              </w:rPr>
            </w:pPr>
            <w:r>
              <w:rPr>
                <w:rFonts w:ascii="Arial"/>
                <w:sz w:val="16"/>
              </w:rPr>
              <w:t>194,7</w:t>
            </w:r>
          </w:p>
        </w:tc>
        <w:tc>
          <w:tcPr>
            <w:tcW w:w="1111" w:type="dxa"/>
            <w:tcBorders>
              <w:top w:val="nil"/>
              <w:left w:val="nil"/>
              <w:right w:val="nil"/>
            </w:tcBorders>
          </w:tcPr>
          <w:p>
            <w:pPr>
              <w:pStyle w:val="TableParagraph"/>
              <w:spacing w:before="57"/>
              <w:ind w:right="478"/>
              <w:jc w:val="right"/>
              <w:rPr>
                <w:rFonts w:ascii="Arial"/>
                <w:sz w:val="16"/>
              </w:rPr>
            </w:pPr>
            <w:r>
              <w:rPr>
                <w:rFonts w:ascii="Arial"/>
                <w:w w:val="95"/>
                <w:sz w:val="16"/>
              </w:rPr>
              <w:t>66</w:t>
            </w:r>
          </w:p>
        </w:tc>
        <w:tc>
          <w:tcPr>
            <w:tcW w:w="1017" w:type="dxa"/>
            <w:tcBorders>
              <w:top w:val="nil"/>
              <w:left w:val="nil"/>
              <w:right w:val="nil"/>
            </w:tcBorders>
          </w:tcPr>
          <w:p>
            <w:pPr>
              <w:pStyle w:val="TableParagraph"/>
              <w:spacing w:before="57"/>
              <w:ind w:right="223"/>
              <w:jc w:val="right"/>
              <w:rPr>
                <w:rFonts w:ascii="Arial"/>
                <w:sz w:val="16"/>
              </w:rPr>
            </w:pPr>
            <w:r>
              <w:rPr>
                <w:rFonts w:ascii="Arial"/>
                <w:sz w:val="16"/>
              </w:rPr>
              <w:t>4.9</w:t>
            </w:r>
          </w:p>
        </w:tc>
        <w:tc>
          <w:tcPr>
            <w:tcW w:w="878" w:type="dxa"/>
            <w:tcBorders>
              <w:top w:val="nil"/>
              <w:left w:val="nil"/>
              <w:right w:val="nil"/>
            </w:tcBorders>
          </w:tcPr>
          <w:p>
            <w:pPr>
              <w:pStyle w:val="TableParagraph"/>
              <w:spacing w:before="57"/>
              <w:ind w:left="225"/>
              <w:rPr>
                <w:rFonts w:ascii="Arial"/>
                <w:sz w:val="16"/>
              </w:rPr>
            </w:pPr>
            <w:r>
              <w:rPr>
                <w:rFonts w:ascii="Arial"/>
                <w:sz w:val="16"/>
              </w:rPr>
              <w:t>57,01</w:t>
            </w:r>
          </w:p>
        </w:tc>
        <w:tc>
          <w:tcPr>
            <w:tcW w:w="984" w:type="dxa"/>
            <w:tcBorders>
              <w:top w:val="nil"/>
              <w:left w:val="nil"/>
              <w:right w:val="nil"/>
            </w:tcBorders>
          </w:tcPr>
          <w:p>
            <w:pPr>
              <w:pStyle w:val="TableParagraph"/>
              <w:spacing w:before="57"/>
              <w:ind w:left="231" w:right="134"/>
              <w:jc w:val="center"/>
              <w:rPr>
                <w:rFonts w:ascii="Arial"/>
                <w:sz w:val="16"/>
              </w:rPr>
            </w:pPr>
            <w:r>
              <w:rPr>
                <w:rFonts w:ascii="Arial"/>
                <w:sz w:val="16"/>
              </w:rPr>
              <w:t>67.35</w:t>
            </w:r>
          </w:p>
        </w:tc>
        <w:tc>
          <w:tcPr>
            <w:tcW w:w="789" w:type="dxa"/>
            <w:tcBorders>
              <w:top w:val="nil"/>
              <w:left w:val="nil"/>
              <w:right w:val="nil"/>
            </w:tcBorders>
          </w:tcPr>
          <w:p>
            <w:pPr>
              <w:pStyle w:val="TableParagraph"/>
              <w:spacing w:before="57"/>
              <w:ind w:left="243"/>
              <w:rPr>
                <w:rFonts w:ascii="Arial"/>
                <w:sz w:val="16"/>
              </w:rPr>
            </w:pPr>
            <w:r>
              <w:rPr>
                <w:rFonts w:ascii="Arial"/>
                <w:sz w:val="16"/>
              </w:rPr>
              <w:t>6,5</w:t>
            </w:r>
          </w:p>
        </w:tc>
        <w:tc>
          <w:tcPr>
            <w:tcW w:w="1008" w:type="dxa"/>
            <w:tcBorders>
              <w:top w:val="nil"/>
              <w:left w:val="nil"/>
              <w:right w:val="nil"/>
            </w:tcBorders>
          </w:tcPr>
          <w:p>
            <w:pPr>
              <w:pStyle w:val="TableParagraph"/>
              <w:spacing w:before="57"/>
              <w:ind w:right="192"/>
              <w:jc w:val="right"/>
              <w:rPr>
                <w:rFonts w:ascii="Arial"/>
                <w:sz w:val="16"/>
              </w:rPr>
            </w:pPr>
            <w:r>
              <w:rPr>
                <w:rFonts w:ascii="Arial"/>
                <w:w w:val="95"/>
                <w:sz w:val="16"/>
              </w:rPr>
              <w:t>28.71</w:t>
            </w:r>
          </w:p>
        </w:tc>
        <w:tc>
          <w:tcPr>
            <w:tcW w:w="970" w:type="dxa"/>
            <w:tcBorders>
              <w:top w:val="nil"/>
              <w:left w:val="nil"/>
              <w:right w:val="nil"/>
            </w:tcBorders>
          </w:tcPr>
          <w:p>
            <w:pPr>
              <w:pStyle w:val="TableParagraph"/>
              <w:spacing w:before="57"/>
              <w:ind w:right="106"/>
              <w:jc w:val="right"/>
              <w:rPr>
                <w:rFonts w:ascii="Arial"/>
                <w:sz w:val="16"/>
              </w:rPr>
            </w:pPr>
            <w:r>
              <w:rPr>
                <w:rFonts w:ascii="Arial"/>
                <w:sz w:val="16"/>
              </w:rPr>
              <w:t>1895.24</w:t>
            </w:r>
          </w:p>
        </w:tc>
      </w:tr>
    </w:tbl>
    <w:p>
      <w:pPr>
        <w:pStyle w:val="BodyText"/>
        <w:rPr>
          <w:b/>
          <w:sz w:val="20"/>
        </w:rPr>
      </w:pPr>
    </w:p>
    <w:p>
      <w:pPr>
        <w:pStyle w:val="BodyText"/>
        <w:rPr>
          <w:b/>
          <w:sz w:val="20"/>
        </w:rPr>
      </w:pPr>
    </w:p>
    <w:p>
      <w:pPr>
        <w:pStyle w:val="BodyText"/>
        <w:spacing w:before="11"/>
        <w:rPr>
          <w:b/>
        </w:rPr>
      </w:pPr>
    </w:p>
    <w:p>
      <w:pPr>
        <w:pStyle w:val="Heading6"/>
        <w:spacing w:before="69"/>
      </w:pPr>
      <w:r>
        <w:rPr/>
        <w:t>Conclusiones</w:t>
      </w:r>
    </w:p>
    <w:p>
      <w:pPr>
        <w:pStyle w:val="BodyText"/>
        <w:spacing w:line="357" w:lineRule="auto" w:before="141"/>
        <w:ind w:left="276" w:right="283"/>
        <w:jc w:val="both"/>
      </w:pPr>
      <w:r>
        <w:rPr/>
        <w:t>La producción de metano entérico depende fundamentalmente de la calidad y cantidad del alimento ingerido, siendo la digestibilidad y la energía digestible de la ración uno de los factores más influyentes, por lo que se establece una correlación negativa</w:t>
      </w:r>
      <w:r>
        <w:rPr>
          <w:spacing w:val="-7"/>
        </w:rPr>
        <w:t> </w:t>
      </w:r>
      <w:r>
        <w:rPr/>
        <w:t>entre</w:t>
      </w:r>
      <w:r>
        <w:rPr>
          <w:spacing w:val="-7"/>
        </w:rPr>
        <w:t> </w:t>
      </w:r>
      <w:r>
        <w:rPr/>
        <w:t>la</w:t>
      </w:r>
      <w:r>
        <w:rPr>
          <w:spacing w:val="-7"/>
        </w:rPr>
        <w:t> </w:t>
      </w:r>
      <w:r>
        <w:rPr/>
        <w:t>menor</w:t>
      </w:r>
      <w:r>
        <w:rPr>
          <w:spacing w:val="-7"/>
        </w:rPr>
        <w:t> </w:t>
      </w:r>
      <w:r>
        <w:rPr/>
        <w:t>cantidad</w:t>
      </w:r>
      <w:r>
        <w:rPr>
          <w:spacing w:val="-7"/>
        </w:rPr>
        <w:t> </w:t>
      </w:r>
      <w:r>
        <w:rPr/>
        <w:t>de</w:t>
      </w:r>
      <w:r>
        <w:rPr>
          <w:spacing w:val="-7"/>
        </w:rPr>
        <w:t> </w:t>
      </w:r>
      <w:r>
        <w:rPr/>
        <w:t>energía</w:t>
      </w:r>
      <w:r>
        <w:rPr>
          <w:spacing w:val="-7"/>
        </w:rPr>
        <w:t> </w:t>
      </w:r>
      <w:r>
        <w:rPr/>
        <w:t>digestibilidad</w:t>
      </w:r>
      <w:r>
        <w:rPr>
          <w:spacing w:val="-7"/>
        </w:rPr>
        <w:t> </w:t>
      </w:r>
      <w:r>
        <w:rPr/>
        <w:t>de</w:t>
      </w:r>
      <w:r>
        <w:rPr>
          <w:spacing w:val="-7"/>
        </w:rPr>
        <w:t> </w:t>
      </w:r>
      <w:r>
        <w:rPr/>
        <w:t>las</w:t>
      </w:r>
      <w:r>
        <w:rPr>
          <w:spacing w:val="-7"/>
        </w:rPr>
        <w:t> </w:t>
      </w:r>
      <w:r>
        <w:rPr/>
        <w:t>dietas</w:t>
      </w:r>
      <w:r>
        <w:rPr>
          <w:spacing w:val="-7"/>
        </w:rPr>
        <w:t> </w:t>
      </w:r>
      <w:r>
        <w:rPr/>
        <w:t>y</w:t>
      </w:r>
      <w:r>
        <w:rPr>
          <w:spacing w:val="-7"/>
        </w:rPr>
        <w:t> </w:t>
      </w:r>
      <w:r>
        <w:rPr/>
        <w:t>la</w:t>
      </w:r>
      <w:r>
        <w:rPr>
          <w:spacing w:val="-7"/>
        </w:rPr>
        <w:t> </w:t>
      </w:r>
      <w:r>
        <w:rPr/>
        <w:t>emisión de metano, por lo tanto el factor de conversión de CH</w:t>
      </w:r>
      <w:r>
        <w:rPr>
          <w:position w:val="-2"/>
          <w:sz w:val="16"/>
        </w:rPr>
        <w:t>4 </w:t>
      </w:r>
      <w:r>
        <w:rPr/>
        <w:t>depende principalmente de la digestibilidad de las raciones y varía inversamente proporcional con esta.</w:t>
      </w:r>
    </w:p>
    <w:p>
      <w:pPr>
        <w:pStyle w:val="BodyText"/>
      </w:pPr>
    </w:p>
    <w:p>
      <w:pPr>
        <w:pStyle w:val="BodyText"/>
      </w:pPr>
    </w:p>
    <w:p>
      <w:pPr>
        <w:pStyle w:val="BodyText"/>
        <w:spacing w:before="7"/>
      </w:pPr>
    </w:p>
    <w:p>
      <w:pPr>
        <w:pStyle w:val="Heading6"/>
        <w:spacing w:before="1"/>
      </w:pPr>
      <w:r>
        <w:rPr/>
        <w:t>Referencias</w:t>
      </w:r>
    </w:p>
    <w:p>
      <w:pPr>
        <w:spacing w:line="360" w:lineRule="auto" w:before="137"/>
        <w:ind w:left="276" w:right="284" w:firstLine="0"/>
        <w:jc w:val="both"/>
        <w:rPr>
          <w:sz w:val="24"/>
        </w:rPr>
      </w:pPr>
      <w:r>
        <w:rPr>
          <w:b/>
          <w:sz w:val="24"/>
        </w:rPr>
        <w:t>Cambra-López, M., García, P., Estellés, F., Torres, A. 2008. </w:t>
      </w:r>
      <w:r>
        <w:rPr>
          <w:sz w:val="24"/>
        </w:rPr>
        <w:t>Estimación de las emisiones de los rumiantes en España: El factor de conversión de metano. Arch. Zootec. 57 (R): 89-101.</w:t>
      </w:r>
    </w:p>
    <w:p>
      <w:pPr>
        <w:spacing w:line="360" w:lineRule="auto" w:before="7"/>
        <w:ind w:left="276" w:right="284" w:firstLine="0"/>
        <w:jc w:val="both"/>
        <w:rPr>
          <w:sz w:val="24"/>
        </w:rPr>
      </w:pPr>
      <w:r>
        <w:rPr>
          <w:b/>
          <w:sz w:val="24"/>
        </w:rPr>
        <w:t>Carmona,</w:t>
      </w:r>
      <w:r>
        <w:rPr>
          <w:b/>
          <w:spacing w:val="-6"/>
          <w:sz w:val="24"/>
        </w:rPr>
        <w:t> </w:t>
      </w:r>
      <w:r>
        <w:rPr>
          <w:b/>
          <w:sz w:val="24"/>
        </w:rPr>
        <w:t>C.</w:t>
      </w:r>
      <w:r>
        <w:rPr>
          <w:b/>
          <w:spacing w:val="-6"/>
          <w:sz w:val="24"/>
        </w:rPr>
        <w:t> </w:t>
      </w:r>
      <w:r>
        <w:rPr>
          <w:b/>
          <w:sz w:val="24"/>
        </w:rPr>
        <w:t>J.,</w:t>
      </w:r>
      <w:r>
        <w:rPr>
          <w:b/>
          <w:spacing w:val="-6"/>
          <w:sz w:val="24"/>
        </w:rPr>
        <w:t> </w:t>
      </w:r>
      <w:r>
        <w:rPr>
          <w:b/>
          <w:sz w:val="24"/>
        </w:rPr>
        <w:t>Bolívar</w:t>
      </w:r>
      <w:r>
        <w:rPr>
          <w:b/>
          <w:spacing w:val="-6"/>
          <w:sz w:val="24"/>
        </w:rPr>
        <w:t> </w:t>
      </w:r>
      <w:r>
        <w:rPr>
          <w:b/>
          <w:sz w:val="24"/>
        </w:rPr>
        <w:t>M.</w:t>
      </w:r>
      <w:r>
        <w:rPr>
          <w:b/>
          <w:spacing w:val="-6"/>
          <w:sz w:val="24"/>
        </w:rPr>
        <w:t> </w:t>
      </w:r>
      <w:r>
        <w:rPr>
          <w:b/>
          <w:sz w:val="24"/>
        </w:rPr>
        <w:t>D.,</w:t>
      </w:r>
      <w:r>
        <w:rPr>
          <w:b/>
          <w:spacing w:val="-6"/>
          <w:sz w:val="24"/>
        </w:rPr>
        <w:t> </w:t>
      </w:r>
      <w:r>
        <w:rPr>
          <w:b/>
          <w:sz w:val="24"/>
        </w:rPr>
        <w:t>Giraldo</w:t>
      </w:r>
      <w:r>
        <w:rPr>
          <w:b/>
          <w:spacing w:val="-6"/>
          <w:sz w:val="24"/>
        </w:rPr>
        <w:t> </w:t>
      </w:r>
      <w:r>
        <w:rPr>
          <w:b/>
          <w:sz w:val="24"/>
        </w:rPr>
        <w:t>A.</w:t>
      </w:r>
      <w:r>
        <w:rPr>
          <w:b/>
          <w:spacing w:val="-6"/>
          <w:sz w:val="24"/>
        </w:rPr>
        <w:t> </w:t>
      </w:r>
      <w:r>
        <w:rPr>
          <w:b/>
          <w:sz w:val="24"/>
        </w:rPr>
        <w:t>L.</w:t>
      </w:r>
      <w:r>
        <w:rPr>
          <w:b/>
          <w:spacing w:val="-6"/>
          <w:sz w:val="24"/>
        </w:rPr>
        <w:t> </w:t>
      </w:r>
      <w:r>
        <w:rPr>
          <w:b/>
          <w:sz w:val="24"/>
        </w:rPr>
        <w:t>2005.</w:t>
      </w:r>
      <w:r>
        <w:rPr>
          <w:b/>
          <w:spacing w:val="-6"/>
          <w:sz w:val="24"/>
        </w:rPr>
        <w:t> </w:t>
      </w:r>
      <w:r>
        <w:rPr>
          <w:sz w:val="24"/>
        </w:rPr>
        <w:t>El</w:t>
      </w:r>
      <w:r>
        <w:rPr>
          <w:spacing w:val="-6"/>
          <w:sz w:val="24"/>
        </w:rPr>
        <w:t> </w:t>
      </w:r>
      <w:r>
        <w:rPr>
          <w:sz w:val="24"/>
        </w:rPr>
        <w:t>gas</w:t>
      </w:r>
      <w:r>
        <w:rPr>
          <w:spacing w:val="-6"/>
          <w:sz w:val="24"/>
        </w:rPr>
        <w:t> </w:t>
      </w:r>
      <w:r>
        <w:rPr>
          <w:sz w:val="24"/>
        </w:rPr>
        <w:t>metano</w:t>
      </w:r>
      <w:r>
        <w:rPr>
          <w:spacing w:val="-6"/>
          <w:sz w:val="24"/>
        </w:rPr>
        <w:t> </w:t>
      </w:r>
      <w:r>
        <w:rPr>
          <w:sz w:val="24"/>
        </w:rPr>
        <w:t>en</w:t>
      </w:r>
      <w:r>
        <w:rPr>
          <w:spacing w:val="-6"/>
          <w:sz w:val="24"/>
        </w:rPr>
        <w:t> </w:t>
      </w:r>
      <w:r>
        <w:rPr>
          <w:sz w:val="24"/>
        </w:rPr>
        <w:t>la</w:t>
      </w:r>
      <w:r>
        <w:rPr>
          <w:spacing w:val="-6"/>
          <w:sz w:val="24"/>
        </w:rPr>
        <w:t> </w:t>
      </w:r>
      <w:r>
        <w:rPr>
          <w:sz w:val="24"/>
        </w:rPr>
        <w:t>producción ganadera y alternativas para medir sus emisiones y aminorar su impacto a nivel ambiental y productivo. Rev. Col. Cienc. Pec. 2005; Vol. 18:1;</w:t>
      </w:r>
      <w:r>
        <w:rPr>
          <w:spacing w:val="-1"/>
          <w:sz w:val="24"/>
        </w:rPr>
        <w:t> </w:t>
      </w:r>
      <w:r>
        <w:rPr>
          <w:sz w:val="24"/>
        </w:rPr>
        <w:t>49-63.</w:t>
      </w:r>
    </w:p>
    <w:p>
      <w:pPr>
        <w:pStyle w:val="BodyText"/>
        <w:spacing w:line="360" w:lineRule="auto" w:before="2"/>
        <w:ind w:left="276" w:right="283"/>
        <w:jc w:val="both"/>
      </w:pPr>
      <w:r>
        <w:rPr>
          <w:b/>
        </w:rPr>
        <w:t>IPCC. 2006. </w:t>
      </w:r>
      <w:r>
        <w:rPr/>
        <w:t>Directrices del IPCC de 2006 para los inventarios nacionales de</w:t>
      </w:r>
      <w:r>
        <w:rPr>
          <w:spacing w:val="-36"/>
        </w:rPr>
        <w:t> </w:t>
      </w:r>
      <w:r>
        <w:rPr/>
        <w:t>gases de efecto. Volumen 4. Agricultura, silvicultura y otros usos de la tierra. [Disponible en</w:t>
      </w:r>
      <w:hyperlink r:id="rId184">
        <w:r>
          <w:rPr/>
          <w:t>:</w:t>
        </w:r>
        <w:r>
          <w:rPr>
            <w:spacing w:val="-3"/>
          </w:rPr>
          <w:t> </w:t>
        </w:r>
        <w:r>
          <w:rPr/>
          <w:t>http://www.ipcc-nggip.iges.or.jp/public/2006gl/spanish/index.html</w:t>
        </w:r>
      </w:hyperlink>
    </w:p>
    <w:p>
      <w:pPr>
        <w:spacing w:after="0" w:line="360" w:lineRule="auto"/>
        <w:jc w:val="both"/>
        <w:sectPr>
          <w:type w:val="continuous"/>
          <w:pgSz w:w="12240" w:h="15840"/>
          <w:pgMar w:top="1420" w:bottom="280" w:left="1720" w:right="11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Heading1"/>
        <w:numPr>
          <w:ilvl w:val="1"/>
          <w:numId w:val="15"/>
        </w:numPr>
        <w:tabs>
          <w:tab w:pos="1367" w:val="left" w:leader="none"/>
        </w:tabs>
        <w:spacing w:line="240" w:lineRule="auto" w:before="36" w:after="23"/>
        <w:ind w:left="1366" w:right="0" w:hanging="1090"/>
        <w:jc w:val="left"/>
      </w:pPr>
      <w:r>
        <w:rPr/>
        <w:t>Capítulo</w:t>
      </w:r>
      <w:r>
        <w:rPr>
          <w:spacing w:val="40"/>
        </w:rPr>
        <w:t> </w:t>
      </w:r>
      <w:r>
        <w:rPr/>
        <w:t>4</w:t>
      </w:r>
    </w:p>
    <w:p>
      <w:pPr>
        <w:pStyle w:val="BodyText"/>
        <w:spacing w:line="120" w:lineRule="exact"/>
        <w:ind w:left="247"/>
        <w:rPr>
          <w:sz w:val="12"/>
        </w:rPr>
      </w:pPr>
      <w:r>
        <w:rPr>
          <w:position w:val="-1"/>
          <w:sz w:val="12"/>
        </w:rPr>
        <w:pict>
          <v:group style="width:444.75pt;height:6pt;mso-position-horizontal-relative:char;mso-position-vertical-relative:line" coordorigin="0,0" coordsize="8895,120">
            <v:rect style="position:absolute;left:0;top:0;width:8894;height:120" filled="true" fillcolor="#943634" stroked="false">
              <v:fill type="solid"/>
            </v:rect>
          </v:group>
        </w:pict>
      </w:r>
      <w:r>
        <w:rPr>
          <w:position w:val="-1"/>
          <w:sz w:val="12"/>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8"/>
        </w:rPr>
      </w:pPr>
      <w:r>
        <w:rPr/>
        <w:pict>
          <v:group style="position:absolute;margin-left:100.072403pt;margin-top:12.803906pt;width:412.35pt;height:269.05pt;mso-position-horizontal-relative:page;mso-position-vertical-relative:paragraph;z-index:5128;mso-wrap-distance-left:0;mso-wrap-distance-right:0" coordorigin="2001,256" coordsize="8247,5381">
            <v:shape style="position:absolute;left:2001;top:256;width:8246;height:5381" type="#_x0000_t75" stroked="false">
              <v:imagedata r:id="rId185" o:title=""/>
            </v:shape>
            <v:shape style="position:absolute;left:2433;top:261;width:211;height:547" type="#_x0000_t75" stroked="false">
              <v:imagedata r:id="rId167" o:title=""/>
            </v:shape>
            <v:shape style="position:absolute;left:2717;top:261;width:206;height:547" type="#_x0000_t75" stroked="false">
              <v:imagedata r:id="rId168" o:title=""/>
            </v:shape>
            <v:shape style="position:absolute;left:2001;top:256;width:8247;height:5381" type="#_x0000_t202" filled="false" stroked="false">
              <v:textbox inset="0,0,0,0">
                <w:txbxContent>
                  <w:p>
                    <w:pPr>
                      <w:spacing w:line="240" w:lineRule="auto" w:before="2"/>
                      <w:rPr>
                        <w:b/>
                        <w:sz w:val="46"/>
                      </w:rPr>
                    </w:pPr>
                  </w:p>
                  <w:p>
                    <w:pPr>
                      <w:spacing w:line="242" w:lineRule="auto" w:before="0"/>
                      <w:ind w:left="489" w:right="138" w:firstLine="129"/>
                      <w:jc w:val="right"/>
                      <w:rPr>
                        <w:sz w:val="38"/>
                      </w:rPr>
                    </w:pPr>
                    <w:r>
                      <w:rPr>
                        <w:color w:val="632423"/>
                        <w:w w:val="75"/>
                        <w:sz w:val="38"/>
                      </w:rPr>
                      <w:t>El cambio climático está transformando los</w:t>
                    </w:r>
                    <w:r>
                      <w:rPr>
                        <w:color w:val="632423"/>
                        <w:spacing w:val="-15"/>
                        <w:w w:val="75"/>
                        <w:sz w:val="38"/>
                      </w:rPr>
                      <w:t> </w:t>
                    </w:r>
                    <w:r>
                      <w:rPr>
                        <w:color w:val="632423"/>
                        <w:w w:val="75"/>
                        <w:sz w:val="38"/>
                      </w:rPr>
                      <w:t>ecosistemas</w:t>
                    </w:r>
                    <w:r>
                      <w:rPr>
                        <w:color w:val="632423"/>
                        <w:spacing w:val="-3"/>
                        <w:w w:val="75"/>
                        <w:sz w:val="38"/>
                      </w:rPr>
                      <w:t> </w:t>
                    </w:r>
                    <w:r>
                      <w:rPr>
                        <w:color w:val="632423"/>
                        <w:w w:val="75"/>
                        <w:sz w:val="38"/>
                      </w:rPr>
                      <w:t>de</w:t>
                    </w:r>
                    <w:r>
                      <w:rPr>
                        <w:color w:val="632423"/>
                        <w:w w:val="72"/>
                        <w:sz w:val="38"/>
                      </w:rPr>
                      <w:t> </w:t>
                    </w:r>
                    <w:r>
                      <w:rPr>
                        <w:color w:val="632423"/>
                        <w:w w:val="80"/>
                        <w:sz w:val="38"/>
                      </w:rPr>
                      <w:t>la</w:t>
                    </w:r>
                    <w:r>
                      <w:rPr>
                        <w:color w:val="632423"/>
                        <w:spacing w:val="-51"/>
                        <w:w w:val="80"/>
                        <w:sz w:val="38"/>
                      </w:rPr>
                      <w:t> </w:t>
                    </w:r>
                    <w:r>
                      <w:rPr>
                        <w:color w:val="632423"/>
                        <w:w w:val="80"/>
                        <w:sz w:val="38"/>
                      </w:rPr>
                      <w:t>tierra</w:t>
                    </w:r>
                    <w:r>
                      <w:rPr>
                        <w:color w:val="632423"/>
                        <w:spacing w:val="-49"/>
                        <w:w w:val="80"/>
                        <w:sz w:val="38"/>
                      </w:rPr>
                      <w:t> </w:t>
                    </w:r>
                    <w:r>
                      <w:rPr>
                        <w:color w:val="632423"/>
                        <w:w w:val="80"/>
                        <w:sz w:val="38"/>
                      </w:rPr>
                      <w:t>y</w:t>
                    </w:r>
                    <w:r>
                      <w:rPr>
                        <w:color w:val="632423"/>
                        <w:spacing w:val="-51"/>
                        <w:w w:val="80"/>
                        <w:sz w:val="38"/>
                      </w:rPr>
                      <w:t> </w:t>
                    </w:r>
                    <w:r>
                      <w:rPr>
                        <w:color w:val="632423"/>
                        <w:w w:val="80"/>
                        <w:sz w:val="38"/>
                      </w:rPr>
                      <w:t>amenazando</w:t>
                    </w:r>
                    <w:r>
                      <w:rPr>
                        <w:color w:val="632423"/>
                        <w:spacing w:val="-50"/>
                        <w:w w:val="80"/>
                        <w:sz w:val="38"/>
                      </w:rPr>
                      <w:t> </w:t>
                    </w:r>
                    <w:r>
                      <w:rPr>
                        <w:color w:val="632423"/>
                        <w:w w:val="80"/>
                        <w:sz w:val="38"/>
                      </w:rPr>
                      <w:t>el</w:t>
                    </w:r>
                    <w:r>
                      <w:rPr>
                        <w:color w:val="632423"/>
                        <w:spacing w:val="-51"/>
                        <w:w w:val="80"/>
                        <w:sz w:val="38"/>
                      </w:rPr>
                      <w:t> </w:t>
                    </w:r>
                    <w:r>
                      <w:rPr>
                        <w:color w:val="632423"/>
                        <w:w w:val="80"/>
                        <w:sz w:val="38"/>
                      </w:rPr>
                      <w:t>bienestar</w:t>
                    </w:r>
                    <w:r>
                      <w:rPr>
                        <w:color w:val="632423"/>
                        <w:spacing w:val="-52"/>
                        <w:w w:val="80"/>
                        <w:sz w:val="38"/>
                      </w:rPr>
                      <w:t> </w:t>
                    </w:r>
                    <w:r>
                      <w:rPr>
                        <w:color w:val="632423"/>
                        <w:w w:val="80"/>
                        <w:sz w:val="38"/>
                      </w:rPr>
                      <w:t>de</w:t>
                    </w:r>
                    <w:r>
                      <w:rPr>
                        <w:color w:val="632423"/>
                        <w:spacing w:val="-49"/>
                        <w:w w:val="80"/>
                        <w:sz w:val="38"/>
                      </w:rPr>
                      <w:t> </w:t>
                    </w:r>
                    <w:r>
                      <w:rPr>
                        <w:color w:val="632423"/>
                        <w:w w:val="80"/>
                        <w:sz w:val="38"/>
                      </w:rPr>
                      <w:t>la</w:t>
                    </w:r>
                    <w:r>
                      <w:rPr>
                        <w:color w:val="632423"/>
                        <w:spacing w:val="-51"/>
                        <w:w w:val="80"/>
                        <w:sz w:val="38"/>
                      </w:rPr>
                      <w:t> </w:t>
                    </w:r>
                    <w:r>
                      <w:rPr>
                        <w:color w:val="632423"/>
                        <w:w w:val="80"/>
                        <w:sz w:val="38"/>
                      </w:rPr>
                      <w:t>generación</w:t>
                    </w:r>
                    <w:r>
                      <w:rPr>
                        <w:color w:val="632423"/>
                        <w:spacing w:val="-51"/>
                        <w:w w:val="80"/>
                        <w:sz w:val="38"/>
                      </w:rPr>
                      <w:t> </w:t>
                    </w:r>
                    <w:r>
                      <w:rPr>
                        <w:color w:val="632423"/>
                        <w:w w:val="80"/>
                        <w:sz w:val="38"/>
                      </w:rPr>
                      <w:t>actual</w:t>
                    </w:r>
                    <w:r>
                      <w:rPr>
                        <w:color w:val="632423"/>
                        <w:w w:val="74"/>
                        <w:sz w:val="38"/>
                      </w:rPr>
                      <w:t> </w:t>
                    </w:r>
                    <w:r>
                      <w:rPr>
                        <w:color w:val="632423"/>
                        <w:w w:val="80"/>
                        <w:sz w:val="38"/>
                      </w:rPr>
                      <w:t>y</w:t>
                    </w:r>
                    <w:r>
                      <w:rPr>
                        <w:color w:val="632423"/>
                        <w:spacing w:val="-45"/>
                        <w:w w:val="80"/>
                        <w:sz w:val="38"/>
                      </w:rPr>
                      <w:t> </w:t>
                    </w:r>
                    <w:r>
                      <w:rPr>
                        <w:color w:val="632423"/>
                        <w:w w:val="80"/>
                        <w:sz w:val="38"/>
                      </w:rPr>
                      <w:t>las</w:t>
                    </w:r>
                    <w:r>
                      <w:rPr>
                        <w:color w:val="632423"/>
                        <w:spacing w:val="-45"/>
                        <w:w w:val="80"/>
                        <w:sz w:val="38"/>
                      </w:rPr>
                      <w:t> </w:t>
                    </w:r>
                    <w:r>
                      <w:rPr>
                        <w:color w:val="632423"/>
                        <w:w w:val="80"/>
                        <w:sz w:val="38"/>
                      </w:rPr>
                      <w:t>futuras.</w:t>
                    </w:r>
                    <w:r>
                      <w:rPr>
                        <w:color w:val="632423"/>
                        <w:spacing w:val="-46"/>
                        <w:w w:val="80"/>
                        <w:sz w:val="38"/>
                      </w:rPr>
                      <w:t> </w:t>
                    </w:r>
                    <w:r>
                      <w:rPr>
                        <w:color w:val="632423"/>
                        <w:w w:val="80"/>
                        <w:sz w:val="38"/>
                      </w:rPr>
                      <w:t>Para</w:t>
                    </w:r>
                    <w:r>
                      <w:rPr>
                        <w:color w:val="632423"/>
                        <w:spacing w:val="-44"/>
                        <w:w w:val="80"/>
                        <w:sz w:val="38"/>
                      </w:rPr>
                      <w:t> </w:t>
                    </w:r>
                    <w:r>
                      <w:rPr>
                        <w:color w:val="632423"/>
                        <w:w w:val="80"/>
                        <w:sz w:val="38"/>
                      </w:rPr>
                      <w:t>“mantener</w:t>
                    </w:r>
                    <w:r>
                      <w:rPr>
                        <w:color w:val="632423"/>
                        <w:spacing w:val="-46"/>
                        <w:w w:val="80"/>
                        <w:sz w:val="38"/>
                      </w:rPr>
                      <w:t> </w:t>
                    </w:r>
                    <w:r>
                      <w:rPr>
                        <w:color w:val="632423"/>
                        <w:w w:val="80"/>
                        <w:sz w:val="38"/>
                      </w:rPr>
                      <w:t>el</w:t>
                    </w:r>
                    <w:r>
                      <w:rPr>
                        <w:color w:val="632423"/>
                        <w:spacing w:val="-44"/>
                        <w:w w:val="80"/>
                        <w:sz w:val="38"/>
                      </w:rPr>
                      <w:t> </w:t>
                    </w:r>
                    <w:r>
                      <w:rPr>
                        <w:color w:val="632423"/>
                        <w:w w:val="80"/>
                        <w:sz w:val="38"/>
                      </w:rPr>
                      <w:t>aumento</w:t>
                    </w:r>
                    <w:r>
                      <w:rPr>
                        <w:color w:val="632423"/>
                        <w:spacing w:val="-45"/>
                        <w:w w:val="80"/>
                        <w:sz w:val="38"/>
                      </w:rPr>
                      <w:t> </w:t>
                    </w:r>
                    <w:r>
                      <w:rPr>
                        <w:color w:val="632423"/>
                        <w:w w:val="80"/>
                        <w:sz w:val="38"/>
                      </w:rPr>
                      <w:t>de</w:t>
                    </w:r>
                    <w:r>
                      <w:rPr>
                        <w:color w:val="632423"/>
                        <w:spacing w:val="-45"/>
                        <w:w w:val="80"/>
                        <w:sz w:val="38"/>
                      </w:rPr>
                      <w:t> </w:t>
                    </w:r>
                    <w:r>
                      <w:rPr>
                        <w:color w:val="632423"/>
                        <w:w w:val="80"/>
                        <w:sz w:val="38"/>
                      </w:rPr>
                      <w:t>la</w:t>
                    </w:r>
                    <w:r>
                      <w:rPr>
                        <w:color w:val="632423"/>
                        <w:spacing w:val="-45"/>
                        <w:w w:val="80"/>
                        <w:sz w:val="38"/>
                      </w:rPr>
                      <w:t> </w:t>
                    </w:r>
                    <w:r>
                      <w:rPr>
                        <w:color w:val="632423"/>
                        <w:w w:val="80"/>
                        <w:sz w:val="38"/>
                      </w:rPr>
                      <w:t>temperatura</w:t>
                    </w:r>
                    <w:r>
                      <w:rPr>
                        <w:color w:val="632423"/>
                        <w:w w:val="72"/>
                        <w:sz w:val="38"/>
                      </w:rPr>
                      <w:t> </w:t>
                    </w:r>
                    <w:r>
                      <w:rPr>
                        <w:color w:val="632423"/>
                        <w:w w:val="80"/>
                        <w:sz w:val="38"/>
                      </w:rPr>
                      <w:t>mundial</w:t>
                    </w:r>
                    <w:r>
                      <w:rPr>
                        <w:color w:val="632423"/>
                        <w:spacing w:val="-54"/>
                        <w:w w:val="80"/>
                        <w:sz w:val="38"/>
                      </w:rPr>
                      <w:t> </w:t>
                    </w:r>
                    <w:r>
                      <w:rPr>
                        <w:color w:val="632423"/>
                        <w:w w:val="80"/>
                        <w:sz w:val="38"/>
                      </w:rPr>
                      <w:t>por</w:t>
                    </w:r>
                    <w:r>
                      <w:rPr>
                        <w:color w:val="632423"/>
                        <w:spacing w:val="-54"/>
                        <w:w w:val="80"/>
                        <w:sz w:val="38"/>
                      </w:rPr>
                      <w:t> </w:t>
                    </w:r>
                    <w:r>
                      <w:rPr>
                        <w:color w:val="632423"/>
                        <w:w w:val="80"/>
                        <w:sz w:val="38"/>
                      </w:rPr>
                      <w:t>debajo</w:t>
                    </w:r>
                    <w:r>
                      <w:rPr>
                        <w:color w:val="632423"/>
                        <w:spacing w:val="-53"/>
                        <w:w w:val="80"/>
                        <w:sz w:val="38"/>
                      </w:rPr>
                      <w:t> </w:t>
                    </w:r>
                    <w:r>
                      <w:rPr>
                        <w:color w:val="632423"/>
                        <w:w w:val="80"/>
                        <w:sz w:val="38"/>
                      </w:rPr>
                      <w:t>de</w:t>
                    </w:r>
                    <w:r>
                      <w:rPr>
                        <w:color w:val="632423"/>
                        <w:spacing w:val="-54"/>
                        <w:w w:val="80"/>
                        <w:sz w:val="38"/>
                      </w:rPr>
                      <w:t> </w:t>
                    </w:r>
                    <w:r>
                      <w:rPr>
                        <w:color w:val="632423"/>
                        <w:w w:val="80"/>
                        <w:sz w:val="38"/>
                      </w:rPr>
                      <w:t>2ºC”</w:t>
                    </w:r>
                    <w:r>
                      <w:rPr>
                        <w:color w:val="632423"/>
                        <w:spacing w:val="-53"/>
                        <w:w w:val="80"/>
                        <w:sz w:val="38"/>
                      </w:rPr>
                      <w:t> </w:t>
                    </w:r>
                    <w:r>
                      <w:rPr>
                        <w:color w:val="632423"/>
                        <w:w w:val="80"/>
                        <w:sz w:val="38"/>
                      </w:rPr>
                      <w:t>y</w:t>
                    </w:r>
                    <w:r>
                      <w:rPr>
                        <w:color w:val="632423"/>
                        <w:spacing w:val="-54"/>
                        <w:w w:val="80"/>
                        <w:sz w:val="38"/>
                      </w:rPr>
                      <w:t> </w:t>
                    </w:r>
                    <w:r>
                      <w:rPr>
                        <w:color w:val="632423"/>
                        <w:w w:val="80"/>
                        <w:sz w:val="38"/>
                      </w:rPr>
                      <w:t>evitar</w:t>
                    </w:r>
                    <w:r>
                      <w:rPr>
                        <w:color w:val="632423"/>
                        <w:spacing w:val="-54"/>
                        <w:w w:val="80"/>
                        <w:sz w:val="38"/>
                      </w:rPr>
                      <w:t> </w:t>
                    </w:r>
                    <w:r>
                      <w:rPr>
                        <w:color w:val="632423"/>
                        <w:w w:val="80"/>
                        <w:sz w:val="38"/>
                      </w:rPr>
                      <w:t>cambios</w:t>
                    </w:r>
                    <w:r>
                      <w:rPr>
                        <w:color w:val="632423"/>
                        <w:spacing w:val="-53"/>
                        <w:w w:val="80"/>
                        <w:sz w:val="38"/>
                      </w:rPr>
                      <w:t> </w:t>
                    </w:r>
                    <w:r>
                      <w:rPr>
                        <w:color w:val="632423"/>
                        <w:w w:val="80"/>
                        <w:sz w:val="38"/>
                      </w:rPr>
                      <w:t>climáticos</w:t>
                    </w:r>
                    <w:r>
                      <w:rPr>
                        <w:color w:val="632423"/>
                        <w:w w:val="72"/>
                        <w:sz w:val="38"/>
                      </w:rPr>
                      <w:t> </w:t>
                    </w:r>
                    <w:r>
                      <w:rPr>
                        <w:color w:val="632423"/>
                        <w:w w:val="80"/>
                        <w:sz w:val="38"/>
                      </w:rPr>
                      <w:t>“peligrosos”,</w:t>
                    </w:r>
                    <w:r>
                      <w:rPr>
                        <w:color w:val="632423"/>
                        <w:spacing w:val="-54"/>
                        <w:w w:val="80"/>
                        <w:sz w:val="38"/>
                      </w:rPr>
                      <w:t> </w:t>
                    </w:r>
                    <w:r>
                      <w:rPr>
                        <w:color w:val="632423"/>
                        <w:w w:val="80"/>
                        <w:sz w:val="38"/>
                      </w:rPr>
                      <w:t>se</w:t>
                    </w:r>
                    <w:r>
                      <w:rPr>
                        <w:color w:val="632423"/>
                        <w:spacing w:val="-54"/>
                        <w:w w:val="80"/>
                        <w:sz w:val="38"/>
                      </w:rPr>
                      <w:t> </w:t>
                    </w:r>
                    <w:r>
                      <w:rPr>
                        <w:color w:val="632423"/>
                        <w:w w:val="80"/>
                        <w:sz w:val="38"/>
                      </w:rPr>
                      <w:t>requieren</w:t>
                    </w:r>
                    <w:r>
                      <w:rPr>
                        <w:color w:val="632423"/>
                        <w:spacing w:val="-53"/>
                        <w:w w:val="80"/>
                        <w:sz w:val="38"/>
                      </w:rPr>
                      <w:t> </w:t>
                    </w:r>
                    <w:r>
                      <w:rPr>
                        <w:color w:val="632423"/>
                        <w:w w:val="80"/>
                        <w:sz w:val="38"/>
                      </w:rPr>
                      <w:t>con</w:t>
                    </w:r>
                    <w:r>
                      <w:rPr>
                        <w:color w:val="632423"/>
                        <w:spacing w:val="-53"/>
                        <w:w w:val="80"/>
                        <w:sz w:val="38"/>
                      </w:rPr>
                      <w:t> </w:t>
                    </w:r>
                    <w:r>
                      <w:rPr>
                        <w:color w:val="632423"/>
                        <w:w w:val="80"/>
                        <w:sz w:val="38"/>
                      </w:rPr>
                      <w:t>urgencia</w:t>
                    </w:r>
                    <w:r>
                      <w:rPr>
                        <w:color w:val="632423"/>
                        <w:spacing w:val="-54"/>
                        <w:w w:val="80"/>
                        <w:sz w:val="38"/>
                      </w:rPr>
                      <w:t> </w:t>
                    </w:r>
                    <w:r>
                      <w:rPr>
                        <w:color w:val="632423"/>
                        <w:w w:val="80"/>
                        <w:sz w:val="38"/>
                      </w:rPr>
                      <w:t>recortes</w:t>
                    </w:r>
                    <w:r>
                      <w:rPr>
                        <w:color w:val="632423"/>
                        <w:w w:val="72"/>
                        <w:sz w:val="38"/>
                      </w:rPr>
                      <w:t> </w:t>
                    </w:r>
                    <w:r>
                      <w:rPr>
                        <w:color w:val="632423"/>
                        <w:w w:val="75"/>
                        <w:sz w:val="38"/>
                      </w:rPr>
                      <w:t>sustanciales de las emisiones mundiales de gases</w:t>
                    </w:r>
                    <w:r>
                      <w:rPr>
                        <w:color w:val="632423"/>
                        <w:spacing w:val="-41"/>
                        <w:w w:val="75"/>
                        <w:sz w:val="38"/>
                      </w:rPr>
                      <w:t> </w:t>
                    </w:r>
                    <w:r>
                      <w:rPr>
                        <w:color w:val="632423"/>
                        <w:w w:val="75"/>
                        <w:sz w:val="38"/>
                      </w:rPr>
                      <w:t>de</w:t>
                    </w:r>
                    <w:r>
                      <w:rPr>
                        <w:color w:val="632423"/>
                        <w:spacing w:val="-7"/>
                        <w:w w:val="75"/>
                        <w:sz w:val="38"/>
                      </w:rPr>
                      <w:t> </w:t>
                    </w:r>
                    <w:r>
                      <w:rPr>
                        <w:color w:val="632423"/>
                        <w:w w:val="75"/>
                        <w:sz w:val="38"/>
                      </w:rPr>
                      <w:t>efecto</w:t>
                    </w:r>
                    <w:r>
                      <w:rPr>
                        <w:color w:val="632423"/>
                        <w:w w:val="76"/>
                        <w:sz w:val="38"/>
                      </w:rPr>
                      <w:t> </w:t>
                    </w:r>
                    <w:r>
                      <w:rPr>
                        <w:color w:val="632423"/>
                        <w:w w:val="75"/>
                        <w:sz w:val="38"/>
                      </w:rPr>
                      <w:t>invernadero antropogénicos. Los rumiantes</w:t>
                    </w:r>
                    <w:r>
                      <w:rPr>
                        <w:color w:val="632423"/>
                        <w:spacing w:val="42"/>
                        <w:w w:val="75"/>
                        <w:sz w:val="38"/>
                      </w:rPr>
                      <w:t> </w:t>
                    </w:r>
                    <w:r>
                      <w:rPr>
                        <w:color w:val="632423"/>
                        <w:w w:val="75"/>
                        <w:sz w:val="38"/>
                      </w:rPr>
                      <w:t>contribuyen</w:t>
                    </w:r>
                    <w:r>
                      <w:rPr>
                        <w:color w:val="632423"/>
                        <w:spacing w:val="10"/>
                        <w:w w:val="75"/>
                        <w:sz w:val="38"/>
                      </w:rPr>
                      <w:t> </w:t>
                    </w:r>
                    <w:r>
                      <w:rPr>
                        <w:color w:val="632423"/>
                        <w:w w:val="75"/>
                        <w:sz w:val="38"/>
                      </w:rPr>
                      <w:t>al</w:t>
                    </w:r>
                    <w:r>
                      <w:rPr>
                        <w:color w:val="632423"/>
                        <w:w w:val="74"/>
                        <w:sz w:val="38"/>
                      </w:rPr>
                      <w:t> </w:t>
                    </w:r>
                    <w:r>
                      <w:rPr>
                        <w:color w:val="632423"/>
                        <w:w w:val="75"/>
                        <w:sz w:val="38"/>
                      </w:rPr>
                      <w:t>calentamiento global por la liberación de las emisiones</w:t>
                    </w:r>
                    <w:r>
                      <w:rPr>
                        <w:color w:val="632423"/>
                        <w:spacing w:val="30"/>
                        <w:w w:val="75"/>
                        <w:sz w:val="38"/>
                      </w:rPr>
                      <w:t> </w:t>
                    </w:r>
                    <w:r>
                      <w:rPr>
                        <w:color w:val="632423"/>
                        <w:w w:val="75"/>
                        <w:sz w:val="38"/>
                      </w:rPr>
                      <w:t>de</w:t>
                    </w:r>
                  </w:p>
                  <w:p>
                    <w:pPr>
                      <w:spacing w:before="0"/>
                      <w:ind w:left="0" w:right="139" w:firstLine="0"/>
                      <w:jc w:val="right"/>
                      <w:rPr>
                        <w:sz w:val="38"/>
                      </w:rPr>
                    </w:pPr>
                    <w:r>
                      <w:rPr>
                        <w:color w:val="632423"/>
                        <w:w w:val="75"/>
                        <w:sz w:val="38"/>
                      </w:rPr>
                      <w:t>gases de efecto invernadero (GEI)”.</w:t>
                    </w:r>
                  </w:p>
                  <w:p>
                    <w:pPr>
                      <w:spacing w:before="252"/>
                      <w:ind w:left="0" w:right="140" w:firstLine="0"/>
                      <w:jc w:val="right"/>
                      <w:rPr>
                        <w:sz w:val="23"/>
                      </w:rPr>
                    </w:pPr>
                    <w:r>
                      <w:rPr>
                        <w:color w:val="632423"/>
                        <w:w w:val="80"/>
                        <w:sz w:val="23"/>
                      </w:rPr>
                      <w:t>FAO (2013)</w:t>
                    </w:r>
                  </w:p>
                </w:txbxContent>
              </v:textbox>
              <w10:wrap type="none"/>
            </v:shape>
            <w10:wrap type="topAndBottom"/>
          </v:group>
        </w:pict>
      </w:r>
    </w:p>
    <w:p>
      <w:pPr>
        <w:spacing w:after="0"/>
        <w:rPr>
          <w:sz w:val="18"/>
        </w:rPr>
        <w:sectPr>
          <w:pgSz w:w="12240" w:h="15840"/>
          <w:pgMar w:header="741" w:footer="739" w:top="1220" w:bottom="920" w:left="1720" w:right="1260"/>
        </w:sectPr>
      </w:pPr>
    </w:p>
    <w:p>
      <w:pPr>
        <w:pStyle w:val="BodyText"/>
        <w:spacing w:before="9"/>
        <w:rPr>
          <w:rFonts w:ascii="Times New Roman"/>
          <w:sz w:val="17"/>
        </w:rPr>
      </w:pPr>
    </w:p>
    <w:p>
      <w:pPr>
        <w:pStyle w:val="BodyText"/>
        <w:ind w:left="276"/>
        <w:rPr>
          <w:rFonts w:ascii="Times New Roman"/>
          <w:sz w:val="20"/>
        </w:rPr>
      </w:pPr>
      <w:r>
        <w:rPr>
          <w:rFonts w:ascii="Times New Roman"/>
          <w:sz w:val="20"/>
        </w:rPr>
        <w:drawing>
          <wp:inline distT="0" distB="0" distL="0" distR="0">
            <wp:extent cx="5559155" cy="7524940"/>
            <wp:effectExtent l="0" t="0" r="0" b="0"/>
            <wp:docPr id="37" name="image124.jpeg" descr=""/>
            <wp:cNvGraphicFramePr>
              <a:graphicFrameLocks noChangeAspect="1"/>
            </wp:cNvGraphicFramePr>
            <a:graphic>
              <a:graphicData uri="http://schemas.openxmlformats.org/drawingml/2006/picture">
                <pic:pic>
                  <pic:nvPicPr>
                    <pic:cNvPr id="38" name="image124.jpeg"/>
                    <pic:cNvPicPr/>
                  </pic:nvPicPr>
                  <pic:blipFill>
                    <a:blip r:embed="rId186" cstate="print"/>
                    <a:stretch>
                      <a:fillRect/>
                    </a:stretch>
                  </pic:blipFill>
                  <pic:spPr>
                    <a:xfrm>
                      <a:off x="0" y="0"/>
                      <a:ext cx="5559155" cy="752494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1" w:footer="739" w:top="1220" w:bottom="920" w:left="1720" w:right="1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3"/>
        </w:rPr>
      </w:pPr>
    </w:p>
    <w:p>
      <w:pPr>
        <w:spacing w:line="609" w:lineRule="auto" w:before="57"/>
        <w:ind w:left="2367" w:right="1844" w:firstLine="0"/>
        <w:jc w:val="left"/>
        <w:rPr>
          <w:rFonts w:ascii="Candara" w:hAnsi="Candara"/>
          <w:sz w:val="19"/>
        </w:rPr>
      </w:pPr>
      <w:r>
        <w:rPr>
          <w:rFonts w:ascii="Candara" w:hAnsi="Candara"/>
          <w:sz w:val="19"/>
        </w:rPr>
        <w:t>Diseño y formación de interiores: Gloria Villa Hernández Primera edición, México, 20 de octubre de 2015</w:t>
      </w:r>
    </w:p>
    <w:p>
      <w:pPr>
        <w:spacing w:line="304" w:lineRule="auto" w:before="0"/>
        <w:ind w:left="2367" w:right="3766" w:firstLine="0"/>
        <w:jc w:val="left"/>
        <w:rPr>
          <w:rFonts w:ascii="Candara" w:hAnsi="Candara"/>
          <w:sz w:val="19"/>
        </w:rPr>
      </w:pPr>
      <w:r>
        <w:rPr>
          <w:rFonts w:ascii="Candara" w:hAnsi="Candara"/>
          <w:sz w:val="19"/>
        </w:rPr>
        <w:t>Derechos reservados © 2015 Universidad Autónoma Chapingo Carretera México-Texcoco, km 38.5, Chapingo, Estado de México.</w:t>
      </w:r>
    </w:p>
    <w:p>
      <w:pPr>
        <w:pStyle w:val="BodyText"/>
        <w:spacing w:before="1"/>
        <w:rPr>
          <w:rFonts w:ascii="Candara"/>
        </w:rPr>
      </w:pPr>
    </w:p>
    <w:p>
      <w:pPr>
        <w:spacing w:line="304" w:lineRule="auto" w:before="0"/>
        <w:ind w:left="2966" w:right="3766" w:firstLine="0"/>
        <w:jc w:val="left"/>
        <w:rPr>
          <w:rFonts w:ascii="Candara"/>
          <w:sz w:val="19"/>
        </w:rPr>
      </w:pPr>
      <w:r>
        <w:rPr>
          <w:rFonts w:ascii="Candara"/>
          <w:sz w:val="19"/>
        </w:rPr>
        <w:t>Departamento de Zootecnia Tel: 01 (595)952-1532</w:t>
      </w:r>
    </w:p>
    <w:p>
      <w:pPr>
        <w:spacing w:before="1"/>
        <w:ind w:left="2966" w:right="0" w:firstLine="0"/>
        <w:jc w:val="left"/>
        <w:rPr>
          <w:rFonts w:ascii="Candara"/>
          <w:sz w:val="19"/>
        </w:rPr>
      </w:pPr>
      <w:r>
        <w:rPr>
          <w:rFonts w:ascii="Candara"/>
          <w:sz w:val="19"/>
        </w:rPr>
        <w:t>Fax: 01 (595) 952-1607</w:t>
      </w:r>
    </w:p>
    <w:p>
      <w:pPr>
        <w:pStyle w:val="BodyText"/>
        <w:rPr>
          <w:rFonts w:ascii="Candara"/>
          <w:sz w:val="18"/>
        </w:rPr>
      </w:pPr>
    </w:p>
    <w:p>
      <w:pPr>
        <w:pStyle w:val="BodyText"/>
        <w:rPr>
          <w:rFonts w:ascii="Candara"/>
          <w:sz w:val="18"/>
        </w:rPr>
      </w:pPr>
    </w:p>
    <w:p>
      <w:pPr>
        <w:pStyle w:val="BodyText"/>
        <w:rPr>
          <w:rFonts w:ascii="Candara"/>
          <w:sz w:val="18"/>
        </w:rPr>
      </w:pPr>
    </w:p>
    <w:p>
      <w:pPr>
        <w:pStyle w:val="BodyText"/>
        <w:spacing w:before="6"/>
        <w:rPr>
          <w:rFonts w:ascii="Candara"/>
          <w:sz w:val="23"/>
        </w:rPr>
      </w:pPr>
    </w:p>
    <w:p>
      <w:pPr>
        <w:spacing w:before="0"/>
        <w:ind w:left="2367" w:right="0" w:firstLine="0"/>
        <w:jc w:val="both"/>
        <w:rPr>
          <w:rFonts w:ascii="Candara"/>
          <w:sz w:val="19"/>
        </w:rPr>
      </w:pPr>
      <w:r>
        <w:rPr>
          <w:rFonts w:ascii="Candara"/>
          <w:sz w:val="19"/>
        </w:rPr>
        <w:t>ISBN: 978-607-12-0417-2.</w:t>
      </w:r>
    </w:p>
    <w:p>
      <w:pPr>
        <w:pStyle w:val="BodyText"/>
        <w:rPr>
          <w:rFonts w:ascii="Candara"/>
          <w:sz w:val="20"/>
        </w:rPr>
      </w:pPr>
    </w:p>
    <w:p>
      <w:pPr>
        <w:spacing w:line="276" w:lineRule="auto" w:before="148"/>
        <w:ind w:left="2367" w:right="323" w:firstLine="0"/>
        <w:jc w:val="both"/>
        <w:rPr>
          <w:rFonts w:ascii="Candara" w:hAnsi="Candara"/>
          <w:sz w:val="19"/>
        </w:rPr>
      </w:pPr>
      <w:r>
        <w:rPr>
          <w:rFonts w:ascii="Candara" w:hAnsi="Candara"/>
          <w:sz w:val="19"/>
        </w:rPr>
        <w:t>Se</w:t>
      </w:r>
      <w:r>
        <w:rPr>
          <w:rFonts w:ascii="Candara" w:hAnsi="Candara"/>
          <w:spacing w:val="-15"/>
          <w:sz w:val="19"/>
        </w:rPr>
        <w:t> </w:t>
      </w:r>
      <w:r>
        <w:rPr>
          <w:rFonts w:ascii="Candara" w:hAnsi="Candara"/>
          <w:sz w:val="19"/>
        </w:rPr>
        <w:t>autoriza</w:t>
      </w:r>
      <w:r>
        <w:rPr>
          <w:rFonts w:ascii="Candara" w:hAnsi="Candara"/>
          <w:spacing w:val="-12"/>
          <w:sz w:val="19"/>
        </w:rPr>
        <w:t> </w:t>
      </w:r>
      <w:r>
        <w:rPr>
          <w:rFonts w:ascii="Candara" w:hAnsi="Candara"/>
          <w:sz w:val="19"/>
        </w:rPr>
        <w:t>el</w:t>
      </w:r>
      <w:r>
        <w:rPr>
          <w:rFonts w:ascii="Candara" w:hAnsi="Candara"/>
          <w:spacing w:val="-15"/>
          <w:sz w:val="19"/>
        </w:rPr>
        <w:t> </w:t>
      </w:r>
      <w:r>
        <w:rPr>
          <w:rFonts w:ascii="Candara" w:hAnsi="Candara"/>
          <w:sz w:val="19"/>
        </w:rPr>
        <w:t>uso</w:t>
      </w:r>
      <w:r>
        <w:rPr>
          <w:rFonts w:ascii="Candara" w:hAnsi="Candara"/>
          <w:spacing w:val="-14"/>
          <w:sz w:val="19"/>
        </w:rPr>
        <w:t> </w:t>
      </w:r>
      <w:r>
        <w:rPr>
          <w:rFonts w:ascii="Candara" w:hAnsi="Candara"/>
          <w:sz w:val="19"/>
        </w:rPr>
        <w:t>de</w:t>
      </w:r>
      <w:r>
        <w:rPr>
          <w:rFonts w:ascii="Candara" w:hAnsi="Candara"/>
          <w:spacing w:val="-13"/>
          <w:sz w:val="19"/>
        </w:rPr>
        <w:t> </w:t>
      </w:r>
      <w:r>
        <w:rPr>
          <w:rFonts w:ascii="Candara" w:hAnsi="Candara"/>
          <w:sz w:val="19"/>
        </w:rPr>
        <w:t>la</w:t>
      </w:r>
      <w:r>
        <w:rPr>
          <w:rFonts w:ascii="Candara" w:hAnsi="Candara"/>
          <w:spacing w:val="-14"/>
          <w:sz w:val="19"/>
        </w:rPr>
        <w:t> </w:t>
      </w:r>
      <w:r>
        <w:rPr>
          <w:rFonts w:ascii="Candara" w:hAnsi="Candara"/>
          <w:sz w:val="19"/>
        </w:rPr>
        <w:t>información</w:t>
      </w:r>
      <w:r>
        <w:rPr>
          <w:rFonts w:ascii="Candara" w:hAnsi="Candara"/>
          <w:spacing w:val="-13"/>
          <w:sz w:val="19"/>
        </w:rPr>
        <w:t> </w:t>
      </w:r>
      <w:r>
        <w:rPr>
          <w:rFonts w:ascii="Candara" w:hAnsi="Candara"/>
          <w:sz w:val="19"/>
        </w:rPr>
        <w:t>contenida</w:t>
      </w:r>
      <w:r>
        <w:rPr>
          <w:rFonts w:ascii="Candara" w:hAnsi="Candara"/>
          <w:spacing w:val="-14"/>
          <w:sz w:val="19"/>
        </w:rPr>
        <w:t> </w:t>
      </w:r>
      <w:r>
        <w:rPr>
          <w:rFonts w:ascii="Candara" w:hAnsi="Candara"/>
          <w:sz w:val="19"/>
        </w:rPr>
        <w:t>en</w:t>
      </w:r>
      <w:r>
        <w:rPr>
          <w:rFonts w:ascii="Candara" w:hAnsi="Candara"/>
          <w:spacing w:val="-13"/>
          <w:sz w:val="19"/>
        </w:rPr>
        <w:t> </w:t>
      </w:r>
      <w:r>
        <w:rPr>
          <w:rFonts w:ascii="Candara" w:hAnsi="Candara"/>
          <w:sz w:val="19"/>
        </w:rPr>
        <w:t>este</w:t>
      </w:r>
      <w:r>
        <w:rPr>
          <w:rFonts w:ascii="Candara" w:hAnsi="Candara"/>
          <w:spacing w:val="-15"/>
          <w:sz w:val="19"/>
        </w:rPr>
        <w:t> </w:t>
      </w:r>
      <w:r>
        <w:rPr>
          <w:rFonts w:ascii="Candara" w:hAnsi="Candara"/>
          <w:sz w:val="19"/>
        </w:rPr>
        <w:t>libro</w:t>
      </w:r>
      <w:r>
        <w:rPr>
          <w:rFonts w:ascii="Candara" w:hAnsi="Candara"/>
          <w:spacing w:val="-14"/>
          <w:sz w:val="19"/>
        </w:rPr>
        <w:t> </w:t>
      </w:r>
      <w:r>
        <w:rPr>
          <w:rFonts w:ascii="Candara" w:hAnsi="Candara"/>
          <w:sz w:val="19"/>
        </w:rPr>
        <w:t>para</w:t>
      </w:r>
      <w:r>
        <w:rPr>
          <w:rFonts w:ascii="Candara" w:hAnsi="Candara"/>
          <w:spacing w:val="-14"/>
          <w:sz w:val="19"/>
        </w:rPr>
        <w:t> </w:t>
      </w:r>
      <w:r>
        <w:rPr>
          <w:rFonts w:ascii="Candara" w:hAnsi="Candara"/>
          <w:sz w:val="19"/>
        </w:rPr>
        <w:t>fines</w:t>
      </w:r>
      <w:r>
        <w:rPr>
          <w:rFonts w:ascii="Candara" w:hAnsi="Candara"/>
          <w:spacing w:val="-15"/>
          <w:sz w:val="19"/>
        </w:rPr>
        <w:t> </w:t>
      </w:r>
      <w:r>
        <w:rPr>
          <w:rFonts w:ascii="Candara" w:hAnsi="Candara"/>
          <w:sz w:val="19"/>
        </w:rPr>
        <w:t>de</w:t>
      </w:r>
      <w:r>
        <w:rPr>
          <w:rFonts w:ascii="Candara" w:hAnsi="Candara"/>
          <w:spacing w:val="-15"/>
          <w:sz w:val="19"/>
        </w:rPr>
        <w:t> </w:t>
      </w:r>
      <w:r>
        <w:rPr>
          <w:rFonts w:ascii="Candara" w:hAnsi="Candara"/>
          <w:sz w:val="19"/>
        </w:rPr>
        <w:t>enseñanza, investigación</w:t>
      </w:r>
      <w:r>
        <w:rPr>
          <w:rFonts w:ascii="Candara" w:hAnsi="Candara"/>
          <w:spacing w:val="-7"/>
          <w:sz w:val="19"/>
        </w:rPr>
        <w:t> </w:t>
      </w:r>
      <w:r>
        <w:rPr>
          <w:rFonts w:ascii="Candara" w:hAnsi="Candara"/>
          <w:sz w:val="19"/>
        </w:rPr>
        <w:t>y</w:t>
      </w:r>
      <w:r>
        <w:rPr>
          <w:rFonts w:ascii="Candara" w:hAnsi="Candara"/>
          <w:spacing w:val="-7"/>
          <w:sz w:val="19"/>
        </w:rPr>
        <w:t> </w:t>
      </w:r>
      <w:r>
        <w:rPr>
          <w:rFonts w:ascii="Candara" w:hAnsi="Candara"/>
          <w:sz w:val="19"/>
        </w:rPr>
        <w:t>difusión</w:t>
      </w:r>
      <w:r>
        <w:rPr>
          <w:rFonts w:ascii="Candara" w:hAnsi="Candara"/>
          <w:spacing w:val="-4"/>
          <w:sz w:val="19"/>
        </w:rPr>
        <w:t> </w:t>
      </w:r>
      <w:r>
        <w:rPr>
          <w:rFonts w:ascii="Candara" w:hAnsi="Candara"/>
          <w:sz w:val="19"/>
        </w:rPr>
        <w:t>del</w:t>
      </w:r>
      <w:r>
        <w:rPr>
          <w:rFonts w:ascii="Candara" w:hAnsi="Candara"/>
          <w:spacing w:val="-8"/>
          <w:sz w:val="19"/>
        </w:rPr>
        <w:t> </w:t>
      </w:r>
      <w:r>
        <w:rPr>
          <w:rFonts w:ascii="Candara" w:hAnsi="Candara"/>
          <w:sz w:val="19"/>
        </w:rPr>
        <w:t>conocimiento,</w:t>
      </w:r>
      <w:r>
        <w:rPr>
          <w:rFonts w:ascii="Candara" w:hAnsi="Candara"/>
          <w:spacing w:val="-7"/>
          <w:sz w:val="19"/>
        </w:rPr>
        <w:t> </w:t>
      </w:r>
      <w:r>
        <w:rPr>
          <w:rFonts w:ascii="Candara" w:hAnsi="Candara"/>
          <w:sz w:val="19"/>
        </w:rPr>
        <w:t>siempre</w:t>
      </w:r>
      <w:r>
        <w:rPr>
          <w:rFonts w:ascii="Candara" w:hAnsi="Candara"/>
          <w:spacing w:val="-9"/>
          <w:sz w:val="19"/>
        </w:rPr>
        <w:t> </w:t>
      </w:r>
      <w:r>
        <w:rPr>
          <w:rFonts w:ascii="Candara" w:hAnsi="Candara"/>
          <w:sz w:val="19"/>
        </w:rPr>
        <w:t>y</w:t>
      </w:r>
      <w:r>
        <w:rPr>
          <w:rFonts w:ascii="Candara" w:hAnsi="Candara"/>
          <w:spacing w:val="-7"/>
          <w:sz w:val="19"/>
        </w:rPr>
        <w:t> </w:t>
      </w:r>
      <w:r>
        <w:rPr>
          <w:rFonts w:ascii="Candara" w:hAnsi="Candara"/>
          <w:sz w:val="19"/>
        </w:rPr>
        <w:t>cuando</w:t>
      </w:r>
      <w:r>
        <w:rPr>
          <w:rFonts w:ascii="Candara" w:hAnsi="Candara"/>
          <w:spacing w:val="-7"/>
          <w:sz w:val="19"/>
        </w:rPr>
        <w:t> </w:t>
      </w:r>
      <w:r>
        <w:rPr>
          <w:rFonts w:ascii="Candara" w:hAnsi="Candara"/>
          <w:sz w:val="19"/>
        </w:rPr>
        <w:t>se</w:t>
      </w:r>
      <w:r>
        <w:rPr>
          <w:rFonts w:ascii="Candara" w:hAnsi="Candara"/>
          <w:spacing w:val="-9"/>
          <w:sz w:val="19"/>
        </w:rPr>
        <w:t> </w:t>
      </w:r>
      <w:r>
        <w:rPr>
          <w:rFonts w:ascii="Candara" w:hAnsi="Candara"/>
          <w:sz w:val="19"/>
        </w:rPr>
        <w:t>haga</w:t>
      </w:r>
      <w:r>
        <w:rPr>
          <w:rFonts w:ascii="Candara" w:hAnsi="Candara"/>
          <w:spacing w:val="-7"/>
          <w:sz w:val="19"/>
        </w:rPr>
        <w:t> </w:t>
      </w:r>
      <w:r>
        <w:rPr>
          <w:rFonts w:ascii="Candara" w:hAnsi="Candara"/>
          <w:sz w:val="19"/>
        </w:rPr>
        <w:t>referencia</w:t>
      </w:r>
      <w:r>
        <w:rPr>
          <w:rFonts w:ascii="Candara" w:hAnsi="Candara"/>
          <w:spacing w:val="-7"/>
          <w:sz w:val="19"/>
        </w:rPr>
        <w:t> </w:t>
      </w:r>
      <w:r>
        <w:rPr>
          <w:rFonts w:ascii="Candara" w:hAnsi="Candara"/>
          <w:sz w:val="19"/>
        </w:rPr>
        <w:t>a</w:t>
      </w:r>
      <w:r>
        <w:rPr>
          <w:rFonts w:ascii="Candara" w:hAnsi="Candara"/>
          <w:spacing w:val="-4"/>
          <w:sz w:val="19"/>
        </w:rPr>
        <w:t> </w:t>
      </w:r>
      <w:r>
        <w:rPr>
          <w:rFonts w:ascii="Candara" w:hAnsi="Candara"/>
          <w:sz w:val="19"/>
        </w:rPr>
        <w:t>la publicación</w:t>
      </w:r>
      <w:r>
        <w:rPr>
          <w:rFonts w:ascii="Candara" w:hAnsi="Candara"/>
          <w:spacing w:val="-3"/>
          <w:sz w:val="19"/>
        </w:rPr>
        <w:t> </w:t>
      </w:r>
      <w:r>
        <w:rPr>
          <w:rFonts w:ascii="Candara" w:hAnsi="Candara"/>
          <w:sz w:val="19"/>
        </w:rPr>
        <w:t>y</w:t>
      </w:r>
      <w:r>
        <w:rPr>
          <w:rFonts w:ascii="Candara" w:hAnsi="Candara"/>
          <w:spacing w:val="-4"/>
          <w:sz w:val="19"/>
        </w:rPr>
        <w:t> </w:t>
      </w:r>
      <w:r>
        <w:rPr>
          <w:rFonts w:ascii="Candara" w:hAnsi="Candara"/>
          <w:sz w:val="19"/>
        </w:rPr>
        <w:t>se</w:t>
      </w:r>
      <w:r>
        <w:rPr>
          <w:rFonts w:ascii="Candara" w:hAnsi="Candara"/>
          <w:spacing w:val="-4"/>
          <w:sz w:val="19"/>
        </w:rPr>
        <w:t> </w:t>
      </w:r>
      <w:r>
        <w:rPr>
          <w:rFonts w:ascii="Candara" w:hAnsi="Candara"/>
          <w:sz w:val="19"/>
        </w:rPr>
        <w:t>den</w:t>
      </w:r>
      <w:r>
        <w:rPr>
          <w:rFonts w:ascii="Candara" w:hAnsi="Candara"/>
          <w:spacing w:val="-3"/>
          <w:sz w:val="19"/>
        </w:rPr>
        <w:t> </w:t>
      </w:r>
      <w:r>
        <w:rPr>
          <w:rFonts w:ascii="Candara" w:hAnsi="Candara"/>
          <w:sz w:val="19"/>
        </w:rPr>
        <w:t>los</w:t>
      </w:r>
      <w:r>
        <w:rPr>
          <w:rFonts w:ascii="Candara" w:hAnsi="Candara"/>
          <w:spacing w:val="-6"/>
          <w:sz w:val="19"/>
        </w:rPr>
        <w:t> </w:t>
      </w:r>
      <w:r>
        <w:rPr>
          <w:rFonts w:ascii="Candara" w:hAnsi="Candara"/>
          <w:sz w:val="19"/>
        </w:rPr>
        <w:t>créditos</w:t>
      </w:r>
      <w:r>
        <w:rPr>
          <w:rFonts w:ascii="Candara" w:hAnsi="Candara"/>
          <w:spacing w:val="-3"/>
          <w:sz w:val="19"/>
        </w:rPr>
        <w:t> </w:t>
      </w:r>
      <w:r>
        <w:rPr>
          <w:rFonts w:ascii="Candara" w:hAnsi="Candara"/>
          <w:sz w:val="19"/>
        </w:rPr>
        <w:t>correspondientes</w:t>
      </w:r>
      <w:r>
        <w:rPr>
          <w:rFonts w:ascii="Candara" w:hAnsi="Candara"/>
          <w:spacing w:val="-5"/>
          <w:sz w:val="19"/>
        </w:rPr>
        <w:t> </w:t>
      </w:r>
      <w:r>
        <w:rPr>
          <w:rFonts w:ascii="Candara" w:hAnsi="Candara"/>
          <w:sz w:val="19"/>
        </w:rPr>
        <w:t>a</w:t>
      </w:r>
      <w:r>
        <w:rPr>
          <w:rFonts w:ascii="Candara" w:hAnsi="Candara"/>
          <w:spacing w:val="-3"/>
          <w:sz w:val="19"/>
        </w:rPr>
        <w:t> </w:t>
      </w:r>
      <w:r>
        <w:rPr>
          <w:rFonts w:ascii="Candara" w:hAnsi="Candara"/>
          <w:sz w:val="19"/>
        </w:rPr>
        <w:t>cada</w:t>
      </w:r>
      <w:r>
        <w:rPr>
          <w:rFonts w:ascii="Candara" w:hAnsi="Candara"/>
          <w:spacing w:val="-4"/>
          <w:sz w:val="19"/>
        </w:rPr>
        <w:t> </w:t>
      </w:r>
      <w:r>
        <w:rPr>
          <w:rFonts w:ascii="Candara" w:hAnsi="Candara"/>
          <w:sz w:val="19"/>
        </w:rPr>
        <w:t>autor</w:t>
      </w:r>
      <w:r>
        <w:rPr>
          <w:rFonts w:ascii="Candara" w:hAnsi="Candara"/>
          <w:spacing w:val="-1"/>
          <w:sz w:val="19"/>
        </w:rPr>
        <w:t> </w:t>
      </w:r>
      <w:r>
        <w:rPr>
          <w:rFonts w:ascii="Candara" w:hAnsi="Candara"/>
          <w:sz w:val="19"/>
        </w:rPr>
        <w:t>consultado.</w:t>
      </w:r>
    </w:p>
    <w:p>
      <w:pPr>
        <w:pStyle w:val="BodyText"/>
        <w:rPr>
          <w:rFonts w:ascii="Candara"/>
          <w:sz w:val="18"/>
        </w:rPr>
      </w:pPr>
    </w:p>
    <w:p>
      <w:pPr>
        <w:pStyle w:val="BodyText"/>
        <w:rPr>
          <w:rFonts w:ascii="Candara"/>
          <w:sz w:val="14"/>
        </w:rPr>
      </w:pPr>
    </w:p>
    <w:p>
      <w:pPr>
        <w:spacing w:line="276" w:lineRule="auto" w:before="0"/>
        <w:ind w:left="2367" w:right="329" w:firstLine="0"/>
        <w:jc w:val="both"/>
        <w:rPr>
          <w:rFonts w:ascii="Candara" w:hAnsi="Candara"/>
          <w:sz w:val="19"/>
        </w:rPr>
      </w:pPr>
      <w:r>
        <w:rPr>
          <w:rFonts w:ascii="Candara" w:hAnsi="Candara"/>
          <w:sz w:val="19"/>
        </w:rPr>
        <w:t>Las opiniones expresadas en los artículos son responsabilidad exclusiva de los au- tores y no reflejan necesariamente la opinión de los compiladores o de las institu- ciones titulares de los derechos de autor.</w:t>
      </w:r>
    </w:p>
    <w:p>
      <w:pPr>
        <w:pStyle w:val="BodyText"/>
        <w:rPr>
          <w:rFonts w:ascii="Candara"/>
          <w:sz w:val="18"/>
        </w:rPr>
      </w:pPr>
    </w:p>
    <w:p>
      <w:pPr>
        <w:pStyle w:val="BodyText"/>
        <w:spacing w:before="12"/>
        <w:rPr>
          <w:rFonts w:ascii="Candara"/>
          <w:sz w:val="13"/>
        </w:rPr>
      </w:pPr>
    </w:p>
    <w:p>
      <w:pPr>
        <w:spacing w:before="0"/>
        <w:ind w:left="2367" w:right="0" w:firstLine="0"/>
        <w:jc w:val="both"/>
        <w:rPr>
          <w:rFonts w:ascii="Candara" w:hAnsi="Candara"/>
          <w:sz w:val="19"/>
        </w:rPr>
      </w:pPr>
      <w:r>
        <w:rPr>
          <w:rFonts w:ascii="Candara" w:hAnsi="Candara"/>
          <w:sz w:val="19"/>
        </w:rPr>
        <w:t>Impreso en México.</w:t>
      </w:r>
    </w:p>
    <w:p>
      <w:pPr>
        <w:spacing w:after="0"/>
        <w:jc w:val="both"/>
        <w:rPr>
          <w:rFonts w:ascii="Candara" w:hAnsi="Candara"/>
          <w:sz w:val="19"/>
        </w:rPr>
        <w:sectPr>
          <w:footerReference w:type="default" r:id="rId187"/>
          <w:pgSz w:w="12240" w:h="15840"/>
          <w:pgMar w:footer="739" w:header="741" w:top="1220" w:bottom="920" w:left="1720" w:right="1260"/>
        </w:sectPr>
      </w:pPr>
    </w:p>
    <w:p>
      <w:pPr>
        <w:pStyle w:val="BodyText"/>
        <w:spacing w:before="11"/>
        <w:rPr>
          <w:rFonts w:ascii="Candara"/>
          <w:sz w:val="11"/>
        </w:rPr>
      </w:pPr>
    </w:p>
    <w:p>
      <w:pPr>
        <w:pStyle w:val="Heading2"/>
        <w:spacing w:line="249" w:lineRule="auto"/>
        <w:ind w:left="2543" w:right="744" w:hanging="1272"/>
        <w:jc w:val="left"/>
      </w:pPr>
      <w:r>
        <w:rPr/>
        <w:t>Métodos para la Estimación de la Emisión de Metano Entérico en  Bovinos</w:t>
      </w:r>
    </w:p>
    <w:p>
      <w:pPr>
        <w:pStyle w:val="BodyText"/>
        <w:rPr>
          <w:b/>
          <w:sz w:val="32"/>
        </w:rPr>
      </w:pPr>
    </w:p>
    <w:p>
      <w:pPr>
        <w:pStyle w:val="BodyText"/>
        <w:rPr>
          <w:b/>
          <w:sz w:val="32"/>
        </w:rPr>
      </w:pPr>
    </w:p>
    <w:p>
      <w:pPr>
        <w:pStyle w:val="BodyText"/>
        <w:rPr>
          <w:b/>
          <w:sz w:val="32"/>
        </w:rPr>
      </w:pPr>
    </w:p>
    <w:p>
      <w:pPr>
        <w:pStyle w:val="Heading6"/>
        <w:spacing w:before="262"/>
      </w:pPr>
      <w:r>
        <w:rPr/>
        <w:t>Introducción</w:t>
      </w:r>
    </w:p>
    <w:p>
      <w:pPr>
        <w:pStyle w:val="BodyText"/>
        <w:rPr>
          <w:b/>
        </w:rPr>
      </w:pPr>
    </w:p>
    <w:p>
      <w:pPr>
        <w:pStyle w:val="BodyText"/>
        <w:spacing w:before="2"/>
        <w:rPr>
          <w:b/>
        </w:rPr>
      </w:pPr>
    </w:p>
    <w:p>
      <w:pPr>
        <w:pStyle w:val="BodyText"/>
        <w:spacing w:line="360" w:lineRule="auto"/>
        <w:ind w:left="276" w:right="143"/>
        <w:jc w:val="both"/>
      </w:pPr>
      <w:r>
        <w:rPr/>
        <w:t>El cambio climático está transformando los ecosistemas de la tierra y amenazando el bienestar de la generación actual y las futuras. Para “mantener el aumento de la temperatura</w:t>
      </w:r>
      <w:r>
        <w:rPr>
          <w:spacing w:val="-7"/>
        </w:rPr>
        <w:t> </w:t>
      </w:r>
      <w:r>
        <w:rPr/>
        <w:t>mundial</w:t>
      </w:r>
      <w:r>
        <w:rPr>
          <w:spacing w:val="-7"/>
        </w:rPr>
        <w:t> </w:t>
      </w:r>
      <w:r>
        <w:rPr/>
        <w:t>por</w:t>
      </w:r>
      <w:r>
        <w:rPr>
          <w:spacing w:val="-7"/>
        </w:rPr>
        <w:t> </w:t>
      </w:r>
      <w:r>
        <w:rPr/>
        <w:t>debajo</w:t>
      </w:r>
      <w:r>
        <w:rPr>
          <w:spacing w:val="-7"/>
        </w:rPr>
        <w:t> </w:t>
      </w:r>
      <w:r>
        <w:rPr/>
        <w:t>de</w:t>
      </w:r>
      <w:r>
        <w:rPr>
          <w:spacing w:val="-7"/>
        </w:rPr>
        <w:t> </w:t>
      </w:r>
      <w:r>
        <w:rPr/>
        <w:t>2ºC”</w:t>
      </w:r>
      <w:r>
        <w:rPr>
          <w:spacing w:val="-7"/>
        </w:rPr>
        <w:t> </w:t>
      </w:r>
      <w:r>
        <w:rPr/>
        <w:t>y</w:t>
      </w:r>
      <w:r>
        <w:rPr>
          <w:spacing w:val="-7"/>
        </w:rPr>
        <w:t> </w:t>
      </w:r>
      <w:r>
        <w:rPr/>
        <w:t>evitar</w:t>
      </w:r>
      <w:r>
        <w:rPr>
          <w:spacing w:val="-7"/>
        </w:rPr>
        <w:t> </w:t>
      </w:r>
      <w:r>
        <w:rPr/>
        <w:t>cambios</w:t>
      </w:r>
      <w:r>
        <w:rPr>
          <w:spacing w:val="-7"/>
        </w:rPr>
        <w:t> </w:t>
      </w:r>
      <w:r>
        <w:rPr/>
        <w:t>climáticos</w:t>
      </w:r>
      <w:r>
        <w:rPr>
          <w:spacing w:val="-7"/>
        </w:rPr>
        <w:t> </w:t>
      </w:r>
      <w:r>
        <w:rPr/>
        <w:t>“peligrosos”,</w:t>
      </w:r>
      <w:r>
        <w:rPr>
          <w:spacing w:val="-7"/>
        </w:rPr>
        <w:t> </w:t>
      </w:r>
      <w:r>
        <w:rPr/>
        <w:t>se requieren con urgencia recortes sustanciales de las emisiones mundiales de gases de efecto invernadero antropogénicos (FAO, 2013). Los animales contribuyen al calentamiento global por la liberación de las emisiones de gases de efecto invernadero (GEI).</w:t>
      </w:r>
    </w:p>
    <w:p>
      <w:pPr>
        <w:pStyle w:val="BodyText"/>
        <w:spacing w:line="360" w:lineRule="auto" w:before="2"/>
        <w:ind w:left="276" w:right="143"/>
        <w:jc w:val="both"/>
      </w:pPr>
      <w:r>
        <w:rPr/>
        <w:t>Dependiendo del enfoque utilizado para la cuantificación y del tipo de emisiones estudiadas, diferentes instituciones (IPCC, FAO, EPA y otras) han calculado que la contribución del ganado a las emisiones mundiales de los GEI antropogénico representan entre el 7 y el 18 por ciento de las emisiones totales (Steinfeld et al., 2009; FAO, 2013b).</w:t>
      </w:r>
    </w:p>
    <w:p>
      <w:pPr>
        <w:pStyle w:val="BodyText"/>
        <w:spacing w:line="352" w:lineRule="auto" w:before="7"/>
        <w:ind w:left="276" w:right="143" w:firstLine="11"/>
        <w:jc w:val="both"/>
        <w:rPr>
          <w:sz w:val="16"/>
        </w:rPr>
      </w:pPr>
      <w:r>
        <w:rPr/>
        <w:t>La producción de ganado trae como resultado emisiones de GEI en todo el mundo como el metano (CH</w:t>
      </w:r>
      <w:r>
        <w:rPr>
          <w:position w:val="-2"/>
          <w:sz w:val="16"/>
        </w:rPr>
        <w:t>4</w:t>
      </w:r>
      <w:r>
        <w:rPr/>
        <w:t>) resultante de la fermentación entérica y emisiones de CH</w:t>
      </w:r>
      <w:r>
        <w:rPr>
          <w:position w:val="-2"/>
          <w:sz w:val="16"/>
        </w:rPr>
        <w:t>4 </w:t>
      </w:r>
      <w:r>
        <w:rPr/>
        <w:t>y óxido nitroso (N</w:t>
      </w:r>
      <w:r>
        <w:rPr>
          <w:position w:val="-2"/>
          <w:sz w:val="16"/>
        </w:rPr>
        <w:t>2</w:t>
      </w:r>
      <w:r>
        <w:rPr/>
        <w:t>O) como producto de los sistemas de gestión del estiércol del ganado (IPCC, 2006; FAO, 2013b). El gas de efecto invernadero producido por la fermentación entérica de los rumiantes durante el proceso digestivo normal es el CH</w:t>
      </w:r>
      <w:r>
        <w:rPr>
          <w:position w:val="-2"/>
          <w:sz w:val="16"/>
        </w:rPr>
        <w:t>4</w:t>
      </w:r>
      <w:r>
        <w:rPr/>
        <w:t>. La fermentación de CH</w:t>
      </w:r>
      <w:r>
        <w:rPr>
          <w:position w:val="-2"/>
          <w:sz w:val="16"/>
        </w:rPr>
        <w:t>4 </w:t>
      </w:r>
      <w:r>
        <w:rPr/>
        <w:t>es la suma de CH</w:t>
      </w:r>
      <w:r>
        <w:rPr>
          <w:position w:val="-2"/>
          <w:sz w:val="16"/>
        </w:rPr>
        <w:t>4 </w:t>
      </w:r>
      <w:r>
        <w:rPr/>
        <w:t>entérico y CH</w:t>
      </w:r>
      <w:r>
        <w:rPr>
          <w:position w:val="-2"/>
          <w:sz w:val="16"/>
        </w:rPr>
        <w:t>4 </w:t>
      </w:r>
      <w:r>
        <w:rPr/>
        <w:t>del estiércol (Veysset </w:t>
      </w:r>
      <w:r>
        <w:rPr>
          <w:i/>
        </w:rPr>
        <w:t>et al</w:t>
      </w:r>
      <w:r>
        <w:rPr/>
        <w:t>., 2010; Mihina </w:t>
      </w:r>
      <w:r>
        <w:rPr>
          <w:i/>
        </w:rPr>
        <w:t>et al.</w:t>
      </w:r>
      <w:r>
        <w:rPr/>
        <w:t>, 2012). La fermentación entérica del ganado es una gran Fuente de CH</w:t>
      </w:r>
      <w:r>
        <w:rPr>
          <w:position w:val="-2"/>
          <w:sz w:val="16"/>
        </w:rPr>
        <w:t>4</w:t>
      </w:r>
      <w:r>
        <w:rPr/>
        <w:t>, que tiene un potencial de calentamiento global 23 veces mayor que el dióxido de carbono (CO</w:t>
      </w:r>
      <w:r>
        <w:rPr>
          <w:position w:val="-2"/>
          <w:sz w:val="16"/>
        </w:rPr>
        <w:t>2</w:t>
      </w:r>
      <w:r>
        <w:rPr/>
        <w:t>) (Bhatta </w:t>
      </w:r>
      <w:r>
        <w:rPr>
          <w:i/>
        </w:rPr>
        <w:t>et al.</w:t>
      </w:r>
      <w:r>
        <w:rPr/>
        <w:t>, 2007; Lohet </w:t>
      </w:r>
      <w:r>
        <w:rPr>
          <w:i/>
        </w:rPr>
        <w:t>et al.</w:t>
      </w:r>
      <w:r>
        <w:rPr/>
        <w:t>, 2008). El CH</w:t>
      </w:r>
      <w:r>
        <w:rPr>
          <w:position w:val="-2"/>
          <w:sz w:val="16"/>
        </w:rPr>
        <w:t>4 </w:t>
      </w:r>
      <w:r>
        <w:rPr/>
        <w:t>de la agricultura surge principalmente de la fermentación entérica; Por lo</w:t>
      </w:r>
      <w:r>
        <w:rPr>
          <w:spacing w:val="-38"/>
        </w:rPr>
        <w:t> </w:t>
      </w:r>
      <w:r>
        <w:rPr/>
        <w:t>tanto, los rumiantes (especialmente carne y leche de ganado) son los principales responsables</w:t>
      </w:r>
      <w:r>
        <w:rPr>
          <w:spacing w:val="46"/>
        </w:rPr>
        <w:t> </w:t>
      </w:r>
      <w:r>
        <w:rPr/>
        <w:t>de</w:t>
      </w:r>
      <w:r>
        <w:rPr>
          <w:spacing w:val="46"/>
        </w:rPr>
        <w:t> </w:t>
      </w:r>
      <w:r>
        <w:rPr/>
        <w:t>las</w:t>
      </w:r>
      <w:r>
        <w:rPr>
          <w:spacing w:val="46"/>
        </w:rPr>
        <w:t> </w:t>
      </w:r>
      <w:r>
        <w:rPr/>
        <w:t>emisiones</w:t>
      </w:r>
      <w:r>
        <w:rPr>
          <w:spacing w:val="46"/>
        </w:rPr>
        <w:t> </w:t>
      </w:r>
      <w:r>
        <w:rPr/>
        <w:t>de</w:t>
      </w:r>
      <w:r>
        <w:rPr>
          <w:spacing w:val="46"/>
        </w:rPr>
        <w:t> </w:t>
      </w:r>
      <w:r>
        <w:rPr/>
        <w:t>CH</w:t>
      </w:r>
      <w:r>
        <w:rPr>
          <w:position w:val="-2"/>
          <w:sz w:val="16"/>
        </w:rPr>
        <w:t>4 </w:t>
      </w:r>
      <w:r>
        <w:rPr>
          <w:spacing w:val="24"/>
          <w:position w:val="-2"/>
          <w:sz w:val="16"/>
        </w:rPr>
        <w:t> </w:t>
      </w:r>
      <w:r>
        <w:rPr/>
        <w:t>entérico</w:t>
      </w:r>
      <w:r>
        <w:rPr>
          <w:spacing w:val="46"/>
        </w:rPr>
        <w:t> </w:t>
      </w:r>
      <w:r>
        <w:rPr/>
        <w:t>(Kebreab</w:t>
      </w:r>
      <w:r>
        <w:rPr>
          <w:spacing w:val="46"/>
        </w:rPr>
        <w:t> </w:t>
      </w:r>
      <w:r>
        <w:rPr>
          <w:i/>
        </w:rPr>
        <w:t>et</w:t>
      </w:r>
      <w:r>
        <w:rPr>
          <w:i/>
          <w:spacing w:val="46"/>
        </w:rPr>
        <w:t> </w:t>
      </w:r>
      <w:r>
        <w:rPr>
          <w:i/>
        </w:rPr>
        <w:t>al.</w:t>
      </w:r>
      <w:r>
        <w:rPr/>
        <w:t>,</w:t>
      </w:r>
      <w:r>
        <w:rPr>
          <w:spacing w:val="46"/>
        </w:rPr>
        <w:t> </w:t>
      </w:r>
      <w:r>
        <w:rPr/>
        <w:t>2006).</w:t>
      </w:r>
      <w:r>
        <w:rPr>
          <w:spacing w:val="46"/>
        </w:rPr>
        <w:t> </w:t>
      </w:r>
      <w:r>
        <w:rPr/>
        <w:t>El</w:t>
      </w:r>
      <w:r>
        <w:rPr>
          <w:spacing w:val="46"/>
        </w:rPr>
        <w:t> </w:t>
      </w:r>
      <w:r>
        <w:rPr/>
        <w:t>CH</w:t>
      </w:r>
      <w:r>
        <w:rPr>
          <w:position w:val="-2"/>
          <w:sz w:val="16"/>
        </w:rPr>
        <w:t>4</w:t>
      </w:r>
    </w:p>
    <w:p>
      <w:pPr>
        <w:spacing w:after="0" w:line="352" w:lineRule="auto"/>
        <w:jc w:val="both"/>
        <w:rPr>
          <w:sz w:val="16"/>
        </w:rPr>
        <w:sectPr>
          <w:footerReference w:type="default" r:id="rId188"/>
          <w:pgSz w:w="12240" w:h="15840"/>
          <w:pgMar w:footer="739" w:header="741" w:top="1220" w:bottom="920" w:left="1720" w:right="1260"/>
          <w:pgNumType w:start="121"/>
        </w:sectPr>
      </w:pPr>
    </w:p>
    <w:p>
      <w:pPr>
        <w:pStyle w:val="BodyText"/>
        <w:spacing w:before="4"/>
        <w:rPr>
          <w:sz w:val="11"/>
        </w:rPr>
      </w:pPr>
    </w:p>
    <w:p>
      <w:pPr>
        <w:pStyle w:val="BodyText"/>
        <w:spacing w:line="352" w:lineRule="auto" w:before="69"/>
        <w:ind w:left="276" w:right="144"/>
        <w:jc w:val="both"/>
      </w:pPr>
      <w:r>
        <w:rPr/>
        <w:t>entérico del ganado rumiante aporta del 17-37% de CH</w:t>
      </w:r>
      <w:r>
        <w:rPr>
          <w:position w:val="-2"/>
          <w:sz w:val="16"/>
        </w:rPr>
        <w:t>4 </w:t>
      </w:r>
      <w:r>
        <w:rPr/>
        <w:t>antropogénico (Beauchemin </w:t>
      </w:r>
      <w:r>
        <w:rPr>
          <w:i/>
        </w:rPr>
        <w:t>et al.</w:t>
      </w:r>
      <w:r>
        <w:rPr/>
        <w:t>, 2010; Sejian </w:t>
      </w:r>
      <w:r>
        <w:rPr>
          <w:i/>
        </w:rPr>
        <w:t>et al.</w:t>
      </w:r>
      <w:r>
        <w:rPr/>
        <w:t>, 2011).</w:t>
      </w:r>
    </w:p>
    <w:p>
      <w:pPr>
        <w:pStyle w:val="BodyText"/>
        <w:spacing w:line="352" w:lineRule="auto" w:before="11"/>
        <w:ind w:left="276" w:right="143" w:firstLine="11"/>
        <w:jc w:val="both"/>
      </w:pPr>
      <w:r>
        <w:rPr/>
        <w:t>Las</w:t>
      </w:r>
      <w:r>
        <w:rPr>
          <w:spacing w:val="-9"/>
        </w:rPr>
        <w:t> </w:t>
      </w:r>
      <w:r>
        <w:rPr/>
        <w:t>emisiones</w:t>
      </w:r>
      <w:r>
        <w:rPr>
          <w:spacing w:val="-9"/>
        </w:rPr>
        <w:t> </w:t>
      </w:r>
      <w:r>
        <w:rPr/>
        <w:t>de</w:t>
      </w:r>
      <w:r>
        <w:rPr>
          <w:spacing w:val="-9"/>
        </w:rPr>
        <w:t> </w:t>
      </w:r>
      <w:r>
        <w:rPr/>
        <w:t>CH</w:t>
      </w:r>
      <w:r>
        <w:rPr>
          <w:position w:val="-2"/>
          <w:sz w:val="16"/>
        </w:rPr>
        <w:t>4</w:t>
      </w:r>
      <w:r>
        <w:rPr>
          <w:spacing w:val="14"/>
          <w:position w:val="-2"/>
          <w:sz w:val="16"/>
        </w:rPr>
        <w:t> </w:t>
      </w:r>
      <w:r>
        <w:rPr/>
        <w:t>producidas</w:t>
      </w:r>
      <w:r>
        <w:rPr>
          <w:spacing w:val="-9"/>
        </w:rPr>
        <w:t> </w:t>
      </w:r>
      <w:r>
        <w:rPr/>
        <w:t>por</w:t>
      </w:r>
      <w:r>
        <w:rPr>
          <w:spacing w:val="-9"/>
        </w:rPr>
        <w:t> </w:t>
      </w:r>
      <w:r>
        <w:rPr/>
        <w:t>la</w:t>
      </w:r>
      <w:r>
        <w:rPr>
          <w:spacing w:val="-9"/>
        </w:rPr>
        <w:t> </w:t>
      </w:r>
      <w:r>
        <w:rPr/>
        <w:t>gestión</w:t>
      </w:r>
      <w:r>
        <w:rPr>
          <w:spacing w:val="-9"/>
        </w:rPr>
        <w:t> </w:t>
      </w:r>
      <w:r>
        <w:rPr/>
        <w:t>del</w:t>
      </w:r>
      <w:r>
        <w:rPr>
          <w:spacing w:val="-9"/>
        </w:rPr>
        <w:t> </w:t>
      </w:r>
      <w:r>
        <w:rPr/>
        <w:t>estiércol</w:t>
      </w:r>
      <w:r>
        <w:rPr>
          <w:spacing w:val="-9"/>
        </w:rPr>
        <w:t> </w:t>
      </w:r>
      <w:r>
        <w:rPr/>
        <w:t>tienden</w:t>
      </w:r>
      <w:r>
        <w:rPr>
          <w:spacing w:val="-9"/>
        </w:rPr>
        <w:t> </w:t>
      </w:r>
      <w:r>
        <w:rPr/>
        <w:t>a</w:t>
      </w:r>
      <w:r>
        <w:rPr>
          <w:spacing w:val="-9"/>
        </w:rPr>
        <w:t> </w:t>
      </w:r>
      <w:r>
        <w:rPr/>
        <w:t>ser</w:t>
      </w:r>
      <w:r>
        <w:rPr>
          <w:spacing w:val="-9"/>
        </w:rPr>
        <w:t> </w:t>
      </w:r>
      <w:r>
        <w:rPr/>
        <w:t>menores que las entéricas. La producción de CH</w:t>
      </w:r>
      <w:r>
        <w:rPr>
          <w:position w:val="-2"/>
          <w:sz w:val="16"/>
        </w:rPr>
        <w:t>4 </w:t>
      </w:r>
      <w:r>
        <w:rPr/>
        <w:t>entérico, representa la perdida de energía para el animal y varía entre el 2 y el 12% de la ingesta de energía bruta (</w:t>
      </w:r>
      <w:r>
        <w:rPr>
          <w:i/>
        </w:rPr>
        <w:t>Vargas et </w:t>
      </w:r>
      <w:r>
        <w:rPr>
          <w:i/>
        </w:rPr>
        <w:t>al.</w:t>
      </w:r>
      <w:r>
        <w:rPr/>
        <w:t>, 2012). A nivel mundial, 287 millones de toneladas anuales de CH</w:t>
      </w:r>
      <w:r>
        <w:rPr>
          <w:position w:val="-2"/>
          <w:sz w:val="16"/>
        </w:rPr>
        <w:t>4 </w:t>
      </w:r>
      <w:r>
        <w:rPr/>
        <w:t>se liberan</w:t>
      </w:r>
      <w:r>
        <w:rPr>
          <w:spacing w:val="-23"/>
        </w:rPr>
        <w:t> </w:t>
      </w:r>
      <w:r>
        <w:rPr/>
        <w:t>de las fuentes antropogénicas, de las cuales el 50% proviene de la agricultura y la mayor fuente biogénica de CH</w:t>
      </w:r>
      <w:r>
        <w:rPr>
          <w:position w:val="-2"/>
          <w:sz w:val="16"/>
        </w:rPr>
        <w:t>4 </w:t>
      </w:r>
      <w:r>
        <w:rPr/>
        <w:t>es entérico. El fuerte crecimiento previsto de esta producción ocasionará con el tiempo un aumento de los porcentajes y volúmenes de emisiones de GEI (FAO,</w:t>
      </w:r>
      <w:r>
        <w:rPr>
          <w:spacing w:val="-1"/>
        </w:rPr>
        <w:t> </w:t>
      </w:r>
      <w:r>
        <w:rPr/>
        <w:t>2013).</w:t>
      </w:r>
    </w:p>
    <w:p>
      <w:pPr>
        <w:pStyle w:val="BodyText"/>
        <w:spacing w:line="357" w:lineRule="auto" w:before="11"/>
        <w:ind w:left="276" w:right="143"/>
        <w:jc w:val="both"/>
      </w:pPr>
      <w:r>
        <w:rPr/>
        <w:t>En México, la agricultura contribuye con el 12.3% del total de las emisiones de GEI y es la segunda fuente de estos gases solo después del sector energético, al igual las emisiones de CH</w:t>
      </w:r>
      <w:r>
        <w:rPr>
          <w:position w:val="-2"/>
          <w:sz w:val="16"/>
        </w:rPr>
        <w:t>4 </w:t>
      </w:r>
      <w:r>
        <w:rPr/>
        <w:t>entérico ocupan el mismo sitio. (SEMARNAT, 2012; FAO, 2013).</w:t>
      </w:r>
    </w:p>
    <w:p>
      <w:pPr>
        <w:pStyle w:val="BodyText"/>
        <w:spacing w:line="357" w:lineRule="auto" w:before="5"/>
        <w:ind w:left="276" w:right="143"/>
        <w:jc w:val="both"/>
      </w:pPr>
      <w:r>
        <w:rPr/>
        <w:t>Durante</w:t>
      </w:r>
      <w:r>
        <w:rPr>
          <w:spacing w:val="-14"/>
        </w:rPr>
        <w:t> </w:t>
      </w:r>
      <w:r>
        <w:rPr/>
        <w:t>los</w:t>
      </w:r>
      <w:r>
        <w:rPr>
          <w:spacing w:val="-14"/>
        </w:rPr>
        <w:t> </w:t>
      </w:r>
      <w:r>
        <w:rPr/>
        <w:t>últimos</w:t>
      </w:r>
      <w:r>
        <w:rPr>
          <w:spacing w:val="-14"/>
        </w:rPr>
        <w:t> </w:t>
      </w:r>
      <w:r>
        <w:rPr/>
        <w:t>años,</w:t>
      </w:r>
      <w:r>
        <w:rPr>
          <w:spacing w:val="-14"/>
        </w:rPr>
        <w:t> </w:t>
      </w:r>
      <w:r>
        <w:rPr/>
        <w:t>se</w:t>
      </w:r>
      <w:r>
        <w:rPr>
          <w:spacing w:val="-14"/>
        </w:rPr>
        <w:t> </w:t>
      </w:r>
      <w:r>
        <w:rPr/>
        <w:t>han</w:t>
      </w:r>
      <w:r>
        <w:rPr>
          <w:spacing w:val="-14"/>
        </w:rPr>
        <w:t> </w:t>
      </w:r>
      <w:r>
        <w:rPr/>
        <w:t>desarrollado</w:t>
      </w:r>
      <w:r>
        <w:rPr>
          <w:spacing w:val="-14"/>
        </w:rPr>
        <w:t> </w:t>
      </w:r>
      <w:r>
        <w:rPr/>
        <w:t>diferentes</w:t>
      </w:r>
      <w:r>
        <w:rPr>
          <w:spacing w:val="-14"/>
        </w:rPr>
        <w:t> </w:t>
      </w:r>
      <w:r>
        <w:rPr/>
        <w:t>métodos</w:t>
      </w:r>
      <w:r>
        <w:rPr>
          <w:spacing w:val="-14"/>
        </w:rPr>
        <w:t> </w:t>
      </w:r>
      <w:r>
        <w:rPr/>
        <w:t>con</w:t>
      </w:r>
      <w:r>
        <w:rPr>
          <w:spacing w:val="-14"/>
        </w:rPr>
        <w:t> </w:t>
      </w:r>
      <w:r>
        <w:rPr/>
        <w:t>el</w:t>
      </w:r>
      <w:r>
        <w:rPr>
          <w:spacing w:val="-14"/>
        </w:rPr>
        <w:t> </w:t>
      </w:r>
      <w:r>
        <w:rPr/>
        <w:t>fin</w:t>
      </w:r>
      <w:r>
        <w:rPr>
          <w:spacing w:val="-14"/>
        </w:rPr>
        <w:t> </w:t>
      </w:r>
      <w:r>
        <w:rPr/>
        <w:t>de</w:t>
      </w:r>
      <w:r>
        <w:rPr>
          <w:spacing w:val="-14"/>
        </w:rPr>
        <w:t> </w:t>
      </w:r>
      <w:r>
        <w:rPr/>
        <w:t>medir y</w:t>
      </w:r>
      <w:r>
        <w:rPr>
          <w:spacing w:val="-18"/>
        </w:rPr>
        <w:t> </w:t>
      </w:r>
      <w:r>
        <w:rPr/>
        <w:t>estimar</w:t>
      </w:r>
      <w:r>
        <w:rPr>
          <w:spacing w:val="-18"/>
        </w:rPr>
        <w:t> </w:t>
      </w:r>
      <w:r>
        <w:rPr/>
        <w:t>las</w:t>
      </w:r>
      <w:r>
        <w:rPr>
          <w:spacing w:val="-18"/>
        </w:rPr>
        <w:t> </w:t>
      </w:r>
      <w:r>
        <w:rPr/>
        <w:t>emisiones</w:t>
      </w:r>
      <w:r>
        <w:rPr>
          <w:spacing w:val="-18"/>
        </w:rPr>
        <w:t> </w:t>
      </w:r>
      <w:r>
        <w:rPr/>
        <w:t>de</w:t>
      </w:r>
      <w:r>
        <w:rPr>
          <w:spacing w:val="-18"/>
        </w:rPr>
        <w:t> </w:t>
      </w:r>
      <w:r>
        <w:rPr/>
        <w:t>CH</w:t>
      </w:r>
      <w:r>
        <w:rPr>
          <w:position w:val="-2"/>
          <w:sz w:val="16"/>
        </w:rPr>
        <w:t>4</w:t>
      </w:r>
      <w:r>
        <w:rPr>
          <w:spacing w:val="5"/>
          <w:position w:val="-2"/>
          <w:sz w:val="16"/>
        </w:rPr>
        <w:t> </w:t>
      </w:r>
      <w:r>
        <w:rPr/>
        <w:t>de</w:t>
      </w:r>
      <w:r>
        <w:rPr>
          <w:spacing w:val="-18"/>
        </w:rPr>
        <w:t> </w:t>
      </w:r>
      <w:r>
        <w:rPr/>
        <w:t>los</w:t>
      </w:r>
      <w:r>
        <w:rPr>
          <w:spacing w:val="-18"/>
        </w:rPr>
        <w:t> </w:t>
      </w:r>
      <w:r>
        <w:rPr/>
        <w:t>rumiantes</w:t>
      </w:r>
      <w:r>
        <w:rPr>
          <w:spacing w:val="-18"/>
        </w:rPr>
        <w:t> </w:t>
      </w:r>
      <w:r>
        <w:rPr/>
        <w:t>en</w:t>
      </w:r>
      <w:r>
        <w:rPr>
          <w:spacing w:val="-18"/>
        </w:rPr>
        <w:t> </w:t>
      </w:r>
      <w:r>
        <w:rPr/>
        <w:t>diferentes</w:t>
      </w:r>
      <w:r>
        <w:rPr>
          <w:spacing w:val="-18"/>
        </w:rPr>
        <w:t> </w:t>
      </w:r>
      <w:r>
        <w:rPr/>
        <w:t>ámbitos</w:t>
      </w:r>
      <w:r>
        <w:rPr>
          <w:spacing w:val="-18"/>
        </w:rPr>
        <w:t> </w:t>
      </w:r>
      <w:r>
        <w:rPr/>
        <w:t>de</w:t>
      </w:r>
      <w:r>
        <w:rPr>
          <w:spacing w:val="-18"/>
        </w:rPr>
        <w:t> </w:t>
      </w:r>
      <w:r>
        <w:rPr/>
        <w:t>aplicación. Existen diferentes metodologías para la estimación y medición de las emisiones de CH</w:t>
      </w:r>
      <w:r>
        <w:rPr>
          <w:position w:val="-2"/>
          <w:sz w:val="16"/>
        </w:rPr>
        <w:t>4</w:t>
      </w:r>
      <w:r>
        <w:rPr/>
        <w:t>, de las más conocidas como las cámaras de respiración animal hasta la estimación por técnicas de modelado. Mientras las cámaras proporcionan una técnica de medición simple que es ideal para los diferentes tratamientos de las pruebas, hay desventajas también, ya que sólo una pequeña área o número de animales pueden ser estudiados (McGinn </w:t>
      </w:r>
      <w:r>
        <w:rPr>
          <w:i/>
        </w:rPr>
        <w:t>et al.</w:t>
      </w:r>
      <w:r>
        <w:rPr/>
        <w:t>, 2008; Haarlem Van </w:t>
      </w:r>
      <w:r>
        <w:rPr>
          <w:i/>
        </w:rPr>
        <w:t>et al.</w:t>
      </w:r>
      <w:r>
        <w:rPr/>
        <w:t>, 2008; Flesch </w:t>
      </w:r>
      <w:r>
        <w:rPr>
          <w:i/>
        </w:rPr>
        <w:t>et al.</w:t>
      </w:r>
      <w:r>
        <w:rPr/>
        <w:t>, 2007). La última tecnología desarrollada para estimar con mayor precisión el CH</w:t>
      </w:r>
      <w:r>
        <w:rPr>
          <w:position w:val="-2"/>
          <w:sz w:val="16"/>
        </w:rPr>
        <w:t>4 </w:t>
      </w:r>
      <w:r>
        <w:rPr/>
        <w:t>es la técnica micrometeorológica de diferencia de masa (Harper </w:t>
      </w:r>
      <w:r>
        <w:rPr>
          <w:i/>
        </w:rPr>
        <w:t>et </w:t>
      </w:r>
      <w:r>
        <w:rPr>
          <w:i/>
        </w:rPr>
        <w:t>al.</w:t>
      </w:r>
      <w:r>
        <w:rPr/>
        <w:t>, 1999; Sejian </w:t>
      </w:r>
      <w:r>
        <w:rPr>
          <w:i/>
        </w:rPr>
        <w:t>et al.</w:t>
      </w:r>
      <w:r>
        <w:rPr/>
        <w:t>,</w:t>
      </w:r>
      <w:r>
        <w:rPr>
          <w:spacing w:val="-4"/>
        </w:rPr>
        <w:t> </w:t>
      </w:r>
      <w:r>
        <w:rPr/>
        <w:t>2011).</w:t>
      </w:r>
    </w:p>
    <w:p>
      <w:pPr>
        <w:pStyle w:val="BodyText"/>
        <w:spacing w:line="355" w:lineRule="auto" w:before="5"/>
        <w:ind w:left="276" w:right="143"/>
        <w:jc w:val="both"/>
      </w:pPr>
      <w:r>
        <w:rPr/>
        <w:t>En los rumiantes la emisión de CH</w:t>
      </w:r>
      <w:r>
        <w:rPr>
          <w:position w:val="-2"/>
          <w:sz w:val="16"/>
        </w:rPr>
        <w:t>4 </w:t>
      </w:r>
      <w:r>
        <w:rPr/>
        <w:t>varía dependiendo de diferentes factores como las especies animales, raza, pH de fluido ruminal, relación acetato:propionato, población</w:t>
      </w:r>
      <w:r>
        <w:rPr>
          <w:spacing w:val="-7"/>
        </w:rPr>
        <w:t> </w:t>
      </w:r>
      <w:r>
        <w:rPr/>
        <w:t>de</w:t>
      </w:r>
      <w:r>
        <w:rPr>
          <w:spacing w:val="-7"/>
        </w:rPr>
        <w:t> </w:t>
      </w:r>
      <w:r>
        <w:rPr/>
        <w:t>metanógenos,</w:t>
      </w:r>
      <w:r>
        <w:rPr>
          <w:spacing w:val="-7"/>
        </w:rPr>
        <w:t> </w:t>
      </w:r>
      <w:r>
        <w:rPr/>
        <w:t>la</w:t>
      </w:r>
      <w:r>
        <w:rPr>
          <w:spacing w:val="-7"/>
        </w:rPr>
        <w:t> </w:t>
      </w:r>
      <w:r>
        <w:rPr/>
        <w:t>composición</w:t>
      </w:r>
      <w:r>
        <w:rPr>
          <w:spacing w:val="-7"/>
        </w:rPr>
        <w:t> </w:t>
      </w:r>
      <w:r>
        <w:rPr/>
        <w:t>de</w:t>
      </w:r>
      <w:r>
        <w:rPr>
          <w:spacing w:val="-7"/>
        </w:rPr>
        <w:t> </w:t>
      </w:r>
      <w:r>
        <w:rPr/>
        <w:t>la</w:t>
      </w:r>
      <w:r>
        <w:rPr>
          <w:spacing w:val="-7"/>
        </w:rPr>
        <w:t> </w:t>
      </w:r>
      <w:r>
        <w:rPr/>
        <w:t>dieta</w:t>
      </w:r>
      <w:r>
        <w:rPr>
          <w:spacing w:val="-7"/>
        </w:rPr>
        <w:t> </w:t>
      </w:r>
      <w:r>
        <w:rPr/>
        <w:t>y</w:t>
      </w:r>
      <w:r>
        <w:rPr>
          <w:spacing w:val="-7"/>
        </w:rPr>
        <w:t> </w:t>
      </w:r>
      <w:r>
        <w:rPr/>
        <w:t>la</w:t>
      </w:r>
      <w:r>
        <w:rPr>
          <w:spacing w:val="-7"/>
        </w:rPr>
        <w:t> </w:t>
      </w:r>
      <w:r>
        <w:rPr/>
        <w:t>cantidad</w:t>
      </w:r>
      <w:r>
        <w:rPr>
          <w:spacing w:val="-7"/>
        </w:rPr>
        <w:t> </w:t>
      </w:r>
      <w:r>
        <w:rPr/>
        <w:t>de</w:t>
      </w:r>
      <w:r>
        <w:rPr>
          <w:spacing w:val="-7"/>
        </w:rPr>
        <w:t> </w:t>
      </w:r>
      <w:r>
        <w:rPr/>
        <w:t>concentrado en</w:t>
      </w:r>
      <w:r>
        <w:rPr>
          <w:spacing w:val="-5"/>
        </w:rPr>
        <w:t> </w:t>
      </w:r>
      <w:r>
        <w:rPr/>
        <w:t>el</w:t>
      </w:r>
      <w:r>
        <w:rPr>
          <w:spacing w:val="-5"/>
        </w:rPr>
        <w:t> </w:t>
      </w:r>
      <w:r>
        <w:rPr/>
        <w:t>alimento.</w:t>
      </w:r>
      <w:r>
        <w:rPr>
          <w:spacing w:val="-5"/>
        </w:rPr>
        <w:t> </w:t>
      </w:r>
      <w:r>
        <w:rPr/>
        <w:t>Entre</w:t>
      </w:r>
      <w:r>
        <w:rPr>
          <w:spacing w:val="-5"/>
        </w:rPr>
        <w:t> </w:t>
      </w:r>
      <w:r>
        <w:rPr/>
        <w:t>los</w:t>
      </w:r>
      <w:r>
        <w:rPr>
          <w:spacing w:val="-5"/>
        </w:rPr>
        <w:t> </w:t>
      </w:r>
      <w:r>
        <w:rPr/>
        <w:t>animales</w:t>
      </w:r>
      <w:r>
        <w:rPr>
          <w:spacing w:val="-5"/>
        </w:rPr>
        <w:t> </w:t>
      </w:r>
      <w:r>
        <w:rPr/>
        <w:t>rumiantes,</w:t>
      </w:r>
      <w:r>
        <w:rPr>
          <w:spacing w:val="-5"/>
        </w:rPr>
        <w:t> </w:t>
      </w:r>
      <w:r>
        <w:rPr/>
        <w:t>el</w:t>
      </w:r>
      <w:r>
        <w:rPr>
          <w:spacing w:val="-5"/>
        </w:rPr>
        <w:t> </w:t>
      </w:r>
      <w:r>
        <w:rPr/>
        <w:t>ganado</w:t>
      </w:r>
      <w:r>
        <w:rPr>
          <w:spacing w:val="-5"/>
        </w:rPr>
        <w:t> </w:t>
      </w:r>
      <w:r>
        <w:rPr/>
        <w:t>es</w:t>
      </w:r>
      <w:r>
        <w:rPr>
          <w:spacing w:val="-5"/>
        </w:rPr>
        <w:t> </w:t>
      </w:r>
      <w:r>
        <w:rPr/>
        <w:t>el</w:t>
      </w:r>
      <w:r>
        <w:rPr>
          <w:spacing w:val="-5"/>
        </w:rPr>
        <w:t> </w:t>
      </w:r>
      <w:r>
        <w:rPr/>
        <w:t>que</w:t>
      </w:r>
      <w:r>
        <w:rPr>
          <w:spacing w:val="-5"/>
        </w:rPr>
        <w:t> </w:t>
      </w:r>
      <w:r>
        <w:rPr/>
        <w:t>más</w:t>
      </w:r>
      <w:r>
        <w:rPr>
          <w:spacing w:val="-5"/>
        </w:rPr>
        <w:t> </w:t>
      </w:r>
      <w:r>
        <w:rPr/>
        <w:t>contribuye</w:t>
      </w:r>
      <w:r>
        <w:rPr>
          <w:spacing w:val="-5"/>
        </w:rPr>
        <w:t> </w:t>
      </w:r>
      <w:r>
        <w:rPr/>
        <w:t>al efecto invernadero a través de la emisión de CH</w:t>
      </w:r>
      <w:r>
        <w:rPr>
          <w:position w:val="-2"/>
          <w:sz w:val="16"/>
        </w:rPr>
        <w:t>4 </w:t>
      </w:r>
      <w:r>
        <w:rPr/>
        <w:t>(Charmley </w:t>
      </w:r>
      <w:r>
        <w:rPr>
          <w:i/>
        </w:rPr>
        <w:t>et al.</w:t>
      </w:r>
      <w:r>
        <w:rPr/>
        <w:t>, 2008; Bhatta </w:t>
      </w:r>
      <w:r>
        <w:rPr>
          <w:i/>
        </w:rPr>
        <w:t>et </w:t>
      </w:r>
      <w:r>
        <w:rPr>
          <w:i/>
        </w:rPr>
        <w:t>al.</w:t>
      </w:r>
      <w:r>
        <w:rPr/>
        <w:t>,</w:t>
      </w:r>
      <w:r>
        <w:rPr>
          <w:spacing w:val="-1"/>
        </w:rPr>
        <w:t> </w:t>
      </w:r>
      <w:r>
        <w:rPr/>
        <w:t>2008).</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Este trabajo presenta algunos de los métodos más comunes para medir y estimar el CH</w:t>
      </w:r>
      <w:r>
        <w:rPr>
          <w:position w:val="-2"/>
          <w:sz w:val="16"/>
        </w:rPr>
        <w:t>4 </w:t>
      </w:r>
      <w:r>
        <w:rPr/>
        <w:t>generado por los rumiantes. Existen muchos métodos para la estimación y medición de las emisiones de CH</w:t>
      </w:r>
      <w:r>
        <w:rPr>
          <w:position w:val="-2"/>
          <w:sz w:val="16"/>
        </w:rPr>
        <w:t>4</w:t>
      </w:r>
      <w:r>
        <w:rPr/>
        <w:t>, pero ninguno de ellos es perfecto, se requiere del</w:t>
      </w:r>
      <w:r>
        <w:rPr>
          <w:spacing w:val="-16"/>
        </w:rPr>
        <w:t> </w:t>
      </w:r>
      <w:r>
        <w:rPr/>
        <w:t>conocimiento</w:t>
      </w:r>
      <w:r>
        <w:rPr>
          <w:spacing w:val="-16"/>
        </w:rPr>
        <w:t> </w:t>
      </w:r>
      <w:r>
        <w:rPr/>
        <w:t>previo</w:t>
      </w:r>
      <w:r>
        <w:rPr>
          <w:spacing w:val="-16"/>
        </w:rPr>
        <w:t> </w:t>
      </w:r>
      <w:r>
        <w:rPr/>
        <w:t>de</w:t>
      </w:r>
      <w:r>
        <w:rPr>
          <w:spacing w:val="-17"/>
        </w:rPr>
        <w:t> </w:t>
      </w:r>
      <w:r>
        <w:rPr/>
        <w:t>cada</w:t>
      </w:r>
      <w:r>
        <w:rPr>
          <w:spacing w:val="-16"/>
        </w:rPr>
        <w:t> </w:t>
      </w:r>
      <w:r>
        <w:rPr/>
        <w:t>uno</w:t>
      </w:r>
      <w:r>
        <w:rPr>
          <w:spacing w:val="-16"/>
        </w:rPr>
        <w:t> </w:t>
      </w:r>
      <w:r>
        <w:rPr/>
        <w:t>de</w:t>
      </w:r>
      <w:r>
        <w:rPr>
          <w:spacing w:val="-16"/>
        </w:rPr>
        <w:t> </w:t>
      </w:r>
      <w:r>
        <w:rPr/>
        <w:t>ellos,</w:t>
      </w:r>
      <w:r>
        <w:rPr>
          <w:spacing w:val="-17"/>
        </w:rPr>
        <w:t> </w:t>
      </w:r>
      <w:r>
        <w:rPr/>
        <w:t>por</w:t>
      </w:r>
      <w:r>
        <w:rPr>
          <w:spacing w:val="-16"/>
        </w:rPr>
        <w:t> </w:t>
      </w:r>
      <w:r>
        <w:rPr/>
        <w:t>estas</w:t>
      </w:r>
      <w:r>
        <w:rPr>
          <w:spacing w:val="-16"/>
        </w:rPr>
        <w:t> </w:t>
      </w:r>
      <w:r>
        <w:rPr/>
        <w:t>razones</w:t>
      </w:r>
      <w:r>
        <w:rPr>
          <w:spacing w:val="-16"/>
        </w:rPr>
        <w:t> </w:t>
      </w:r>
      <w:r>
        <w:rPr/>
        <w:t>es</w:t>
      </w:r>
      <w:r>
        <w:rPr>
          <w:spacing w:val="-16"/>
        </w:rPr>
        <w:t> </w:t>
      </w:r>
      <w:r>
        <w:rPr/>
        <w:t>importante</w:t>
      </w:r>
      <w:r>
        <w:rPr>
          <w:spacing w:val="-16"/>
        </w:rPr>
        <w:t> </w:t>
      </w:r>
      <w:r>
        <w:rPr/>
        <w:t>tomar en</w:t>
      </w:r>
      <w:r>
        <w:rPr>
          <w:spacing w:val="-17"/>
        </w:rPr>
        <w:t> </w:t>
      </w:r>
      <w:r>
        <w:rPr/>
        <w:t>cuenta</w:t>
      </w:r>
      <w:r>
        <w:rPr>
          <w:spacing w:val="-17"/>
        </w:rPr>
        <w:t> </w:t>
      </w:r>
      <w:r>
        <w:rPr/>
        <w:t>las</w:t>
      </w:r>
      <w:r>
        <w:rPr>
          <w:spacing w:val="-17"/>
        </w:rPr>
        <w:t> </w:t>
      </w:r>
      <w:r>
        <w:rPr/>
        <w:t>ventajas</w:t>
      </w:r>
      <w:r>
        <w:rPr>
          <w:spacing w:val="-17"/>
        </w:rPr>
        <w:t> </w:t>
      </w:r>
      <w:r>
        <w:rPr/>
        <w:t>y</w:t>
      </w:r>
      <w:r>
        <w:rPr>
          <w:spacing w:val="-17"/>
        </w:rPr>
        <w:t> </w:t>
      </w:r>
      <w:r>
        <w:rPr/>
        <w:t>desventajas</w:t>
      </w:r>
      <w:r>
        <w:rPr>
          <w:spacing w:val="-17"/>
        </w:rPr>
        <w:t> </w:t>
      </w:r>
      <w:r>
        <w:rPr/>
        <w:t>que</w:t>
      </w:r>
      <w:r>
        <w:rPr>
          <w:spacing w:val="-17"/>
        </w:rPr>
        <w:t> </w:t>
      </w:r>
      <w:r>
        <w:rPr/>
        <w:t>presenta</w:t>
      </w:r>
      <w:r>
        <w:rPr>
          <w:spacing w:val="-17"/>
        </w:rPr>
        <w:t> </w:t>
      </w:r>
      <w:r>
        <w:rPr/>
        <w:t>estos</w:t>
      </w:r>
      <w:r>
        <w:rPr>
          <w:spacing w:val="-17"/>
        </w:rPr>
        <w:t> </w:t>
      </w:r>
      <w:r>
        <w:rPr/>
        <w:t>métodos</w:t>
      </w:r>
      <w:r>
        <w:rPr>
          <w:spacing w:val="-17"/>
        </w:rPr>
        <w:t> </w:t>
      </w:r>
      <w:r>
        <w:rPr/>
        <w:t>de</w:t>
      </w:r>
      <w:r>
        <w:rPr>
          <w:spacing w:val="-17"/>
        </w:rPr>
        <w:t> </w:t>
      </w:r>
      <w:r>
        <w:rPr/>
        <w:t>medición</w:t>
      </w:r>
      <w:r>
        <w:rPr>
          <w:spacing w:val="-17"/>
        </w:rPr>
        <w:t> </w:t>
      </w:r>
      <w:r>
        <w:rPr/>
        <w:t>antes de su aplicación. El objetivo de esta revisión es el de analizar algunos métodos de estimación y medición del metano emitidos por los</w:t>
      </w:r>
      <w:r>
        <w:rPr>
          <w:spacing w:val="-1"/>
        </w:rPr>
        <w:t> </w:t>
      </w:r>
      <w:r>
        <w:rPr/>
        <w:t>bovinos.</w:t>
      </w:r>
    </w:p>
    <w:p>
      <w:pPr>
        <w:pStyle w:val="BodyText"/>
      </w:pPr>
    </w:p>
    <w:p>
      <w:pPr>
        <w:pStyle w:val="BodyText"/>
      </w:pPr>
    </w:p>
    <w:p>
      <w:pPr>
        <w:pStyle w:val="BodyText"/>
        <w:spacing w:before="7"/>
      </w:pPr>
    </w:p>
    <w:p>
      <w:pPr>
        <w:pStyle w:val="Heading6"/>
        <w:spacing w:before="1"/>
        <w:ind w:left="287"/>
      </w:pPr>
      <w:r>
        <w:rPr/>
        <w:t>Muestreo de metano a partir de diferentes metodologías</w:t>
      </w:r>
    </w:p>
    <w:p>
      <w:pPr>
        <w:pStyle w:val="BodyText"/>
        <w:spacing w:line="357" w:lineRule="auto" w:before="137"/>
        <w:ind w:left="276" w:right="143"/>
        <w:jc w:val="both"/>
      </w:pPr>
      <w:r>
        <w:rPr/>
        <w:t>Existen</w:t>
      </w:r>
      <w:r>
        <w:rPr>
          <w:spacing w:val="-7"/>
        </w:rPr>
        <w:t> </w:t>
      </w:r>
      <w:r>
        <w:rPr/>
        <w:t>diversos</w:t>
      </w:r>
      <w:r>
        <w:rPr>
          <w:spacing w:val="-7"/>
        </w:rPr>
        <w:t> </w:t>
      </w:r>
      <w:r>
        <w:rPr/>
        <w:t>métodos</w:t>
      </w:r>
      <w:r>
        <w:rPr>
          <w:spacing w:val="-7"/>
        </w:rPr>
        <w:t> </w:t>
      </w:r>
      <w:r>
        <w:rPr/>
        <w:t>disponibles</w:t>
      </w:r>
      <w:r>
        <w:rPr>
          <w:spacing w:val="-7"/>
        </w:rPr>
        <w:t> </w:t>
      </w:r>
      <w:r>
        <w:rPr/>
        <w:t>que</w:t>
      </w:r>
      <w:r>
        <w:rPr>
          <w:spacing w:val="-7"/>
        </w:rPr>
        <w:t> </w:t>
      </w:r>
      <w:r>
        <w:rPr/>
        <w:t>son</w:t>
      </w:r>
      <w:r>
        <w:rPr>
          <w:spacing w:val="-7"/>
        </w:rPr>
        <w:t> </w:t>
      </w:r>
      <w:r>
        <w:rPr/>
        <w:t>adecuados</w:t>
      </w:r>
      <w:r>
        <w:rPr>
          <w:spacing w:val="-7"/>
        </w:rPr>
        <w:t> </w:t>
      </w:r>
      <w:r>
        <w:rPr/>
        <w:t>para</w:t>
      </w:r>
      <w:r>
        <w:rPr>
          <w:spacing w:val="-7"/>
        </w:rPr>
        <w:t> </w:t>
      </w:r>
      <w:r>
        <w:rPr/>
        <w:t>la</w:t>
      </w:r>
      <w:r>
        <w:rPr>
          <w:spacing w:val="-7"/>
        </w:rPr>
        <w:t> </w:t>
      </w:r>
      <w:r>
        <w:rPr/>
        <w:t>medición</w:t>
      </w:r>
      <w:r>
        <w:rPr>
          <w:spacing w:val="-7"/>
        </w:rPr>
        <w:t> </w:t>
      </w:r>
      <w:r>
        <w:rPr/>
        <w:t>de</w:t>
      </w:r>
      <w:r>
        <w:rPr>
          <w:spacing w:val="-7"/>
        </w:rPr>
        <w:t> </w:t>
      </w:r>
      <w:r>
        <w:rPr/>
        <w:t>CH</w:t>
      </w:r>
      <w:r>
        <w:rPr>
          <w:position w:val="-2"/>
          <w:sz w:val="16"/>
        </w:rPr>
        <w:t>4</w:t>
      </w:r>
      <w:r>
        <w:rPr/>
        <w:t>. Para desarrollar estrategias que mitiguen las emisiones de CH</w:t>
      </w:r>
      <w:r>
        <w:rPr>
          <w:position w:val="-2"/>
          <w:sz w:val="16"/>
        </w:rPr>
        <w:t>4 </w:t>
      </w:r>
      <w:r>
        <w:rPr/>
        <w:t>en la ganadería, debe</w:t>
      </w:r>
      <w:r>
        <w:rPr>
          <w:spacing w:val="-17"/>
        </w:rPr>
        <w:t> </w:t>
      </w:r>
      <w:r>
        <w:rPr/>
        <w:t>ser</w:t>
      </w:r>
      <w:r>
        <w:rPr>
          <w:spacing w:val="-17"/>
        </w:rPr>
        <w:t> </w:t>
      </w:r>
      <w:r>
        <w:rPr/>
        <w:t>posible</w:t>
      </w:r>
      <w:r>
        <w:rPr>
          <w:spacing w:val="-17"/>
        </w:rPr>
        <w:t> </w:t>
      </w:r>
      <w:r>
        <w:rPr/>
        <w:t>cuantificar</w:t>
      </w:r>
      <w:r>
        <w:rPr>
          <w:spacing w:val="-17"/>
        </w:rPr>
        <w:t> </w:t>
      </w:r>
      <w:r>
        <w:rPr/>
        <w:t>estas</w:t>
      </w:r>
      <w:r>
        <w:rPr>
          <w:spacing w:val="-17"/>
        </w:rPr>
        <w:t> </w:t>
      </w:r>
      <w:r>
        <w:rPr/>
        <w:t>emisiones</w:t>
      </w:r>
      <w:r>
        <w:rPr>
          <w:spacing w:val="-17"/>
        </w:rPr>
        <w:t> </w:t>
      </w:r>
      <w:r>
        <w:rPr/>
        <w:t>bajo</w:t>
      </w:r>
      <w:r>
        <w:rPr>
          <w:spacing w:val="-17"/>
        </w:rPr>
        <w:t> </w:t>
      </w:r>
      <w:r>
        <w:rPr/>
        <w:t>un</w:t>
      </w:r>
      <w:r>
        <w:rPr>
          <w:spacing w:val="-17"/>
        </w:rPr>
        <w:t> </w:t>
      </w:r>
      <w:r>
        <w:rPr/>
        <w:t>amplio</w:t>
      </w:r>
      <w:r>
        <w:rPr>
          <w:spacing w:val="-17"/>
        </w:rPr>
        <w:t> </w:t>
      </w:r>
      <w:r>
        <w:rPr/>
        <w:t>rango</w:t>
      </w:r>
      <w:r>
        <w:rPr>
          <w:spacing w:val="-17"/>
        </w:rPr>
        <w:t> </w:t>
      </w:r>
      <w:r>
        <w:rPr/>
        <w:t>de</w:t>
      </w:r>
      <w:r>
        <w:rPr>
          <w:spacing w:val="-17"/>
        </w:rPr>
        <w:t> </w:t>
      </w:r>
      <w:r>
        <w:rPr/>
        <w:t>circunstancias. El metano puede ser medido utilizando técnicas como espectroscopia de masa, cromatografía de gas y técnica diodo láser. Las mediciones de metano son</w:t>
      </w:r>
      <w:r>
        <w:rPr>
          <w:spacing w:val="-14"/>
        </w:rPr>
        <w:t> </w:t>
      </w:r>
      <w:r>
        <w:rPr/>
        <w:t>difíciles de realizar sin cámaras respiratorias. Una alternativa es estimar el metano a través de cálculos. Esto es usualmente a través de ecuaciones de regresión de consumo de energía digestible (ED), las cuales ignoran las relaciones de ácidos grasos volátiles</w:t>
      </w:r>
      <w:r>
        <w:rPr>
          <w:spacing w:val="-8"/>
        </w:rPr>
        <w:t> </w:t>
      </w:r>
      <w:r>
        <w:rPr/>
        <w:t>(AGV)</w:t>
      </w:r>
      <w:r>
        <w:rPr>
          <w:spacing w:val="-8"/>
        </w:rPr>
        <w:t> </w:t>
      </w:r>
      <w:r>
        <w:rPr/>
        <w:t>y</w:t>
      </w:r>
      <w:r>
        <w:rPr>
          <w:spacing w:val="-8"/>
        </w:rPr>
        <w:t> </w:t>
      </w:r>
      <w:r>
        <w:rPr/>
        <w:t>el</w:t>
      </w:r>
      <w:r>
        <w:rPr>
          <w:spacing w:val="-8"/>
        </w:rPr>
        <w:t> </w:t>
      </w:r>
      <w:r>
        <w:rPr/>
        <w:t>balance</w:t>
      </w:r>
      <w:r>
        <w:rPr>
          <w:spacing w:val="-8"/>
        </w:rPr>
        <w:t> </w:t>
      </w:r>
      <w:r>
        <w:rPr/>
        <w:t>del</w:t>
      </w:r>
      <w:r>
        <w:rPr>
          <w:spacing w:val="-8"/>
        </w:rPr>
        <w:t> </w:t>
      </w:r>
      <w:r>
        <w:rPr/>
        <w:t>carbono.</w:t>
      </w:r>
      <w:r>
        <w:rPr>
          <w:spacing w:val="-8"/>
        </w:rPr>
        <w:t> </w:t>
      </w:r>
      <w:r>
        <w:rPr/>
        <w:t>Esto</w:t>
      </w:r>
      <w:r>
        <w:rPr>
          <w:spacing w:val="-8"/>
        </w:rPr>
        <w:t> </w:t>
      </w:r>
      <w:r>
        <w:rPr/>
        <w:t>conlleva</w:t>
      </w:r>
      <w:r>
        <w:rPr>
          <w:spacing w:val="-8"/>
        </w:rPr>
        <w:t> </w:t>
      </w:r>
      <w:r>
        <w:rPr/>
        <w:t>a</w:t>
      </w:r>
      <w:r>
        <w:rPr>
          <w:spacing w:val="-8"/>
        </w:rPr>
        <w:t> </w:t>
      </w:r>
      <w:r>
        <w:rPr/>
        <w:t>que</w:t>
      </w:r>
      <w:r>
        <w:rPr>
          <w:spacing w:val="-8"/>
        </w:rPr>
        <w:t> </w:t>
      </w:r>
      <w:r>
        <w:rPr/>
        <w:t>los</w:t>
      </w:r>
      <w:r>
        <w:rPr>
          <w:spacing w:val="-8"/>
        </w:rPr>
        <w:t> </w:t>
      </w:r>
      <w:r>
        <w:rPr/>
        <w:t>valores</w:t>
      </w:r>
      <w:r>
        <w:rPr>
          <w:spacing w:val="-8"/>
        </w:rPr>
        <w:t> </w:t>
      </w:r>
      <w:r>
        <w:rPr/>
        <w:t>de</w:t>
      </w:r>
      <w:r>
        <w:rPr>
          <w:spacing w:val="-8"/>
        </w:rPr>
        <w:t> </w:t>
      </w:r>
      <w:r>
        <w:rPr/>
        <w:t>energía metabolizable (EM) puedan no ser buenos estimativos en la producción de metano (Van</w:t>
      </w:r>
      <w:r>
        <w:rPr>
          <w:spacing w:val="-13"/>
        </w:rPr>
        <w:t> </w:t>
      </w:r>
      <w:r>
        <w:rPr/>
        <w:t>Soest,</w:t>
      </w:r>
      <w:r>
        <w:rPr>
          <w:spacing w:val="-13"/>
        </w:rPr>
        <w:t> </w:t>
      </w:r>
      <w:r>
        <w:rPr/>
        <w:t>1994;</w:t>
      </w:r>
      <w:r>
        <w:rPr>
          <w:spacing w:val="-13"/>
        </w:rPr>
        <w:t> </w:t>
      </w:r>
      <w:r>
        <w:rPr/>
        <w:t>Johnson</w:t>
      </w:r>
      <w:r>
        <w:rPr>
          <w:spacing w:val="-13"/>
        </w:rPr>
        <w:t> </w:t>
      </w:r>
      <w:r>
        <w:rPr>
          <w:i/>
        </w:rPr>
        <w:t>et</w:t>
      </w:r>
      <w:r>
        <w:rPr>
          <w:i/>
          <w:spacing w:val="-13"/>
        </w:rPr>
        <w:t> </w:t>
      </w:r>
      <w:r>
        <w:rPr>
          <w:i/>
        </w:rPr>
        <w:t>al.</w:t>
      </w:r>
      <w:r>
        <w:rPr>
          <w:i/>
          <w:spacing w:val="-14"/>
        </w:rPr>
        <w:t> </w:t>
      </w:r>
      <w:r>
        <w:rPr/>
        <w:t>1995;</w:t>
      </w:r>
      <w:r>
        <w:rPr>
          <w:spacing w:val="-13"/>
        </w:rPr>
        <w:t> </w:t>
      </w:r>
      <w:r>
        <w:rPr/>
        <w:t>Carmona</w:t>
      </w:r>
      <w:r>
        <w:rPr>
          <w:spacing w:val="-13"/>
        </w:rPr>
        <w:t> </w:t>
      </w:r>
      <w:r>
        <w:rPr>
          <w:i/>
        </w:rPr>
        <w:t>et</w:t>
      </w:r>
      <w:r>
        <w:rPr>
          <w:i/>
          <w:spacing w:val="-13"/>
        </w:rPr>
        <w:t> </w:t>
      </w:r>
      <w:r>
        <w:rPr>
          <w:i/>
        </w:rPr>
        <w:t>al.</w:t>
      </w:r>
      <w:r>
        <w:rPr>
          <w:i/>
          <w:spacing w:val="-14"/>
        </w:rPr>
        <w:t> </w:t>
      </w:r>
      <w:r>
        <w:rPr/>
        <w:t>2005).</w:t>
      </w:r>
      <w:r>
        <w:rPr>
          <w:spacing w:val="-13"/>
        </w:rPr>
        <w:t> </w:t>
      </w:r>
      <w:r>
        <w:rPr/>
        <w:t>Sin</w:t>
      </w:r>
      <w:r>
        <w:rPr>
          <w:spacing w:val="-13"/>
        </w:rPr>
        <w:t> </w:t>
      </w:r>
      <w:r>
        <w:rPr/>
        <w:t>embargo,</w:t>
      </w:r>
      <w:r>
        <w:rPr>
          <w:spacing w:val="-13"/>
        </w:rPr>
        <w:t> </w:t>
      </w:r>
      <w:r>
        <w:rPr/>
        <w:t>diversos factores deben ser considerados con el fin de seleccionar la técnica más</w:t>
      </w:r>
      <w:r>
        <w:rPr>
          <w:spacing w:val="-12"/>
        </w:rPr>
        <w:t> </w:t>
      </w:r>
      <w:r>
        <w:rPr/>
        <w:t>adecuada como el costo, el nivel de precisión requerida, la escala y el diseño de los experimentos que se realizarán ya que cada uno tiene sus ventajas y desventajas (Johnson </w:t>
      </w:r>
      <w:r>
        <w:rPr>
          <w:i/>
        </w:rPr>
        <w:t>et al.</w:t>
      </w:r>
      <w:r>
        <w:rPr/>
        <w:t>,</w:t>
      </w:r>
      <w:r>
        <w:rPr>
          <w:spacing w:val="-3"/>
        </w:rPr>
        <w:t> </w:t>
      </w:r>
      <w:r>
        <w:rPr/>
        <w:t>2000).</w:t>
      </w:r>
    </w:p>
    <w:p>
      <w:pPr>
        <w:pStyle w:val="BodyText"/>
      </w:pPr>
    </w:p>
    <w:p>
      <w:pPr>
        <w:pStyle w:val="BodyText"/>
      </w:pPr>
    </w:p>
    <w:p>
      <w:pPr>
        <w:pStyle w:val="BodyText"/>
        <w:spacing w:before="7"/>
      </w:pPr>
    </w:p>
    <w:p>
      <w:pPr>
        <w:pStyle w:val="Heading6"/>
        <w:spacing w:before="1"/>
      </w:pPr>
      <w:r>
        <w:rPr/>
        <w:t>Estimación Indirecta</w:t>
      </w:r>
    </w:p>
    <w:p>
      <w:pPr>
        <w:spacing w:before="137"/>
        <w:ind w:left="287" w:right="0" w:firstLine="0"/>
        <w:jc w:val="both"/>
        <w:rPr>
          <w:b/>
          <w:i/>
          <w:sz w:val="24"/>
        </w:rPr>
      </w:pPr>
      <w:r>
        <w:rPr>
          <w:b/>
          <w:sz w:val="24"/>
        </w:rPr>
        <w:t>Incubación del método fermentativo </w:t>
      </w:r>
      <w:r>
        <w:rPr>
          <w:b/>
          <w:i/>
          <w:sz w:val="24"/>
        </w:rPr>
        <w:t>in vitro</w:t>
      </w:r>
    </w:p>
    <w:p>
      <w:pPr>
        <w:pStyle w:val="BodyText"/>
        <w:spacing w:line="362" w:lineRule="auto" w:before="137"/>
        <w:ind w:left="276" w:right="143"/>
        <w:jc w:val="both"/>
      </w:pPr>
      <w:r>
        <w:rPr/>
        <w:t>Los estudios en fermentación y digestión juegan un papel crucial en los estudios nutricionales y fisiológicos en rumiantes. Desde la década de los 50’s muchos</w:t>
      </w:r>
    </w:p>
    <w:p>
      <w:pPr>
        <w:spacing w:after="0" w:line="362"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métodos han sido desarrollados para simular el ecosistema ruminal. Aunque los estudios in vivo han sido de gran importancia, las simulaciones </w:t>
      </w:r>
      <w:r>
        <w:rPr>
          <w:i/>
        </w:rPr>
        <w:t>in vitro </w:t>
      </w:r>
      <w:r>
        <w:rPr/>
        <w:t>del medio ambiente ruminal son frecuentemente efectivas y eficientes por su rapidez y bajo costo</w:t>
      </w:r>
      <w:r>
        <w:rPr>
          <w:spacing w:val="-5"/>
        </w:rPr>
        <w:t> </w:t>
      </w:r>
      <w:r>
        <w:rPr/>
        <w:t>de</w:t>
      </w:r>
      <w:r>
        <w:rPr>
          <w:spacing w:val="-5"/>
        </w:rPr>
        <w:t> </w:t>
      </w:r>
      <w:r>
        <w:rPr/>
        <w:t>operación.</w:t>
      </w:r>
      <w:r>
        <w:rPr>
          <w:spacing w:val="-5"/>
        </w:rPr>
        <w:t> </w:t>
      </w:r>
      <w:r>
        <w:rPr/>
        <w:t>Además,</w:t>
      </w:r>
      <w:r>
        <w:rPr>
          <w:spacing w:val="-5"/>
        </w:rPr>
        <w:t> </w:t>
      </w:r>
      <w:r>
        <w:rPr/>
        <w:t>porque</w:t>
      </w:r>
      <w:r>
        <w:rPr>
          <w:spacing w:val="-5"/>
        </w:rPr>
        <w:t> </w:t>
      </w:r>
      <w:r>
        <w:rPr/>
        <w:t>se</w:t>
      </w:r>
      <w:r>
        <w:rPr>
          <w:spacing w:val="-5"/>
        </w:rPr>
        <w:t> </w:t>
      </w:r>
      <w:r>
        <w:rPr/>
        <w:t>pueden</w:t>
      </w:r>
      <w:r>
        <w:rPr>
          <w:spacing w:val="-5"/>
        </w:rPr>
        <w:t> </w:t>
      </w:r>
      <w:r>
        <w:rPr/>
        <w:t>definir</w:t>
      </w:r>
      <w:r>
        <w:rPr>
          <w:spacing w:val="-5"/>
        </w:rPr>
        <w:t> </w:t>
      </w:r>
      <w:r>
        <w:rPr/>
        <w:t>factores</w:t>
      </w:r>
      <w:r>
        <w:rPr>
          <w:spacing w:val="-5"/>
        </w:rPr>
        <w:t> </w:t>
      </w:r>
      <w:r>
        <w:rPr/>
        <w:t>específicos,</w:t>
      </w:r>
      <w:r>
        <w:rPr>
          <w:spacing w:val="-5"/>
        </w:rPr>
        <w:t> </w:t>
      </w:r>
      <w:r>
        <w:rPr/>
        <w:t>que</w:t>
      </w:r>
      <w:r>
        <w:rPr>
          <w:spacing w:val="-5"/>
        </w:rPr>
        <w:t> </w:t>
      </w:r>
      <w:r>
        <w:rPr/>
        <w:t>en condiciones </w:t>
      </w:r>
      <w:r>
        <w:rPr>
          <w:i/>
        </w:rPr>
        <w:t>in vivo</w:t>
      </w:r>
      <w:r>
        <w:rPr/>
        <w:t>, pueden ocultarse por una gran complejidad de factores (Kajikawa </w:t>
      </w:r>
      <w:r>
        <w:rPr>
          <w:i/>
        </w:rPr>
        <w:t>et al.</w:t>
      </w:r>
      <w:r>
        <w:rPr/>
        <w:t>, 2003; Carmona </w:t>
      </w:r>
      <w:r>
        <w:rPr>
          <w:i/>
        </w:rPr>
        <w:t>et al.</w:t>
      </w:r>
      <w:r>
        <w:rPr>
          <w:i/>
          <w:spacing w:val="-6"/>
        </w:rPr>
        <w:t> </w:t>
      </w:r>
      <w:r>
        <w:rPr/>
        <w:t>2005).</w:t>
      </w:r>
    </w:p>
    <w:p>
      <w:pPr>
        <w:pStyle w:val="BodyText"/>
        <w:spacing w:line="360" w:lineRule="auto" w:before="2"/>
        <w:ind w:left="276" w:right="143"/>
        <w:jc w:val="both"/>
      </w:pPr>
      <w:r>
        <w:rPr/>
        <w:t>Dentro</w:t>
      </w:r>
      <w:r>
        <w:rPr>
          <w:spacing w:val="-8"/>
        </w:rPr>
        <w:t> </w:t>
      </w:r>
      <w:r>
        <w:rPr/>
        <w:t>de</w:t>
      </w:r>
      <w:r>
        <w:rPr>
          <w:spacing w:val="-8"/>
        </w:rPr>
        <w:t> </w:t>
      </w:r>
      <w:r>
        <w:rPr/>
        <w:t>las</w:t>
      </w:r>
      <w:r>
        <w:rPr>
          <w:spacing w:val="-8"/>
        </w:rPr>
        <w:t> </w:t>
      </w:r>
      <w:r>
        <w:rPr/>
        <w:t>técnicas</w:t>
      </w:r>
      <w:r>
        <w:rPr>
          <w:spacing w:val="-8"/>
        </w:rPr>
        <w:t> </w:t>
      </w:r>
      <w:r>
        <w:rPr/>
        <w:t>más</w:t>
      </w:r>
      <w:r>
        <w:rPr>
          <w:spacing w:val="-8"/>
        </w:rPr>
        <w:t> </w:t>
      </w:r>
      <w:r>
        <w:rPr/>
        <w:t>conocidas</w:t>
      </w:r>
      <w:r>
        <w:rPr>
          <w:spacing w:val="-9"/>
        </w:rPr>
        <w:t> </w:t>
      </w:r>
      <w:r>
        <w:rPr>
          <w:i/>
        </w:rPr>
        <w:t>in</w:t>
      </w:r>
      <w:r>
        <w:rPr>
          <w:i/>
          <w:spacing w:val="-8"/>
        </w:rPr>
        <w:t> </w:t>
      </w:r>
      <w:r>
        <w:rPr>
          <w:i/>
        </w:rPr>
        <w:t>vitro</w:t>
      </w:r>
      <w:r>
        <w:rPr>
          <w:i/>
          <w:spacing w:val="-8"/>
        </w:rPr>
        <w:t> </w:t>
      </w:r>
      <w:r>
        <w:rPr/>
        <w:t>están</w:t>
      </w:r>
      <w:r>
        <w:rPr>
          <w:spacing w:val="-8"/>
        </w:rPr>
        <w:t> </w:t>
      </w:r>
      <w:r>
        <w:rPr/>
        <w:t>la</w:t>
      </w:r>
      <w:r>
        <w:rPr>
          <w:spacing w:val="-8"/>
        </w:rPr>
        <w:t> </w:t>
      </w:r>
      <w:r>
        <w:rPr/>
        <w:t>de</w:t>
      </w:r>
      <w:r>
        <w:rPr>
          <w:spacing w:val="-8"/>
        </w:rPr>
        <w:t> </w:t>
      </w:r>
      <w:r>
        <w:rPr/>
        <w:t>Tilley</w:t>
      </w:r>
      <w:r>
        <w:rPr>
          <w:spacing w:val="-8"/>
        </w:rPr>
        <w:t> </w:t>
      </w:r>
      <w:r>
        <w:rPr/>
        <w:t>y</w:t>
      </w:r>
      <w:r>
        <w:rPr>
          <w:spacing w:val="-8"/>
        </w:rPr>
        <w:t> </w:t>
      </w:r>
      <w:r>
        <w:rPr/>
        <w:t>Terry</w:t>
      </w:r>
      <w:r>
        <w:rPr>
          <w:spacing w:val="-8"/>
        </w:rPr>
        <w:t> </w:t>
      </w:r>
      <w:r>
        <w:rPr/>
        <w:t>(1963),</w:t>
      </w:r>
      <w:r>
        <w:rPr>
          <w:spacing w:val="-8"/>
        </w:rPr>
        <w:t> </w:t>
      </w:r>
      <w:r>
        <w:rPr/>
        <w:t>o</w:t>
      </w:r>
      <w:r>
        <w:rPr>
          <w:spacing w:val="-8"/>
        </w:rPr>
        <w:t> </w:t>
      </w:r>
      <w:r>
        <w:rPr/>
        <w:t>sus diversas modificaciones. Entre algunas desventajas de estos métodos se tienen: largo tiempo requerido para realizar un análisis, la gran cantidad de pasos y que la muestra no tiene flujo de recambio (Tejido </w:t>
      </w:r>
      <w:r>
        <w:rPr>
          <w:i/>
        </w:rPr>
        <w:t>et al.</w:t>
      </w:r>
      <w:r>
        <w:rPr/>
        <w:t>,</w:t>
      </w:r>
      <w:r>
        <w:rPr>
          <w:spacing w:val="-3"/>
        </w:rPr>
        <w:t> </w:t>
      </w:r>
      <w:r>
        <w:rPr/>
        <w:t>2002).</w:t>
      </w:r>
    </w:p>
    <w:p>
      <w:pPr>
        <w:pStyle w:val="BodyText"/>
        <w:spacing w:line="360" w:lineRule="auto" w:before="2"/>
        <w:ind w:left="276" w:right="145"/>
        <w:jc w:val="both"/>
      </w:pPr>
      <w:r>
        <w:rPr/>
        <w:t>Rumen artificial (RUSITEC). Esta hace parte de las técnicas in vitro, con modificaciones que permiten una mayor similitud a las características del ecosistema ruminal. Kajikawa </w:t>
      </w:r>
      <w:r>
        <w:rPr>
          <w:i/>
        </w:rPr>
        <w:t>et al. </w:t>
      </w:r>
      <w:r>
        <w:rPr/>
        <w:t>(2003) indican que en la década de los 70’s se desarrollaron dos de los sistemas de flujo continuo más adoptados por los investigadores: el “sistema de cultivo de flujo continuo doble” originalmente desarrollado por Hoover </w:t>
      </w:r>
      <w:r>
        <w:rPr>
          <w:i/>
        </w:rPr>
        <w:t>et al. </w:t>
      </w:r>
      <w:r>
        <w:rPr/>
        <w:t>(1984) y el “Rusitec” desarrollado por Czerkawsky y Breckenridge (1977).</w:t>
      </w:r>
    </w:p>
    <w:p>
      <w:pPr>
        <w:pStyle w:val="BodyText"/>
        <w:spacing w:line="357" w:lineRule="auto" w:before="7"/>
        <w:ind w:left="276" w:right="143"/>
        <w:jc w:val="both"/>
      </w:pPr>
      <w:r>
        <w:rPr/>
        <w:t>La cantidad de gas liberado desde el proceso de fermentación y la amortiguación de</w:t>
      </w:r>
      <w:r>
        <w:rPr>
          <w:spacing w:val="-7"/>
        </w:rPr>
        <w:t> </w:t>
      </w:r>
      <w:r>
        <w:rPr/>
        <w:t>los</w:t>
      </w:r>
      <w:r>
        <w:rPr>
          <w:spacing w:val="-7"/>
        </w:rPr>
        <w:t> </w:t>
      </w:r>
      <w:r>
        <w:rPr/>
        <w:t>ácidos</w:t>
      </w:r>
      <w:r>
        <w:rPr>
          <w:spacing w:val="-7"/>
        </w:rPr>
        <w:t> </w:t>
      </w:r>
      <w:r>
        <w:rPr/>
        <w:t>grasos</w:t>
      </w:r>
      <w:r>
        <w:rPr>
          <w:spacing w:val="-7"/>
        </w:rPr>
        <w:t> </w:t>
      </w:r>
      <w:r>
        <w:rPr/>
        <w:t>volátiles</w:t>
      </w:r>
      <w:r>
        <w:rPr>
          <w:spacing w:val="-7"/>
        </w:rPr>
        <w:t> </w:t>
      </w:r>
      <w:r>
        <w:rPr/>
        <w:t>está</w:t>
      </w:r>
      <w:r>
        <w:rPr>
          <w:spacing w:val="-7"/>
        </w:rPr>
        <w:t> </w:t>
      </w:r>
      <w:r>
        <w:rPr/>
        <w:t>relacionado</w:t>
      </w:r>
      <w:r>
        <w:rPr>
          <w:spacing w:val="-7"/>
        </w:rPr>
        <w:t> </w:t>
      </w:r>
      <w:r>
        <w:rPr/>
        <w:t>con</w:t>
      </w:r>
      <w:r>
        <w:rPr>
          <w:spacing w:val="-7"/>
        </w:rPr>
        <w:t> </w:t>
      </w:r>
      <w:r>
        <w:rPr/>
        <w:t>la</w:t>
      </w:r>
      <w:r>
        <w:rPr>
          <w:spacing w:val="-7"/>
        </w:rPr>
        <w:t> </w:t>
      </w:r>
      <w:r>
        <w:rPr/>
        <w:t>cinética</w:t>
      </w:r>
      <w:r>
        <w:rPr>
          <w:spacing w:val="-7"/>
        </w:rPr>
        <w:t> </w:t>
      </w:r>
      <w:r>
        <w:rPr/>
        <w:t>de</w:t>
      </w:r>
      <w:r>
        <w:rPr>
          <w:spacing w:val="-7"/>
        </w:rPr>
        <w:t> </w:t>
      </w:r>
      <w:r>
        <w:rPr/>
        <w:t>la</w:t>
      </w:r>
      <w:r>
        <w:rPr>
          <w:spacing w:val="-7"/>
        </w:rPr>
        <w:t> </w:t>
      </w:r>
      <w:r>
        <w:rPr/>
        <w:t>fermentación</w:t>
      </w:r>
      <w:r>
        <w:rPr>
          <w:spacing w:val="-7"/>
        </w:rPr>
        <w:t> </w:t>
      </w:r>
      <w:r>
        <w:rPr/>
        <w:t>de la cantidad conocida del alimento (Dijkstra </w:t>
      </w:r>
      <w:r>
        <w:rPr>
          <w:i/>
        </w:rPr>
        <w:t>et al. </w:t>
      </w:r>
      <w:r>
        <w:rPr/>
        <w:t>2005). Diversos sistemas han sido desarrollados para la medición de la producción de gas </w:t>
      </w:r>
      <w:r>
        <w:rPr>
          <w:i/>
        </w:rPr>
        <w:t>in vitro</w:t>
      </w:r>
      <w:r>
        <w:rPr/>
        <w:t>, variando considerablemente en complejidad y sofisticación. Menke </w:t>
      </w:r>
      <w:r>
        <w:rPr>
          <w:i/>
        </w:rPr>
        <w:t>et al. </w:t>
      </w:r>
      <w:r>
        <w:rPr/>
        <w:t>(1979) describe un método manual usando jeringas herméticas al gas, lo cual implica registros constantes del volumen de gas producido. Más recientemente otros autores han descrito un sistema que utiliza transductores de presión (Pell y Schofield, 1993), Theodorou </w:t>
      </w:r>
      <w:r>
        <w:rPr>
          <w:i/>
        </w:rPr>
        <w:t>et al. </w:t>
      </w:r>
      <w:r>
        <w:rPr/>
        <w:t>(1994) y Cone </w:t>
      </w:r>
      <w:r>
        <w:rPr>
          <w:i/>
        </w:rPr>
        <w:t>et al. </w:t>
      </w:r>
      <w:r>
        <w:rPr/>
        <w:t>(1996) varios de estos sistemas ahora están disponibles  como  sistemas  patentados  (RF,  ANKOM  Technology</w:t>
      </w:r>
      <w:r>
        <w:rPr>
          <w:position w:val="11"/>
          <w:sz w:val="16"/>
        </w:rPr>
        <w:t>®</w:t>
      </w:r>
      <w:r>
        <w:rPr/>
        <w:t>)   </w:t>
      </w:r>
      <w:r>
        <w:rPr>
          <w:spacing w:val="47"/>
        </w:rPr>
        <w:t> </w:t>
      </w:r>
      <w:r>
        <w:rPr/>
        <w:t>utilizando</w:t>
      </w:r>
    </w:p>
    <w:p>
      <w:pPr>
        <w:pStyle w:val="BodyText"/>
        <w:spacing w:line="360" w:lineRule="auto"/>
        <w:ind w:left="276" w:right="143"/>
        <w:jc w:val="both"/>
      </w:pPr>
      <w:r>
        <w:rPr/>
        <w:t>módulos de sensor de presión de radiofrecuencia que se comunican con una interfaz de ordenador y software dedicado, que registra valores de presión de gas (Goopy </w:t>
      </w:r>
      <w:r>
        <w:rPr>
          <w:i/>
        </w:rPr>
        <w:t>et al.</w:t>
      </w:r>
      <w:r>
        <w:rPr/>
        <w:t>, 2015).</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Heading6"/>
        <w:spacing w:before="69"/>
      </w:pPr>
      <w:r>
        <w:rPr/>
        <w:t>Estimación de la dieta</w:t>
      </w:r>
    </w:p>
    <w:p>
      <w:pPr>
        <w:pStyle w:val="BodyText"/>
        <w:spacing w:line="360" w:lineRule="auto" w:before="141"/>
        <w:ind w:left="276" w:right="143"/>
        <w:jc w:val="both"/>
      </w:pPr>
      <w:r>
        <w:rPr/>
        <w:t>La producción de metano entérico (PME) puede ser estimada a partir de la ingesta y calidad de la dieta (digestibilidad). Un número de algoritmos puede ser utilizado para hacer esto, aunque las estimaciones de las emisiones puede variar de 35% o más para una dieta en particular (Tomkins </w:t>
      </w:r>
      <w:r>
        <w:rPr>
          <w:i/>
        </w:rPr>
        <w:t>et al. </w:t>
      </w:r>
      <w:r>
        <w:rPr/>
        <w:t>2011). La calidad de la dieta se puede</w:t>
      </w:r>
      <w:r>
        <w:rPr>
          <w:spacing w:val="-15"/>
        </w:rPr>
        <w:t> </w:t>
      </w:r>
      <w:r>
        <w:rPr/>
        <w:t>inferir</w:t>
      </w:r>
      <w:r>
        <w:rPr>
          <w:spacing w:val="-15"/>
        </w:rPr>
        <w:t> </w:t>
      </w:r>
      <w:r>
        <w:rPr/>
        <w:t>a</w:t>
      </w:r>
      <w:r>
        <w:rPr>
          <w:spacing w:val="-15"/>
        </w:rPr>
        <w:t> </w:t>
      </w:r>
      <w:r>
        <w:rPr/>
        <w:t>partir</w:t>
      </w:r>
      <w:r>
        <w:rPr>
          <w:spacing w:val="-15"/>
        </w:rPr>
        <w:t> </w:t>
      </w:r>
      <w:r>
        <w:rPr/>
        <w:t>del</w:t>
      </w:r>
      <w:r>
        <w:rPr>
          <w:spacing w:val="-15"/>
        </w:rPr>
        <w:t> </w:t>
      </w:r>
      <w:r>
        <w:rPr/>
        <w:t>análisis</w:t>
      </w:r>
      <w:r>
        <w:rPr>
          <w:spacing w:val="-15"/>
        </w:rPr>
        <w:t> </w:t>
      </w:r>
      <w:r>
        <w:rPr/>
        <w:t>de</w:t>
      </w:r>
      <w:r>
        <w:rPr>
          <w:spacing w:val="-15"/>
        </w:rPr>
        <w:t> </w:t>
      </w:r>
      <w:r>
        <w:rPr/>
        <w:t>muestras</w:t>
      </w:r>
      <w:r>
        <w:rPr>
          <w:spacing w:val="-15"/>
        </w:rPr>
        <w:t> </w:t>
      </w:r>
      <w:r>
        <w:rPr/>
        <w:t>representativas</w:t>
      </w:r>
      <w:r>
        <w:rPr>
          <w:spacing w:val="-16"/>
        </w:rPr>
        <w:t> </w:t>
      </w:r>
      <w:r>
        <w:rPr/>
        <w:t>de</w:t>
      </w:r>
      <w:r>
        <w:rPr>
          <w:spacing w:val="-15"/>
        </w:rPr>
        <w:t> </w:t>
      </w:r>
      <w:r>
        <w:rPr/>
        <w:t>las</w:t>
      </w:r>
      <w:r>
        <w:rPr>
          <w:spacing w:val="-15"/>
        </w:rPr>
        <w:t> </w:t>
      </w:r>
      <w:r>
        <w:rPr/>
        <w:t>raciones</w:t>
      </w:r>
      <w:r>
        <w:rPr>
          <w:spacing w:val="-15"/>
        </w:rPr>
        <w:t> </w:t>
      </w:r>
      <w:r>
        <w:rPr/>
        <w:t>o</w:t>
      </w:r>
      <w:r>
        <w:rPr>
          <w:spacing w:val="-15"/>
        </w:rPr>
        <w:t> </w:t>
      </w:r>
      <w:r>
        <w:rPr/>
        <w:t>pasto consumido, pero cuando la ingesta no es medida, la estimación de la PME se enfrenta a considerables retos. Los modelos que estiman la ingesta basados en la calidad</w:t>
      </w:r>
      <w:r>
        <w:rPr>
          <w:spacing w:val="-10"/>
        </w:rPr>
        <w:t> </w:t>
      </w:r>
      <w:r>
        <w:rPr/>
        <w:t>de</w:t>
      </w:r>
      <w:r>
        <w:rPr>
          <w:spacing w:val="-10"/>
        </w:rPr>
        <w:t> </w:t>
      </w:r>
      <w:r>
        <w:rPr/>
        <w:t>la</w:t>
      </w:r>
      <w:r>
        <w:rPr>
          <w:spacing w:val="-10"/>
        </w:rPr>
        <w:t> </w:t>
      </w:r>
      <w:r>
        <w:rPr/>
        <w:t>dieta</w:t>
      </w:r>
      <w:r>
        <w:rPr>
          <w:spacing w:val="-10"/>
        </w:rPr>
        <w:t> </w:t>
      </w:r>
      <w:r>
        <w:rPr/>
        <w:t>o</w:t>
      </w:r>
      <w:r>
        <w:rPr>
          <w:spacing w:val="-10"/>
        </w:rPr>
        <w:t> </w:t>
      </w:r>
      <w:r>
        <w:rPr/>
        <w:t>raciones</w:t>
      </w:r>
      <w:r>
        <w:rPr>
          <w:spacing w:val="-10"/>
        </w:rPr>
        <w:t> </w:t>
      </w:r>
      <w:r>
        <w:rPr/>
        <w:t>particulares</w:t>
      </w:r>
      <w:r>
        <w:rPr>
          <w:spacing w:val="-10"/>
        </w:rPr>
        <w:t> </w:t>
      </w:r>
      <w:r>
        <w:rPr/>
        <w:t>de</w:t>
      </w:r>
      <w:r>
        <w:rPr>
          <w:spacing w:val="-10"/>
        </w:rPr>
        <w:t> </w:t>
      </w:r>
      <w:r>
        <w:rPr/>
        <w:t>alimento</w:t>
      </w:r>
      <w:r>
        <w:rPr>
          <w:spacing w:val="-10"/>
        </w:rPr>
        <w:t> </w:t>
      </w:r>
      <w:r>
        <w:rPr/>
        <w:t>suponen</w:t>
      </w:r>
      <w:r>
        <w:rPr>
          <w:spacing w:val="-10"/>
        </w:rPr>
        <w:t> </w:t>
      </w:r>
      <w:r>
        <w:rPr/>
        <w:t>el</w:t>
      </w:r>
      <w:r>
        <w:rPr>
          <w:spacing w:val="-10"/>
        </w:rPr>
        <w:t> </w:t>
      </w:r>
      <w:r>
        <w:rPr/>
        <w:t>acceso</w:t>
      </w:r>
      <w:r>
        <w:rPr>
          <w:spacing w:val="-11"/>
        </w:rPr>
        <w:t> </w:t>
      </w:r>
      <w:r>
        <w:rPr>
          <w:i/>
        </w:rPr>
        <w:t>ad</w:t>
      </w:r>
      <w:r>
        <w:rPr>
          <w:i/>
          <w:spacing w:val="-10"/>
        </w:rPr>
        <w:t> </w:t>
      </w:r>
      <w:r>
        <w:rPr>
          <w:i/>
        </w:rPr>
        <w:t>libitum</w:t>
      </w:r>
      <w:r>
        <w:rPr/>
        <w:t>, y en situaciones donde los animales en corral y sin acceso al alimento durante la noche, la validez de este supuesto es posiblemente cuestionado (Jamieson y Hodgson, 1979; Hendricksen y Minson, 1980). En tal caso, la ingesta puede ser determinada</w:t>
      </w:r>
      <w:r>
        <w:rPr>
          <w:spacing w:val="-9"/>
        </w:rPr>
        <w:t> </w:t>
      </w:r>
      <w:r>
        <w:rPr/>
        <w:t>de</w:t>
      </w:r>
      <w:r>
        <w:rPr>
          <w:spacing w:val="-9"/>
        </w:rPr>
        <w:t> </w:t>
      </w:r>
      <w:r>
        <w:rPr/>
        <w:t>acuerdo</w:t>
      </w:r>
      <w:r>
        <w:rPr>
          <w:spacing w:val="-9"/>
        </w:rPr>
        <w:t> </w:t>
      </w:r>
      <w:r>
        <w:rPr/>
        <w:t>a</w:t>
      </w:r>
      <w:r>
        <w:rPr>
          <w:spacing w:val="-9"/>
        </w:rPr>
        <w:t> </w:t>
      </w:r>
      <w:r>
        <w:rPr/>
        <w:t>los</w:t>
      </w:r>
      <w:r>
        <w:rPr>
          <w:spacing w:val="-9"/>
        </w:rPr>
        <w:t> </w:t>
      </w:r>
      <w:r>
        <w:rPr/>
        <w:t>requerimientos</w:t>
      </w:r>
      <w:r>
        <w:rPr>
          <w:spacing w:val="-9"/>
        </w:rPr>
        <w:t> </w:t>
      </w:r>
      <w:r>
        <w:rPr/>
        <w:t>de</w:t>
      </w:r>
      <w:r>
        <w:rPr>
          <w:spacing w:val="-9"/>
        </w:rPr>
        <w:t> </w:t>
      </w:r>
      <w:r>
        <w:rPr/>
        <w:t>energía</w:t>
      </w:r>
      <w:r>
        <w:rPr>
          <w:spacing w:val="-9"/>
        </w:rPr>
        <w:t> </w:t>
      </w:r>
      <w:r>
        <w:rPr/>
        <w:t>(peso</w:t>
      </w:r>
      <w:r>
        <w:rPr>
          <w:spacing w:val="-9"/>
        </w:rPr>
        <w:t> </w:t>
      </w:r>
      <w:r>
        <w:rPr/>
        <w:t>vivo</w:t>
      </w:r>
      <w:r>
        <w:rPr>
          <w:spacing w:val="-9"/>
        </w:rPr>
        <w:t> </w:t>
      </w:r>
      <w:r>
        <w:rPr/>
        <w:t>(PV)</w:t>
      </w:r>
      <w:r>
        <w:rPr>
          <w:spacing w:val="-9"/>
        </w:rPr>
        <w:t> </w:t>
      </w:r>
      <w:r>
        <w:rPr/>
        <w:t>+</w:t>
      </w:r>
      <w:r>
        <w:rPr>
          <w:spacing w:val="-9"/>
        </w:rPr>
        <w:t> </w:t>
      </w:r>
      <w:r>
        <w:rPr/>
        <w:t>Energía: PV para flujo; mantenimiento + lactancia y preñez + locomoción) utilizando estimaciones</w:t>
      </w:r>
      <w:r>
        <w:rPr>
          <w:spacing w:val="-16"/>
        </w:rPr>
        <w:t> </w:t>
      </w:r>
      <w:r>
        <w:rPr/>
        <w:t>publicadas</w:t>
      </w:r>
      <w:r>
        <w:rPr>
          <w:spacing w:val="-16"/>
        </w:rPr>
        <w:t> </w:t>
      </w:r>
      <w:r>
        <w:rPr/>
        <w:t>en</w:t>
      </w:r>
      <w:r>
        <w:rPr>
          <w:spacing w:val="-16"/>
        </w:rPr>
        <w:t> </w:t>
      </w:r>
      <w:r>
        <w:rPr/>
        <w:t>los</w:t>
      </w:r>
      <w:r>
        <w:rPr>
          <w:spacing w:val="-16"/>
        </w:rPr>
        <w:t> </w:t>
      </w:r>
      <w:r>
        <w:rPr/>
        <w:t>Requerimientos</w:t>
      </w:r>
      <w:r>
        <w:rPr>
          <w:spacing w:val="-16"/>
        </w:rPr>
        <w:t> </w:t>
      </w:r>
      <w:r>
        <w:rPr/>
        <w:t>Nutricionales</w:t>
      </w:r>
      <w:r>
        <w:rPr>
          <w:spacing w:val="-16"/>
        </w:rPr>
        <w:t> </w:t>
      </w:r>
      <w:r>
        <w:rPr/>
        <w:t>del</w:t>
      </w:r>
      <w:r>
        <w:rPr>
          <w:spacing w:val="-16"/>
        </w:rPr>
        <w:t> </w:t>
      </w:r>
      <w:r>
        <w:rPr/>
        <w:t>Ganado</w:t>
      </w:r>
      <w:r>
        <w:rPr>
          <w:spacing w:val="-16"/>
        </w:rPr>
        <w:t> </w:t>
      </w:r>
      <w:r>
        <w:rPr/>
        <w:t>(NRC,</w:t>
      </w:r>
      <w:r>
        <w:rPr>
          <w:spacing w:val="-16"/>
        </w:rPr>
        <w:t> </w:t>
      </w:r>
      <w:r>
        <w:rPr/>
        <w:t>por sus siglas en inglés) para convertir los valores físicos en valores de energía y así inferir la ingesta de la dieta estimada. Si se opta por este método, se requerirán múltiples medidas para captar los cambios en estos parámetros, así como las influencias</w:t>
      </w:r>
      <w:r>
        <w:rPr>
          <w:spacing w:val="-13"/>
        </w:rPr>
        <w:t> </w:t>
      </w:r>
      <w:r>
        <w:rPr/>
        <w:t>estacionales</w:t>
      </w:r>
      <w:r>
        <w:rPr>
          <w:spacing w:val="-13"/>
        </w:rPr>
        <w:t> </w:t>
      </w:r>
      <w:r>
        <w:rPr/>
        <w:t>en</w:t>
      </w:r>
      <w:r>
        <w:rPr>
          <w:spacing w:val="-13"/>
        </w:rPr>
        <w:t> </w:t>
      </w:r>
      <w:r>
        <w:rPr/>
        <w:t>la</w:t>
      </w:r>
      <w:r>
        <w:rPr>
          <w:spacing w:val="-13"/>
        </w:rPr>
        <w:t> </w:t>
      </w:r>
      <w:r>
        <w:rPr/>
        <w:t>disponibilidad</w:t>
      </w:r>
      <w:r>
        <w:rPr>
          <w:spacing w:val="-13"/>
        </w:rPr>
        <w:t> </w:t>
      </w:r>
      <w:r>
        <w:rPr/>
        <w:t>y</w:t>
      </w:r>
      <w:r>
        <w:rPr>
          <w:spacing w:val="-13"/>
        </w:rPr>
        <w:t> </w:t>
      </w:r>
      <w:r>
        <w:rPr/>
        <w:t>calidad</w:t>
      </w:r>
      <w:r>
        <w:rPr>
          <w:spacing w:val="-13"/>
        </w:rPr>
        <w:t> </w:t>
      </w:r>
      <w:r>
        <w:rPr/>
        <w:t>del</w:t>
      </w:r>
      <w:r>
        <w:rPr>
          <w:spacing w:val="-13"/>
        </w:rPr>
        <w:t> </w:t>
      </w:r>
      <w:r>
        <w:rPr/>
        <w:t>alimento.</w:t>
      </w:r>
      <w:r>
        <w:rPr>
          <w:spacing w:val="-13"/>
        </w:rPr>
        <w:t> </w:t>
      </w:r>
      <w:r>
        <w:rPr/>
        <w:t>Siempre</w:t>
      </w:r>
      <w:r>
        <w:rPr>
          <w:spacing w:val="-13"/>
        </w:rPr>
        <w:t> </w:t>
      </w:r>
      <w:r>
        <w:rPr/>
        <w:t>que</w:t>
      </w:r>
      <w:r>
        <w:rPr>
          <w:spacing w:val="-13"/>
        </w:rPr>
        <w:t> </w:t>
      </w:r>
      <w:r>
        <w:rPr/>
        <w:t>sea posible, las estimaciones realizadas utilizando esta metodología deberán ser validadas</w:t>
      </w:r>
      <w:r>
        <w:rPr>
          <w:spacing w:val="-11"/>
        </w:rPr>
        <w:t> </w:t>
      </w:r>
      <w:r>
        <w:rPr/>
        <w:t>por</w:t>
      </w:r>
      <w:r>
        <w:rPr>
          <w:spacing w:val="-11"/>
        </w:rPr>
        <w:t> </w:t>
      </w:r>
      <w:r>
        <w:rPr/>
        <w:t>mediciones</w:t>
      </w:r>
      <w:r>
        <w:rPr>
          <w:spacing w:val="-11"/>
        </w:rPr>
        <w:t> </w:t>
      </w:r>
      <w:r>
        <w:rPr/>
        <w:t>reales</w:t>
      </w:r>
      <w:r>
        <w:rPr>
          <w:spacing w:val="-11"/>
        </w:rPr>
        <w:t> </w:t>
      </w:r>
      <w:r>
        <w:rPr/>
        <w:t>en</w:t>
      </w:r>
      <w:r>
        <w:rPr>
          <w:spacing w:val="-11"/>
        </w:rPr>
        <w:t> </w:t>
      </w:r>
      <w:r>
        <w:rPr/>
        <w:t>las</w:t>
      </w:r>
      <w:r>
        <w:rPr>
          <w:spacing w:val="-11"/>
        </w:rPr>
        <w:t> </w:t>
      </w:r>
      <w:r>
        <w:rPr/>
        <w:t>cámaras</w:t>
      </w:r>
      <w:r>
        <w:rPr>
          <w:spacing w:val="-11"/>
        </w:rPr>
        <w:t> </w:t>
      </w:r>
      <w:r>
        <w:rPr/>
        <w:t>de</w:t>
      </w:r>
      <w:r>
        <w:rPr>
          <w:spacing w:val="-11"/>
        </w:rPr>
        <w:t> </w:t>
      </w:r>
      <w:r>
        <w:rPr/>
        <w:t>respiración</w:t>
      </w:r>
      <w:r>
        <w:rPr>
          <w:spacing w:val="-11"/>
        </w:rPr>
        <w:t> </w:t>
      </w:r>
      <w:r>
        <w:rPr/>
        <w:t>(Goopy</w:t>
      </w:r>
      <w:r>
        <w:rPr>
          <w:spacing w:val="-11"/>
        </w:rPr>
        <w:t> </w:t>
      </w:r>
      <w:r>
        <w:rPr>
          <w:i/>
        </w:rPr>
        <w:t>et</w:t>
      </w:r>
      <w:r>
        <w:rPr>
          <w:i/>
          <w:spacing w:val="-11"/>
        </w:rPr>
        <w:t> </w:t>
      </w:r>
      <w:r>
        <w:rPr>
          <w:i/>
        </w:rPr>
        <w:t>al.</w:t>
      </w:r>
      <w:r>
        <w:rPr/>
        <w:t>,</w:t>
      </w:r>
      <w:r>
        <w:rPr>
          <w:spacing w:val="-11"/>
        </w:rPr>
        <w:t> </w:t>
      </w:r>
      <w:r>
        <w:rPr/>
        <w:t>2015). Así también existen diversas opciones para medir las emisiones de CH</w:t>
      </w:r>
      <w:r>
        <w:rPr>
          <w:position w:val="-2"/>
          <w:sz w:val="16"/>
        </w:rPr>
        <w:t>4 </w:t>
      </w:r>
      <w:r>
        <w:rPr>
          <w:i/>
        </w:rPr>
        <w:t>in vivo</w:t>
      </w:r>
      <w:r>
        <w:rPr/>
        <w:t>. El muestreo individual o a nivel grupal puede ser efectuado utilizando técnicas con cámaras cerradas o con trazadores.</w:t>
      </w:r>
    </w:p>
    <w:p>
      <w:pPr>
        <w:pStyle w:val="BodyText"/>
      </w:pPr>
    </w:p>
    <w:p>
      <w:pPr>
        <w:pStyle w:val="Heading6"/>
        <w:spacing w:before="139"/>
        <w:ind w:left="287"/>
      </w:pPr>
      <w:r>
        <w:rPr/>
        <w:t>Mediciones directas</w:t>
      </w:r>
    </w:p>
    <w:p>
      <w:pPr>
        <w:spacing w:before="141"/>
        <w:ind w:left="276" w:right="0" w:firstLine="0"/>
        <w:jc w:val="both"/>
        <w:rPr>
          <w:b/>
          <w:sz w:val="24"/>
        </w:rPr>
      </w:pPr>
      <w:r>
        <w:rPr>
          <w:b/>
          <w:sz w:val="24"/>
        </w:rPr>
        <w:t>La cámara de respiración de circuito abierto o calorímetro</w:t>
      </w:r>
    </w:p>
    <w:p>
      <w:pPr>
        <w:pStyle w:val="BodyText"/>
        <w:spacing w:line="357" w:lineRule="auto" w:before="137"/>
        <w:ind w:left="276" w:right="143"/>
        <w:jc w:val="both"/>
      </w:pPr>
      <w:r>
        <w:rPr/>
        <w:t>La cámara de respiración o calorímetro es la norma clásica por los nutricionistas para la medición de CH</w:t>
      </w:r>
      <w:r>
        <w:rPr>
          <w:position w:val="-2"/>
          <w:sz w:val="16"/>
        </w:rPr>
        <w:t>4 </w:t>
      </w:r>
      <w:r>
        <w:rPr/>
        <w:t>procedente de los rumiantes. Las técnicas de respiración por calorimetría pueden ser las cámaras en donde se introduce al animal entero, cajas</w:t>
      </w:r>
      <w:r>
        <w:rPr>
          <w:spacing w:val="-11"/>
        </w:rPr>
        <w:t> </w:t>
      </w:r>
      <w:r>
        <w:rPr/>
        <w:t>en</w:t>
      </w:r>
      <w:r>
        <w:rPr>
          <w:spacing w:val="-11"/>
        </w:rPr>
        <w:t> </w:t>
      </w:r>
      <w:r>
        <w:rPr/>
        <w:t>la</w:t>
      </w:r>
      <w:r>
        <w:rPr>
          <w:spacing w:val="-11"/>
        </w:rPr>
        <w:t> </w:t>
      </w:r>
      <w:r>
        <w:rPr/>
        <w:t>cabeza,</w:t>
      </w:r>
      <w:r>
        <w:rPr>
          <w:spacing w:val="-11"/>
        </w:rPr>
        <w:t> </w:t>
      </w:r>
      <w:r>
        <w:rPr/>
        <w:t>capuchas</w:t>
      </w:r>
      <w:r>
        <w:rPr>
          <w:spacing w:val="-11"/>
        </w:rPr>
        <w:t> </w:t>
      </w:r>
      <w:r>
        <w:rPr/>
        <w:t>ventiladas</w:t>
      </w:r>
      <w:r>
        <w:rPr>
          <w:spacing w:val="-11"/>
        </w:rPr>
        <w:t> </w:t>
      </w:r>
      <w:r>
        <w:rPr/>
        <w:t>y</w:t>
      </w:r>
      <w:r>
        <w:rPr>
          <w:spacing w:val="-11"/>
        </w:rPr>
        <w:t> </w:t>
      </w:r>
      <w:r>
        <w:rPr/>
        <w:t>máscaras</w:t>
      </w:r>
      <w:r>
        <w:rPr>
          <w:spacing w:val="-11"/>
        </w:rPr>
        <w:t> </w:t>
      </w:r>
      <w:r>
        <w:rPr/>
        <w:t>faciales</w:t>
      </w:r>
      <w:r>
        <w:rPr>
          <w:spacing w:val="-11"/>
        </w:rPr>
        <w:t> </w:t>
      </w:r>
      <w:r>
        <w:rPr/>
        <w:t>han</w:t>
      </w:r>
      <w:r>
        <w:rPr>
          <w:spacing w:val="-11"/>
        </w:rPr>
        <w:t> </w:t>
      </w:r>
      <w:r>
        <w:rPr/>
        <w:t>sido</w:t>
      </w:r>
      <w:r>
        <w:rPr>
          <w:spacing w:val="-11"/>
        </w:rPr>
        <w:t> </w:t>
      </w:r>
      <w:r>
        <w:rPr/>
        <w:t>utilizadas</w:t>
      </w:r>
      <w:r>
        <w:rPr>
          <w:spacing w:val="-11"/>
        </w:rPr>
        <w:t> </w:t>
      </w:r>
      <w:r>
        <w:rPr/>
        <w:t>con</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55" w:lineRule="auto" w:before="69"/>
        <w:ind w:left="276" w:right="143"/>
        <w:jc w:val="both"/>
      </w:pPr>
      <w:r>
        <w:rPr/>
        <w:t>efectividad para la determinación de las emisiones de CH</w:t>
      </w:r>
      <w:r>
        <w:rPr>
          <w:position w:val="-2"/>
          <w:sz w:val="16"/>
        </w:rPr>
        <w:t>4 </w:t>
      </w:r>
      <w:r>
        <w:rPr/>
        <w:t>en el ganado. En los calorímetros</w:t>
      </w:r>
      <w:r>
        <w:rPr>
          <w:spacing w:val="-10"/>
        </w:rPr>
        <w:t> </w:t>
      </w:r>
      <w:r>
        <w:rPr/>
        <w:t>una</w:t>
      </w:r>
      <w:r>
        <w:rPr>
          <w:spacing w:val="-10"/>
        </w:rPr>
        <w:t> </w:t>
      </w:r>
      <w:r>
        <w:rPr/>
        <w:t>parte</w:t>
      </w:r>
      <w:r>
        <w:rPr>
          <w:spacing w:val="-10"/>
        </w:rPr>
        <w:t> </w:t>
      </w:r>
      <w:r>
        <w:rPr/>
        <w:t>necesaria</w:t>
      </w:r>
      <w:r>
        <w:rPr>
          <w:spacing w:val="-10"/>
        </w:rPr>
        <w:t> </w:t>
      </w:r>
      <w:r>
        <w:rPr/>
        <w:t>es</w:t>
      </w:r>
      <w:r>
        <w:rPr>
          <w:spacing w:val="-10"/>
        </w:rPr>
        <w:t> </w:t>
      </w:r>
      <w:r>
        <w:rPr/>
        <w:t>la</w:t>
      </w:r>
      <w:r>
        <w:rPr>
          <w:spacing w:val="-10"/>
        </w:rPr>
        <w:t> </w:t>
      </w:r>
      <w:r>
        <w:rPr/>
        <w:t>de</w:t>
      </w:r>
      <w:r>
        <w:rPr>
          <w:spacing w:val="-10"/>
        </w:rPr>
        <w:t> </w:t>
      </w:r>
      <w:r>
        <w:rPr/>
        <w:t>medir</w:t>
      </w:r>
      <w:r>
        <w:rPr>
          <w:spacing w:val="-10"/>
        </w:rPr>
        <w:t> </w:t>
      </w:r>
      <w:r>
        <w:rPr/>
        <w:t>el</w:t>
      </w:r>
      <w:r>
        <w:rPr>
          <w:spacing w:val="-10"/>
        </w:rPr>
        <w:t> </w:t>
      </w:r>
      <w:r>
        <w:rPr/>
        <w:t>intercambio</w:t>
      </w:r>
      <w:r>
        <w:rPr>
          <w:spacing w:val="-10"/>
        </w:rPr>
        <w:t> </w:t>
      </w:r>
      <w:r>
        <w:rPr/>
        <w:t>gaseoso,</w:t>
      </w:r>
      <w:r>
        <w:rPr>
          <w:spacing w:val="-10"/>
        </w:rPr>
        <w:t> </w:t>
      </w:r>
      <w:r>
        <w:rPr/>
        <w:t>como</w:t>
      </w:r>
      <w:r>
        <w:rPr>
          <w:spacing w:val="-10"/>
        </w:rPr>
        <w:t> </w:t>
      </w:r>
      <w:r>
        <w:rPr/>
        <w:t>parte de las mediciones de balance de energía y la pérdida de CH</w:t>
      </w:r>
      <w:r>
        <w:rPr>
          <w:position w:val="-2"/>
          <w:sz w:val="16"/>
        </w:rPr>
        <w:t>4</w:t>
      </w:r>
      <w:r>
        <w:rPr/>
        <w:t>. Hay varios diseños de calorímetros (Blaxter, 1962), pero el método más común es el calorímetro de circuito abierto (Mclean y Tobin, 1987).</w:t>
      </w:r>
    </w:p>
    <w:p>
      <w:pPr>
        <w:pStyle w:val="BodyText"/>
        <w:spacing w:line="355" w:lineRule="auto" w:before="13"/>
        <w:ind w:left="276" w:right="143"/>
        <w:jc w:val="both"/>
      </w:pPr>
      <w:r>
        <w:rPr/>
        <w:t>Por lo que los modelos más utilizados para estimar las emisiones CH</w:t>
      </w:r>
      <w:r>
        <w:rPr>
          <w:position w:val="-2"/>
          <w:sz w:val="16"/>
        </w:rPr>
        <w:t>4 </w:t>
      </w:r>
      <w:r>
        <w:rPr/>
        <w:t>nacionales y mundiales</w:t>
      </w:r>
      <w:r>
        <w:rPr>
          <w:spacing w:val="-12"/>
        </w:rPr>
        <w:t> </w:t>
      </w:r>
      <w:r>
        <w:rPr/>
        <w:t>de</w:t>
      </w:r>
      <w:r>
        <w:rPr>
          <w:spacing w:val="-12"/>
        </w:rPr>
        <w:t> </w:t>
      </w:r>
      <w:r>
        <w:rPr/>
        <w:t>ganado</w:t>
      </w:r>
      <w:r>
        <w:rPr>
          <w:spacing w:val="-12"/>
        </w:rPr>
        <w:t> </w:t>
      </w:r>
      <w:r>
        <w:rPr/>
        <w:t>en</w:t>
      </w:r>
      <w:r>
        <w:rPr>
          <w:spacing w:val="-12"/>
        </w:rPr>
        <w:t> </w:t>
      </w:r>
      <w:r>
        <w:rPr/>
        <w:t>las</w:t>
      </w:r>
      <w:r>
        <w:rPr>
          <w:spacing w:val="-12"/>
        </w:rPr>
        <w:t> </w:t>
      </w:r>
      <w:r>
        <w:rPr/>
        <w:t>explotaciones</w:t>
      </w:r>
      <w:r>
        <w:rPr>
          <w:spacing w:val="-12"/>
        </w:rPr>
        <w:t> </w:t>
      </w:r>
      <w:r>
        <w:rPr/>
        <w:t>agrícolas</w:t>
      </w:r>
      <w:r>
        <w:rPr>
          <w:spacing w:val="-12"/>
        </w:rPr>
        <w:t> </w:t>
      </w:r>
      <w:r>
        <w:rPr/>
        <w:t>se</w:t>
      </w:r>
      <w:r>
        <w:rPr>
          <w:spacing w:val="-12"/>
        </w:rPr>
        <w:t> </w:t>
      </w:r>
      <w:r>
        <w:rPr/>
        <w:t>basan</w:t>
      </w:r>
      <w:r>
        <w:rPr>
          <w:spacing w:val="-12"/>
        </w:rPr>
        <w:t> </w:t>
      </w:r>
      <w:r>
        <w:rPr/>
        <w:t>principalmente</w:t>
      </w:r>
      <w:r>
        <w:rPr>
          <w:spacing w:val="-12"/>
        </w:rPr>
        <w:t> </w:t>
      </w:r>
      <w:r>
        <w:rPr/>
        <w:t>en</w:t>
      </w:r>
      <w:r>
        <w:rPr>
          <w:spacing w:val="-12"/>
        </w:rPr>
        <w:t> </w:t>
      </w:r>
      <w:r>
        <w:rPr/>
        <w:t>los datos de las mediciones calorimétricas indirectas (Johnson y Johnson, 1995). Las cámaras de respiración se utilizan para medir CH</w:t>
      </w:r>
      <w:r>
        <w:rPr>
          <w:position w:val="-2"/>
          <w:sz w:val="16"/>
        </w:rPr>
        <w:t>4 </w:t>
      </w:r>
      <w:r>
        <w:rPr/>
        <w:t>en un nivel animal individual,</w:t>
      </w:r>
      <w:r>
        <w:rPr>
          <w:spacing w:val="-44"/>
        </w:rPr>
        <w:t> </w:t>
      </w:r>
      <w:r>
        <w:rPr/>
        <w:t>por lo que su uso es técnicamente exigente (McGinn </w:t>
      </w:r>
      <w:r>
        <w:rPr>
          <w:i/>
        </w:rPr>
        <w:t>et al.</w:t>
      </w:r>
      <w:r>
        <w:rPr/>
        <w:t>, 2008). Sin embargo, estos sistemas son capaces de proveer información continua y precisa sobre la composición del gas en aire durante un período tiempo prolongado.</w:t>
      </w:r>
    </w:p>
    <w:p>
      <w:pPr>
        <w:pStyle w:val="BodyText"/>
        <w:spacing w:line="360" w:lineRule="auto" w:before="8"/>
        <w:ind w:left="276" w:right="143"/>
        <w:jc w:val="both"/>
      </w:pPr>
      <w:r>
        <w:rPr/>
        <w:t>Aunque el diseño de cámaras varía, el principio básico sigue siendo el mismo. Selladas y ambientalmente controladas, las cámaras son construidas para</w:t>
      </w:r>
      <w:r>
        <w:rPr>
          <w:spacing w:val="-27"/>
        </w:rPr>
        <w:t> </w:t>
      </w:r>
      <w:r>
        <w:rPr/>
        <w:t>albergar a</w:t>
      </w:r>
      <w:r>
        <w:rPr>
          <w:spacing w:val="-6"/>
        </w:rPr>
        <w:t> </w:t>
      </w:r>
      <w:r>
        <w:rPr/>
        <w:t>los</w:t>
      </w:r>
      <w:r>
        <w:rPr>
          <w:spacing w:val="-6"/>
        </w:rPr>
        <w:t> </w:t>
      </w:r>
      <w:r>
        <w:rPr/>
        <w:t>animales</w:t>
      </w:r>
      <w:r>
        <w:rPr>
          <w:spacing w:val="-6"/>
        </w:rPr>
        <w:t> </w:t>
      </w:r>
      <w:r>
        <w:rPr/>
        <w:t>de</w:t>
      </w:r>
      <w:r>
        <w:rPr>
          <w:spacing w:val="-6"/>
        </w:rPr>
        <w:t> </w:t>
      </w:r>
      <w:r>
        <w:rPr/>
        <w:t>prueba.</w:t>
      </w:r>
      <w:r>
        <w:rPr>
          <w:spacing w:val="-6"/>
        </w:rPr>
        <w:t> </w:t>
      </w:r>
      <w:r>
        <w:rPr/>
        <w:t>Todas</w:t>
      </w:r>
      <w:r>
        <w:rPr>
          <w:spacing w:val="-6"/>
        </w:rPr>
        <w:t> </w:t>
      </w:r>
      <w:r>
        <w:rPr/>
        <w:t>las</w:t>
      </w:r>
      <w:r>
        <w:rPr>
          <w:spacing w:val="-6"/>
        </w:rPr>
        <w:t> </w:t>
      </w:r>
      <w:r>
        <w:rPr/>
        <w:t>cámaras</w:t>
      </w:r>
      <w:r>
        <w:rPr>
          <w:spacing w:val="-6"/>
        </w:rPr>
        <w:t> </w:t>
      </w:r>
      <w:r>
        <w:rPr/>
        <w:t>de</w:t>
      </w:r>
      <w:r>
        <w:rPr>
          <w:spacing w:val="-6"/>
        </w:rPr>
        <w:t> </w:t>
      </w:r>
      <w:r>
        <w:rPr/>
        <w:t>circuito</w:t>
      </w:r>
      <w:r>
        <w:rPr>
          <w:spacing w:val="-6"/>
        </w:rPr>
        <w:t> </w:t>
      </w:r>
      <w:r>
        <w:rPr/>
        <w:t>abierto</w:t>
      </w:r>
      <w:r>
        <w:rPr>
          <w:spacing w:val="-6"/>
        </w:rPr>
        <w:t> </w:t>
      </w:r>
      <w:r>
        <w:rPr/>
        <w:t>se</w:t>
      </w:r>
      <w:r>
        <w:rPr>
          <w:spacing w:val="-6"/>
        </w:rPr>
        <w:t> </w:t>
      </w:r>
      <w:r>
        <w:rPr/>
        <w:t>caracterizan</w:t>
      </w:r>
      <w:r>
        <w:rPr>
          <w:spacing w:val="-6"/>
        </w:rPr>
        <w:t> </w:t>
      </w:r>
      <w:r>
        <w:rPr/>
        <w:t>por una entrada y salida de aire, así los animales respiran de un flujo en una dirección de aire que pasa a través del espacio de la cámara. El aire puede ser extraído a través de cada cámara mediante el uso de ventiladores de entrada y salida a diferentes</w:t>
      </w:r>
      <w:r>
        <w:rPr>
          <w:spacing w:val="-12"/>
        </w:rPr>
        <w:t> </w:t>
      </w:r>
      <w:r>
        <w:rPr/>
        <w:t>velocidades,</w:t>
      </w:r>
      <w:r>
        <w:rPr>
          <w:spacing w:val="-12"/>
        </w:rPr>
        <w:t> </w:t>
      </w:r>
      <w:r>
        <w:rPr/>
        <w:t>una</w:t>
      </w:r>
      <w:r>
        <w:rPr>
          <w:spacing w:val="-12"/>
        </w:rPr>
        <w:t> </w:t>
      </w:r>
      <w:r>
        <w:rPr/>
        <w:t>presión</w:t>
      </w:r>
      <w:r>
        <w:rPr>
          <w:spacing w:val="-12"/>
        </w:rPr>
        <w:t> </w:t>
      </w:r>
      <w:r>
        <w:rPr/>
        <w:t>negativa</w:t>
      </w:r>
      <w:r>
        <w:rPr>
          <w:spacing w:val="-12"/>
        </w:rPr>
        <w:t> </w:t>
      </w:r>
      <w:r>
        <w:rPr/>
        <w:t>se</w:t>
      </w:r>
      <w:r>
        <w:rPr>
          <w:spacing w:val="-12"/>
        </w:rPr>
        <w:t> </w:t>
      </w:r>
      <w:r>
        <w:rPr/>
        <w:t>puede</w:t>
      </w:r>
      <w:r>
        <w:rPr>
          <w:spacing w:val="-12"/>
        </w:rPr>
        <w:t> </w:t>
      </w:r>
      <w:r>
        <w:rPr/>
        <w:t>generar</w:t>
      </w:r>
      <w:r>
        <w:rPr>
          <w:spacing w:val="-12"/>
        </w:rPr>
        <w:t> </w:t>
      </w:r>
      <w:r>
        <w:rPr/>
        <w:t>dentro</w:t>
      </w:r>
      <w:r>
        <w:rPr>
          <w:spacing w:val="-12"/>
        </w:rPr>
        <w:t> </w:t>
      </w:r>
      <w:r>
        <w:rPr/>
        <w:t>de</w:t>
      </w:r>
      <w:r>
        <w:rPr>
          <w:spacing w:val="-12"/>
        </w:rPr>
        <w:t> </w:t>
      </w:r>
      <w:r>
        <w:rPr/>
        <w:t>la</w:t>
      </w:r>
      <w:r>
        <w:rPr>
          <w:spacing w:val="-12"/>
        </w:rPr>
        <w:t> </w:t>
      </w:r>
      <w:r>
        <w:rPr/>
        <w:t>cámara. Esto</w:t>
      </w:r>
      <w:r>
        <w:rPr>
          <w:spacing w:val="-5"/>
        </w:rPr>
        <w:t> </w:t>
      </w:r>
      <w:r>
        <w:rPr/>
        <w:t>para</w:t>
      </w:r>
      <w:r>
        <w:rPr>
          <w:spacing w:val="-5"/>
        </w:rPr>
        <w:t> </w:t>
      </w:r>
      <w:r>
        <w:rPr/>
        <w:t>asegurar</w:t>
      </w:r>
      <w:r>
        <w:rPr>
          <w:spacing w:val="-5"/>
        </w:rPr>
        <w:t> </w:t>
      </w:r>
      <w:r>
        <w:rPr/>
        <w:t>que</w:t>
      </w:r>
      <w:r>
        <w:rPr>
          <w:spacing w:val="-5"/>
        </w:rPr>
        <w:t> </w:t>
      </w:r>
      <w:r>
        <w:rPr/>
        <w:t>el</w:t>
      </w:r>
      <w:r>
        <w:rPr>
          <w:spacing w:val="-5"/>
        </w:rPr>
        <w:t> </w:t>
      </w:r>
      <w:r>
        <w:rPr/>
        <w:t>aire</w:t>
      </w:r>
      <w:r>
        <w:rPr>
          <w:spacing w:val="-5"/>
        </w:rPr>
        <w:t> </w:t>
      </w:r>
      <w:r>
        <w:rPr/>
        <w:t>no</w:t>
      </w:r>
      <w:r>
        <w:rPr>
          <w:spacing w:val="-5"/>
        </w:rPr>
        <w:t> </w:t>
      </w:r>
      <w:r>
        <w:rPr/>
        <w:t>se</w:t>
      </w:r>
      <w:r>
        <w:rPr>
          <w:spacing w:val="-5"/>
        </w:rPr>
        <w:t> </w:t>
      </w:r>
      <w:r>
        <w:rPr/>
        <w:t>pierde</w:t>
      </w:r>
      <w:r>
        <w:rPr>
          <w:spacing w:val="-5"/>
        </w:rPr>
        <w:t> </w:t>
      </w:r>
      <w:r>
        <w:rPr/>
        <w:t>de</w:t>
      </w:r>
      <w:r>
        <w:rPr>
          <w:spacing w:val="-5"/>
        </w:rPr>
        <w:t> </w:t>
      </w:r>
      <w:r>
        <w:rPr/>
        <w:t>la</w:t>
      </w:r>
      <w:r>
        <w:rPr>
          <w:spacing w:val="-5"/>
        </w:rPr>
        <w:t> </w:t>
      </w:r>
      <w:r>
        <w:rPr/>
        <w:t>cámara</w:t>
      </w:r>
      <w:r>
        <w:rPr>
          <w:spacing w:val="-5"/>
        </w:rPr>
        <w:t> </w:t>
      </w:r>
      <w:r>
        <w:rPr/>
        <w:t>(Turner</w:t>
      </w:r>
      <w:r>
        <w:rPr>
          <w:spacing w:val="-5"/>
        </w:rPr>
        <w:t> </w:t>
      </w:r>
      <w:r>
        <w:rPr/>
        <w:t>y</w:t>
      </w:r>
      <w:r>
        <w:rPr>
          <w:spacing w:val="-5"/>
        </w:rPr>
        <w:t> </w:t>
      </w:r>
      <w:r>
        <w:rPr/>
        <w:t>Thornton</w:t>
      </w:r>
      <w:r>
        <w:rPr>
          <w:spacing w:val="-5"/>
        </w:rPr>
        <w:t> </w:t>
      </w:r>
      <w:r>
        <w:rPr/>
        <w:t>1966). El CH</w:t>
      </w:r>
      <w:r>
        <w:rPr>
          <w:position w:val="-2"/>
          <w:sz w:val="16"/>
        </w:rPr>
        <w:t>4 </w:t>
      </w:r>
      <w:r>
        <w:rPr/>
        <w:t>puede perderse de las cámaras (por el gradiente de concentración) que no están</w:t>
      </w:r>
      <w:r>
        <w:rPr>
          <w:spacing w:val="-15"/>
        </w:rPr>
        <w:t> </w:t>
      </w:r>
      <w:r>
        <w:rPr/>
        <w:t>selladas</w:t>
      </w:r>
      <w:r>
        <w:rPr>
          <w:spacing w:val="-15"/>
        </w:rPr>
        <w:t> </w:t>
      </w:r>
      <w:r>
        <w:rPr/>
        <w:t>perfectamente,</w:t>
      </w:r>
      <w:r>
        <w:rPr>
          <w:spacing w:val="-15"/>
        </w:rPr>
        <w:t> </w:t>
      </w:r>
      <w:r>
        <w:rPr/>
        <w:t>así</w:t>
      </w:r>
      <w:r>
        <w:rPr>
          <w:spacing w:val="-15"/>
        </w:rPr>
        <w:t> </w:t>
      </w:r>
      <w:r>
        <w:rPr/>
        <w:t>que</w:t>
      </w:r>
      <w:r>
        <w:rPr>
          <w:spacing w:val="-15"/>
        </w:rPr>
        <w:t> </w:t>
      </w:r>
      <w:r>
        <w:rPr/>
        <w:t>la</w:t>
      </w:r>
      <w:r>
        <w:rPr>
          <w:spacing w:val="-15"/>
        </w:rPr>
        <w:t> </w:t>
      </w:r>
      <w:r>
        <w:rPr/>
        <w:t>recuperación</w:t>
      </w:r>
      <w:r>
        <w:rPr>
          <w:spacing w:val="-15"/>
        </w:rPr>
        <w:t> </w:t>
      </w:r>
      <w:r>
        <w:rPr/>
        <w:t>del</w:t>
      </w:r>
      <w:r>
        <w:rPr>
          <w:spacing w:val="-15"/>
        </w:rPr>
        <w:t> </w:t>
      </w:r>
      <w:r>
        <w:rPr/>
        <w:t>gas</w:t>
      </w:r>
      <w:r>
        <w:rPr>
          <w:spacing w:val="-15"/>
        </w:rPr>
        <w:t> </w:t>
      </w:r>
      <w:r>
        <w:rPr/>
        <w:t>es</w:t>
      </w:r>
      <w:r>
        <w:rPr>
          <w:spacing w:val="-15"/>
        </w:rPr>
        <w:t> </w:t>
      </w:r>
      <w:r>
        <w:rPr/>
        <w:t>una</w:t>
      </w:r>
      <w:r>
        <w:rPr>
          <w:spacing w:val="-15"/>
        </w:rPr>
        <w:t> </w:t>
      </w:r>
      <w:r>
        <w:rPr/>
        <w:t>rutina</w:t>
      </w:r>
      <w:r>
        <w:rPr>
          <w:spacing w:val="-15"/>
        </w:rPr>
        <w:t> </w:t>
      </w:r>
      <w:r>
        <w:rPr/>
        <w:t>esencial en las tareas del mantenimiento. Los umbrales de temperatura de la cámara (&lt;27°C), humedad relativa (&lt;90%), la concentración de CO</w:t>
      </w:r>
      <w:r>
        <w:rPr>
          <w:position w:val="-2"/>
          <w:sz w:val="16"/>
        </w:rPr>
        <w:t>2 </w:t>
      </w:r>
      <w:r>
        <w:rPr/>
        <w:t>(&lt;0,5%) y la tasa de ventilación (250 a 260 l/min) han sido descritas (Pinares-Patiño </w:t>
      </w:r>
      <w:r>
        <w:rPr>
          <w:i/>
        </w:rPr>
        <w:t>et al.</w:t>
      </w:r>
      <w:r>
        <w:rPr/>
        <w:t>, 2011), pero pueden variar en la práctica. Es muy importante sin embargo asegurar que los animales de prueba permanezcan en su zona termo-neutral mientras se está midiendo, o la ingesta se verá probablemente comprometida. Algunas cámaras pueden estar equipadas con unidades de aire acondicionado, que proporcionan un grado de deshumidificación, y un sistema de ventilación. Esto asegura que las cámaras</w:t>
      </w:r>
      <w:r>
        <w:rPr>
          <w:spacing w:val="-6"/>
        </w:rPr>
        <w:t> </w:t>
      </w:r>
      <w:r>
        <w:rPr/>
        <w:t>se</w:t>
      </w:r>
      <w:r>
        <w:rPr>
          <w:spacing w:val="-6"/>
        </w:rPr>
        <w:t> </w:t>
      </w:r>
      <w:r>
        <w:rPr/>
        <w:t>pueden</w:t>
      </w:r>
      <w:r>
        <w:rPr>
          <w:spacing w:val="-6"/>
        </w:rPr>
        <w:t> </w:t>
      </w:r>
      <w:r>
        <w:rPr/>
        <w:t>mantener</w:t>
      </w:r>
      <w:r>
        <w:rPr>
          <w:spacing w:val="-6"/>
        </w:rPr>
        <w:t> </w:t>
      </w:r>
      <w:r>
        <w:rPr/>
        <w:t>a</w:t>
      </w:r>
      <w:r>
        <w:rPr>
          <w:spacing w:val="-6"/>
        </w:rPr>
        <w:t> </w:t>
      </w:r>
      <w:r>
        <w:rPr/>
        <w:t>temperatura</w:t>
      </w:r>
      <w:r>
        <w:rPr>
          <w:spacing w:val="-6"/>
        </w:rPr>
        <w:t> </w:t>
      </w:r>
      <w:r>
        <w:rPr/>
        <w:t>constante</w:t>
      </w:r>
      <w:r>
        <w:rPr>
          <w:spacing w:val="-6"/>
        </w:rPr>
        <w:t> </w:t>
      </w:r>
      <w:r>
        <w:rPr/>
        <w:t>(Klein</w:t>
      </w:r>
      <w:r>
        <w:rPr>
          <w:spacing w:val="-6"/>
        </w:rPr>
        <w:t> </w:t>
      </w:r>
      <w:r>
        <w:rPr/>
        <w:t>y</w:t>
      </w:r>
      <w:r>
        <w:rPr>
          <w:spacing w:val="-6"/>
        </w:rPr>
        <w:t> </w:t>
      </w:r>
      <w:r>
        <w:rPr/>
        <w:t>Wright,</w:t>
      </w:r>
      <w:r>
        <w:rPr>
          <w:spacing w:val="-6"/>
        </w:rPr>
        <w:t> </w:t>
      </w:r>
      <w:r>
        <w:rPr/>
        <w:t>2006)</w:t>
      </w:r>
      <w:r>
        <w:rPr>
          <w:spacing w:val="-6"/>
        </w:rPr>
        <w:t> </w:t>
      </w:r>
      <w:r>
        <w:rPr/>
        <w:t>o</w:t>
      </w:r>
      <w:r>
        <w:rPr>
          <w:spacing w:val="-6"/>
        </w:rPr>
        <w:t> </w:t>
      </w:r>
      <w:r>
        <w:rPr/>
        <w:t>una</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temperatura ambiente cercana para captar la varianza diurna normal (Tomkins </w:t>
      </w:r>
      <w:r>
        <w:rPr>
          <w:i/>
        </w:rPr>
        <w:t>et </w:t>
      </w:r>
      <w:r>
        <w:rPr>
          <w:i/>
        </w:rPr>
        <w:t>al.</w:t>
      </w:r>
      <w:r>
        <w:rPr/>
        <w:t>, 2011). Las opciones sobre la temperatura se rigen por los recursos técnicos y objetivos experimentales. También pueden estar equipadas con balanzas electrónicas y medidores para monitorear la ingesta de alimento y agua.</w:t>
      </w:r>
    </w:p>
    <w:p>
      <w:pPr>
        <w:pStyle w:val="BodyText"/>
        <w:spacing w:line="360" w:lineRule="auto" w:before="2"/>
        <w:ind w:left="276" w:right="143"/>
        <w:jc w:val="both"/>
      </w:pPr>
      <w:r>
        <w:rPr/>
        <w:t>Cambios en las concentraciones de O</w:t>
      </w:r>
      <w:r>
        <w:rPr>
          <w:position w:val="-2"/>
          <w:sz w:val="16"/>
        </w:rPr>
        <w:t>2</w:t>
      </w:r>
      <w:r>
        <w:rPr/>
        <w:t>, CH</w:t>
      </w:r>
      <w:r>
        <w:rPr>
          <w:position w:val="-2"/>
          <w:sz w:val="16"/>
        </w:rPr>
        <w:t>4 </w:t>
      </w:r>
      <w:r>
        <w:rPr/>
        <w:t>y CO</w:t>
      </w:r>
      <w:r>
        <w:rPr>
          <w:position w:val="-2"/>
          <w:sz w:val="16"/>
        </w:rPr>
        <w:t>2 </w:t>
      </w:r>
      <w:r>
        <w:rPr/>
        <w:t>se miden mediante el muestreo de aire entrante y saliente, utilizando analizadores de gases, monitores foto acústicos infrarrojos o sistemas de cromatografía de gases (Klein y Wright, 2006; Grainger</w:t>
      </w:r>
      <w:r>
        <w:rPr>
          <w:spacing w:val="-9"/>
        </w:rPr>
        <w:t> </w:t>
      </w:r>
      <w:r>
        <w:rPr>
          <w:i/>
        </w:rPr>
        <w:t>et</w:t>
      </w:r>
      <w:r>
        <w:rPr>
          <w:i/>
          <w:spacing w:val="-8"/>
        </w:rPr>
        <w:t> </w:t>
      </w:r>
      <w:r>
        <w:rPr>
          <w:i/>
        </w:rPr>
        <w:t>al.</w:t>
      </w:r>
      <w:r>
        <w:rPr/>
        <w:t>,</w:t>
      </w:r>
      <w:r>
        <w:rPr>
          <w:spacing w:val="-9"/>
        </w:rPr>
        <w:t> </w:t>
      </w:r>
      <w:r>
        <w:rPr/>
        <w:t>2007).</w:t>
      </w:r>
      <w:r>
        <w:rPr>
          <w:spacing w:val="-9"/>
        </w:rPr>
        <w:t> </w:t>
      </w:r>
      <w:r>
        <w:rPr/>
        <w:t>La</w:t>
      </w:r>
      <w:r>
        <w:rPr>
          <w:spacing w:val="-9"/>
        </w:rPr>
        <w:t> </w:t>
      </w:r>
      <w:r>
        <w:rPr/>
        <w:t>otra</w:t>
      </w:r>
      <w:r>
        <w:rPr>
          <w:spacing w:val="-9"/>
        </w:rPr>
        <w:t> </w:t>
      </w:r>
      <w:r>
        <w:rPr/>
        <w:t>medida</w:t>
      </w:r>
      <w:r>
        <w:rPr>
          <w:spacing w:val="-9"/>
        </w:rPr>
        <w:t> </w:t>
      </w:r>
      <w:r>
        <w:rPr/>
        <w:t>esencial</w:t>
      </w:r>
      <w:r>
        <w:rPr>
          <w:spacing w:val="-9"/>
        </w:rPr>
        <w:t> </w:t>
      </w:r>
      <w:r>
        <w:rPr/>
        <w:t>es</w:t>
      </w:r>
      <w:r>
        <w:rPr>
          <w:spacing w:val="-9"/>
        </w:rPr>
        <w:t> </w:t>
      </w:r>
      <w:r>
        <w:rPr/>
        <w:t>el</w:t>
      </w:r>
      <w:r>
        <w:rPr>
          <w:spacing w:val="-9"/>
        </w:rPr>
        <w:t> </w:t>
      </w:r>
      <w:r>
        <w:rPr/>
        <w:t>flujo</w:t>
      </w:r>
      <w:r>
        <w:rPr>
          <w:spacing w:val="-9"/>
        </w:rPr>
        <w:t> </w:t>
      </w:r>
      <w:r>
        <w:rPr/>
        <w:t>de</w:t>
      </w:r>
      <w:r>
        <w:rPr>
          <w:spacing w:val="-9"/>
        </w:rPr>
        <w:t> </w:t>
      </w:r>
      <w:r>
        <w:rPr/>
        <w:t>aire</w:t>
      </w:r>
      <w:r>
        <w:rPr>
          <w:spacing w:val="-9"/>
        </w:rPr>
        <w:t> </w:t>
      </w:r>
      <w:r>
        <w:rPr/>
        <w:t>sobre</w:t>
      </w:r>
      <w:r>
        <w:rPr>
          <w:spacing w:val="-9"/>
        </w:rPr>
        <w:t> </w:t>
      </w:r>
      <w:r>
        <w:rPr/>
        <w:t>el</w:t>
      </w:r>
      <w:r>
        <w:rPr>
          <w:spacing w:val="-9"/>
        </w:rPr>
        <w:t> </w:t>
      </w:r>
      <w:r>
        <w:rPr/>
        <w:t>periodo</w:t>
      </w:r>
      <w:r>
        <w:rPr>
          <w:spacing w:val="-9"/>
        </w:rPr>
        <w:t> </w:t>
      </w:r>
      <w:r>
        <w:rPr/>
        <w:t>de medición, que puede ser de 24 o 48 horas. La exactitud y estabilidad a largo plazo de las mediciones depende de la sensibilidad de los analizadores de gas utilizados y la precisión de su calibración. Las cámaras son directamente calibradas al liberar una cierta cantidad de gas estándar de una concentración conocida para estimar los valores de recuperación (Klein y Wright 2006). Los resultados de medición también son influenciados por la temperatura ambiental, humedad, presión, composición del aire entrante y el volumen de la cámara. Entre más grande sea la cámara</w:t>
      </w:r>
      <w:r>
        <w:rPr>
          <w:spacing w:val="-5"/>
        </w:rPr>
        <w:t> </w:t>
      </w:r>
      <w:r>
        <w:rPr/>
        <w:t>las</w:t>
      </w:r>
      <w:r>
        <w:rPr>
          <w:spacing w:val="-5"/>
        </w:rPr>
        <w:t> </w:t>
      </w:r>
      <w:r>
        <w:rPr/>
        <w:t>medidas</w:t>
      </w:r>
      <w:r>
        <w:rPr>
          <w:spacing w:val="-5"/>
        </w:rPr>
        <w:t> </w:t>
      </w:r>
      <w:r>
        <w:rPr/>
        <w:t>serán</w:t>
      </w:r>
      <w:r>
        <w:rPr>
          <w:spacing w:val="-5"/>
        </w:rPr>
        <w:t> </w:t>
      </w:r>
      <w:r>
        <w:rPr/>
        <w:t>menos</w:t>
      </w:r>
      <w:r>
        <w:rPr>
          <w:spacing w:val="-5"/>
        </w:rPr>
        <w:t> </w:t>
      </w:r>
      <w:r>
        <w:rPr/>
        <w:t>sensibles</w:t>
      </w:r>
      <w:r>
        <w:rPr>
          <w:spacing w:val="-5"/>
        </w:rPr>
        <w:t> </w:t>
      </w:r>
      <w:r>
        <w:rPr/>
        <w:t>a</w:t>
      </w:r>
      <w:r>
        <w:rPr>
          <w:spacing w:val="-5"/>
        </w:rPr>
        <w:t> </w:t>
      </w:r>
      <w:r>
        <w:rPr/>
        <w:t>las</w:t>
      </w:r>
      <w:r>
        <w:rPr>
          <w:spacing w:val="-5"/>
        </w:rPr>
        <w:t> </w:t>
      </w:r>
      <w:r>
        <w:rPr/>
        <w:t>fluctuaciones</w:t>
      </w:r>
      <w:r>
        <w:rPr>
          <w:spacing w:val="-5"/>
        </w:rPr>
        <w:t> </w:t>
      </w:r>
      <w:r>
        <w:rPr/>
        <w:t>espaciales,</w:t>
      </w:r>
      <w:r>
        <w:rPr>
          <w:spacing w:val="-5"/>
        </w:rPr>
        <w:t> </w:t>
      </w:r>
      <w:r>
        <w:rPr/>
        <w:t>como</w:t>
      </w:r>
      <w:r>
        <w:rPr>
          <w:spacing w:val="-5"/>
        </w:rPr>
        <w:t> </w:t>
      </w:r>
      <w:r>
        <w:rPr/>
        <w:t>el tiempo de respuesta depende del tamaño de la cámara y la tasa de ventilación (Brown </w:t>
      </w:r>
      <w:r>
        <w:rPr>
          <w:i/>
        </w:rPr>
        <w:t>et al.</w:t>
      </w:r>
      <w:r>
        <w:rPr/>
        <w:t>, 1984). La calibración de los analizadores de gas debe ser precisa y reproducible para el uso a largo plazo.</w:t>
      </w:r>
    </w:p>
    <w:p>
      <w:pPr>
        <w:pStyle w:val="BodyText"/>
        <w:spacing w:line="360" w:lineRule="auto" w:before="2"/>
        <w:ind w:left="276" w:right="143"/>
        <w:jc w:val="both"/>
      </w:pPr>
      <w:r>
        <w:rPr/>
        <w:t>El movimiento y el comportamiento normal de los animales debe ser previsto tanto como sea posible, sin embargo, cierto grado de restricción es necesario dentro de la cámara. Los factores experimentales que se deben considerar son a) restricciones de los animales en la ingesta del alimento para asegurarse de que el experimento pueda ser reproducido, b) hacer hincapié que el animal debe estar confinado, c) la falta de presiones ambientales sobre el animal (por ejemplo, estrés por calor), d) falta de ejercicio y e) tiempo del experimento.</w:t>
      </w:r>
    </w:p>
    <w:p>
      <w:pPr>
        <w:pStyle w:val="BodyText"/>
        <w:spacing w:line="355" w:lineRule="auto" w:before="7"/>
        <w:ind w:left="276" w:right="143"/>
        <w:jc w:val="both"/>
      </w:pPr>
      <w:r>
        <w:rPr/>
        <w:t>La ventaja de esta técnica es la capacidad de realizar mediciones exactas de las emisiones de CH</w:t>
      </w:r>
      <w:r>
        <w:rPr>
          <w:position w:val="-2"/>
          <w:sz w:val="16"/>
        </w:rPr>
        <w:t>4</w:t>
      </w:r>
      <w:r>
        <w:rPr/>
        <w:t>. Las limitaciones de esta técnica es que el comportamiento animal</w:t>
      </w:r>
      <w:r>
        <w:rPr>
          <w:spacing w:val="-7"/>
        </w:rPr>
        <w:t> </w:t>
      </w:r>
      <w:r>
        <w:rPr/>
        <w:t>normal</w:t>
      </w:r>
      <w:r>
        <w:rPr>
          <w:spacing w:val="-7"/>
        </w:rPr>
        <w:t> </w:t>
      </w:r>
      <w:r>
        <w:rPr/>
        <w:t>está</w:t>
      </w:r>
      <w:r>
        <w:rPr>
          <w:spacing w:val="-7"/>
        </w:rPr>
        <w:t> </w:t>
      </w:r>
      <w:r>
        <w:rPr/>
        <w:t>restringido</w:t>
      </w:r>
      <w:r>
        <w:rPr>
          <w:spacing w:val="-7"/>
        </w:rPr>
        <w:t> </w:t>
      </w:r>
      <w:r>
        <w:rPr/>
        <w:t>cuando</w:t>
      </w:r>
      <w:r>
        <w:rPr>
          <w:spacing w:val="-7"/>
        </w:rPr>
        <w:t> </w:t>
      </w:r>
      <w:r>
        <w:rPr/>
        <w:t>se</w:t>
      </w:r>
      <w:r>
        <w:rPr>
          <w:spacing w:val="-7"/>
        </w:rPr>
        <w:t> </w:t>
      </w:r>
      <w:r>
        <w:rPr/>
        <w:t>mantienen</w:t>
      </w:r>
      <w:r>
        <w:rPr>
          <w:spacing w:val="-7"/>
        </w:rPr>
        <w:t> </w:t>
      </w:r>
      <w:r>
        <w:rPr/>
        <w:t>en</w:t>
      </w:r>
      <w:r>
        <w:rPr>
          <w:spacing w:val="-7"/>
        </w:rPr>
        <w:t> </w:t>
      </w:r>
      <w:r>
        <w:rPr/>
        <w:t>las</w:t>
      </w:r>
      <w:r>
        <w:rPr>
          <w:spacing w:val="-7"/>
        </w:rPr>
        <w:t> </w:t>
      </w:r>
      <w:r>
        <w:rPr/>
        <w:t>cámaras</w:t>
      </w:r>
      <w:r>
        <w:rPr>
          <w:spacing w:val="-7"/>
        </w:rPr>
        <w:t> </w:t>
      </w:r>
      <w:r>
        <w:rPr/>
        <w:t>de</w:t>
      </w:r>
      <w:r>
        <w:rPr>
          <w:spacing w:val="-7"/>
        </w:rPr>
        <w:t> </w:t>
      </w:r>
      <w:r>
        <w:rPr/>
        <w:t>respiración, se requiere de un tiempo de adaptación de los animales y existen dificultades</w:t>
      </w:r>
      <w:r>
        <w:rPr>
          <w:spacing w:val="38"/>
        </w:rPr>
        <w:t> </w:t>
      </w:r>
      <w:r>
        <w:rPr/>
        <w:t>para</w:t>
      </w:r>
    </w:p>
    <w:p>
      <w:pPr>
        <w:spacing w:after="0" w:line="355" w:lineRule="auto"/>
        <w:jc w:val="both"/>
        <w:sectPr>
          <w:pgSz w:w="12240" w:h="15840"/>
          <w:pgMar w:header="741" w:footer="739" w:top="1220" w:bottom="920" w:left="1720" w:right="1260"/>
        </w:sectPr>
      </w:pPr>
    </w:p>
    <w:p>
      <w:pPr>
        <w:pStyle w:val="BodyText"/>
        <w:spacing w:before="4"/>
        <w:rPr>
          <w:sz w:val="11"/>
        </w:rPr>
      </w:pPr>
    </w:p>
    <w:p>
      <w:pPr>
        <w:pStyle w:val="BodyText"/>
        <w:spacing w:line="362" w:lineRule="auto" w:before="69"/>
        <w:ind w:left="276" w:right="144"/>
        <w:jc w:val="both"/>
      </w:pPr>
      <w:r>
        <w:rPr/>
        <w:t>derivar</w:t>
      </w:r>
      <w:r>
        <w:rPr>
          <w:spacing w:val="-6"/>
        </w:rPr>
        <w:t> </w:t>
      </w:r>
      <w:r>
        <w:rPr/>
        <w:t>los</w:t>
      </w:r>
      <w:r>
        <w:rPr>
          <w:spacing w:val="-6"/>
        </w:rPr>
        <w:t> </w:t>
      </w:r>
      <w:r>
        <w:rPr/>
        <w:t>valores</w:t>
      </w:r>
      <w:r>
        <w:rPr>
          <w:spacing w:val="-6"/>
        </w:rPr>
        <w:t> </w:t>
      </w:r>
      <w:r>
        <w:rPr/>
        <w:t>que</w:t>
      </w:r>
      <w:r>
        <w:rPr>
          <w:spacing w:val="-6"/>
        </w:rPr>
        <w:t> </w:t>
      </w:r>
      <w:r>
        <w:rPr/>
        <w:t>son</w:t>
      </w:r>
      <w:r>
        <w:rPr>
          <w:spacing w:val="-6"/>
        </w:rPr>
        <w:t> </w:t>
      </w:r>
      <w:r>
        <w:rPr/>
        <w:t>aplicables</w:t>
      </w:r>
      <w:r>
        <w:rPr>
          <w:spacing w:val="-6"/>
        </w:rPr>
        <w:t> </w:t>
      </w:r>
      <w:r>
        <w:rPr/>
        <w:t>a</w:t>
      </w:r>
      <w:r>
        <w:rPr>
          <w:spacing w:val="-6"/>
        </w:rPr>
        <w:t> </w:t>
      </w:r>
      <w:r>
        <w:rPr/>
        <w:t>los</w:t>
      </w:r>
      <w:r>
        <w:rPr>
          <w:spacing w:val="-6"/>
        </w:rPr>
        <w:t> </w:t>
      </w:r>
      <w:r>
        <w:rPr/>
        <w:t>rumiantes</w:t>
      </w:r>
      <w:r>
        <w:rPr>
          <w:spacing w:val="-6"/>
        </w:rPr>
        <w:t> </w:t>
      </w:r>
      <w:r>
        <w:rPr/>
        <w:t>en</w:t>
      </w:r>
      <w:r>
        <w:rPr>
          <w:spacing w:val="-6"/>
        </w:rPr>
        <w:t> </w:t>
      </w:r>
      <w:r>
        <w:rPr/>
        <w:t>pastoreo,</w:t>
      </w:r>
      <w:r>
        <w:rPr>
          <w:spacing w:val="-6"/>
        </w:rPr>
        <w:t> </w:t>
      </w:r>
      <w:r>
        <w:rPr/>
        <w:t>la</w:t>
      </w:r>
      <w:r>
        <w:rPr>
          <w:spacing w:val="-6"/>
        </w:rPr>
        <w:t> </w:t>
      </w:r>
      <w:r>
        <w:rPr/>
        <w:t>restricción</w:t>
      </w:r>
      <w:r>
        <w:rPr>
          <w:spacing w:val="-6"/>
        </w:rPr>
        <w:t> </w:t>
      </w:r>
      <w:r>
        <w:rPr/>
        <w:t>del movimiento y el confinamiento de los animales (Bhatta </w:t>
      </w:r>
      <w:r>
        <w:rPr>
          <w:i/>
        </w:rPr>
        <w:t>et al.</w:t>
      </w:r>
      <w:r>
        <w:rPr/>
        <w:t>,</w:t>
      </w:r>
      <w:r>
        <w:rPr>
          <w:spacing w:val="-3"/>
        </w:rPr>
        <w:t> </w:t>
      </w:r>
      <w:r>
        <w:rPr/>
        <w:t>2007).</w:t>
      </w:r>
    </w:p>
    <w:p>
      <w:pPr>
        <w:pStyle w:val="BodyText"/>
        <w:spacing w:line="360" w:lineRule="auto"/>
        <w:ind w:left="276" w:right="143"/>
        <w:jc w:val="both"/>
      </w:pPr>
      <w:r>
        <w:rPr/>
        <w:t>Los animales se benefician de la aclimatación en las cámaras antes de la</w:t>
      </w:r>
      <w:r>
        <w:rPr>
          <w:spacing w:val="-13"/>
        </w:rPr>
        <w:t> </w:t>
      </w:r>
      <w:r>
        <w:rPr/>
        <w:t>reclusión y la medición, con el fin de minimizar las alteraciones en el comportamiento, tales como</w:t>
      </w:r>
      <w:r>
        <w:rPr>
          <w:spacing w:val="-12"/>
        </w:rPr>
        <w:t> </w:t>
      </w:r>
      <w:r>
        <w:rPr/>
        <w:t>disminución</w:t>
      </w:r>
      <w:r>
        <w:rPr>
          <w:spacing w:val="-12"/>
        </w:rPr>
        <w:t> </w:t>
      </w:r>
      <w:r>
        <w:rPr/>
        <w:t>de</w:t>
      </w:r>
      <w:r>
        <w:rPr>
          <w:spacing w:val="-12"/>
        </w:rPr>
        <w:t> </w:t>
      </w:r>
      <w:r>
        <w:rPr/>
        <w:t>la</w:t>
      </w:r>
      <w:r>
        <w:rPr>
          <w:spacing w:val="-12"/>
        </w:rPr>
        <w:t> </w:t>
      </w:r>
      <w:r>
        <w:rPr/>
        <w:t>ingesta</w:t>
      </w:r>
      <w:r>
        <w:rPr>
          <w:spacing w:val="-12"/>
        </w:rPr>
        <w:t> </w:t>
      </w:r>
      <w:r>
        <w:rPr/>
        <w:t>de</w:t>
      </w:r>
      <w:r>
        <w:rPr>
          <w:spacing w:val="-12"/>
        </w:rPr>
        <w:t> </w:t>
      </w:r>
      <w:r>
        <w:rPr/>
        <w:t>alimento</w:t>
      </w:r>
      <w:r>
        <w:rPr>
          <w:spacing w:val="-12"/>
        </w:rPr>
        <w:t> </w:t>
      </w:r>
      <w:r>
        <w:rPr/>
        <w:t>(McGinn</w:t>
      </w:r>
      <w:r>
        <w:rPr>
          <w:spacing w:val="-13"/>
        </w:rPr>
        <w:t> </w:t>
      </w:r>
      <w:r>
        <w:rPr>
          <w:i/>
        </w:rPr>
        <w:t>et</w:t>
      </w:r>
      <w:r>
        <w:rPr>
          <w:i/>
          <w:spacing w:val="-12"/>
        </w:rPr>
        <w:t> </w:t>
      </w:r>
      <w:r>
        <w:rPr>
          <w:i/>
        </w:rPr>
        <w:t>al.,</w:t>
      </w:r>
      <w:r>
        <w:rPr>
          <w:i/>
          <w:spacing w:val="-12"/>
        </w:rPr>
        <w:t> </w:t>
      </w:r>
      <w:r>
        <w:rPr/>
        <w:t>2009).</w:t>
      </w:r>
      <w:r>
        <w:rPr>
          <w:spacing w:val="-12"/>
        </w:rPr>
        <w:t> </w:t>
      </w:r>
      <w:r>
        <w:rPr/>
        <w:t>Sin</w:t>
      </w:r>
      <w:r>
        <w:rPr>
          <w:spacing w:val="-12"/>
        </w:rPr>
        <w:t> </w:t>
      </w:r>
      <w:r>
        <w:rPr/>
        <w:t>embargo,</w:t>
      </w:r>
      <w:r>
        <w:rPr>
          <w:spacing w:val="-12"/>
        </w:rPr>
        <w:t> </w:t>
      </w:r>
      <w:r>
        <w:rPr/>
        <w:t>hay evidencia clara que esto ocurrirá en una pequeña proporción de los animales, independientemente de su entrenamiento (Robinson </w:t>
      </w:r>
      <w:r>
        <w:rPr>
          <w:i/>
        </w:rPr>
        <w:t>et al.,</w:t>
      </w:r>
      <w:r>
        <w:rPr>
          <w:i/>
          <w:spacing w:val="-3"/>
        </w:rPr>
        <w:t> </w:t>
      </w:r>
      <w:r>
        <w:rPr/>
        <w:t>2014).</w:t>
      </w:r>
    </w:p>
    <w:p>
      <w:pPr>
        <w:pStyle w:val="BodyText"/>
        <w:spacing w:line="360" w:lineRule="auto" w:before="2"/>
        <w:ind w:left="276" w:right="143"/>
        <w:jc w:val="both"/>
      </w:pPr>
      <w:r>
        <w:rPr/>
        <w:t>Existen</w:t>
      </w:r>
      <w:r>
        <w:rPr>
          <w:spacing w:val="-7"/>
        </w:rPr>
        <w:t> </w:t>
      </w:r>
      <w:r>
        <w:rPr/>
        <w:t>altos</w:t>
      </w:r>
      <w:r>
        <w:rPr>
          <w:spacing w:val="-7"/>
        </w:rPr>
        <w:t> </w:t>
      </w:r>
      <w:r>
        <w:rPr/>
        <w:t>costos</w:t>
      </w:r>
      <w:r>
        <w:rPr>
          <w:spacing w:val="-7"/>
        </w:rPr>
        <w:t> </w:t>
      </w:r>
      <w:r>
        <w:rPr/>
        <w:t>asociados</w:t>
      </w:r>
      <w:r>
        <w:rPr>
          <w:spacing w:val="-7"/>
        </w:rPr>
        <w:t> </w:t>
      </w:r>
      <w:r>
        <w:rPr/>
        <w:t>con</w:t>
      </w:r>
      <w:r>
        <w:rPr>
          <w:spacing w:val="-7"/>
        </w:rPr>
        <w:t> </w:t>
      </w:r>
      <w:r>
        <w:rPr/>
        <w:t>la</w:t>
      </w:r>
      <w:r>
        <w:rPr>
          <w:spacing w:val="-7"/>
        </w:rPr>
        <w:t> </w:t>
      </w:r>
      <w:r>
        <w:rPr/>
        <w:t>construcción</w:t>
      </w:r>
      <w:r>
        <w:rPr>
          <w:spacing w:val="-7"/>
        </w:rPr>
        <w:t> </w:t>
      </w:r>
      <w:r>
        <w:rPr/>
        <w:t>y</w:t>
      </w:r>
      <w:r>
        <w:rPr>
          <w:spacing w:val="-7"/>
        </w:rPr>
        <w:t> </w:t>
      </w:r>
      <w:r>
        <w:rPr/>
        <w:t>mantenimiento</w:t>
      </w:r>
      <w:r>
        <w:rPr>
          <w:spacing w:val="-7"/>
        </w:rPr>
        <w:t> </w:t>
      </w:r>
      <w:r>
        <w:rPr/>
        <w:t>de</w:t>
      </w:r>
      <w:r>
        <w:rPr>
          <w:spacing w:val="-7"/>
        </w:rPr>
        <w:t> </w:t>
      </w:r>
      <w:r>
        <w:rPr/>
        <w:t>las</w:t>
      </w:r>
      <w:r>
        <w:rPr>
          <w:spacing w:val="-7"/>
        </w:rPr>
        <w:t> </w:t>
      </w:r>
      <w:r>
        <w:rPr/>
        <w:t>cámaras de respiración de circuito abierto; la necesidad de analizadores de gas de alto rendimiento</w:t>
      </w:r>
      <w:r>
        <w:rPr>
          <w:spacing w:val="-11"/>
        </w:rPr>
        <w:t> </w:t>
      </w:r>
      <w:r>
        <w:rPr/>
        <w:t>y</w:t>
      </w:r>
      <w:r>
        <w:rPr>
          <w:spacing w:val="-11"/>
        </w:rPr>
        <w:t> </w:t>
      </w:r>
      <w:r>
        <w:rPr/>
        <w:t>sensibilidad</w:t>
      </w:r>
      <w:r>
        <w:rPr>
          <w:spacing w:val="-11"/>
        </w:rPr>
        <w:t> </w:t>
      </w:r>
      <w:r>
        <w:rPr/>
        <w:t>y</w:t>
      </w:r>
      <w:r>
        <w:rPr>
          <w:spacing w:val="-11"/>
        </w:rPr>
        <w:t> </w:t>
      </w:r>
      <w:r>
        <w:rPr/>
        <w:t>medidores</w:t>
      </w:r>
      <w:r>
        <w:rPr>
          <w:spacing w:val="-11"/>
        </w:rPr>
        <w:t> </w:t>
      </w:r>
      <w:r>
        <w:rPr/>
        <w:t>de</w:t>
      </w:r>
      <w:r>
        <w:rPr>
          <w:spacing w:val="-11"/>
        </w:rPr>
        <w:t> </w:t>
      </w:r>
      <w:r>
        <w:rPr/>
        <w:t>flujo</w:t>
      </w:r>
      <w:r>
        <w:rPr>
          <w:spacing w:val="-11"/>
        </w:rPr>
        <w:t> </w:t>
      </w:r>
      <w:r>
        <w:rPr/>
        <w:t>deben</w:t>
      </w:r>
      <w:r>
        <w:rPr>
          <w:spacing w:val="-11"/>
        </w:rPr>
        <w:t> </w:t>
      </w:r>
      <w:r>
        <w:rPr/>
        <w:t>ser</w:t>
      </w:r>
      <w:r>
        <w:rPr>
          <w:spacing w:val="-11"/>
        </w:rPr>
        <w:t> </w:t>
      </w:r>
      <w:r>
        <w:rPr/>
        <w:t>considerados</w:t>
      </w:r>
      <w:r>
        <w:rPr>
          <w:spacing w:val="-11"/>
        </w:rPr>
        <w:t> </w:t>
      </w:r>
      <w:r>
        <w:rPr/>
        <w:t>en</w:t>
      </w:r>
      <w:r>
        <w:rPr>
          <w:spacing w:val="-11"/>
        </w:rPr>
        <w:t> </w:t>
      </w:r>
      <w:r>
        <w:rPr/>
        <w:t>el</w:t>
      </w:r>
      <w:r>
        <w:rPr>
          <w:spacing w:val="-11"/>
        </w:rPr>
        <w:t> </w:t>
      </w:r>
      <w:r>
        <w:rPr/>
        <w:t>diseño y la construcción. Sólo unos pocos animales se pueden utilizar para mediciones dentro</w:t>
      </w:r>
      <w:r>
        <w:rPr>
          <w:spacing w:val="-7"/>
        </w:rPr>
        <w:t> </w:t>
      </w:r>
      <w:r>
        <w:rPr/>
        <w:t>de</w:t>
      </w:r>
      <w:r>
        <w:rPr>
          <w:spacing w:val="-7"/>
        </w:rPr>
        <w:t> </w:t>
      </w:r>
      <w:r>
        <w:rPr/>
        <w:t>cámaras</w:t>
      </w:r>
      <w:r>
        <w:rPr>
          <w:spacing w:val="-7"/>
        </w:rPr>
        <w:t> </w:t>
      </w:r>
      <w:r>
        <w:rPr/>
        <w:t>en</w:t>
      </w:r>
      <w:r>
        <w:rPr>
          <w:spacing w:val="-7"/>
        </w:rPr>
        <w:t> </w:t>
      </w:r>
      <w:r>
        <w:rPr/>
        <w:t>cualquier</w:t>
      </w:r>
      <w:r>
        <w:rPr>
          <w:spacing w:val="-7"/>
        </w:rPr>
        <w:t> </w:t>
      </w:r>
      <w:r>
        <w:rPr/>
        <w:t>momento</w:t>
      </w:r>
      <w:r>
        <w:rPr>
          <w:spacing w:val="-7"/>
        </w:rPr>
        <w:t> </w:t>
      </w:r>
      <w:r>
        <w:rPr/>
        <w:t>(Nay</w:t>
      </w:r>
      <w:r>
        <w:rPr>
          <w:spacing w:val="-7"/>
        </w:rPr>
        <w:t> </w:t>
      </w:r>
      <w:r>
        <w:rPr>
          <w:i/>
        </w:rPr>
        <w:t>et</w:t>
      </w:r>
      <w:r>
        <w:rPr>
          <w:i/>
          <w:spacing w:val="-7"/>
        </w:rPr>
        <w:t> </w:t>
      </w:r>
      <w:r>
        <w:rPr>
          <w:i/>
        </w:rPr>
        <w:t>al.</w:t>
      </w:r>
      <w:r>
        <w:rPr/>
        <w:t>,</w:t>
      </w:r>
      <w:r>
        <w:rPr>
          <w:spacing w:val="-7"/>
        </w:rPr>
        <w:t> </w:t>
      </w:r>
      <w:r>
        <w:rPr/>
        <w:t>1994;</w:t>
      </w:r>
      <w:r>
        <w:rPr>
          <w:spacing w:val="-7"/>
        </w:rPr>
        <w:t> </w:t>
      </w:r>
      <w:r>
        <w:rPr/>
        <w:t>Bhatta</w:t>
      </w:r>
      <w:r>
        <w:rPr>
          <w:spacing w:val="-7"/>
        </w:rPr>
        <w:t> </w:t>
      </w:r>
      <w:r>
        <w:rPr>
          <w:i/>
        </w:rPr>
        <w:t>et</w:t>
      </w:r>
      <w:r>
        <w:rPr>
          <w:i/>
          <w:spacing w:val="-7"/>
        </w:rPr>
        <w:t> </w:t>
      </w:r>
      <w:r>
        <w:rPr>
          <w:i/>
        </w:rPr>
        <w:t>al.</w:t>
      </w:r>
      <w:r>
        <w:rPr/>
        <w:t>,</w:t>
      </w:r>
      <w:r>
        <w:rPr>
          <w:spacing w:val="-7"/>
        </w:rPr>
        <w:t> </w:t>
      </w:r>
      <w:r>
        <w:rPr/>
        <w:t>2007).</w:t>
      </w:r>
      <w:r>
        <w:rPr>
          <w:spacing w:val="-7"/>
        </w:rPr>
        <w:t> </w:t>
      </w:r>
      <w:r>
        <w:rPr/>
        <w:t>Sin embargo, las cámaras de respiración son adecuadas para estudiar las diferencias entre tratamientos para las estrategias de mitigación, y seguirá siendo considerado como el “estándar” para la medición de las emisiones individuales.</w:t>
      </w:r>
    </w:p>
    <w:p>
      <w:pPr>
        <w:pStyle w:val="BodyText"/>
      </w:pPr>
    </w:p>
    <w:p>
      <w:pPr>
        <w:pStyle w:val="Heading6"/>
        <w:spacing w:before="139"/>
      </w:pPr>
      <w:r>
        <w:rPr/>
        <w:t>Estimación a través del uso de gases trazadores</w:t>
      </w:r>
    </w:p>
    <w:p>
      <w:pPr>
        <w:pStyle w:val="BodyText"/>
        <w:spacing w:line="357" w:lineRule="auto" w:before="141"/>
        <w:ind w:left="276" w:right="143"/>
        <w:jc w:val="both"/>
      </w:pPr>
      <w:r>
        <w:rPr/>
        <w:t>Esta técnica se fundamenta en la liberación de una cantidad conocida del gas trazador contenido en un tubo pre calibrado permeable colocado en el rumen, y la medición subsecuente de la relación de este gas en muestras representativas de aire expirado por los animales en prueba. Los gases trazadores más comúnmente empleados son: hexafluoruro de azufre (SF</w:t>
      </w:r>
      <w:r>
        <w:rPr>
          <w:position w:val="-2"/>
          <w:sz w:val="16"/>
        </w:rPr>
        <w:t>6</w:t>
      </w:r>
      <w:r>
        <w:rPr/>
        <w:t>), bióxido de carbono (CO</w:t>
      </w:r>
      <w:r>
        <w:rPr>
          <w:position w:val="-2"/>
          <w:sz w:val="16"/>
        </w:rPr>
        <w:t>2</w:t>
      </w:r>
      <w:r>
        <w:rPr/>
        <w:t>), óxido nitroso (N</w:t>
      </w:r>
      <w:r>
        <w:rPr>
          <w:position w:val="-2"/>
          <w:sz w:val="16"/>
        </w:rPr>
        <w:t>2</w:t>
      </w:r>
      <w:r>
        <w:rPr/>
        <w:t>O), colecta directa, método micrometeorológico (Bonilla </w:t>
      </w:r>
      <w:r>
        <w:rPr>
          <w:i/>
        </w:rPr>
        <w:t>et al.</w:t>
      </w:r>
      <w:r>
        <w:rPr/>
        <w:t>, 2012).</w:t>
      </w:r>
    </w:p>
    <w:p>
      <w:pPr>
        <w:pStyle w:val="BodyText"/>
        <w:spacing w:before="7"/>
        <w:rPr>
          <w:sz w:val="34"/>
        </w:rPr>
      </w:pPr>
    </w:p>
    <w:p>
      <w:pPr>
        <w:pStyle w:val="Heading6"/>
        <w:spacing w:before="1"/>
      </w:pPr>
      <w:r>
        <w:rPr/>
        <w:t>Técnica del Hexafluoruro de Azufre (SF</w:t>
      </w:r>
      <w:r>
        <w:rPr>
          <w:position w:val="-2"/>
          <w:sz w:val="16"/>
        </w:rPr>
        <w:t>6</w:t>
      </w:r>
      <w:r>
        <w:rPr/>
        <w:t>)</w:t>
      </w:r>
    </w:p>
    <w:p>
      <w:pPr>
        <w:pStyle w:val="BodyText"/>
        <w:spacing w:line="357" w:lineRule="auto" w:before="123"/>
        <w:ind w:left="276" w:right="143"/>
        <w:jc w:val="both"/>
      </w:pPr>
      <w:r>
        <w:rPr/>
        <w:t>La técnica del SF</w:t>
      </w:r>
      <w:r>
        <w:rPr>
          <w:position w:val="-2"/>
          <w:sz w:val="16"/>
        </w:rPr>
        <w:t>6</w:t>
      </w:r>
      <w:r>
        <w:rPr/>
        <w:t>, provee una medición directa de la emisión de CH</w:t>
      </w:r>
      <w:r>
        <w:rPr>
          <w:position w:val="-2"/>
          <w:sz w:val="16"/>
        </w:rPr>
        <w:t>4 </w:t>
      </w:r>
      <w:r>
        <w:rPr/>
        <w:t>de cada animal. Esta técnica puede ser utilizada bajo condiciones de pastoreo normales aunque también puede ser empleada bajo condiciones más controladas donde la ingesta es medida y/o regulada.</w:t>
      </w:r>
    </w:p>
    <w:p>
      <w:pPr>
        <w:pStyle w:val="BodyText"/>
        <w:spacing w:line="352" w:lineRule="auto" w:before="5"/>
        <w:ind w:left="276" w:right="143"/>
        <w:jc w:val="both"/>
      </w:pPr>
      <w:r>
        <w:rPr/>
        <w:t>El principio SF</w:t>
      </w:r>
      <w:r>
        <w:rPr>
          <w:position w:val="-2"/>
          <w:sz w:val="16"/>
        </w:rPr>
        <w:t>6 </w:t>
      </w:r>
      <w:r>
        <w:rPr/>
        <w:t>se basa en la inserción de un tubo de permeación con una relación de</w:t>
      </w:r>
      <w:r>
        <w:rPr>
          <w:spacing w:val="-12"/>
        </w:rPr>
        <w:t> </w:t>
      </w:r>
      <w:r>
        <w:rPr/>
        <w:t>liberación</w:t>
      </w:r>
      <w:r>
        <w:rPr>
          <w:spacing w:val="-12"/>
        </w:rPr>
        <w:t> </w:t>
      </w:r>
      <w:r>
        <w:rPr/>
        <w:t>predeterminada</w:t>
      </w:r>
      <w:r>
        <w:rPr>
          <w:spacing w:val="-12"/>
        </w:rPr>
        <w:t> </w:t>
      </w:r>
      <w:r>
        <w:rPr/>
        <w:t>de</w:t>
      </w:r>
      <w:r>
        <w:rPr>
          <w:spacing w:val="-12"/>
        </w:rPr>
        <w:t> </w:t>
      </w:r>
      <w:r>
        <w:rPr/>
        <w:t>SF</w:t>
      </w:r>
      <w:r>
        <w:rPr>
          <w:position w:val="-2"/>
          <w:sz w:val="16"/>
        </w:rPr>
        <w:t>6</w:t>
      </w:r>
      <w:r>
        <w:rPr>
          <w:spacing w:val="11"/>
          <w:position w:val="-2"/>
          <w:sz w:val="16"/>
        </w:rPr>
        <w:t> </w:t>
      </w:r>
      <w:r>
        <w:rPr/>
        <w:t>en</w:t>
      </w:r>
      <w:r>
        <w:rPr>
          <w:spacing w:val="-12"/>
        </w:rPr>
        <w:t> </w:t>
      </w:r>
      <w:r>
        <w:rPr/>
        <w:t>el</w:t>
      </w:r>
      <w:r>
        <w:rPr>
          <w:spacing w:val="-12"/>
        </w:rPr>
        <w:t> </w:t>
      </w:r>
      <w:r>
        <w:rPr/>
        <w:t>rumen,</w:t>
      </w:r>
      <w:r>
        <w:rPr>
          <w:spacing w:val="-12"/>
        </w:rPr>
        <w:t> </w:t>
      </w:r>
      <w:r>
        <w:rPr/>
        <w:t>el</w:t>
      </w:r>
      <w:r>
        <w:rPr>
          <w:spacing w:val="-12"/>
        </w:rPr>
        <w:t> </w:t>
      </w:r>
      <w:r>
        <w:rPr/>
        <w:t>cual</w:t>
      </w:r>
      <w:r>
        <w:rPr>
          <w:spacing w:val="-12"/>
        </w:rPr>
        <w:t> </w:t>
      </w:r>
      <w:r>
        <w:rPr/>
        <w:t>es</w:t>
      </w:r>
      <w:r>
        <w:rPr>
          <w:spacing w:val="-12"/>
        </w:rPr>
        <w:t> </w:t>
      </w:r>
      <w:r>
        <w:rPr/>
        <w:t>administrado</w:t>
      </w:r>
      <w:r>
        <w:rPr>
          <w:spacing w:val="-12"/>
        </w:rPr>
        <w:t> </w:t>
      </w:r>
      <w:r>
        <w:rPr/>
        <w:t>oralmente</w:t>
      </w:r>
    </w:p>
    <w:p>
      <w:pPr>
        <w:spacing w:after="0" w:line="352"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276" w:right="143"/>
        <w:jc w:val="both"/>
      </w:pPr>
      <w:r>
        <w:rPr/>
        <w:t>(Johnson </w:t>
      </w:r>
      <w:r>
        <w:rPr>
          <w:i/>
        </w:rPr>
        <w:t>et al., </w:t>
      </w:r>
      <w:r>
        <w:rPr/>
        <w:t>1994). El aire proveniente del hocico del animal es drenado continuamente</w:t>
      </w:r>
      <w:r>
        <w:rPr>
          <w:spacing w:val="-13"/>
        </w:rPr>
        <w:t> </w:t>
      </w:r>
      <w:r>
        <w:rPr/>
        <w:t>en</w:t>
      </w:r>
      <w:r>
        <w:rPr>
          <w:spacing w:val="-13"/>
        </w:rPr>
        <w:t> </w:t>
      </w:r>
      <w:r>
        <w:rPr/>
        <w:t>un</w:t>
      </w:r>
      <w:r>
        <w:rPr>
          <w:spacing w:val="-13"/>
        </w:rPr>
        <w:t> </w:t>
      </w:r>
      <w:r>
        <w:rPr/>
        <w:t>canister</w:t>
      </w:r>
      <w:r>
        <w:rPr>
          <w:spacing w:val="-13"/>
        </w:rPr>
        <w:t> </w:t>
      </w:r>
      <w:r>
        <w:rPr/>
        <w:t>conectado</w:t>
      </w:r>
      <w:r>
        <w:rPr>
          <w:spacing w:val="-13"/>
        </w:rPr>
        <w:t> </w:t>
      </w:r>
      <w:r>
        <w:rPr/>
        <w:t>a</w:t>
      </w:r>
      <w:r>
        <w:rPr>
          <w:spacing w:val="-13"/>
        </w:rPr>
        <w:t> </w:t>
      </w:r>
      <w:r>
        <w:rPr/>
        <w:t>un</w:t>
      </w:r>
      <w:r>
        <w:rPr>
          <w:spacing w:val="-13"/>
        </w:rPr>
        <w:t> </w:t>
      </w:r>
      <w:r>
        <w:rPr/>
        <w:t>cabestro</w:t>
      </w:r>
      <w:r>
        <w:rPr>
          <w:spacing w:val="-13"/>
        </w:rPr>
        <w:t> </w:t>
      </w:r>
      <w:r>
        <w:rPr/>
        <w:t>equipado</w:t>
      </w:r>
      <w:r>
        <w:rPr>
          <w:spacing w:val="-13"/>
        </w:rPr>
        <w:t> </w:t>
      </w:r>
      <w:r>
        <w:rPr/>
        <w:t>con</w:t>
      </w:r>
      <w:r>
        <w:rPr>
          <w:spacing w:val="-13"/>
        </w:rPr>
        <w:t> </w:t>
      </w:r>
      <w:r>
        <w:rPr/>
        <w:t>un</w:t>
      </w:r>
      <w:r>
        <w:rPr>
          <w:spacing w:val="-13"/>
        </w:rPr>
        <w:t> </w:t>
      </w:r>
      <w:r>
        <w:rPr/>
        <w:t>tubo</w:t>
      </w:r>
      <w:r>
        <w:rPr>
          <w:spacing w:val="-13"/>
        </w:rPr>
        <w:t> </w:t>
      </w:r>
      <w:r>
        <w:rPr/>
        <w:t>capilar alrededor del cuello. Johnson </w:t>
      </w:r>
      <w:r>
        <w:rPr>
          <w:i/>
        </w:rPr>
        <w:t>et al. </w:t>
      </w:r>
      <w:r>
        <w:rPr/>
        <w:t>(1994) proporcionan una descripción detallada de la metodología.</w:t>
      </w:r>
    </w:p>
    <w:p>
      <w:pPr>
        <w:pStyle w:val="BodyText"/>
        <w:spacing w:line="357" w:lineRule="auto" w:before="2"/>
        <w:ind w:left="276" w:right="143"/>
        <w:jc w:val="both"/>
      </w:pPr>
      <w:r>
        <w:rPr/>
        <w:t>La</w:t>
      </w:r>
      <w:r>
        <w:rPr>
          <w:spacing w:val="-5"/>
        </w:rPr>
        <w:t> </w:t>
      </w:r>
      <w:r>
        <w:rPr/>
        <w:t>duración</w:t>
      </w:r>
      <w:r>
        <w:rPr>
          <w:spacing w:val="-5"/>
        </w:rPr>
        <w:t> </w:t>
      </w:r>
      <w:r>
        <w:rPr/>
        <w:t>de</w:t>
      </w:r>
      <w:r>
        <w:rPr>
          <w:spacing w:val="-5"/>
        </w:rPr>
        <w:t> </w:t>
      </w:r>
      <w:r>
        <w:rPr/>
        <w:t>la</w:t>
      </w:r>
      <w:r>
        <w:rPr>
          <w:spacing w:val="-5"/>
        </w:rPr>
        <w:t> </w:t>
      </w:r>
      <w:r>
        <w:rPr/>
        <w:t>recolección</w:t>
      </w:r>
      <w:r>
        <w:rPr>
          <w:spacing w:val="-5"/>
        </w:rPr>
        <w:t> </w:t>
      </w:r>
      <w:r>
        <w:rPr/>
        <w:t>de</w:t>
      </w:r>
      <w:r>
        <w:rPr>
          <w:spacing w:val="-5"/>
        </w:rPr>
        <w:t> </w:t>
      </w:r>
      <w:r>
        <w:rPr/>
        <w:t>cada</w:t>
      </w:r>
      <w:r>
        <w:rPr>
          <w:spacing w:val="-5"/>
        </w:rPr>
        <w:t> </w:t>
      </w:r>
      <w:r>
        <w:rPr/>
        <w:t>muestra</w:t>
      </w:r>
      <w:r>
        <w:rPr>
          <w:spacing w:val="-5"/>
        </w:rPr>
        <w:t> </w:t>
      </w:r>
      <w:r>
        <w:rPr/>
        <w:t>se</w:t>
      </w:r>
      <w:r>
        <w:rPr>
          <w:spacing w:val="-5"/>
        </w:rPr>
        <w:t> </w:t>
      </w:r>
      <w:r>
        <w:rPr/>
        <w:t>logra</w:t>
      </w:r>
      <w:r>
        <w:rPr>
          <w:spacing w:val="-5"/>
        </w:rPr>
        <w:t> </w:t>
      </w:r>
      <w:r>
        <w:rPr/>
        <w:t>mediante</w:t>
      </w:r>
      <w:r>
        <w:rPr>
          <w:spacing w:val="-5"/>
        </w:rPr>
        <w:t> </w:t>
      </w:r>
      <w:r>
        <w:rPr/>
        <w:t>la</w:t>
      </w:r>
      <w:r>
        <w:rPr>
          <w:spacing w:val="-5"/>
        </w:rPr>
        <w:t> </w:t>
      </w:r>
      <w:r>
        <w:rPr/>
        <w:t>alteración</w:t>
      </w:r>
      <w:r>
        <w:rPr>
          <w:spacing w:val="-5"/>
        </w:rPr>
        <w:t> </w:t>
      </w:r>
      <w:r>
        <w:rPr/>
        <w:t>de</w:t>
      </w:r>
      <w:r>
        <w:rPr>
          <w:spacing w:val="-5"/>
        </w:rPr>
        <w:t> </w:t>
      </w:r>
      <w:r>
        <w:rPr/>
        <w:t>la longitud y/o diámetro del tubo capilar (Johnson </w:t>
      </w:r>
      <w:r>
        <w:rPr>
          <w:i/>
        </w:rPr>
        <w:t>et al.</w:t>
      </w:r>
      <w:r>
        <w:rPr/>
        <w:t>, 1994). Varias modificaciones han</w:t>
      </w:r>
      <w:r>
        <w:rPr>
          <w:spacing w:val="-9"/>
        </w:rPr>
        <w:t> </w:t>
      </w:r>
      <w:r>
        <w:rPr/>
        <w:t>sido</w:t>
      </w:r>
      <w:r>
        <w:rPr>
          <w:spacing w:val="-9"/>
        </w:rPr>
        <w:t> </w:t>
      </w:r>
      <w:r>
        <w:rPr/>
        <w:t>reportados</w:t>
      </w:r>
      <w:r>
        <w:rPr>
          <w:spacing w:val="-9"/>
        </w:rPr>
        <w:t> </w:t>
      </w:r>
      <w:r>
        <w:rPr/>
        <w:t>con</w:t>
      </w:r>
      <w:r>
        <w:rPr>
          <w:spacing w:val="-9"/>
        </w:rPr>
        <w:t> </w:t>
      </w:r>
      <w:r>
        <w:rPr/>
        <w:t>aplicaciones</w:t>
      </w:r>
      <w:r>
        <w:rPr>
          <w:spacing w:val="-9"/>
        </w:rPr>
        <w:t> </w:t>
      </w:r>
      <w:r>
        <w:rPr/>
        <w:t>específicas</w:t>
      </w:r>
      <w:r>
        <w:rPr>
          <w:spacing w:val="-9"/>
        </w:rPr>
        <w:t> </w:t>
      </w:r>
      <w:r>
        <w:rPr/>
        <w:t>(Goopy</w:t>
      </w:r>
      <w:r>
        <w:rPr>
          <w:spacing w:val="-9"/>
        </w:rPr>
        <w:t> </w:t>
      </w:r>
      <w:r>
        <w:rPr/>
        <w:t>y</w:t>
      </w:r>
      <w:r>
        <w:rPr>
          <w:spacing w:val="-9"/>
        </w:rPr>
        <w:t> </w:t>
      </w:r>
      <w:r>
        <w:rPr/>
        <w:t>Hegarty,</w:t>
      </w:r>
      <w:r>
        <w:rPr>
          <w:spacing w:val="-9"/>
        </w:rPr>
        <w:t> </w:t>
      </w:r>
      <w:r>
        <w:rPr/>
        <w:t>2004;</w:t>
      </w:r>
      <w:r>
        <w:rPr>
          <w:spacing w:val="-9"/>
        </w:rPr>
        <w:t> </w:t>
      </w:r>
      <w:r>
        <w:rPr/>
        <w:t>Grainger </w:t>
      </w:r>
      <w:r>
        <w:rPr>
          <w:i/>
        </w:rPr>
        <w:t>et al., </w:t>
      </w:r>
      <w:r>
        <w:rPr/>
        <w:t>2010;. Ramírez-Restrepo </w:t>
      </w:r>
      <w:r>
        <w:rPr>
          <w:i/>
        </w:rPr>
        <w:t>et al.</w:t>
      </w:r>
      <w:r>
        <w:rPr/>
        <w:t>, 2010). Más recientemente Deighton </w:t>
      </w:r>
      <w:r>
        <w:rPr>
          <w:i/>
        </w:rPr>
        <w:t>et al. </w:t>
      </w:r>
      <w:r>
        <w:rPr/>
        <w:t>(2014) reporto el uso de un orificio restrictor de flujo el cual reduce considerablemente</w:t>
      </w:r>
      <w:r>
        <w:rPr>
          <w:spacing w:val="-13"/>
        </w:rPr>
        <w:t> </w:t>
      </w:r>
      <w:r>
        <w:rPr/>
        <w:t>el</w:t>
      </w:r>
      <w:r>
        <w:rPr>
          <w:spacing w:val="-13"/>
        </w:rPr>
        <w:t> </w:t>
      </w:r>
      <w:r>
        <w:rPr/>
        <w:t>error</w:t>
      </w:r>
      <w:r>
        <w:rPr>
          <w:spacing w:val="-13"/>
        </w:rPr>
        <w:t> </w:t>
      </w:r>
      <w:r>
        <w:rPr/>
        <w:t>asociado</w:t>
      </w:r>
      <w:r>
        <w:rPr>
          <w:spacing w:val="-13"/>
        </w:rPr>
        <w:t> </w:t>
      </w:r>
      <w:r>
        <w:rPr/>
        <w:t>con</w:t>
      </w:r>
      <w:r>
        <w:rPr>
          <w:spacing w:val="-13"/>
        </w:rPr>
        <w:t> </w:t>
      </w:r>
      <w:r>
        <w:rPr/>
        <w:t>la</w:t>
      </w:r>
      <w:r>
        <w:rPr>
          <w:spacing w:val="-13"/>
        </w:rPr>
        <w:t> </w:t>
      </w:r>
      <w:r>
        <w:rPr/>
        <w:t>recolección</w:t>
      </w:r>
      <w:r>
        <w:rPr>
          <w:spacing w:val="-13"/>
        </w:rPr>
        <w:t> </w:t>
      </w:r>
      <w:r>
        <w:rPr/>
        <w:t>de</w:t>
      </w:r>
      <w:r>
        <w:rPr>
          <w:spacing w:val="-13"/>
        </w:rPr>
        <w:t> </w:t>
      </w:r>
      <w:r>
        <w:rPr/>
        <w:t>la</w:t>
      </w:r>
      <w:r>
        <w:rPr>
          <w:spacing w:val="-13"/>
        </w:rPr>
        <w:t> </w:t>
      </w:r>
      <w:r>
        <w:rPr/>
        <w:t>muestras</w:t>
      </w:r>
      <w:r>
        <w:rPr>
          <w:spacing w:val="-13"/>
        </w:rPr>
        <w:t> </w:t>
      </w:r>
      <w:r>
        <w:rPr/>
        <w:t>y</w:t>
      </w:r>
      <w:r>
        <w:rPr>
          <w:spacing w:val="-13"/>
        </w:rPr>
        <w:t> </w:t>
      </w:r>
      <w:r>
        <w:rPr/>
        <w:t>debería</w:t>
      </w:r>
      <w:r>
        <w:rPr>
          <w:spacing w:val="-13"/>
        </w:rPr>
        <w:t> </w:t>
      </w:r>
      <w:r>
        <w:rPr/>
        <w:t>ser considerado preferentemente a los tubos capilares restrictores de flujo. Al finalizar la recolección de muestras los canisters son presurizados con N</w:t>
      </w:r>
      <w:r>
        <w:rPr>
          <w:position w:val="-2"/>
          <w:sz w:val="16"/>
        </w:rPr>
        <w:t>2 </w:t>
      </w:r>
      <w:r>
        <w:rPr/>
        <w:t>previo al análisis composicional</w:t>
      </w:r>
      <w:r>
        <w:rPr>
          <w:spacing w:val="-18"/>
        </w:rPr>
        <w:t> </w:t>
      </w:r>
      <w:r>
        <w:rPr/>
        <w:t>por</w:t>
      </w:r>
      <w:r>
        <w:rPr>
          <w:spacing w:val="-18"/>
        </w:rPr>
        <w:t> </w:t>
      </w:r>
      <w:r>
        <w:rPr/>
        <w:t>cromatografía</w:t>
      </w:r>
      <w:r>
        <w:rPr>
          <w:spacing w:val="-18"/>
        </w:rPr>
        <w:t> </w:t>
      </w:r>
      <w:r>
        <w:rPr/>
        <w:t>de</w:t>
      </w:r>
      <w:r>
        <w:rPr>
          <w:spacing w:val="-18"/>
        </w:rPr>
        <w:t> </w:t>
      </w:r>
      <w:r>
        <w:rPr/>
        <w:t>gases.</w:t>
      </w:r>
      <w:r>
        <w:rPr>
          <w:spacing w:val="-18"/>
        </w:rPr>
        <w:t> </w:t>
      </w:r>
      <w:r>
        <w:rPr/>
        <w:t>La</w:t>
      </w:r>
      <w:r>
        <w:rPr>
          <w:spacing w:val="-18"/>
        </w:rPr>
        <w:t> </w:t>
      </w:r>
      <w:r>
        <w:rPr/>
        <w:t>producción</w:t>
      </w:r>
      <w:r>
        <w:rPr>
          <w:spacing w:val="-18"/>
        </w:rPr>
        <w:t> </w:t>
      </w:r>
      <w:r>
        <w:rPr/>
        <w:t>de</w:t>
      </w:r>
      <w:r>
        <w:rPr>
          <w:spacing w:val="-18"/>
        </w:rPr>
        <w:t> </w:t>
      </w:r>
      <w:r>
        <w:rPr/>
        <w:t>CH</w:t>
      </w:r>
      <w:r>
        <w:rPr>
          <w:position w:val="-2"/>
          <w:sz w:val="16"/>
        </w:rPr>
        <w:t>4</w:t>
      </w:r>
      <w:r>
        <w:rPr>
          <w:spacing w:val="6"/>
          <w:position w:val="-2"/>
          <w:sz w:val="16"/>
        </w:rPr>
        <w:t> </w:t>
      </w:r>
      <w:r>
        <w:rPr/>
        <w:t>entérico</w:t>
      </w:r>
      <w:r>
        <w:rPr>
          <w:spacing w:val="-18"/>
        </w:rPr>
        <w:t> </w:t>
      </w:r>
      <w:r>
        <w:rPr/>
        <w:t>se</w:t>
      </w:r>
      <w:r>
        <w:rPr>
          <w:spacing w:val="-18"/>
        </w:rPr>
        <w:t> </w:t>
      </w:r>
      <w:r>
        <w:rPr/>
        <w:t>estima multiplicando la relación de CH</w:t>
      </w:r>
      <w:r>
        <w:rPr>
          <w:position w:val="-2"/>
          <w:sz w:val="16"/>
        </w:rPr>
        <w:t>4</w:t>
      </w:r>
      <w:r>
        <w:rPr/>
        <w:t>/SF</w:t>
      </w:r>
      <w:r>
        <w:rPr>
          <w:position w:val="-2"/>
          <w:sz w:val="16"/>
        </w:rPr>
        <w:t>6 </w:t>
      </w:r>
      <w:r>
        <w:rPr/>
        <w:t>por la velocidad de liberación del tubo de permeación conocido y corregido por la duración actual de la recolección de las muestras y el comportamiento de las concentración de CH</w:t>
      </w:r>
      <w:r>
        <w:rPr>
          <w:position w:val="-2"/>
          <w:sz w:val="16"/>
        </w:rPr>
        <w:t>4 </w:t>
      </w:r>
      <w:r>
        <w:rPr/>
        <w:t>(Williams </w:t>
      </w:r>
      <w:r>
        <w:rPr>
          <w:i/>
        </w:rPr>
        <w:t>et al. </w:t>
      </w:r>
      <w:r>
        <w:rPr/>
        <w:t>2011), el cual se determina por el muestreo ambiental de las concentraciones del aire. Williams </w:t>
      </w:r>
      <w:r>
        <w:rPr>
          <w:i/>
        </w:rPr>
        <w:t>et al. </w:t>
      </w:r>
      <w:r>
        <w:rPr/>
        <w:t>(2011) enfatizaron la importancia de la corrección de medición y </w:t>
      </w:r>
      <w:r>
        <w:rPr>
          <w:spacing w:val="10"/>
        </w:rPr>
        <w:t> </w:t>
      </w:r>
      <w:r>
        <w:rPr/>
        <w:t>del</w:t>
      </w:r>
    </w:p>
    <w:p>
      <w:pPr>
        <w:pStyle w:val="BodyText"/>
        <w:spacing w:line="324" w:lineRule="auto" w:before="5"/>
        <w:ind w:left="276" w:right="144"/>
        <w:jc w:val="both"/>
      </w:pPr>
      <w:r>
        <w:rPr/>
        <w:t>comportamiento</w:t>
      </w:r>
      <w:r>
        <w:rPr>
          <w:spacing w:val="-10"/>
        </w:rPr>
        <w:t> </w:t>
      </w:r>
      <w:r>
        <w:rPr/>
        <w:t>de</w:t>
      </w:r>
      <w:r>
        <w:rPr>
          <w:spacing w:val="-10"/>
        </w:rPr>
        <w:t> </w:t>
      </w:r>
      <w:r>
        <w:rPr/>
        <w:t>las</w:t>
      </w:r>
      <w:r>
        <w:rPr>
          <w:spacing w:val="-10"/>
        </w:rPr>
        <w:t> </w:t>
      </w:r>
      <w:r>
        <w:rPr/>
        <w:t>concentraciones,</w:t>
      </w:r>
      <w:r>
        <w:rPr>
          <w:spacing w:val="-10"/>
        </w:rPr>
        <w:t> </w:t>
      </w:r>
      <w:r>
        <w:rPr/>
        <w:t>especialmente</w:t>
      </w:r>
      <w:r>
        <w:rPr>
          <w:spacing w:val="-10"/>
        </w:rPr>
        <w:t> </w:t>
      </w:r>
      <w:r>
        <w:rPr/>
        <w:t>cuando</w:t>
      </w:r>
      <w:r>
        <w:rPr>
          <w:spacing w:val="-10"/>
        </w:rPr>
        <w:t> </w:t>
      </w:r>
      <w:r>
        <w:rPr/>
        <w:t>se</w:t>
      </w:r>
      <w:r>
        <w:rPr>
          <w:spacing w:val="-10"/>
        </w:rPr>
        <w:t> </w:t>
      </w:r>
      <w:r>
        <w:rPr/>
        <w:t>aplica</w:t>
      </w:r>
      <w:r>
        <w:rPr>
          <w:spacing w:val="-10"/>
        </w:rPr>
        <w:t> </w:t>
      </w:r>
      <w:r>
        <w:rPr/>
        <w:t>el</w:t>
      </w:r>
      <w:r>
        <w:rPr>
          <w:spacing w:val="-10"/>
        </w:rPr>
        <w:t> </w:t>
      </w:r>
      <w:r>
        <w:rPr/>
        <w:t>método en espacios cerrados. El CH</w:t>
      </w:r>
      <w:r>
        <w:rPr>
          <w:position w:val="-2"/>
          <w:sz w:val="16"/>
        </w:rPr>
        <w:t>4 </w:t>
      </w:r>
      <w:r>
        <w:rPr/>
        <w:t>es más ligero (16g mol</w:t>
      </w:r>
      <w:r>
        <w:rPr>
          <w:position w:val="11"/>
          <w:sz w:val="16"/>
        </w:rPr>
        <w:t>-1</w:t>
      </w:r>
      <w:r>
        <w:rPr/>
        <w:t>) en comparación con SF</w:t>
      </w:r>
      <w:r>
        <w:rPr>
          <w:position w:val="-2"/>
          <w:sz w:val="16"/>
        </w:rPr>
        <w:t>6 </w:t>
      </w:r>
      <w:r>
        <w:rPr/>
        <w:t>(146g  mol</w:t>
      </w:r>
      <w:r>
        <w:rPr>
          <w:position w:val="11"/>
          <w:sz w:val="16"/>
        </w:rPr>
        <w:t>-1</w:t>
      </w:r>
      <w:r>
        <w:rPr/>
        <w:t>)  por  lo  tanto  se  acumulará  y  dispersará  de  manera       </w:t>
      </w:r>
      <w:r>
        <w:rPr>
          <w:spacing w:val="44"/>
        </w:rPr>
        <w:t> </w:t>
      </w:r>
      <w:r>
        <w:rPr/>
        <w:t>diferente</w:t>
      </w:r>
    </w:p>
    <w:p>
      <w:pPr>
        <w:pStyle w:val="BodyText"/>
        <w:spacing w:line="360" w:lineRule="auto" w:before="34"/>
        <w:ind w:left="276" w:right="144"/>
        <w:jc w:val="both"/>
      </w:pPr>
      <w:r>
        <w:rPr/>
        <w:t>dependiendo de la ventilación, la ubicación de los animales y otras características de las instalaciones.</w:t>
      </w:r>
    </w:p>
    <w:p>
      <w:pPr>
        <w:pStyle w:val="BodyText"/>
        <w:spacing w:line="357" w:lineRule="auto" w:before="2"/>
        <w:ind w:left="276" w:right="143"/>
        <w:jc w:val="both"/>
      </w:pPr>
      <w:r>
        <w:rPr/>
        <w:t>Este método permite que las concentraciones de gas del aire exhalado por cada animales sean muestreadas y toma en cuenta el factor de dilución relacionado al aire o al movimiento de la cabeza. La alta variación entre los animales es una limitación significativa de este método. Grainger </w:t>
      </w:r>
      <w:r>
        <w:rPr>
          <w:i/>
        </w:rPr>
        <w:t>et al. </w:t>
      </w:r>
      <w:r>
        <w:rPr/>
        <w:t>(2007) reporto variación dentro de los animales de un día a otro del 6.1% y una variación entre los</w:t>
      </w:r>
      <w:r>
        <w:rPr>
          <w:spacing w:val="-32"/>
        </w:rPr>
        <w:t> </w:t>
      </w:r>
      <w:r>
        <w:rPr/>
        <w:t>animales de 19.7%. Pinares-Patiño </w:t>
      </w:r>
      <w:r>
        <w:rPr>
          <w:i/>
        </w:rPr>
        <w:t>et al. </w:t>
      </w:r>
      <w:r>
        <w:rPr/>
        <w:t>(2011), monitoreo las ovejas en las cámaras de respiración</w:t>
      </w:r>
      <w:r>
        <w:rPr>
          <w:spacing w:val="-14"/>
        </w:rPr>
        <w:t> </w:t>
      </w:r>
      <w:r>
        <w:rPr/>
        <w:t>simultáneamente</w:t>
      </w:r>
      <w:r>
        <w:rPr>
          <w:spacing w:val="-14"/>
        </w:rPr>
        <w:t> </w:t>
      </w:r>
      <w:r>
        <w:rPr/>
        <w:t>con</w:t>
      </w:r>
      <w:r>
        <w:rPr>
          <w:spacing w:val="-14"/>
        </w:rPr>
        <w:t> </w:t>
      </w:r>
      <w:r>
        <w:rPr/>
        <w:t>la</w:t>
      </w:r>
      <w:r>
        <w:rPr>
          <w:spacing w:val="-14"/>
        </w:rPr>
        <w:t> </w:t>
      </w:r>
      <w:r>
        <w:rPr/>
        <w:t>técnica</w:t>
      </w:r>
      <w:r>
        <w:rPr>
          <w:spacing w:val="-14"/>
        </w:rPr>
        <w:t> </w:t>
      </w:r>
      <w:r>
        <w:rPr/>
        <w:t>de</w:t>
      </w:r>
      <w:r>
        <w:rPr>
          <w:spacing w:val="-14"/>
        </w:rPr>
        <w:t> </w:t>
      </w:r>
      <w:r>
        <w:rPr/>
        <w:t>SF</w:t>
      </w:r>
      <w:r>
        <w:rPr>
          <w:position w:val="-2"/>
          <w:sz w:val="16"/>
        </w:rPr>
        <w:t>6</w:t>
      </w:r>
      <w:r>
        <w:rPr/>
        <w:t>,</w:t>
      </w:r>
      <w:r>
        <w:rPr>
          <w:spacing w:val="-14"/>
        </w:rPr>
        <w:t> </w:t>
      </w:r>
      <w:r>
        <w:rPr/>
        <w:t>reportando</w:t>
      </w:r>
      <w:r>
        <w:rPr>
          <w:spacing w:val="-14"/>
        </w:rPr>
        <w:t> </w:t>
      </w:r>
      <w:r>
        <w:rPr/>
        <w:t>una</w:t>
      </w:r>
      <w:r>
        <w:rPr>
          <w:spacing w:val="-14"/>
        </w:rPr>
        <w:t> </w:t>
      </w:r>
      <w:r>
        <w:rPr/>
        <w:t>variación</w:t>
      </w:r>
      <w:r>
        <w:rPr>
          <w:spacing w:val="-14"/>
        </w:rPr>
        <w:t> </w:t>
      </w:r>
      <w:r>
        <w:rPr/>
        <w:t>animal más</w:t>
      </w:r>
      <w:r>
        <w:rPr>
          <w:spacing w:val="37"/>
        </w:rPr>
        <w:t> </w:t>
      </w:r>
      <w:r>
        <w:rPr/>
        <w:t>alta</w:t>
      </w:r>
      <w:r>
        <w:rPr>
          <w:spacing w:val="37"/>
        </w:rPr>
        <w:t> </w:t>
      </w:r>
      <w:r>
        <w:rPr/>
        <w:t>dentro</w:t>
      </w:r>
      <w:r>
        <w:rPr>
          <w:spacing w:val="37"/>
        </w:rPr>
        <w:t> </w:t>
      </w:r>
      <w:r>
        <w:rPr/>
        <w:t>(x</w:t>
      </w:r>
      <w:r>
        <w:rPr>
          <w:spacing w:val="37"/>
        </w:rPr>
        <w:t> </w:t>
      </w:r>
      <w:r>
        <w:rPr/>
        <w:t>2.5)</w:t>
      </w:r>
      <w:r>
        <w:rPr>
          <w:spacing w:val="37"/>
        </w:rPr>
        <w:t> </w:t>
      </w:r>
      <w:r>
        <w:rPr/>
        <w:t>y</w:t>
      </w:r>
      <w:r>
        <w:rPr>
          <w:spacing w:val="37"/>
        </w:rPr>
        <w:t> </w:t>
      </w:r>
      <w:r>
        <w:rPr/>
        <w:t>entre</w:t>
      </w:r>
      <w:r>
        <w:rPr>
          <w:spacing w:val="37"/>
        </w:rPr>
        <w:t> </w:t>
      </w:r>
      <w:r>
        <w:rPr/>
        <w:t>(x</w:t>
      </w:r>
      <w:r>
        <w:rPr>
          <w:spacing w:val="37"/>
        </w:rPr>
        <w:t> </w:t>
      </w:r>
      <w:r>
        <w:rPr/>
        <w:t>2.9)</w:t>
      </w:r>
      <w:r>
        <w:rPr>
          <w:spacing w:val="37"/>
        </w:rPr>
        <w:t> </w:t>
      </w:r>
      <w:r>
        <w:rPr/>
        <w:t>comparada</w:t>
      </w:r>
      <w:r>
        <w:rPr>
          <w:spacing w:val="37"/>
        </w:rPr>
        <w:t> </w:t>
      </w:r>
      <w:r>
        <w:rPr/>
        <w:t>con</w:t>
      </w:r>
      <w:r>
        <w:rPr>
          <w:spacing w:val="37"/>
        </w:rPr>
        <w:t> </w:t>
      </w:r>
      <w:r>
        <w:rPr/>
        <w:t>la</w:t>
      </w:r>
      <w:r>
        <w:rPr>
          <w:spacing w:val="37"/>
        </w:rPr>
        <w:t> </w:t>
      </w:r>
      <w:r>
        <w:rPr/>
        <w:t>técnica</w:t>
      </w:r>
      <w:r>
        <w:rPr>
          <w:spacing w:val="37"/>
        </w:rPr>
        <w:t> </w:t>
      </w:r>
      <w:r>
        <w:rPr/>
        <w:t>de</w:t>
      </w:r>
      <w:r>
        <w:rPr>
          <w:spacing w:val="37"/>
        </w:rPr>
        <w:t> </w:t>
      </w:r>
      <w:r>
        <w:rPr/>
        <w:t>la</w:t>
      </w:r>
      <w:r>
        <w:rPr>
          <w:spacing w:val="37"/>
        </w:rPr>
        <w:t> </w:t>
      </w:r>
      <w:r>
        <w:rPr/>
        <w:t>cámara,</w:t>
      </w:r>
    </w:p>
    <w:p>
      <w:pPr>
        <w:spacing w:after="0" w:line="357" w:lineRule="auto"/>
        <w:jc w:val="both"/>
        <w:sectPr>
          <w:pgSz w:w="12240" w:h="15840"/>
          <w:pgMar w:header="741" w:footer="739" w:top="1220" w:bottom="920" w:left="1720" w:right="1260"/>
        </w:sectPr>
      </w:pPr>
    </w:p>
    <w:p>
      <w:pPr>
        <w:pStyle w:val="BodyText"/>
        <w:spacing w:before="4"/>
        <w:rPr>
          <w:sz w:val="11"/>
        </w:rPr>
      </w:pPr>
    </w:p>
    <w:p>
      <w:pPr>
        <w:pStyle w:val="BodyText"/>
        <w:spacing w:line="357" w:lineRule="auto" w:before="69"/>
        <w:ind w:left="276" w:right="143"/>
        <w:jc w:val="both"/>
      </w:pPr>
      <w:r>
        <w:rPr/>
        <w:t>combinada con una velocidad más baja de recuperación (0.8 ± 0.15 con SF</w:t>
      </w:r>
      <w:r>
        <w:rPr>
          <w:position w:val="-2"/>
          <w:sz w:val="16"/>
        </w:rPr>
        <w:t>6</w:t>
      </w:r>
      <w:r>
        <w:rPr>
          <w:spacing w:val="-18"/>
          <w:position w:val="-2"/>
          <w:sz w:val="16"/>
        </w:rPr>
        <w:t> </w:t>
      </w:r>
      <w:r>
        <w:rPr/>
        <w:t>contra a 0.9 ± 0.10 con cámara). Estas fuentes de variación necesitan ser tomadas en cuenta para determinar el número de medidas repetidas necesarias para asegurar resultados</w:t>
      </w:r>
      <w:r>
        <w:rPr>
          <w:spacing w:val="-7"/>
        </w:rPr>
        <w:t> </w:t>
      </w:r>
      <w:r>
        <w:rPr/>
        <w:t>exactos.</w:t>
      </w:r>
      <w:r>
        <w:rPr>
          <w:spacing w:val="-7"/>
        </w:rPr>
        <w:t> </w:t>
      </w:r>
      <w:r>
        <w:rPr/>
        <w:t>Moate</w:t>
      </w:r>
      <w:r>
        <w:rPr>
          <w:spacing w:val="-7"/>
        </w:rPr>
        <w:t> </w:t>
      </w:r>
      <w:r>
        <w:rPr>
          <w:i/>
        </w:rPr>
        <w:t>et</w:t>
      </w:r>
      <w:r>
        <w:rPr>
          <w:i/>
          <w:spacing w:val="-7"/>
        </w:rPr>
        <w:t> </w:t>
      </w:r>
      <w:r>
        <w:rPr>
          <w:i/>
        </w:rPr>
        <w:t>al.</w:t>
      </w:r>
      <w:r>
        <w:rPr>
          <w:i/>
          <w:spacing w:val="-7"/>
        </w:rPr>
        <w:t> </w:t>
      </w:r>
      <w:r>
        <w:rPr/>
        <w:t>(2015)</w:t>
      </w:r>
      <w:r>
        <w:rPr>
          <w:spacing w:val="-7"/>
        </w:rPr>
        <w:t> </w:t>
      </w:r>
      <w:r>
        <w:rPr/>
        <w:t>describen</w:t>
      </w:r>
      <w:r>
        <w:rPr>
          <w:spacing w:val="-7"/>
        </w:rPr>
        <w:t> </w:t>
      </w:r>
      <w:r>
        <w:rPr/>
        <w:t>el</w:t>
      </w:r>
      <w:r>
        <w:rPr>
          <w:spacing w:val="-7"/>
        </w:rPr>
        <w:t> </w:t>
      </w:r>
      <w:r>
        <w:rPr/>
        <w:t>uso</w:t>
      </w:r>
      <w:r>
        <w:rPr>
          <w:spacing w:val="-7"/>
        </w:rPr>
        <w:t> </w:t>
      </w:r>
      <w:r>
        <w:rPr/>
        <w:t>de</w:t>
      </w:r>
      <w:r>
        <w:rPr>
          <w:spacing w:val="-7"/>
        </w:rPr>
        <w:t> </w:t>
      </w:r>
      <w:r>
        <w:rPr/>
        <w:t>la</w:t>
      </w:r>
      <w:r>
        <w:rPr>
          <w:spacing w:val="-7"/>
        </w:rPr>
        <w:t> </w:t>
      </w:r>
      <w:r>
        <w:rPr/>
        <w:t>cinética</w:t>
      </w:r>
      <w:r>
        <w:rPr>
          <w:spacing w:val="-7"/>
        </w:rPr>
        <w:t> </w:t>
      </w:r>
      <w:r>
        <w:rPr/>
        <w:t>de</w:t>
      </w:r>
      <w:r>
        <w:rPr>
          <w:spacing w:val="-7"/>
        </w:rPr>
        <w:t> </w:t>
      </w:r>
      <w:r>
        <w:rPr/>
        <w:t>Michaelis- Menten para predecir mejor la velocidad de descarga de las cápsulas, la cual debería reducir el error asociado con las estimaciones de la tasas de velocidad de descarga. Esto debería también prolongar la vida útil del material experimental a través de la predictibilidad mejorada de las tasas de descarga sobre intervalos mucho más largos.</w:t>
      </w:r>
    </w:p>
    <w:p>
      <w:pPr>
        <w:pStyle w:val="BodyText"/>
        <w:spacing w:line="355" w:lineRule="auto" w:before="10"/>
        <w:ind w:left="276" w:right="143"/>
        <w:jc w:val="both"/>
      </w:pPr>
      <w:r>
        <w:rPr/>
        <w:t>Pinares-Patiño, (2008) y Laubach </w:t>
      </w:r>
      <w:r>
        <w:rPr>
          <w:i/>
        </w:rPr>
        <w:t>et al., </w:t>
      </w:r>
      <w:r>
        <w:rPr/>
        <w:t>(2008) recomienda el uso del método de SF</w:t>
      </w:r>
      <w:r>
        <w:rPr>
          <w:position w:val="-2"/>
          <w:sz w:val="16"/>
        </w:rPr>
        <w:t>6 </w:t>
      </w:r>
      <w:r>
        <w:rPr/>
        <w:t>en el pastoreo de ganado que implican grandes hatos. La técnica del</w:t>
      </w:r>
      <w:r>
        <w:rPr>
          <w:spacing w:val="-30"/>
        </w:rPr>
        <w:t> </w:t>
      </w:r>
      <w:r>
        <w:rPr/>
        <w:t>marcador es ahora ampliamente utilizado en Nueva Zelanda y muchos otros países para las mediciones de las emisiones de CH</w:t>
      </w:r>
      <w:r>
        <w:rPr>
          <w:position w:val="-2"/>
          <w:sz w:val="16"/>
        </w:rPr>
        <w:t>4 </w:t>
      </w:r>
      <w:r>
        <w:rPr/>
        <w:t>en animales en pastoreo y alimentados en corral</w:t>
      </w:r>
      <w:r>
        <w:rPr>
          <w:spacing w:val="-18"/>
        </w:rPr>
        <w:t> </w:t>
      </w:r>
      <w:r>
        <w:rPr/>
        <w:t>como</w:t>
      </w:r>
      <w:r>
        <w:rPr>
          <w:spacing w:val="-18"/>
        </w:rPr>
        <w:t> </w:t>
      </w:r>
      <w:r>
        <w:rPr/>
        <w:t>ganado</w:t>
      </w:r>
      <w:r>
        <w:rPr>
          <w:spacing w:val="-18"/>
        </w:rPr>
        <w:t> </w:t>
      </w:r>
      <w:r>
        <w:rPr/>
        <w:t>vacuno,</w:t>
      </w:r>
      <w:r>
        <w:rPr>
          <w:spacing w:val="-18"/>
        </w:rPr>
        <w:t> </w:t>
      </w:r>
      <w:r>
        <w:rPr/>
        <w:t>ovejas,</w:t>
      </w:r>
      <w:r>
        <w:rPr>
          <w:spacing w:val="-18"/>
        </w:rPr>
        <w:t> </w:t>
      </w:r>
      <w:r>
        <w:rPr/>
        <w:t>ciervos</w:t>
      </w:r>
      <w:r>
        <w:rPr>
          <w:spacing w:val="-18"/>
        </w:rPr>
        <w:t> </w:t>
      </w:r>
      <w:r>
        <w:rPr/>
        <w:t>y</w:t>
      </w:r>
      <w:r>
        <w:rPr>
          <w:spacing w:val="-18"/>
        </w:rPr>
        <w:t> </w:t>
      </w:r>
      <w:r>
        <w:rPr/>
        <w:t>alpacas</w:t>
      </w:r>
      <w:r>
        <w:rPr>
          <w:spacing w:val="-18"/>
        </w:rPr>
        <w:t> </w:t>
      </w:r>
      <w:r>
        <w:rPr/>
        <w:t>(Pinares-Patiño</w:t>
      </w:r>
      <w:r>
        <w:rPr>
          <w:spacing w:val="-18"/>
        </w:rPr>
        <w:t> </w:t>
      </w:r>
      <w:r>
        <w:rPr/>
        <w:t>et</w:t>
      </w:r>
      <w:r>
        <w:rPr>
          <w:spacing w:val="-18"/>
        </w:rPr>
        <w:t> </w:t>
      </w:r>
      <w:r>
        <w:rPr/>
        <w:t>al.,</w:t>
      </w:r>
      <w:r>
        <w:rPr>
          <w:spacing w:val="-18"/>
        </w:rPr>
        <w:t> </w:t>
      </w:r>
      <w:r>
        <w:rPr/>
        <w:t>2008a). Las</w:t>
      </w:r>
      <w:r>
        <w:rPr>
          <w:spacing w:val="-16"/>
        </w:rPr>
        <w:t> </w:t>
      </w:r>
      <w:r>
        <w:rPr/>
        <w:t>estimaciones</w:t>
      </w:r>
      <w:r>
        <w:rPr>
          <w:spacing w:val="-16"/>
        </w:rPr>
        <w:t> </w:t>
      </w:r>
      <w:r>
        <w:rPr/>
        <w:t>de</w:t>
      </w:r>
      <w:r>
        <w:rPr>
          <w:spacing w:val="-16"/>
        </w:rPr>
        <w:t> </w:t>
      </w:r>
      <w:r>
        <w:rPr/>
        <w:t>las</w:t>
      </w:r>
      <w:r>
        <w:rPr>
          <w:spacing w:val="-16"/>
        </w:rPr>
        <w:t> </w:t>
      </w:r>
      <w:r>
        <w:rPr/>
        <w:t>emisiones</w:t>
      </w:r>
      <w:r>
        <w:rPr>
          <w:spacing w:val="-16"/>
        </w:rPr>
        <w:t> </w:t>
      </w:r>
      <w:r>
        <w:rPr/>
        <w:t>de</w:t>
      </w:r>
      <w:r>
        <w:rPr>
          <w:spacing w:val="-16"/>
        </w:rPr>
        <w:t> </w:t>
      </w:r>
      <w:r>
        <w:rPr/>
        <w:t>CH</w:t>
      </w:r>
      <w:r>
        <w:rPr>
          <w:position w:val="-2"/>
          <w:sz w:val="16"/>
        </w:rPr>
        <w:t>4</w:t>
      </w:r>
      <w:r>
        <w:rPr>
          <w:spacing w:val="7"/>
          <w:position w:val="-2"/>
          <w:sz w:val="16"/>
        </w:rPr>
        <w:t> </w:t>
      </w:r>
      <w:r>
        <w:rPr/>
        <w:t>con</w:t>
      </w:r>
      <w:r>
        <w:rPr>
          <w:spacing w:val="-16"/>
        </w:rPr>
        <w:t> </w:t>
      </w:r>
      <w:r>
        <w:rPr/>
        <w:t>el</w:t>
      </w:r>
      <w:r>
        <w:rPr>
          <w:spacing w:val="-16"/>
        </w:rPr>
        <w:t> </w:t>
      </w:r>
      <w:r>
        <w:rPr/>
        <w:t>método</w:t>
      </w:r>
      <w:r>
        <w:rPr>
          <w:spacing w:val="-16"/>
        </w:rPr>
        <w:t> </w:t>
      </w:r>
      <w:r>
        <w:rPr/>
        <w:t>SF</w:t>
      </w:r>
      <w:r>
        <w:rPr>
          <w:position w:val="-2"/>
          <w:sz w:val="16"/>
        </w:rPr>
        <w:t>6</w:t>
      </w:r>
      <w:r>
        <w:rPr>
          <w:spacing w:val="7"/>
          <w:position w:val="-2"/>
          <w:sz w:val="16"/>
        </w:rPr>
        <w:t> </w:t>
      </w:r>
      <w:r>
        <w:rPr/>
        <w:t>reveló</w:t>
      </w:r>
      <w:r>
        <w:rPr>
          <w:spacing w:val="-16"/>
        </w:rPr>
        <w:t> </w:t>
      </w:r>
      <w:r>
        <w:rPr/>
        <w:t>ser</w:t>
      </w:r>
      <w:r>
        <w:rPr>
          <w:spacing w:val="-16"/>
        </w:rPr>
        <w:t> </w:t>
      </w:r>
      <w:r>
        <w:rPr/>
        <w:t>ligeramente más baja (5-10%) que los valores de medición de la cámara de respiración. Sin embargo, otros estudios con ganado que utilizan cascos o cámaras de respiración (Grainger </w:t>
      </w:r>
      <w:r>
        <w:rPr>
          <w:i/>
        </w:rPr>
        <w:t>et al.</w:t>
      </w:r>
      <w:r>
        <w:rPr/>
        <w:t>, 2007) reportaron que las estimaciones con el trazador SF</w:t>
      </w:r>
      <w:r>
        <w:rPr>
          <w:position w:val="-2"/>
          <w:sz w:val="16"/>
        </w:rPr>
        <w:t>6 </w:t>
      </w:r>
      <w:r>
        <w:rPr/>
        <w:t>son ligeramente superiores (1-2%) que las estimaciones</w:t>
      </w:r>
      <w:r>
        <w:rPr>
          <w:spacing w:val="-1"/>
        </w:rPr>
        <w:t> </w:t>
      </w:r>
      <w:r>
        <w:rPr/>
        <w:t>calorimétricas.</w:t>
      </w:r>
    </w:p>
    <w:p>
      <w:pPr>
        <w:pStyle w:val="BodyText"/>
        <w:spacing w:line="355" w:lineRule="auto" w:before="8"/>
        <w:ind w:left="276" w:right="143"/>
        <w:jc w:val="both"/>
      </w:pPr>
      <w:r>
        <w:rPr/>
        <w:t>La técnica del SF</w:t>
      </w:r>
      <w:r>
        <w:rPr>
          <w:position w:val="-2"/>
          <w:sz w:val="16"/>
        </w:rPr>
        <w:t>6 </w:t>
      </w:r>
      <w:r>
        <w:rPr/>
        <w:t>permite a los animales la capacidad de moverse y pastar normalmente. Esto hace que el método sea apropiado para examinar el efecto de la</w:t>
      </w:r>
      <w:r>
        <w:rPr>
          <w:spacing w:val="-16"/>
        </w:rPr>
        <w:t> </w:t>
      </w:r>
      <w:r>
        <w:rPr/>
        <w:t>administración</w:t>
      </w:r>
      <w:r>
        <w:rPr>
          <w:spacing w:val="-16"/>
        </w:rPr>
        <w:t> </w:t>
      </w:r>
      <w:r>
        <w:rPr/>
        <w:t>del</w:t>
      </w:r>
      <w:r>
        <w:rPr>
          <w:spacing w:val="-16"/>
        </w:rPr>
        <w:t> </w:t>
      </w:r>
      <w:r>
        <w:rPr/>
        <w:t>pastoreo</w:t>
      </w:r>
      <w:r>
        <w:rPr>
          <w:spacing w:val="-16"/>
        </w:rPr>
        <w:t> </w:t>
      </w:r>
      <w:r>
        <w:rPr/>
        <w:t>sobre</w:t>
      </w:r>
      <w:r>
        <w:rPr>
          <w:spacing w:val="-16"/>
        </w:rPr>
        <w:t> </w:t>
      </w:r>
      <w:r>
        <w:rPr/>
        <w:t>las</w:t>
      </w:r>
      <w:r>
        <w:rPr>
          <w:spacing w:val="-16"/>
        </w:rPr>
        <w:t> </w:t>
      </w:r>
      <w:r>
        <w:rPr/>
        <w:t>emisión</w:t>
      </w:r>
      <w:r>
        <w:rPr>
          <w:spacing w:val="-16"/>
        </w:rPr>
        <w:t> </w:t>
      </w:r>
      <w:r>
        <w:rPr/>
        <w:t>de</w:t>
      </w:r>
      <w:r>
        <w:rPr>
          <w:spacing w:val="-16"/>
        </w:rPr>
        <w:t> </w:t>
      </w:r>
      <w:r>
        <w:rPr/>
        <w:t>CH</w:t>
      </w:r>
      <w:r>
        <w:rPr>
          <w:position w:val="-2"/>
          <w:sz w:val="16"/>
        </w:rPr>
        <w:t>4</w:t>
      </w:r>
      <w:r>
        <w:rPr>
          <w:spacing w:val="7"/>
          <w:position w:val="-2"/>
          <w:sz w:val="16"/>
        </w:rPr>
        <w:t> </w:t>
      </w:r>
      <w:r>
        <w:rPr/>
        <w:t>(Pinares-Patiño</w:t>
      </w:r>
      <w:r>
        <w:rPr>
          <w:spacing w:val="-16"/>
        </w:rPr>
        <w:t> </w:t>
      </w:r>
      <w:r>
        <w:rPr>
          <w:i/>
        </w:rPr>
        <w:t>et</w:t>
      </w:r>
      <w:r>
        <w:rPr>
          <w:i/>
          <w:spacing w:val="-16"/>
        </w:rPr>
        <w:t> </w:t>
      </w:r>
      <w:r>
        <w:rPr>
          <w:i/>
        </w:rPr>
        <w:t>al.</w:t>
      </w:r>
      <w:r>
        <w:rPr>
          <w:i/>
          <w:spacing w:val="-16"/>
        </w:rPr>
        <w:t> </w:t>
      </w:r>
      <w:r>
        <w:rPr/>
        <w:t>2007), pero lo hace a un costo. El método de SF</w:t>
      </w:r>
      <w:r>
        <w:rPr>
          <w:position w:val="-2"/>
          <w:sz w:val="16"/>
        </w:rPr>
        <w:t>6 </w:t>
      </w:r>
      <w:r>
        <w:rPr/>
        <w:t>es menos preciso, menos robusto físicamente ya que se pueden presentar altas fallas en los equipos, además de requerir mayor cantidad de mano de obra que en las mediciones realizadas con</w:t>
      </w:r>
      <w:r>
        <w:rPr>
          <w:spacing w:val="-26"/>
        </w:rPr>
        <w:t> </w:t>
      </w:r>
      <w:r>
        <w:rPr/>
        <w:t>las cámara de respiración.</w:t>
      </w:r>
    </w:p>
    <w:p>
      <w:pPr>
        <w:pStyle w:val="BodyText"/>
        <w:spacing w:line="357" w:lineRule="auto" w:before="13"/>
        <w:ind w:left="276" w:right="143"/>
        <w:jc w:val="both"/>
      </w:pPr>
      <w:r>
        <w:rPr/>
        <w:t>Las ventajas de esta técnica de que elimina la necesidad de limitar o encerrar al animal, lo que permite moverse a voluntad. Tampoco es necesario muestrear directamente desde el rumen del animal o en la garganta debido a la utilización del trazador. Por otra parte esta técnica presenta los siguientes inconvenientes: 1) SF</w:t>
      </w:r>
      <w:r>
        <w:rPr>
          <w:position w:val="-2"/>
          <w:sz w:val="16"/>
        </w:rPr>
        <w:t>6 </w:t>
      </w:r>
      <w:r>
        <w:rPr/>
        <w:t>es  un  gas  de  efecto  invernadero  en  sí,  con  un  potencial  de     calentamiento</w:t>
      </w:r>
    </w:p>
    <w:p>
      <w:pPr>
        <w:spacing w:after="0" w:line="357" w:lineRule="auto"/>
        <w:jc w:val="both"/>
        <w:sectPr>
          <w:footerReference w:type="default" r:id="rId189"/>
          <w:pgSz w:w="12240" w:h="15840"/>
          <w:pgMar w:footer="739" w:header="741" w:top="1220" w:bottom="920" w:left="1720" w:right="1260"/>
        </w:sectPr>
      </w:pPr>
    </w:p>
    <w:p>
      <w:pPr>
        <w:pStyle w:val="BodyText"/>
        <w:spacing w:before="4"/>
        <w:rPr>
          <w:sz w:val="11"/>
        </w:rPr>
      </w:pPr>
    </w:p>
    <w:p>
      <w:pPr>
        <w:pStyle w:val="BodyText"/>
        <w:spacing w:line="355" w:lineRule="auto" w:before="69"/>
        <w:ind w:left="276" w:right="144"/>
        <w:jc w:val="both"/>
      </w:pPr>
      <w:r>
        <w:rPr/>
        <w:t>atmosférico 23,900 veces mayor que el CO</w:t>
      </w:r>
      <w:r>
        <w:rPr>
          <w:position w:val="-2"/>
          <w:sz w:val="16"/>
        </w:rPr>
        <w:t>2 </w:t>
      </w:r>
      <w:r>
        <w:rPr/>
        <w:t>y una vida atmosférica de 3,200 años (Machmuller y Hegarty, 2005). 2) Es necesario capacitar al animal para llevar un cabestro y un collar de recolección (yugo).</w:t>
      </w:r>
    </w:p>
    <w:p>
      <w:pPr>
        <w:pStyle w:val="BodyText"/>
      </w:pPr>
    </w:p>
    <w:p>
      <w:pPr>
        <w:pStyle w:val="Heading6"/>
        <w:spacing w:before="145"/>
      </w:pPr>
      <w:r>
        <w:rPr/>
        <w:t>Técnica del Bióxido de Carbono (CO</w:t>
      </w:r>
      <w:r>
        <w:rPr>
          <w:position w:val="-2"/>
          <w:sz w:val="16"/>
        </w:rPr>
        <w:t>2</w:t>
      </w:r>
      <w:r>
        <w:rPr/>
        <w:t>)</w:t>
      </w:r>
    </w:p>
    <w:p>
      <w:pPr>
        <w:pStyle w:val="BodyText"/>
        <w:spacing w:line="350" w:lineRule="auto" w:before="128"/>
        <w:ind w:left="276" w:right="143"/>
        <w:jc w:val="both"/>
      </w:pPr>
      <w:r>
        <w:rPr/>
        <w:t>Es un método recientemente desarrollado para la estimación de las emisiones de metano del ganado se basa en el uso de CO</w:t>
      </w:r>
      <w:r>
        <w:rPr>
          <w:position w:val="-2"/>
          <w:sz w:val="16"/>
        </w:rPr>
        <w:t>2 </w:t>
      </w:r>
      <w:r>
        <w:rPr/>
        <w:t>como gas trazador (Madsen </w:t>
      </w:r>
      <w:r>
        <w:rPr>
          <w:i/>
        </w:rPr>
        <w:t>et al., </w:t>
      </w:r>
      <w:r>
        <w:rPr/>
        <w:t>2010). En vez añadir externamente SF</w:t>
      </w:r>
      <w:r>
        <w:rPr>
          <w:position w:val="-2"/>
          <w:sz w:val="16"/>
        </w:rPr>
        <w:t>6</w:t>
      </w:r>
      <w:r>
        <w:rPr/>
        <w:t>, el CO</w:t>
      </w:r>
      <w:r>
        <w:rPr>
          <w:position w:val="-2"/>
          <w:sz w:val="16"/>
        </w:rPr>
        <w:t>2 </w:t>
      </w:r>
      <w:r>
        <w:rPr/>
        <w:t>emitido de forma natural se utiliza para</w:t>
      </w:r>
      <w:r>
        <w:rPr>
          <w:spacing w:val="-10"/>
        </w:rPr>
        <w:t> </w:t>
      </w:r>
      <w:r>
        <w:rPr/>
        <w:t>cuantificar</w:t>
      </w:r>
      <w:r>
        <w:rPr>
          <w:spacing w:val="-10"/>
        </w:rPr>
        <w:t> </w:t>
      </w:r>
      <w:r>
        <w:rPr/>
        <w:t>las</w:t>
      </w:r>
      <w:r>
        <w:rPr>
          <w:spacing w:val="-10"/>
        </w:rPr>
        <w:t> </w:t>
      </w:r>
      <w:r>
        <w:rPr/>
        <w:t>emisiones</w:t>
      </w:r>
      <w:r>
        <w:rPr>
          <w:spacing w:val="-10"/>
        </w:rPr>
        <w:t> </w:t>
      </w:r>
      <w:r>
        <w:rPr/>
        <w:t>de</w:t>
      </w:r>
      <w:r>
        <w:rPr>
          <w:spacing w:val="-10"/>
        </w:rPr>
        <w:t> </w:t>
      </w:r>
      <w:r>
        <w:rPr/>
        <w:t>CH</w:t>
      </w:r>
      <w:r>
        <w:rPr>
          <w:position w:val="-2"/>
          <w:sz w:val="16"/>
        </w:rPr>
        <w:t>4</w:t>
      </w:r>
      <w:r>
        <w:rPr/>
        <w:t>.</w:t>
      </w:r>
      <w:r>
        <w:rPr>
          <w:spacing w:val="-10"/>
        </w:rPr>
        <w:t> </w:t>
      </w:r>
      <w:r>
        <w:rPr/>
        <w:t>La</w:t>
      </w:r>
      <w:r>
        <w:rPr>
          <w:spacing w:val="-10"/>
        </w:rPr>
        <w:t> </w:t>
      </w:r>
      <w:r>
        <w:rPr/>
        <w:t>relación</w:t>
      </w:r>
      <w:r>
        <w:rPr>
          <w:spacing w:val="-10"/>
        </w:rPr>
        <w:t> </w:t>
      </w:r>
      <w:r>
        <w:rPr/>
        <w:t>CO</w:t>
      </w:r>
      <w:r>
        <w:rPr>
          <w:position w:val="-2"/>
          <w:sz w:val="16"/>
        </w:rPr>
        <w:t>2</w:t>
      </w:r>
      <w:r>
        <w:rPr/>
        <w:t>:CH</w:t>
      </w:r>
      <w:r>
        <w:rPr>
          <w:position w:val="-2"/>
          <w:sz w:val="16"/>
        </w:rPr>
        <w:t>4</w:t>
      </w:r>
      <w:r>
        <w:rPr>
          <w:spacing w:val="13"/>
          <w:position w:val="-2"/>
          <w:sz w:val="16"/>
        </w:rPr>
        <w:t> </w:t>
      </w:r>
      <w:r>
        <w:rPr/>
        <w:t>en</w:t>
      </w:r>
      <w:r>
        <w:rPr>
          <w:spacing w:val="-10"/>
        </w:rPr>
        <w:t> </w:t>
      </w:r>
      <w:r>
        <w:rPr/>
        <w:t>la</w:t>
      </w:r>
      <w:r>
        <w:rPr>
          <w:spacing w:val="-10"/>
        </w:rPr>
        <w:t> </w:t>
      </w:r>
      <w:r>
        <w:rPr/>
        <w:t>producción</w:t>
      </w:r>
      <w:r>
        <w:rPr>
          <w:spacing w:val="-10"/>
        </w:rPr>
        <w:t> </w:t>
      </w:r>
      <w:r>
        <w:rPr/>
        <w:t>de</w:t>
      </w:r>
      <w:r>
        <w:rPr>
          <w:spacing w:val="-10"/>
        </w:rPr>
        <w:t> </w:t>
      </w:r>
      <w:r>
        <w:rPr/>
        <w:t>aire del o de los animales en cuestión es medida a intervalos regulares y se combina con la producción de CO</w:t>
      </w:r>
      <w:r>
        <w:rPr>
          <w:position w:val="-2"/>
          <w:sz w:val="16"/>
        </w:rPr>
        <w:t>2 </w:t>
      </w:r>
      <w:r>
        <w:rPr/>
        <w:t>diaria total calculada del animal o de los animales. Los cálculos son los mismos que para la técnica del trazador SF</w:t>
      </w:r>
      <w:r>
        <w:rPr>
          <w:position w:val="-2"/>
          <w:sz w:val="16"/>
        </w:rPr>
        <w:t>6</w:t>
      </w:r>
      <w:r>
        <w:rPr/>
        <w:t>, sólo que con CO</w:t>
      </w:r>
      <w:r>
        <w:rPr>
          <w:position w:val="-2"/>
          <w:sz w:val="16"/>
        </w:rPr>
        <w:t>2 </w:t>
      </w:r>
      <w:r>
        <w:rPr/>
        <w:t>como gas trazador en lugar de SF</w:t>
      </w:r>
      <w:r>
        <w:rPr>
          <w:position w:val="-2"/>
          <w:sz w:val="16"/>
        </w:rPr>
        <w:t>6 </w:t>
      </w:r>
      <w:r>
        <w:rPr/>
        <w:t>(Storm </w:t>
      </w:r>
      <w:r>
        <w:rPr>
          <w:i/>
        </w:rPr>
        <w:t>et al.</w:t>
      </w:r>
      <w:r>
        <w:rPr>
          <w:i/>
          <w:spacing w:val="17"/>
        </w:rPr>
        <w:t> </w:t>
      </w:r>
      <w:r>
        <w:rPr/>
        <w:t>2012).</w:t>
      </w:r>
    </w:p>
    <w:p>
      <w:pPr>
        <w:pStyle w:val="BodyText"/>
        <w:spacing w:line="355" w:lineRule="auto"/>
        <w:ind w:left="276" w:right="143"/>
        <w:jc w:val="both"/>
      </w:pPr>
      <w:r>
        <w:rPr/>
        <w:t>El uso de CO</w:t>
      </w:r>
      <w:r>
        <w:rPr>
          <w:position w:val="-2"/>
          <w:sz w:val="16"/>
        </w:rPr>
        <w:t>2 </w:t>
      </w:r>
      <w:r>
        <w:rPr/>
        <w:t>como gas cuantificador se basa en el conocimiento recopilado durante más de 100 años a partir de experimentos de medición de los requisitos</w:t>
      </w:r>
      <w:r>
        <w:rPr>
          <w:spacing w:val="-42"/>
        </w:rPr>
        <w:t> </w:t>
      </w:r>
      <w:r>
        <w:rPr/>
        <w:t>de alimentación y composición del alimento. El método de CO</w:t>
      </w:r>
      <w:r>
        <w:rPr>
          <w:position w:val="-2"/>
          <w:sz w:val="16"/>
        </w:rPr>
        <w:t>2 </w:t>
      </w:r>
      <w:r>
        <w:rPr/>
        <w:t>se puede utilizar para cuantificar la producción de metano en diferentes circunstancias. Dos ejemplos</w:t>
      </w:r>
      <w:r>
        <w:rPr>
          <w:spacing w:val="-40"/>
        </w:rPr>
        <w:t> </w:t>
      </w:r>
      <w:r>
        <w:rPr/>
        <w:t>son la</w:t>
      </w:r>
      <w:r>
        <w:rPr>
          <w:spacing w:val="-12"/>
        </w:rPr>
        <w:t> </w:t>
      </w:r>
      <w:r>
        <w:rPr/>
        <w:t>producción</w:t>
      </w:r>
      <w:r>
        <w:rPr>
          <w:spacing w:val="-12"/>
        </w:rPr>
        <w:t> </w:t>
      </w:r>
      <w:r>
        <w:rPr/>
        <w:t>total</w:t>
      </w:r>
      <w:r>
        <w:rPr>
          <w:spacing w:val="-12"/>
        </w:rPr>
        <w:t> </w:t>
      </w:r>
      <w:r>
        <w:rPr/>
        <w:t>de</w:t>
      </w:r>
      <w:r>
        <w:rPr>
          <w:spacing w:val="-12"/>
        </w:rPr>
        <w:t> </w:t>
      </w:r>
      <w:r>
        <w:rPr/>
        <w:t>CH</w:t>
      </w:r>
      <w:r>
        <w:rPr>
          <w:position w:val="-2"/>
          <w:sz w:val="16"/>
        </w:rPr>
        <w:t>4</w:t>
      </w:r>
      <w:r>
        <w:rPr>
          <w:spacing w:val="12"/>
          <w:position w:val="-2"/>
          <w:sz w:val="16"/>
        </w:rPr>
        <w:t> </w:t>
      </w:r>
      <w:r>
        <w:rPr/>
        <w:t>de</w:t>
      </w:r>
      <w:r>
        <w:rPr>
          <w:spacing w:val="-12"/>
        </w:rPr>
        <w:t> </w:t>
      </w:r>
      <w:r>
        <w:rPr/>
        <w:t>todo</w:t>
      </w:r>
      <w:r>
        <w:rPr>
          <w:spacing w:val="-12"/>
        </w:rPr>
        <w:t> </w:t>
      </w:r>
      <w:r>
        <w:rPr/>
        <w:t>un</w:t>
      </w:r>
      <w:r>
        <w:rPr>
          <w:spacing w:val="-12"/>
        </w:rPr>
        <w:t> </w:t>
      </w:r>
      <w:r>
        <w:rPr/>
        <w:t>establo</w:t>
      </w:r>
      <w:r>
        <w:rPr>
          <w:spacing w:val="-12"/>
        </w:rPr>
        <w:t> </w:t>
      </w:r>
      <w:r>
        <w:rPr/>
        <w:t>con</w:t>
      </w:r>
      <w:r>
        <w:rPr>
          <w:spacing w:val="-12"/>
        </w:rPr>
        <w:t> </w:t>
      </w:r>
      <w:r>
        <w:rPr/>
        <w:t>vacas</w:t>
      </w:r>
      <w:r>
        <w:rPr>
          <w:spacing w:val="-12"/>
        </w:rPr>
        <w:t> </w:t>
      </w:r>
      <w:r>
        <w:rPr/>
        <w:t>lecheras</w:t>
      </w:r>
      <w:r>
        <w:rPr>
          <w:spacing w:val="-12"/>
        </w:rPr>
        <w:t> </w:t>
      </w:r>
      <w:r>
        <w:rPr/>
        <w:t>(Bjerg</w:t>
      </w:r>
      <w:r>
        <w:rPr>
          <w:spacing w:val="-12"/>
        </w:rPr>
        <w:t> </w:t>
      </w:r>
      <w:r>
        <w:rPr>
          <w:i/>
        </w:rPr>
        <w:t>et</w:t>
      </w:r>
      <w:r>
        <w:rPr>
          <w:i/>
          <w:spacing w:val="-11"/>
        </w:rPr>
        <w:t> </w:t>
      </w:r>
      <w:r>
        <w:rPr>
          <w:i/>
        </w:rPr>
        <w:t>al.,</w:t>
      </w:r>
      <w:r>
        <w:rPr>
          <w:i/>
          <w:spacing w:val="-12"/>
        </w:rPr>
        <w:t> </w:t>
      </w:r>
      <w:r>
        <w:rPr/>
        <w:t>2012) y las estimaciones individuales para las vacas que visitan un sistema</w:t>
      </w:r>
      <w:r>
        <w:rPr>
          <w:spacing w:val="-11"/>
        </w:rPr>
        <w:t> </w:t>
      </w:r>
      <w:r>
        <w:rPr/>
        <w:t>automatizado de</w:t>
      </w:r>
      <w:r>
        <w:rPr>
          <w:spacing w:val="-7"/>
        </w:rPr>
        <w:t> </w:t>
      </w:r>
      <w:r>
        <w:rPr/>
        <w:t>ordeño</w:t>
      </w:r>
      <w:r>
        <w:rPr>
          <w:spacing w:val="-7"/>
        </w:rPr>
        <w:t> </w:t>
      </w:r>
      <w:r>
        <w:rPr/>
        <w:t>(Lassen</w:t>
      </w:r>
      <w:r>
        <w:rPr>
          <w:spacing w:val="-7"/>
        </w:rPr>
        <w:t> </w:t>
      </w:r>
      <w:r>
        <w:rPr>
          <w:i/>
        </w:rPr>
        <w:t>et</w:t>
      </w:r>
      <w:r>
        <w:rPr>
          <w:i/>
          <w:spacing w:val="-7"/>
        </w:rPr>
        <w:t> </w:t>
      </w:r>
      <w:r>
        <w:rPr>
          <w:i/>
        </w:rPr>
        <w:t>al.,</w:t>
      </w:r>
      <w:r>
        <w:rPr>
          <w:i/>
          <w:spacing w:val="-7"/>
        </w:rPr>
        <w:t> </w:t>
      </w:r>
      <w:r>
        <w:rPr/>
        <w:t>2012).</w:t>
      </w:r>
      <w:r>
        <w:rPr>
          <w:spacing w:val="-7"/>
        </w:rPr>
        <w:t> </w:t>
      </w:r>
      <w:r>
        <w:rPr/>
        <w:t>Una</w:t>
      </w:r>
      <w:r>
        <w:rPr>
          <w:spacing w:val="-7"/>
        </w:rPr>
        <w:t> </w:t>
      </w:r>
      <w:r>
        <w:rPr/>
        <w:t>comparación</w:t>
      </w:r>
      <w:r>
        <w:rPr>
          <w:spacing w:val="-7"/>
        </w:rPr>
        <w:t> </w:t>
      </w:r>
      <w:r>
        <w:rPr/>
        <w:t>con</w:t>
      </w:r>
      <w:r>
        <w:rPr>
          <w:spacing w:val="-7"/>
        </w:rPr>
        <w:t> </w:t>
      </w:r>
      <w:r>
        <w:rPr/>
        <w:t>las</w:t>
      </w:r>
      <w:r>
        <w:rPr>
          <w:spacing w:val="-7"/>
        </w:rPr>
        <w:t> </w:t>
      </w:r>
      <w:r>
        <w:rPr/>
        <w:t>mediciones</w:t>
      </w:r>
      <w:r>
        <w:rPr>
          <w:spacing w:val="-7"/>
        </w:rPr>
        <w:t> </w:t>
      </w:r>
      <w:r>
        <w:rPr/>
        <w:t>de</w:t>
      </w:r>
      <w:r>
        <w:rPr>
          <w:spacing w:val="-7"/>
        </w:rPr>
        <w:t> </w:t>
      </w:r>
      <w:r>
        <w:rPr/>
        <w:t>la</w:t>
      </w:r>
      <w:r>
        <w:rPr>
          <w:spacing w:val="-7"/>
        </w:rPr>
        <w:t> </w:t>
      </w:r>
      <w:r>
        <w:rPr/>
        <w:t>cámara de respiración ha sido publicado recientemente (Madsen </w:t>
      </w:r>
      <w:r>
        <w:rPr>
          <w:i/>
        </w:rPr>
        <w:t>et al., </w:t>
      </w:r>
      <w:r>
        <w:rPr/>
        <w:t>2012). Las mediciones de CH</w:t>
      </w:r>
      <w:r>
        <w:rPr>
          <w:position w:val="-2"/>
          <w:sz w:val="16"/>
        </w:rPr>
        <w:t>4 </w:t>
      </w:r>
      <w:r>
        <w:rPr/>
        <w:t>y CO</w:t>
      </w:r>
      <w:r>
        <w:rPr>
          <w:position w:val="-2"/>
          <w:sz w:val="16"/>
        </w:rPr>
        <w:t>2 </w:t>
      </w:r>
      <w:r>
        <w:rPr/>
        <w:t>pueden llevarse a cabo con diferentes tipos de analizadores</w:t>
      </w:r>
      <w:r>
        <w:rPr>
          <w:spacing w:val="-7"/>
        </w:rPr>
        <w:t> </w:t>
      </w:r>
      <w:r>
        <w:rPr/>
        <w:t>-</w:t>
      </w:r>
      <w:r>
        <w:rPr>
          <w:spacing w:val="-7"/>
        </w:rPr>
        <w:t> </w:t>
      </w:r>
      <w:r>
        <w:rPr/>
        <w:t>hasta</w:t>
      </w:r>
      <w:r>
        <w:rPr>
          <w:spacing w:val="-7"/>
        </w:rPr>
        <w:t> </w:t>
      </w:r>
      <w:r>
        <w:rPr/>
        <w:t>ahora</w:t>
      </w:r>
      <w:r>
        <w:rPr>
          <w:spacing w:val="-7"/>
        </w:rPr>
        <w:t> </w:t>
      </w:r>
      <w:r>
        <w:rPr/>
        <w:t>el</w:t>
      </w:r>
      <w:r>
        <w:rPr>
          <w:spacing w:val="-7"/>
        </w:rPr>
        <w:t> </w:t>
      </w:r>
      <w:r>
        <w:rPr/>
        <w:t>método</w:t>
      </w:r>
      <w:r>
        <w:rPr>
          <w:spacing w:val="-7"/>
        </w:rPr>
        <w:t> </w:t>
      </w:r>
      <w:r>
        <w:rPr/>
        <w:t>de</w:t>
      </w:r>
      <w:r>
        <w:rPr>
          <w:spacing w:val="-7"/>
        </w:rPr>
        <w:t> </w:t>
      </w:r>
      <w:r>
        <w:rPr/>
        <w:t>CO</w:t>
      </w:r>
      <w:r>
        <w:rPr>
          <w:position w:val="-2"/>
          <w:sz w:val="16"/>
        </w:rPr>
        <w:t>2</w:t>
      </w:r>
      <w:r>
        <w:rPr>
          <w:spacing w:val="16"/>
          <w:position w:val="-2"/>
          <w:sz w:val="16"/>
        </w:rPr>
        <w:t> </w:t>
      </w:r>
      <w:r>
        <w:rPr/>
        <w:t>ha</w:t>
      </w:r>
      <w:r>
        <w:rPr>
          <w:spacing w:val="-7"/>
        </w:rPr>
        <w:t> </w:t>
      </w:r>
      <w:r>
        <w:rPr/>
        <w:t>utilizado</w:t>
      </w:r>
      <w:r>
        <w:rPr>
          <w:spacing w:val="-7"/>
        </w:rPr>
        <w:t> </w:t>
      </w:r>
      <w:r>
        <w:rPr/>
        <w:t>un</w:t>
      </w:r>
      <w:r>
        <w:rPr>
          <w:spacing w:val="-7"/>
        </w:rPr>
        <w:t> </w:t>
      </w:r>
      <w:r>
        <w:rPr/>
        <w:t>equipo</w:t>
      </w:r>
      <w:r>
        <w:rPr>
          <w:spacing w:val="-7"/>
        </w:rPr>
        <w:t> </w:t>
      </w:r>
      <w:r>
        <w:rPr/>
        <w:t>portátil</w:t>
      </w:r>
      <w:r>
        <w:rPr>
          <w:spacing w:val="-7"/>
        </w:rPr>
        <w:t> </w:t>
      </w:r>
      <w:r>
        <w:rPr/>
        <w:t>llamado GASMET (Teye </w:t>
      </w:r>
      <w:r>
        <w:rPr>
          <w:i/>
        </w:rPr>
        <w:t>et al.,</w:t>
      </w:r>
      <w:r>
        <w:rPr>
          <w:i/>
          <w:spacing w:val="-3"/>
        </w:rPr>
        <w:t> </w:t>
      </w:r>
      <w:r>
        <w:rPr/>
        <w:t>2009).</w:t>
      </w:r>
    </w:p>
    <w:p>
      <w:pPr>
        <w:pStyle w:val="BodyText"/>
      </w:pPr>
    </w:p>
    <w:p>
      <w:pPr>
        <w:pStyle w:val="Heading6"/>
        <w:spacing w:before="145"/>
      </w:pPr>
      <w:r>
        <w:rPr/>
        <w:t>Técnica del Óxido Nitroso (N</w:t>
      </w:r>
      <w:r>
        <w:rPr>
          <w:position w:val="-2"/>
          <w:sz w:val="16"/>
        </w:rPr>
        <w:t>2</w:t>
      </w:r>
      <w:r>
        <w:rPr/>
        <w:t>O)</w:t>
      </w:r>
    </w:p>
    <w:p>
      <w:pPr>
        <w:pStyle w:val="BodyText"/>
        <w:spacing w:line="340" w:lineRule="auto" w:before="128"/>
        <w:ind w:left="276" w:right="143"/>
        <w:jc w:val="both"/>
      </w:pPr>
      <w:r>
        <w:rPr/>
        <w:t>El N</w:t>
      </w:r>
      <w:r>
        <w:rPr>
          <w:position w:val="-2"/>
          <w:sz w:val="16"/>
        </w:rPr>
        <w:t>2</w:t>
      </w:r>
      <w:r>
        <w:rPr/>
        <w:t>O se usa como trazador, el cual es liberado a una tasa conocida (aproximadamente 10 g h</w:t>
      </w:r>
      <w:r>
        <w:rPr>
          <w:position w:val="11"/>
          <w:sz w:val="16"/>
        </w:rPr>
        <w:t>-1 </w:t>
      </w:r>
      <w:r>
        <w:rPr/>
        <w:t>de cada contenedor). La tasa de emisión de CH</w:t>
      </w:r>
      <w:r>
        <w:rPr>
          <w:position w:val="-2"/>
          <w:sz w:val="16"/>
        </w:rPr>
        <w:t>4 </w:t>
      </w:r>
      <w:r>
        <w:rPr/>
        <w:t>de los animales se determina a partir de la relación de la concentración CH</w:t>
      </w:r>
      <w:r>
        <w:rPr>
          <w:position w:val="-2"/>
          <w:sz w:val="16"/>
        </w:rPr>
        <w:t>4</w:t>
      </w:r>
      <w:r>
        <w:rPr/>
        <w:t>:NO</w:t>
      </w:r>
      <w:r>
        <w:rPr>
          <w:position w:val="-2"/>
          <w:sz w:val="16"/>
        </w:rPr>
        <w:t>2 </w:t>
      </w:r>
      <w:r>
        <w:rPr/>
        <w:t>y la tasa conocida de liberación del NO</w:t>
      </w:r>
      <w:r>
        <w:rPr>
          <w:position w:val="-2"/>
          <w:sz w:val="16"/>
        </w:rPr>
        <w:t>2</w:t>
      </w:r>
      <w:r>
        <w:rPr/>
        <w:t>. Esta metodología es capaz de cuantificar simultáneamente ambos gases en la corriente de aire. Se han hecho ensayos  con</w:t>
      </w:r>
    </w:p>
    <w:p>
      <w:pPr>
        <w:spacing w:after="0" w:line="340" w:lineRule="auto"/>
        <w:jc w:val="both"/>
        <w:sectPr>
          <w:footerReference w:type="default" r:id="rId190"/>
          <w:pgSz w:w="12240" w:h="15840"/>
          <w:pgMar w:footer="739" w:header="741" w:top="1220" w:bottom="920" w:left="1720" w:right="1260"/>
          <w:pgNumType w:start="131"/>
        </w:sectPr>
      </w:pPr>
    </w:p>
    <w:p>
      <w:pPr>
        <w:pStyle w:val="BodyText"/>
        <w:spacing w:before="4"/>
        <w:rPr>
          <w:sz w:val="11"/>
        </w:rPr>
      </w:pPr>
    </w:p>
    <w:p>
      <w:pPr>
        <w:pStyle w:val="BodyText"/>
        <w:spacing w:line="357" w:lineRule="auto" w:before="69"/>
        <w:ind w:left="276" w:right="143"/>
        <w:jc w:val="both"/>
      </w:pPr>
      <w:r>
        <w:rPr/>
        <w:t>vacas Holstein en lactancia monitoreándolas continuamente (excepto a la hora del ordeño) durante cuatro días en pequeñas áreas de pastoreo cercadas, realizando al mismo tiempo el monitoreo con SF</w:t>
      </w:r>
      <w:r>
        <w:rPr>
          <w:position w:val="-2"/>
          <w:sz w:val="16"/>
        </w:rPr>
        <w:t>6</w:t>
      </w:r>
      <w:r>
        <w:rPr/>
        <w:t>, habiendo obtenido excelente concordancia entre ambas técnicas (Tonini </w:t>
      </w:r>
      <w:r>
        <w:rPr>
          <w:i/>
        </w:rPr>
        <w:t>et al. </w:t>
      </w:r>
      <w:r>
        <w:rPr/>
        <w:t>2007; Bonilla </w:t>
      </w:r>
      <w:r>
        <w:rPr>
          <w:i/>
        </w:rPr>
        <w:t>et al. </w:t>
      </w:r>
      <w:r>
        <w:rPr/>
        <w:t>2012).</w:t>
      </w:r>
    </w:p>
    <w:p>
      <w:pPr>
        <w:pStyle w:val="BodyText"/>
      </w:pPr>
    </w:p>
    <w:p>
      <w:pPr>
        <w:pStyle w:val="Heading6"/>
        <w:spacing w:before="147"/>
      </w:pPr>
      <w:r>
        <w:rPr/>
        <w:t>Técnica de Colecta Directa</w:t>
      </w:r>
    </w:p>
    <w:p>
      <w:pPr>
        <w:pStyle w:val="BodyText"/>
        <w:spacing w:line="357" w:lineRule="auto" w:before="137"/>
        <w:ind w:left="276" w:right="145"/>
        <w:jc w:val="both"/>
      </w:pPr>
      <w:r>
        <w:rPr/>
        <w:t>Berra </w:t>
      </w:r>
      <w:r>
        <w:rPr>
          <w:i/>
        </w:rPr>
        <w:t>et al., </w:t>
      </w:r>
      <w:r>
        <w:rPr/>
        <w:t>2007, desarrollaron esta técnica la cual consiste en colectar el gas producido en el rumen, mediante una fístula de 2 cm de diámetro, a través de la cual fluye el gas a un contenedor de nylon, tipo globo fijado al lomo, en este caso de una vaca Holstein de 550 kg. Una vez colectado el gas por periodos de 24 h se determina su concentración de CH</w:t>
      </w:r>
      <w:r>
        <w:rPr>
          <w:position w:val="-2"/>
          <w:sz w:val="16"/>
        </w:rPr>
        <w:t>4 </w:t>
      </w:r>
      <w:r>
        <w:rPr/>
        <w:t>en intervalos de 6 h. La producción diaria de gas fue en promedio de 911.7 l y la concentración de CH</w:t>
      </w:r>
      <w:r>
        <w:rPr>
          <w:position w:val="-2"/>
          <w:sz w:val="16"/>
        </w:rPr>
        <w:t>4  </w:t>
      </w:r>
      <w:r>
        <w:rPr/>
        <w:t>varió de 20 a 32% y</w:t>
      </w:r>
    </w:p>
    <w:p>
      <w:pPr>
        <w:pStyle w:val="BodyText"/>
        <w:spacing w:line="262" w:lineRule="exact"/>
        <w:ind w:left="276"/>
        <w:jc w:val="both"/>
      </w:pPr>
      <w:r>
        <w:rPr/>
        <w:t>representó en promedio 247 l d</w:t>
      </w:r>
      <w:r>
        <w:rPr>
          <w:position w:val="11"/>
          <w:sz w:val="16"/>
        </w:rPr>
        <w:t>-1 </w:t>
      </w:r>
      <w:r>
        <w:rPr/>
        <w:t>(Bonilla </w:t>
      </w:r>
      <w:r>
        <w:rPr>
          <w:i/>
        </w:rPr>
        <w:t>et al. </w:t>
      </w:r>
      <w:r>
        <w:rPr/>
        <w:t>2012).</w:t>
      </w:r>
    </w:p>
    <w:p>
      <w:pPr>
        <w:pStyle w:val="BodyText"/>
        <w:rPr>
          <w:sz w:val="28"/>
        </w:rPr>
      </w:pPr>
    </w:p>
    <w:p>
      <w:pPr>
        <w:pStyle w:val="Heading6"/>
        <w:spacing w:before="232"/>
      </w:pPr>
      <w:r>
        <w:rPr/>
        <w:t>Método micrometeorológico.</w:t>
      </w:r>
    </w:p>
    <w:p>
      <w:pPr>
        <w:pStyle w:val="BodyText"/>
        <w:spacing w:line="357" w:lineRule="auto" w:before="137"/>
        <w:ind w:left="276" w:right="143"/>
        <w:jc w:val="both"/>
      </w:pPr>
      <w:r>
        <w:rPr/>
        <w:t>Estas técnicas son costosas, ya que requieren de una mayor cantidad de equipo para medir la difusividad vertical y horizontal de los gases. Se ha descrito una técnica nueva a cielo abierto denominada espectroscopia infrarroja transformada Fourier (FTIR, por sus siglas en ingles), la cual consiste en que cada animal en el hato</w:t>
      </w:r>
      <w:r>
        <w:rPr>
          <w:spacing w:val="-10"/>
        </w:rPr>
        <w:t> </w:t>
      </w:r>
      <w:r>
        <w:rPr/>
        <w:t>lleva</w:t>
      </w:r>
      <w:r>
        <w:rPr>
          <w:spacing w:val="-10"/>
        </w:rPr>
        <w:t> </w:t>
      </w:r>
      <w:r>
        <w:rPr/>
        <w:t>un</w:t>
      </w:r>
      <w:r>
        <w:rPr>
          <w:spacing w:val="-10"/>
        </w:rPr>
        <w:t> </w:t>
      </w:r>
      <w:r>
        <w:rPr/>
        <w:t>pequeño</w:t>
      </w:r>
      <w:r>
        <w:rPr>
          <w:spacing w:val="-10"/>
        </w:rPr>
        <w:t> </w:t>
      </w:r>
      <w:r>
        <w:rPr/>
        <w:t>contenedor</w:t>
      </w:r>
      <w:r>
        <w:rPr>
          <w:spacing w:val="-10"/>
        </w:rPr>
        <w:t> </w:t>
      </w:r>
      <w:r>
        <w:rPr/>
        <w:t>con</w:t>
      </w:r>
      <w:r>
        <w:rPr>
          <w:spacing w:val="-10"/>
        </w:rPr>
        <w:t> </w:t>
      </w:r>
      <w:r>
        <w:rPr/>
        <w:t>N</w:t>
      </w:r>
      <w:r>
        <w:rPr>
          <w:position w:val="-2"/>
          <w:sz w:val="16"/>
        </w:rPr>
        <w:t>2</w:t>
      </w:r>
      <w:r>
        <w:rPr/>
        <w:t>O,</w:t>
      </w:r>
      <w:r>
        <w:rPr>
          <w:spacing w:val="-10"/>
        </w:rPr>
        <w:t> </w:t>
      </w:r>
      <w:r>
        <w:rPr/>
        <w:t>fijado</w:t>
      </w:r>
      <w:r>
        <w:rPr>
          <w:spacing w:val="-10"/>
        </w:rPr>
        <w:t> </w:t>
      </w:r>
      <w:r>
        <w:rPr/>
        <w:t>en</w:t>
      </w:r>
      <w:r>
        <w:rPr>
          <w:spacing w:val="-10"/>
        </w:rPr>
        <w:t> </w:t>
      </w:r>
      <w:r>
        <w:rPr/>
        <w:t>un</w:t>
      </w:r>
      <w:r>
        <w:rPr>
          <w:spacing w:val="-10"/>
        </w:rPr>
        <w:t> </w:t>
      </w:r>
      <w:r>
        <w:rPr/>
        <w:t>collar,</w:t>
      </w:r>
      <w:r>
        <w:rPr>
          <w:spacing w:val="-10"/>
        </w:rPr>
        <w:t> </w:t>
      </w:r>
      <w:r>
        <w:rPr/>
        <w:t>lo</w:t>
      </w:r>
      <w:r>
        <w:rPr>
          <w:spacing w:val="-10"/>
        </w:rPr>
        <w:t> </w:t>
      </w:r>
      <w:r>
        <w:rPr/>
        <w:t>cual</w:t>
      </w:r>
      <w:r>
        <w:rPr>
          <w:spacing w:val="-10"/>
        </w:rPr>
        <w:t> </w:t>
      </w:r>
      <w:r>
        <w:rPr/>
        <w:t>implica</w:t>
      </w:r>
      <w:r>
        <w:rPr>
          <w:spacing w:val="-10"/>
        </w:rPr>
        <w:t> </w:t>
      </w:r>
      <w:r>
        <w:rPr/>
        <w:t>el</w:t>
      </w:r>
      <w:r>
        <w:rPr>
          <w:spacing w:val="-10"/>
        </w:rPr>
        <w:t> </w:t>
      </w:r>
      <w:r>
        <w:rPr/>
        <w:t>uso de un método trazador (Tonini </w:t>
      </w:r>
      <w:r>
        <w:rPr>
          <w:i/>
        </w:rPr>
        <w:t>et al. </w:t>
      </w:r>
      <w:r>
        <w:rPr/>
        <w:t>2007; Bonilla </w:t>
      </w:r>
      <w:r>
        <w:rPr>
          <w:i/>
        </w:rPr>
        <w:t>et al.</w:t>
      </w:r>
      <w:r>
        <w:rPr>
          <w:i/>
          <w:spacing w:val="-6"/>
        </w:rPr>
        <w:t> </w:t>
      </w:r>
      <w:r>
        <w:rPr/>
        <w:t>2012).</w:t>
      </w:r>
    </w:p>
    <w:p>
      <w:pPr>
        <w:pStyle w:val="BodyText"/>
      </w:pPr>
    </w:p>
    <w:p>
      <w:pPr>
        <w:pStyle w:val="Heading6"/>
        <w:spacing w:before="147"/>
      </w:pPr>
      <w:r>
        <w:rPr/>
        <w:t>Modelos de predicción para producción de Metano</w:t>
      </w:r>
    </w:p>
    <w:p>
      <w:pPr>
        <w:pStyle w:val="BodyText"/>
        <w:spacing w:line="360" w:lineRule="auto" w:before="137"/>
        <w:ind w:left="276" w:right="143"/>
        <w:jc w:val="both"/>
      </w:pPr>
      <w:r>
        <w:rPr/>
        <w:t>En muchos casos, las mediciones no son posibles, por ejemplo, cuando el total de las emisiones nacionales tienen que ser evaluados. Por lo tanto existe un interés global</w:t>
      </w:r>
      <w:r>
        <w:rPr>
          <w:spacing w:val="-13"/>
        </w:rPr>
        <w:t> </w:t>
      </w:r>
      <w:r>
        <w:rPr/>
        <w:t>de</w:t>
      </w:r>
      <w:r>
        <w:rPr>
          <w:spacing w:val="-13"/>
        </w:rPr>
        <w:t> </w:t>
      </w:r>
      <w:r>
        <w:rPr/>
        <w:t>predecir</w:t>
      </w:r>
      <w:r>
        <w:rPr>
          <w:spacing w:val="-13"/>
        </w:rPr>
        <w:t> </w:t>
      </w:r>
      <w:r>
        <w:rPr/>
        <w:t>la</w:t>
      </w:r>
      <w:r>
        <w:rPr>
          <w:spacing w:val="-13"/>
        </w:rPr>
        <w:t> </w:t>
      </w:r>
      <w:r>
        <w:rPr/>
        <w:t>producción</w:t>
      </w:r>
      <w:r>
        <w:rPr>
          <w:spacing w:val="-13"/>
        </w:rPr>
        <w:t> </w:t>
      </w:r>
      <w:r>
        <w:rPr/>
        <w:t>de</w:t>
      </w:r>
      <w:r>
        <w:rPr>
          <w:spacing w:val="-13"/>
        </w:rPr>
        <w:t> </w:t>
      </w:r>
      <w:r>
        <w:rPr/>
        <w:t>metano</w:t>
      </w:r>
      <w:r>
        <w:rPr>
          <w:spacing w:val="-13"/>
        </w:rPr>
        <w:t> </w:t>
      </w:r>
      <w:r>
        <w:rPr/>
        <w:t>utilizando</w:t>
      </w:r>
      <w:r>
        <w:rPr>
          <w:spacing w:val="-13"/>
        </w:rPr>
        <w:t> </w:t>
      </w:r>
      <w:r>
        <w:rPr/>
        <w:t>modelos</w:t>
      </w:r>
      <w:r>
        <w:rPr>
          <w:spacing w:val="-13"/>
        </w:rPr>
        <w:t> </w:t>
      </w:r>
      <w:r>
        <w:rPr/>
        <w:t>basados</w:t>
      </w:r>
      <w:r>
        <w:rPr>
          <w:spacing w:val="-13"/>
        </w:rPr>
        <w:t> </w:t>
      </w:r>
      <w:r>
        <w:rPr/>
        <w:t>en</w:t>
      </w:r>
      <w:r>
        <w:rPr>
          <w:spacing w:val="-13"/>
        </w:rPr>
        <w:t> </w:t>
      </w:r>
      <w:r>
        <w:rPr/>
        <w:t>los</w:t>
      </w:r>
      <w:r>
        <w:rPr>
          <w:spacing w:val="-13"/>
        </w:rPr>
        <w:t> </w:t>
      </w:r>
      <w:r>
        <w:rPr/>
        <w:t>datos existentes,</w:t>
      </w:r>
      <w:r>
        <w:rPr>
          <w:spacing w:val="-6"/>
        </w:rPr>
        <w:t> </w:t>
      </w:r>
      <w:r>
        <w:rPr/>
        <w:t>tales</w:t>
      </w:r>
      <w:r>
        <w:rPr>
          <w:spacing w:val="-6"/>
        </w:rPr>
        <w:t> </w:t>
      </w:r>
      <w:r>
        <w:rPr/>
        <w:t>como</w:t>
      </w:r>
      <w:r>
        <w:rPr>
          <w:spacing w:val="-6"/>
        </w:rPr>
        <w:t> </w:t>
      </w:r>
      <w:r>
        <w:rPr/>
        <w:t>las</w:t>
      </w:r>
      <w:r>
        <w:rPr>
          <w:spacing w:val="-6"/>
        </w:rPr>
        <w:t> </w:t>
      </w:r>
      <w:r>
        <w:rPr/>
        <w:t>características</w:t>
      </w:r>
      <w:r>
        <w:rPr>
          <w:spacing w:val="-6"/>
        </w:rPr>
        <w:t> </w:t>
      </w:r>
      <w:r>
        <w:rPr/>
        <w:t>de</w:t>
      </w:r>
      <w:r>
        <w:rPr>
          <w:spacing w:val="-6"/>
        </w:rPr>
        <w:t> </w:t>
      </w:r>
      <w:r>
        <w:rPr/>
        <w:t>los</w:t>
      </w:r>
      <w:r>
        <w:rPr>
          <w:spacing w:val="-6"/>
        </w:rPr>
        <w:t> </w:t>
      </w:r>
      <w:r>
        <w:rPr/>
        <w:t>animales</w:t>
      </w:r>
      <w:r>
        <w:rPr>
          <w:spacing w:val="-6"/>
        </w:rPr>
        <w:t> </w:t>
      </w:r>
      <w:r>
        <w:rPr/>
        <w:t>(por</w:t>
      </w:r>
      <w:r>
        <w:rPr>
          <w:spacing w:val="-6"/>
        </w:rPr>
        <w:t> </w:t>
      </w:r>
      <w:r>
        <w:rPr/>
        <w:t>ejemplo,</w:t>
      </w:r>
      <w:r>
        <w:rPr>
          <w:spacing w:val="-6"/>
        </w:rPr>
        <w:t> </w:t>
      </w:r>
      <w:r>
        <w:rPr/>
        <w:t>peso,</w:t>
      </w:r>
      <w:r>
        <w:rPr>
          <w:spacing w:val="-6"/>
        </w:rPr>
        <w:t> </w:t>
      </w:r>
      <w:r>
        <w:rPr/>
        <w:t>raza), las</w:t>
      </w:r>
      <w:r>
        <w:rPr>
          <w:spacing w:val="-8"/>
        </w:rPr>
        <w:t> </w:t>
      </w:r>
      <w:r>
        <w:rPr/>
        <w:t>características</w:t>
      </w:r>
      <w:r>
        <w:rPr>
          <w:spacing w:val="-8"/>
        </w:rPr>
        <w:t> </w:t>
      </w:r>
      <w:r>
        <w:rPr/>
        <w:t>de</w:t>
      </w:r>
      <w:r>
        <w:rPr>
          <w:spacing w:val="-8"/>
        </w:rPr>
        <w:t> </w:t>
      </w:r>
      <w:r>
        <w:rPr/>
        <w:t>alimentación</w:t>
      </w:r>
      <w:r>
        <w:rPr>
          <w:spacing w:val="-8"/>
        </w:rPr>
        <w:t> </w:t>
      </w:r>
      <w:r>
        <w:rPr/>
        <w:t>(por</w:t>
      </w:r>
      <w:r>
        <w:rPr>
          <w:spacing w:val="-8"/>
        </w:rPr>
        <w:t> </w:t>
      </w:r>
      <w:r>
        <w:rPr/>
        <w:t>ejemplo,</w:t>
      </w:r>
      <w:r>
        <w:rPr>
          <w:spacing w:val="-8"/>
        </w:rPr>
        <w:t> </w:t>
      </w:r>
      <w:r>
        <w:rPr/>
        <w:t>nutrientes</w:t>
      </w:r>
      <w:r>
        <w:rPr>
          <w:spacing w:val="-8"/>
        </w:rPr>
        <w:t> </w:t>
      </w:r>
      <w:r>
        <w:rPr/>
        <w:t>y</w:t>
      </w:r>
      <w:r>
        <w:rPr>
          <w:spacing w:val="-8"/>
        </w:rPr>
        <w:t> </w:t>
      </w:r>
      <w:r>
        <w:rPr/>
        <w:t>contenido</w:t>
      </w:r>
      <w:r>
        <w:rPr>
          <w:spacing w:val="-8"/>
        </w:rPr>
        <w:t> </w:t>
      </w:r>
      <w:r>
        <w:rPr/>
        <w:t>de</w:t>
      </w:r>
      <w:r>
        <w:rPr>
          <w:spacing w:val="-8"/>
        </w:rPr>
        <w:t> </w:t>
      </w:r>
      <w:r>
        <w:rPr/>
        <w:t>energía), los datos de ingesta (materia seca o nutrientes) o nutrientes digeridos. Estos modelos utilizan a menudo los datos derivados de experimentos llevados a cabo con</w:t>
      </w:r>
      <w:r>
        <w:rPr>
          <w:spacing w:val="34"/>
        </w:rPr>
        <w:t> </w:t>
      </w:r>
      <w:r>
        <w:rPr/>
        <w:t>el</w:t>
      </w:r>
      <w:r>
        <w:rPr>
          <w:spacing w:val="34"/>
        </w:rPr>
        <w:t> </w:t>
      </w:r>
      <w:r>
        <w:rPr/>
        <w:t>ganado</w:t>
      </w:r>
      <w:r>
        <w:rPr>
          <w:spacing w:val="34"/>
        </w:rPr>
        <w:t> </w:t>
      </w:r>
      <w:r>
        <w:rPr/>
        <w:t>en</w:t>
      </w:r>
      <w:r>
        <w:rPr>
          <w:spacing w:val="34"/>
        </w:rPr>
        <w:t> </w:t>
      </w:r>
      <w:r>
        <w:rPr/>
        <w:t>las</w:t>
      </w:r>
      <w:r>
        <w:rPr>
          <w:spacing w:val="34"/>
        </w:rPr>
        <w:t> </w:t>
      </w:r>
      <w:r>
        <w:rPr/>
        <w:t>cámaras</w:t>
      </w:r>
      <w:r>
        <w:rPr>
          <w:spacing w:val="34"/>
        </w:rPr>
        <w:t> </w:t>
      </w:r>
      <w:r>
        <w:rPr/>
        <w:t>de</w:t>
      </w:r>
      <w:r>
        <w:rPr>
          <w:spacing w:val="34"/>
        </w:rPr>
        <w:t> </w:t>
      </w:r>
      <w:r>
        <w:rPr/>
        <w:t>respiración,</w:t>
      </w:r>
      <w:r>
        <w:rPr>
          <w:spacing w:val="34"/>
        </w:rPr>
        <w:t> </w:t>
      </w:r>
      <w:r>
        <w:rPr/>
        <w:t>así</w:t>
      </w:r>
      <w:r>
        <w:rPr>
          <w:spacing w:val="34"/>
        </w:rPr>
        <w:t> </w:t>
      </w:r>
      <w:r>
        <w:rPr/>
        <w:t>como</w:t>
      </w:r>
      <w:r>
        <w:rPr>
          <w:spacing w:val="34"/>
        </w:rPr>
        <w:t> </w:t>
      </w:r>
      <w:r>
        <w:rPr/>
        <w:t>técnicas</w:t>
      </w:r>
      <w:r>
        <w:rPr>
          <w:spacing w:val="34"/>
        </w:rPr>
        <w:t> </w:t>
      </w:r>
      <w:r>
        <w:rPr/>
        <w:t>recientes</w:t>
      </w:r>
      <w:r>
        <w:rPr>
          <w:spacing w:val="34"/>
        </w:rPr>
        <w:t> </w:t>
      </w:r>
      <w:r>
        <w:rPr/>
        <w:t>para</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52" w:lineRule="auto" w:before="69"/>
        <w:ind w:left="276" w:right="144"/>
        <w:jc w:val="both"/>
      </w:pPr>
      <w:r>
        <w:rPr/>
        <w:t>medir el metano, como la del SF</w:t>
      </w:r>
      <w:r>
        <w:rPr>
          <w:position w:val="-2"/>
          <w:sz w:val="16"/>
        </w:rPr>
        <w:t>6 </w:t>
      </w:r>
      <w:r>
        <w:rPr/>
        <w:t>o del CO</w:t>
      </w:r>
      <w:r>
        <w:rPr>
          <w:position w:val="-2"/>
          <w:sz w:val="16"/>
        </w:rPr>
        <w:t>2</w:t>
      </w:r>
      <w:r>
        <w:rPr/>
        <w:t>, las cuales se han aplicado en los últimos años (Storm </w:t>
      </w:r>
      <w:r>
        <w:rPr>
          <w:i/>
        </w:rPr>
        <w:t>et al. </w:t>
      </w:r>
      <w:r>
        <w:rPr/>
        <w:t>2012).</w:t>
      </w:r>
    </w:p>
    <w:p>
      <w:pPr>
        <w:pStyle w:val="BodyText"/>
      </w:pPr>
    </w:p>
    <w:p>
      <w:pPr>
        <w:pStyle w:val="Heading6"/>
        <w:spacing w:before="147"/>
      </w:pPr>
      <w:r>
        <w:rPr/>
        <w:t>Modelo del IPCC</w:t>
      </w:r>
    </w:p>
    <w:p>
      <w:pPr>
        <w:pStyle w:val="BodyText"/>
        <w:spacing w:line="360" w:lineRule="auto" w:before="137"/>
        <w:ind w:left="276" w:right="143"/>
        <w:jc w:val="both"/>
      </w:pPr>
      <w:r>
        <w:rPr/>
        <w:t>Los modelos para la estimación de las emisiones de metano por el ganado se han venido desarrollado para poder utilizarlos en la cuantificación de la producción de metano a nivel mundial, nacional o localmente en la granja. El modelo estándar utilizado para el cálculo de las emisiones de metano del ganado es emitido por el IPCC (The Intergovernmental Panel on Climate Change Panel o Panel Intergubernamental de Expertos sobre el Cambio Climático). El IPCC, a menudo también</w:t>
      </w:r>
      <w:r>
        <w:rPr>
          <w:spacing w:val="-8"/>
        </w:rPr>
        <w:t> </w:t>
      </w:r>
      <w:r>
        <w:rPr/>
        <w:t>se</w:t>
      </w:r>
      <w:r>
        <w:rPr>
          <w:spacing w:val="-8"/>
        </w:rPr>
        <w:t> </w:t>
      </w:r>
      <w:r>
        <w:rPr/>
        <w:t>conoce</w:t>
      </w:r>
      <w:r>
        <w:rPr>
          <w:spacing w:val="-8"/>
        </w:rPr>
        <w:t> </w:t>
      </w:r>
      <w:r>
        <w:rPr/>
        <w:t>como</w:t>
      </w:r>
      <w:r>
        <w:rPr>
          <w:spacing w:val="-8"/>
        </w:rPr>
        <w:t> </w:t>
      </w:r>
      <w:r>
        <w:rPr/>
        <w:t>el</w:t>
      </w:r>
      <w:r>
        <w:rPr>
          <w:spacing w:val="-8"/>
        </w:rPr>
        <w:t> </w:t>
      </w:r>
      <w:r>
        <w:rPr/>
        <w:t>“Panel</w:t>
      </w:r>
      <w:r>
        <w:rPr>
          <w:spacing w:val="-8"/>
        </w:rPr>
        <w:t> </w:t>
      </w:r>
      <w:r>
        <w:rPr/>
        <w:t>del</w:t>
      </w:r>
      <w:r>
        <w:rPr>
          <w:spacing w:val="-8"/>
        </w:rPr>
        <w:t> </w:t>
      </w:r>
      <w:r>
        <w:rPr/>
        <w:t>Clima</w:t>
      </w:r>
      <w:r>
        <w:rPr>
          <w:spacing w:val="-8"/>
        </w:rPr>
        <w:t> </w:t>
      </w:r>
      <w:r>
        <w:rPr/>
        <w:t>de</w:t>
      </w:r>
      <w:r>
        <w:rPr>
          <w:spacing w:val="-8"/>
        </w:rPr>
        <w:t> </w:t>
      </w:r>
      <w:r>
        <w:rPr/>
        <w:t>la</w:t>
      </w:r>
      <w:r>
        <w:rPr>
          <w:spacing w:val="-8"/>
        </w:rPr>
        <w:t> </w:t>
      </w:r>
      <w:r>
        <w:rPr/>
        <w:t>ONU”,</w:t>
      </w:r>
      <w:r>
        <w:rPr>
          <w:spacing w:val="-8"/>
        </w:rPr>
        <w:t> </w:t>
      </w:r>
      <w:r>
        <w:rPr/>
        <w:t>es</w:t>
      </w:r>
      <w:r>
        <w:rPr>
          <w:spacing w:val="-8"/>
        </w:rPr>
        <w:t> </w:t>
      </w:r>
      <w:r>
        <w:rPr/>
        <w:t>un</w:t>
      </w:r>
      <w:r>
        <w:rPr>
          <w:spacing w:val="-8"/>
        </w:rPr>
        <w:t> </w:t>
      </w:r>
      <w:r>
        <w:rPr/>
        <w:t>organismo</w:t>
      </w:r>
      <w:r>
        <w:rPr>
          <w:spacing w:val="-8"/>
        </w:rPr>
        <w:t> </w:t>
      </w:r>
      <w:r>
        <w:rPr/>
        <w:t>científico internacional independiente establecido por la Organización Meteorológica</w:t>
      </w:r>
      <w:r>
        <w:rPr>
          <w:spacing w:val="-15"/>
        </w:rPr>
        <w:t> </w:t>
      </w:r>
      <w:r>
        <w:rPr/>
        <w:t>Mundial y el Programa Ambiental de las Naciones Unidas (UNEP).</w:t>
      </w:r>
    </w:p>
    <w:p>
      <w:pPr>
        <w:pStyle w:val="BodyText"/>
        <w:spacing w:line="360" w:lineRule="auto" w:before="7"/>
        <w:ind w:left="276" w:right="143"/>
        <w:jc w:val="both"/>
      </w:pPr>
      <w:r>
        <w:rPr/>
        <w:t>Las directrices del IPCC más recientes para estimar las emisiones de metano entérico son de 2006. El IPCC opera con tres niveles diferentes para estimar las emisiones de gases de efecto invernadero [98]. Estos tres niveles dependen de la calidad de la base de datos establecida en el país en cuestión, y se conocen como los Niveles 1, 2 y 3, donde Nivel 1 es el método de cálculo más simple y Nivel 3 el método</w:t>
      </w:r>
      <w:r>
        <w:rPr>
          <w:spacing w:val="-5"/>
        </w:rPr>
        <w:t> </w:t>
      </w:r>
      <w:r>
        <w:rPr/>
        <w:t>más</w:t>
      </w:r>
      <w:r>
        <w:rPr>
          <w:spacing w:val="-5"/>
        </w:rPr>
        <w:t> </w:t>
      </w:r>
      <w:r>
        <w:rPr/>
        <w:t>complejo</w:t>
      </w:r>
      <w:r>
        <w:rPr>
          <w:spacing w:val="-5"/>
        </w:rPr>
        <w:t> </w:t>
      </w:r>
      <w:r>
        <w:rPr/>
        <w:t>y</w:t>
      </w:r>
      <w:r>
        <w:rPr>
          <w:spacing w:val="-5"/>
        </w:rPr>
        <w:t> </w:t>
      </w:r>
      <w:r>
        <w:rPr/>
        <w:t>dependiente</w:t>
      </w:r>
      <w:r>
        <w:rPr>
          <w:spacing w:val="-5"/>
        </w:rPr>
        <w:t> </w:t>
      </w:r>
      <w:r>
        <w:rPr/>
        <w:t>de</w:t>
      </w:r>
      <w:r>
        <w:rPr>
          <w:spacing w:val="-5"/>
        </w:rPr>
        <w:t> </w:t>
      </w:r>
      <w:r>
        <w:rPr/>
        <w:t>los</w:t>
      </w:r>
      <w:r>
        <w:rPr>
          <w:spacing w:val="-5"/>
        </w:rPr>
        <w:t> </w:t>
      </w:r>
      <w:r>
        <w:rPr/>
        <w:t>datos.</w:t>
      </w:r>
      <w:r>
        <w:rPr>
          <w:spacing w:val="-5"/>
        </w:rPr>
        <w:t> </w:t>
      </w:r>
      <w:r>
        <w:rPr/>
        <w:t>Los</w:t>
      </w:r>
      <w:r>
        <w:rPr>
          <w:spacing w:val="-5"/>
        </w:rPr>
        <w:t> </w:t>
      </w:r>
      <w:r>
        <w:rPr/>
        <w:t>tres</w:t>
      </w:r>
      <w:r>
        <w:rPr>
          <w:spacing w:val="-5"/>
        </w:rPr>
        <w:t> </w:t>
      </w:r>
      <w:r>
        <w:rPr/>
        <w:t>métodos</w:t>
      </w:r>
      <w:r>
        <w:rPr>
          <w:spacing w:val="-5"/>
        </w:rPr>
        <w:t> </w:t>
      </w:r>
      <w:r>
        <w:rPr/>
        <w:t>se</w:t>
      </w:r>
      <w:r>
        <w:rPr>
          <w:spacing w:val="-5"/>
        </w:rPr>
        <w:t> </w:t>
      </w:r>
      <w:r>
        <w:rPr/>
        <w:t>basan</w:t>
      </w:r>
      <w:r>
        <w:rPr>
          <w:spacing w:val="-5"/>
        </w:rPr>
        <w:t> </w:t>
      </w:r>
      <w:r>
        <w:rPr/>
        <w:t>en</w:t>
      </w:r>
      <w:r>
        <w:rPr>
          <w:spacing w:val="-5"/>
        </w:rPr>
        <w:t> </w:t>
      </w:r>
      <w:r>
        <w:rPr/>
        <w:t>la proporción de la ingesta de energía bruta de la vaca (GE) que se excreta como metano. El Nivel 1 utiliza por lo tanto un factor de emisión de 6.5% (Ym) y una GE asumida,</w:t>
      </w:r>
      <w:r>
        <w:rPr>
          <w:spacing w:val="-9"/>
        </w:rPr>
        <w:t> </w:t>
      </w:r>
      <w:r>
        <w:rPr/>
        <w:t>lo</w:t>
      </w:r>
      <w:r>
        <w:rPr>
          <w:spacing w:val="-9"/>
        </w:rPr>
        <w:t> </w:t>
      </w:r>
      <w:r>
        <w:rPr/>
        <w:t>que</w:t>
      </w:r>
      <w:r>
        <w:rPr>
          <w:spacing w:val="-9"/>
        </w:rPr>
        <w:t> </w:t>
      </w:r>
      <w:r>
        <w:rPr/>
        <w:t>resulta</w:t>
      </w:r>
      <w:r>
        <w:rPr>
          <w:spacing w:val="-9"/>
        </w:rPr>
        <w:t> </w:t>
      </w:r>
      <w:r>
        <w:rPr/>
        <w:t>en</w:t>
      </w:r>
      <w:r>
        <w:rPr>
          <w:spacing w:val="-9"/>
        </w:rPr>
        <w:t> </w:t>
      </w:r>
      <w:r>
        <w:rPr/>
        <w:t>una</w:t>
      </w:r>
      <w:r>
        <w:rPr>
          <w:spacing w:val="-9"/>
        </w:rPr>
        <w:t> </w:t>
      </w:r>
      <w:r>
        <w:rPr/>
        <w:t>producción</w:t>
      </w:r>
      <w:r>
        <w:rPr>
          <w:spacing w:val="-9"/>
        </w:rPr>
        <w:t> </w:t>
      </w:r>
      <w:r>
        <w:rPr/>
        <w:t>estimada</w:t>
      </w:r>
      <w:r>
        <w:rPr>
          <w:spacing w:val="-9"/>
        </w:rPr>
        <w:t> </w:t>
      </w:r>
      <w:r>
        <w:rPr/>
        <w:t>de</w:t>
      </w:r>
      <w:r>
        <w:rPr>
          <w:spacing w:val="-9"/>
        </w:rPr>
        <w:t> </w:t>
      </w:r>
      <w:r>
        <w:rPr/>
        <w:t>metano</w:t>
      </w:r>
      <w:r>
        <w:rPr>
          <w:spacing w:val="-9"/>
        </w:rPr>
        <w:t> </w:t>
      </w:r>
      <w:r>
        <w:rPr/>
        <w:t>de</w:t>
      </w:r>
      <w:r>
        <w:rPr>
          <w:spacing w:val="-9"/>
        </w:rPr>
        <w:t> </w:t>
      </w:r>
      <w:r>
        <w:rPr/>
        <w:t>109</w:t>
      </w:r>
      <w:r>
        <w:rPr>
          <w:spacing w:val="-9"/>
        </w:rPr>
        <w:t> </w:t>
      </w:r>
      <w:r>
        <w:rPr/>
        <w:t>kg/vaca/año en Europa occidental [98]. Cuando se utiliza el Nivel 2, y especialmente el Nivel 3, se requiere más información para determinar el Ym, por ejemplo, en relación con</w:t>
      </w:r>
      <w:r>
        <w:rPr>
          <w:spacing w:val="-39"/>
        </w:rPr>
        <w:t> </w:t>
      </w:r>
      <w:r>
        <w:rPr/>
        <w:t>el contenido de nutrientes y la digestibilidad del alimento. En la actualidad el Ym está determinado experimentalmente a partir de las mediciones realizadas en cámaras de respiración, pero éstas técnicas se actualizan a medida que nuevas técnicas para la medición de CH</w:t>
      </w:r>
      <w:r>
        <w:rPr>
          <w:position w:val="-2"/>
          <w:sz w:val="16"/>
        </w:rPr>
        <w:t>4 </w:t>
      </w:r>
      <w:r>
        <w:rPr/>
        <w:t>entran en uso. También se requieren modelos para determinar la alimentación y el consumo de energía en relación con la producción del</w:t>
      </w:r>
      <w:r>
        <w:rPr>
          <w:spacing w:val="14"/>
        </w:rPr>
        <w:t> </w:t>
      </w:r>
      <w:r>
        <w:rPr/>
        <w:t>ganado</w:t>
      </w:r>
      <w:r>
        <w:rPr>
          <w:spacing w:val="14"/>
        </w:rPr>
        <w:t> </w:t>
      </w:r>
      <w:r>
        <w:rPr/>
        <w:t>en</w:t>
      </w:r>
      <w:r>
        <w:rPr>
          <w:spacing w:val="14"/>
        </w:rPr>
        <w:t> </w:t>
      </w:r>
      <w:r>
        <w:rPr/>
        <w:t>un</w:t>
      </w:r>
      <w:r>
        <w:rPr>
          <w:spacing w:val="14"/>
        </w:rPr>
        <w:t> </w:t>
      </w:r>
      <w:r>
        <w:rPr/>
        <w:t>país</w:t>
      </w:r>
      <w:r>
        <w:rPr>
          <w:spacing w:val="14"/>
        </w:rPr>
        <w:t> </w:t>
      </w:r>
      <w:r>
        <w:rPr/>
        <w:t>o</w:t>
      </w:r>
      <w:r>
        <w:rPr>
          <w:spacing w:val="14"/>
        </w:rPr>
        <w:t> </w:t>
      </w:r>
      <w:r>
        <w:rPr/>
        <w:t>región</w:t>
      </w:r>
      <w:r>
        <w:rPr>
          <w:spacing w:val="14"/>
        </w:rPr>
        <w:t> </w:t>
      </w:r>
      <w:r>
        <w:rPr/>
        <w:t>determinado.</w:t>
      </w:r>
      <w:r>
        <w:rPr>
          <w:spacing w:val="14"/>
        </w:rPr>
        <w:t> </w:t>
      </w:r>
      <w:r>
        <w:rPr/>
        <w:t>Por</w:t>
      </w:r>
      <w:r>
        <w:rPr>
          <w:spacing w:val="14"/>
        </w:rPr>
        <w:t> </w:t>
      </w:r>
      <w:r>
        <w:rPr/>
        <w:t>otra</w:t>
      </w:r>
      <w:r>
        <w:rPr>
          <w:spacing w:val="14"/>
        </w:rPr>
        <w:t> </w:t>
      </w:r>
      <w:r>
        <w:rPr/>
        <w:t>parte,</w:t>
      </w:r>
      <w:r>
        <w:rPr>
          <w:spacing w:val="14"/>
        </w:rPr>
        <w:t> </w:t>
      </w:r>
      <w:r>
        <w:rPr/>
        <w:t>el</w:t>
      </w:r>
      <w:r>
        <w:rPr>
          <w:spacing w:val="14"/>
        </w:rPr>
        <w:t> </w:t>
      </w:r>
      <w:r>
        <w:rPr/>
        <w:t>uso</w:t>
      </w:r>
      <w:r>
        <w:rPr>
          <w:spacing w:val="14"/>
        </w:rPr>
        <w:t> </w:t>
      </w:r>
      <w:r>
        <w:rPr/>
        <w:t>de</w:t>
      </w:r>
      <w:r>
        <w:rPr>
          <w:spacing w:val="14"/>
        </w:rPr>
        <w:t> </w:t>
      </w:r>
      <w:r>
        <w:rPr/>
        <w:t>un</w:t>
      </w:r>
      <w:r>
        <w:rPr>
          <w:spacing w:val="14"/>
        </w:rPr>
        <w:t> </w:t>
      </w:r>
      <w:r>
        <w:rPr/>
        <w:t>método</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2" w:lineRule="auto" w:before="69"/>
        <w:ind w:left="276" w:right="145"/>
        <w:jc w:val="both"/>
      </w:pPr>
      <w:r>
        <w:rPr/>
        <w:t>oficial de nivel 3 también requiere documentación científica a través de un artículo publicado en una revista internacional (IPCC, 2006).</w:t>
      </w:r>
    </w:p>
    <w:p>
      <w:pPr>
        <w:pStyle w:val="BodyText"/>
        <w:spacing w:line="357" w:lineRule="auto"/>
        <w:ind w:left="276" w:right="143"/>
        <w:jc w:val="both"/>
      </w:pPr>
      <w:r>
        <w:rPr/>
        <w:t>Los países que participan en el protocolo de Kyoto presentan un reporte anual a nivel</w:t>
      </w:r>
      <w:r>
        <w:rPr>
          <w:spacing w:val="-9"/>
        </w:rPr>
        <w:t> </w:t>
      </w:r>
      <w:r>
        <w:rPr/>
        <w:t>Nacional</w:t>
      </w:r>
      <w:r>
        <w:rPr>
          <w:spacing w:val="-9"/>
        </w:rPr>
        <w:t> </w:t>
      </w:r>
      <w:r>
        <w:rPr/>
        <w:t>sobre</w:t>
      </w:r>
      <w:r>
        <w:rPr>
          <w:spacing w:val="-9"/>
        </w:rPr>
        <w:t> </w:t>
      </w:r>
      <w:r>
        <w:rPr/>
        <w:t>sus</w:t>
      </w:r>
      <w:r>
        <w:rPr>
          <w:spacing w:val="-9"/>
        </w:rPr>
        <w:t> </w:t>
      </w:r>
      <w:r>
        <w:rPr/>
        <w:t>emisiones</w:t>
      </w:r>
      <w:r>
        <w:rPr>
          <w:spacing w:val="-9"/>
        </w:rPr>
        <w:t> </w:t>
      </w:r>
      <w:r>
        <w:rPr/>
        <w:t>de</w:t>
      </w:r>
      <w:r>
        <w:rPr>
          <w:spacing w:val="-9"/>
        </w:rPr>
        <w:t> </w:t>
      </w:r>
      <w:r>
        <w:rPr/>
        <w:t>GEI</w:t>
      </w:r>
      <w:r>
        <w:rPr>
          <w:spacing w:val="-9"/>
        </w:rPr>
        <w:t> </w:t>
      </w:r>
      <w:r>
        <w:rPr/>
        <w:t>a</w:t>
      </w:r>
      <w:r>
        <w:rPr>
          <w:spacing w:val="-9"/>
        </w:rPr>
        <w:t> </w:t>
      </w:r>
      <w:r>
        <w:rPr/>
        <w:t>la</w:t>
      </w:r>
      <w:r>
        <w:rPr>
          <w:spacing w:val="-9"/>
        </w:rPr>
        <w:t> </w:t>
      </w:r>
      <w:r>
        <w:rPr/>
        <w:t>UNFCCC</w:t>
      </w:r>
      <w:r>
        <w:rPr>
          <w:spacing w:val="-9"/>
        </w:rPr>
        <w:t> </w:t>
      </w:r>
      <w:r>
        <w:rPr/>
        <w:t>(Convención</w:t>
      </w:r>
      <w:r>
        <w:rPr>
          <w:spacing w:val="-9"/>
        </w:rPr>
        <w:t> </w:t>
      </w:r>
      <w:r>
        <w:rPr/>
        <w:t>Marco</w:t>
      </w:r>
      <w:r>
        <w:rPr>
          <w:spacing w:val="-9"/>
        </w:rPr>
        <w:t> </w:t>
      </w:r>
      <w:r>
        <w:rPr/>
        <w:t>de</w:t>
      </w:r>
      <w:r>
        <w:rPr>
          <w:spacing w:val="-9"/>
        </w:rPr>
        <w:t> </w:t>
      </w:r>
      <w:r>
        <w:rPr/>
        <w:t>las Naciones Unidas sobre el Cambio Climático). Como estándar, un coeficiente de emisión de CH</w:t>
      </w:r>
      <w:r>
        <w:rPr>
          <w:position w:val="-2"/>
          <w:sz w:val="16"/>
        </w:rPr>
        <w:t>4 </w:t>
      </w:r>
      <w:r>
        <w:rPr/>
        <w:t>de 6.5% de energía bruta (GE) se utiliza para el ganado. Se</w:t>
      </w:r>
      <w:r>
        <w:rPr>
          <w:spacing w:val="-39"/>
        </w:rPr>
        <w:t> </w:t>
      </w:r>
      <w:r>
        <w:rPr/>
        <w:t>exenta de esto la crianza del ganado de manera intensiva, que se define como el ganado que recibe &gt;90% de concentrado, para este factor se determinó un Ym del 3% de GE (IPCC, 2006). Como ejemplo, los cálculos de las emisiones de CH</w:t>
      </w:r>
      <w:r>
        <w:rPr>
          <w:position w:val="-2"/>
          <w:sz w:val="16"/>
        </w:rPr>
        <w:t>4 </w:t>
      </w:r>
      <w:r>
        <w:rPr/>
        <w:t>danesa emplean un Ym de 5.94% para el ganado lechero en lugar del coeficiente estándar de emisión del 6.5% de GE. Este factor danés se determinó a partir de los cálculos utilizando en el modelo de Karoline, basado en los planes de alimentación de aproximadamente el 15% de las vacas lecheras danesas y el área de la remolacha de forraje en Dinamarca (Storm </w:t>
      </w:r>
      <w:r>
        <w:rPr>
          <w:i/>
        </w:rPr>
        <w:t>et al.</w:t>
      </w:r>
      <w:r>
        <w:rPr>
          <w:i/>
          <w:spacing w:val="-3"/>
        </w:rPr>
        <w:t> </w:t>
      </w:r>
      <w:r>
        <w:rPr/>
        <w:t>2012).</w:t>
      </w:r>
    </w:p>
    <w:p>
      <w:pPr>
        <w:pStyle w:val="BodyText"/>
      </w:pPr>
    </w:p>
    <w:p>
      <w:pPr>
        <w:pStyle w:val="BodyText"/>
      </w:pPr>
    </w:p>
    <w:p>
      <w:pPr>
        <w:pStyle w:val="BodyText"/>
        <w:spacing w:before="3"/>
      </w:pPr>
    </w:p>
    <w:p>
      <w:pPr>
        <w:pStyle w:val="Heading6"/>
      </w:pPr>
      <w:r>
        <w:rPr/>
        <w:t>Modelos de metano</w:t>
      </w:r>
    </w:p>
    <w:p>
      <w:pPr>
        <w:pStyle w:val="BodyText"/>
        <w:spacing w:line="360" w:lineRule="auto" w:before="141"/>
        <w:ind w:left="276" w:right="144"/>
        <w:jc w:val="both"/>
      </w:pPr>
      <w:r>
        <w:rPr/>
        <w:t>Storm </w:t>
      </w:r>
      <w:r>
        <w:rPr>
          <w:i/>
        </w:rPr>
        <w:t>et al., </w:t>
      </w:r>
      <w:r>
        <w:rPr/>
        <w:t>(2012) presenta una visión general de algunos modelos recientes de metano, que han sido desarrollados a partir de mediciones en cámaras de respiración. El cuadro 1 muestra las diferencias entre los modelos existentes en cuanto a su complejidad.</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Heading6"/>
        <w:spacing w:line="362" w:lineRule="auto" w:before="69" w:after="4"/>
        <w:ind w:left="2120" w:right="357" w:hanging="1614"/>
        <w:jc w:val="left"/>
      </w:pPr>
      <w:r>
        <w:rPr/>
        <w:t>Cuadro 1. Ecuaciones predictivas de metano desarrollados a partir de las mediciones en las cámaras de la respiración.</w:t>
      </w:r>
    </w:p>
    <w:p>
      <w:pPr>
        <w:pStyle w:val="BodyText"/>
        <w:ind w:left="271"/>
        <w:rPr>
          <w:sz w:val="20"/>
        </w:rPr>
      </w:pPr>
      <w:r>
        <w:rPr>
          <w:sz w:val="20"/>
        </w:rPr>
        <w:pict>
          <v:group style="width:442.6pt;height:46.55pt;mso-position-horizontal-relative:char;mso-position-vertical-relative:line" coordorigin="0,0" coordsize="8852,931">
            <v:rect style="position:absolute;left:5;top:10;width:2486;height:432" filled="true" fillcolor="#632423" stroked="false">
              <v:fill type="solid"/>
            </v:rect>
            <v:rect style="position:absolute;left:1963;top:96;width:528;height:254" filled="true" fillcolor="#632423" stroked="false">
              <v:fill type="solid"/>
            </v:rect>
            <v:rect style="position:absolute;left:2491;top:10;width:4853;height:432" filled="true" fillcolor="#632423" stroked="false">
              <v:fill type="solid"/>
            </v:rect>
            <v:rect style="position:absolute;left:6936;top:96;width:408;height:254" filled="true" fillcolor="#632423" stroked="false">
              <v:fill type="solid"/>
            </v:rect>
            <v:rect style="position:absolute;left:7339;top:10;width:797;height:432" filled="true" fillcolor="#632423" stroked="false">
              <v:fill type="solid"/>
            </v:rect>
            <v:rect style="position:absolute;left:8136;top:10;width:706;height:432" filled="true" fillcolor="#632423" stroked="false">
              <v:fill type="solid"/>
            </v:rect>
            <v:line style="position:absolute" from="5,5" to="2491,5" stroked="true" strokeweight=".48pt" strokecolor="#000000"/>
            <v:line style="position:absolute" from="2491,5" to="2501,5" stroked="true" strokeweight=".48pt" strokecolor="#000000"/>
            <v:line style="position:absolute" from="2501,5" to="7344,5" stroked="true" strokeweight=".48pt" strokecolor="#000000"/>
            <v:line style="position:absolute" from="7344,5" to="7354,5" stroked="true" strokeweight=".48pt" strokecolor="#000000"/>
            <v:line style="position:absolute" from="7354,5" to="8141,5" stroked="true" strokeweight=".48pt" strokecolor="#000000"/>
            <v:line style="position:absolute" from="8141,5" to="8151,5" stroked="true" strokeweight=".48pt" strokecolor="#000000"/>
            <v:line style="position:absolute" from="8151,5" to="8842,5" stroked="true" strokeweight=".48pt" strokecolor="#000000"/>
            <v:line style="position:absolute" from="5,447" to="15,447" stroked="true" strokeweight=".48pt" strokecolor="#000000"/>
            <v:line style="position:absolute" from="24,447" to="34,447" stroked="true" strokeweight=".48pt" strokecolor="#000000"/>
            <v:line style="position:absolute" from="43,447" to="53,447" stroked="true" strokeweight=".48pt" strokecolor="#000000"/>
            <v:line style="position:absolute" from="63,447" to="72,447" stroked="true" strokeweight=".48pt" strokecolor="#000000"/>
            <v:line style="position:absolute" from="82,447" to="91,447" stroked="true" strokeweight=".48pt" strokecolor="#000000"/>
            <v:line style="position:absolute" from="101,447" to="111,447" stroked="true" strokeweight=".48pt" strokecolor="#000000"/>
            <v:line style="position:absolute" from="120,447" to="130,447" stroked="true" strokeweight=".48pt" strokecolor="#000000"/>
            <v:line style="position:absolute" from="139,447" to="149,447" stroked="true" strokeweight=".48pt" strokecolor="#000000"/>
            <v:line style="position:absolute" from="159,447" to="168,447" stroked="true" strokeweight=".48pt" strokecolor="#000000"/>
            <v:line style="position:absolute" from="178,447" to="187,447" stroked="true" strokeweight=".48pt" strokecolor="#000000"/>
            <v:line style="position:absolute" from="197,447" to="207,447" stroked="true" strokeweight=".48pt" strokecolor="#000000"/>
            <v:line style="position:absolute" from="216,447" to="226,447" stroked="true" strokeweight=".48pt" strokecolor="#000000"/>
            <v:line style="position:absolute" from="235,447" to="245,447" stroked="true" strokeweight=".48pt" strokecolor="#000000"/>
            <v:line style="position:absolute" from="255,447" to="264,447" stroked="true" strokeweight=".48pt" strokecolor="#000000"/>
            <v:line style="position:absolute" from="274,447" to="283,447" stroked="true" strokeweight=".48pt" strokecolor="#000000"/>
            <v:line style="position:absolute" from="293,447" to="303,447" stroked="true" strokeweight=".48pt" strokecolor="#000000"/>
            <v:line style="position:absolute" from="312,447" to="322,447" stroked="true" strokeweight=".48pt" strokecolor="#000000"/>
            <v:line style="position:absolute" from="331,447" to="341,447" stroked="true" strokeweight=".48pt" strokecolor="#000000"/>
            <v:line style="position:absolute" from="351,447" to="360,447" stroked="true" strokeweight=".48pt" strokecolor="#000000"/>
            <v:line style="position:absolute" from="370,447" to="379,447" stroked="true" strokeweight=".48pt" strokecolor="#000000"/>
            <v:line style="position:absolute" from="389,447" to="399,447" stroked="true" strokeweight=".48pt" strokecolor="#000000"/>
            <v:line style="position:absolute" from="408,447" to="418,447" stroked="true" strokeweight=".48pt" strokecolor="#000000"/>
            <v:line style="position:absolute" from="427,447" to="437,447" stroked="true" strokeweight=".48pt" strokecolor="#000000"/>
            <v:line style="position:absolute" from="447,447" to="456,447" stroked="true" strokeweight=".48pt" strokecolor="#000000"/>
            <v:line style="position:absolute" from="466,447" to="475,447" stroked="true" strokeweight=".48pt" strokecolor="#000000"/>
            <v:line style="position:absolute" from="485,447" to="495,447" stroked="true" strokeweight=".48pt" strokecolor="#000000"/>
            <v:line style="position:absolute" from="504,447" to="514,447" stroked="true" strokeweight=".48pt" strokecolor="#000000"/>
            <v:line style="position:absolute" from="523,447" to="533,447" stroked="true" strokeweight=".48pt" strokecolor="#000000"/>
            <v:line style="position:absolute" from="543,447" to="552,447" stroked="true" strokeweight=".48pt" strokecolor="#000000"/>
            <v:line style="position:absolute" from="562,447" to="571,447" stroked="true" strokeweight=".48pt" strokecolor="#000000"/>
            <v:line style="position:absolute" from="581,447" to="591,447" stroked="true" strokeweight=".48pt" strokecolor="#000000"/>
            <v:line style="position:absolute" from="600,447" to="610,447" stroked="true" strokeweight=".48pt" strokecolor="#000000"/>
            <v:line style="position:absolute" from="619,447" to="629,447" stroked="true" strokeweight=".48pt" strokecolor="#000000"/>
            <v:line style="position:absolute" from="639,447" to="648,447" stroked="true" strokeweight=".48pt" strokecolor="#000000"/>
            <v:line style="position:absolute" from="658,447" to="667,447" stroked="true" strokeweight=".48pt" strokecolor="#000000"/>
            <v:line style="position:absolute" from="677,447" to="687,447" stroked="true" strokeweight=".48pt" strokecolor="#000000"/>
            <v:line style="position:absolute" from="696,447" to="706,447" stroked="true" strokeweight=".48pt" strokecolor="#000000"/>
            <v:line style="position:absolute" from="715,447" to="725,447" stroked="true" strokeweight=".48pt" strokecolor="#000000"/>
            <v:line style="position:absolute" from="735,447" to="744,447" stroked="true" strokeweight=".48pt" strokecolor="#000000"/>
            <v:line style="position:absolute" from="754,447" to="763,447" stroked="true" strokeweight=".48pt" strokecolor="#000000"/>
            <v:line style="position:absolute" from="773,447" to="783,447" stroked="true" strokeweight=".48pt" strokecolor="#000000"/>
            <v:line style="position:absolute" from="792,447" to="802,447" stroked="true" strokeweight=".48pt" strokecolor="#000000"/>
            <v:line style="position:absolute" from="811,447" to="821,447" stroked="true" strokeweight=".48pt" strokecolor="#000000"/>
            <v:line style="position:absolute" from="831,447" to="840,447" stroked="true" strokeweight=".48pt" strokecolor="#000000"/>
            <v:line style="position:absolute" from="850,447" to="859,447" stroked="true" strokeweight=".48pt" strokecolor="#000000"/>
            <v:line style="position:absolute" from="869,447" to="879,447" stroked="true" strokeweight=".48pt" strokecolor="#000000"/>
            <v:line style="position:absolute" from="888,447" to="898,447" stroked="true" strokeweight=".48pt" strokecolor="#000000"/>
            <v:line style="position:absolute" from="907,447" to="917,447" stroked="true" strokeweight=".48pt" strokecolor="#000000"/>
            <v:line style="position:absolute" from="927,447" to="936,447" stroked="true" strokeweight=".48pt" strokecolor="#000000"/>
            <v:line style="position:absolute" from="946,447" to="955,447" stroked="true" strokeweight=".48pt" strokecolor="#000000"/>
            <v:line style="position:absolute" from="965,447" to="975,447" stroked="true" strokeweight=".48pt" strokecolor="#000000"/>
            <v:line style="position:absolute" from="984,447" to="994,447" stroked="true" strokeweight=".48pt" strokecolor="#000000"/>
            <v:line style="position:absolute" from="1003,447" to="1013,447" stroked="true" strokeweight=".48pt" strokecolor="#000000"/>
            <v:line style="position:absolute" from="1023,447" to="1032,447" stroked="true" strokeweight=".48pt" strokecolor="#000000"/>
            <v:line style="position:absolute" from="1042,447" to="1051,447" stroked="true" strokeweight=".48pt" strokecolor="#000000"/>
            <v:line style="position:absolute" from="1061,447" to="1071,447" stroked="true" strokeweight=".48pt" strokecolor="#000000"/>
            <v:line style="position:absolute" from="1080,447" to="1090,447" stroked="true" strokeweight=".48pt" strokecolor="#000000"/>
            <v:line style="position:absolute" from="1099,447" to="1109,447" stroked="true" strokeweight=".48pt" strokecolor="#000000"/>
            <v:line style="position:absolute" from="1119,447" to="1128,447" stroked="true" strokeweight=".48pt" strokecolor="#000000"/>
            <v:line style="position:absolute" from="1138,447" to="1147,447" stroked="true" strokeweight=".48pt" strokecolor="#000000"/>
            <v:line style="position:absolute" from="1157,447" to="1167,447" stroked="true" strokeweight=".48pt" strokecolor="#000000"/>
            <v:line style="position:absolute" from="1176,447" to="1186,447" stroked="true" strokeweight=".48pt" strokecolor="#000000"/>
            <v:line style="position:absolute" from="1195,447" to="1205,447" stroked="true" strokeweight=".48pt" strokecolor="#000000"/>
            <v:line style="position:absolute" from="1215,447" to="1224,447" stroked="true" strokeweight=".48pt" strokecolor="#000000"/>
            <v:line style="position:absolute" from="1234,447" to="1243,447" stroked="true" strokeweight=".48pt" strokecolor="#000000"/>
            <v:line style="position:absolute" from="1253,447" to="1263,447" stroked="true" strokeweight=".48pt" strokecolor="#000000"/>
            <v:line style="position:absolute" from="1272,447" to="1282,447" stroked="true" strokeweight=".48pt" strokecolor="#000000"/>
            <v:line style="position:absolute" from="1282,447" to="1291,447" stroked="true" strokeweight=".48pt" strokecolor="#ffffff"/>
            <v:line style="position:absolute" from="1291,447" to="1301,447" stroked="true" strokeweight=".48pt" strokecolor="#000000"/>
            <v:line style="position:absolute" from="1301,447" to="1311,447" stroked="true" strokeweight=".48pt" strokecolor="#ffffff"/>
            <v:line style="position:absolute" from="1311,447" to="1320,447" stroked="true" strokeweight=".48pt" strokecolor="#000000"/>
            <v:line style="position:absolute" from="1320,447" to="1330,447" stroked="true" strokeweight=".48pt" strokecolor="#ffffff"/>
            <v:line style="position:absolute" from="1330,447" to="1339,447" stroked="true" strokeweight=".48pt" strokecolor="#000000"/>
            <v:line style="position:absolute" from="1339,447" to="1349,447" stroked="true" strokeweight=".48pt" strokecolor="#ffffff"/>
            <v:line style="position:absolute" from="1349,447" to="1359,447" stroked="true" strokeweight=".48pt" strokecolor="#000000"/>
            <v:line style="position:absolute" from="1368,447" to="1378,447" stroked="true" strokeweight=".48pt" strokecolor="#000000"/>
            <v:line style="position:absolute" from="1387,447" to="1397,447" stroked="true" strokeweight=".48pt" strokecolor="#000000"/>
            <v:line style="position:absolute" from="1407,447" to="1416,447" stroked="true" strokeweight=".48pt" strokecolor="#000000"/>
            <v:line style="position:absolute" from="1426,447" to="1435,447" stroked="true" strokeweight=".48pt" strokecolor="#000000"/>
            <v:line style="position:absolute" from="1445,447" to="1455,447" stroked="true" strokeweight=".48pt" strokecolor="#000000"/>
            <v:line style="position:absolute" from="1464,447" to="1474,447" stroked="true" strokeweight=".48pt" strokecolor="#000000"/>
            <v:line style="position:absolute" from="1483,447" to="1493,447" stroked="true" strokeweight=".48pt" strokecolor="#000000"/>
            <v:line style="position:absolute" from="1503,447" to="1512,447" stroked="true" strokeweight=".48pt" strokecolor="#000000"/>
            <v:line style="position:absolute" from="1522,447" to="1531,447" stroked="true" strokeweight=".48pt" strokecolor="#000000"/>
            <v:line style="position:absolute" from="1541,447" to="1551,447" stroked="true" strokeweight=".48pt" strokecolor="#000000"/>
            <v:line style="position:absolute" from="1560,447" to="1570,447" stroked="true" strokeweight=".48pt" strokecolor="#000000"/>
            <v:line style="position:absolute" from="1579,447" to="1589,447" stroked="true" strokeweight=".48pt" strokecolor="#000000"/>
            <v:line style="position:absolute" from="1599,447" to="1608,447" stroked="true" strokeweight=".48pt" strokecolor="#000000"/>
            <v:line style="position:absolute" from="1618,447" to="1627,447" stroked="true" strokeweight=".48pt" strokecolor="#000000"/>
            <v:line style="position:absolute" from="1637,447" to="1647,447" stroked="true" strokeweight=".48pt" strokecolor="#000000"/>
            <v:line style="position:absolute" from="1656,447" to="1666,447" stroked="true" strokeweight=".48pt" strokecolor="#000000"/>
            <v:line style="position:absolute" from="1675,447" to="1685,447" stroked="true" strokeweight=".48pt" strokecolor="#000000"/>
            <v:line style="position:absolute" from="1695,447" to="1704,447" stroked="true" strokeweight=".48pt" strokecolor="#000000"/>
            <v:line style="position:absolute" from="1714,447" to="1723,447" stroked="true" strokeweight=".48pt" strokecolor="#000000"/>
            <v:line style="position:absolute" from="1733,447" to="1743,447" stroked="true" strokeweight=".48pt" strokecolor="#000000"/>
            <v:line style="position:absolute" from="1752,447" to="1762,447" stroked="true" strokeweight=".48pt" strokecolor="#000000"/>
            <v:line style="position:absolute" from="1771,447" to="1781,447" stroked="true" strokeweight=".48pt" strokecolor="#000000"/>
            <v:line style="position:absolute" from="1791,447" to="1800,447" stroked="true" strokeweight=".48pt" strokecolor="#000000"/>
            <v:line style="position:absolute" from="1810,447" to="1819,447" stroked="true" strokeweight=".48pt" strokecolor="#000000"/>
            <v:line style="position:absolute" from="1829,447" to="1839,447" stroked="true" strokeweight=".48pt" strokecolor="#000000"/>
            <v:line style="position:absolute" from="1848,447" to="1858,447" stroked="true" strokeweight=".48pt" strokecolor="#000000"/>
            <v:line style="position:absolute" from="1867,447" to="1877,447" stroked="true" strokeweight=".48pt" strokecolor="#000000"/>
            <v:line style="position:absolute" from="1887,447" to="1896,447" stroked="true" strokeweight=".48pt" strokecolor="#000000"/>
            <v:line style="position:absolute" from="1906,447" to="1915,447" stroked="true" strokeweight=".48pt" strokecolor="#000000"/>
            <v:line style="position:absolute" from="1925,447" to="1935,447" stroked="true" strokeweight=".48pt" strokecolor="#000000"/>
            <v:line style="position:absolute" from="1944,447" to="1954,447" stroked="true" strokeweight=".48pt" strokecolor="#000000"/>
            <v:line style="position:absolute" from="1963,447" to="1973,447" stroked="true" strokeweight=".48pt" strokecolor="#000000"/>
            <v:line style="position:absolute" from="1983,447" to="1992,447" stroked="true" strokeweight=".48pt" strokecolor="#000000"/>
            <v:line style="position:absolute" from="2002,447" to="2011,447" stroked="true" strokeweight=".48pt" strokecolor="#000000"/>
            <v:line style="position:absolute" from="2021,447" to="2031,447" stroked="true" strokeweight=".48pt" strokecolor="#000000"/>
            <v:line style="position:absolute" from="2040,447" to="2050,447" stroked="true" strokeweight=".48pt" strokecolor="#000000"/>
            <v:line style="position:absolute" from="2059,447" to="2069,447" stroked="true" strokeweight=".48pt" strokecolor="#000000"/>
            <v:line style="position:absolute" from="2079,447" to="2088,447" stroked="true" strokeweight=".48pt" strokecolor="#000000"/>
            <v:line style="position:absolute" from="2098,447" to="2107,447" stroked="true" strokeweight=".48pt" strokecolor="#000000"/>
            <v:line style="position:absolute" from="2117,447" to="2127,447" stroked="true" strokeweight=".48pt" strokecolor="#000000"/>
            <v:line style="position:absolute" from="2136,447" to="2146,447" stroked="true" strokeweight=".48pt" strokecolor="#000000"/>
            <v:line style="position:absolute" from="2155,447" to="2165,447" stroked="true" strokeweight=".48pt" strokecolor="#000000"/>
            <v:line style="position:absolute" from="2175,447" to="2184,447" stroked="true" strokeweight=".48pt" strokecolor="#000000"/>
            <v:line style="position:absolute" from="2194,447" to="2203,447" stroked="true" strokeweight=".48pt" strokecolor="#000000"/>
            <v:line style="position:absolute" from="2213,447" to="2223,447" stroked="true" strokeweight=".48pt" strokecolor="#000000"/>
            <v:line style="position:absolute" from="2232,447" to="2242,447" stroked="true" strokeweight=".48pt" strokecolor="#000000"/>
            <v:line style="position:absolute" from="2251,447" to="2261,447" stroked="true" strokeweight=".48pt" strokecolor="#000000"/>
            <v:line style="position:absolute" from="2271,447" to="2280,447" stroked="true" strokeweight=".48pt" strokecolor="#000000"/>
            <v:line style="position:absolute" from="2290,447" to="2299,447" stroked="true" strokeweight=".48pt" strokecolor="#000000"/>
            <v:line style="position:absolute" from="2309,447" to="2319,447" stroked="true" strokeweight=".48pt" strokecolor="#000000"/>
            <v:line style="position:absolute" from="2328,447" to="2338,447" stroked="true" strokeweight=".48pt" strokecolor="#000000"/>
            <v:line style="position:absolute" from="2347,447" to="2357,447" stroked="true" strokeweight=".48pt" strokecolor="#000000"/>
            <v:line style="position:absolute" from="2367,447" to="2376,447" stroked="true" strokeweight=".48pt" strokecolor="#000000"/>
            <v:line style="position:absolute" from="2386,447" to="2395,447" stroked="true" strokeweight=".48pt" strokecolor="#000000"/>
            <v:line style="position:absolute" from="2405,447" to="2415,447" stroked="true" strokeweight=".48pt" strokecolor="#000000"/>
            <v:line style="position:absolute" from="2424,447" to="2434,447" stroked="true" strokeweight=".48pt" strokecolor="#000000"/>
            <v:line style="position:absolute" from="2443,447" to="2453,447" stroked="true" strokeweight=".48pt" strokecolor="#000000"/>
            <v:line style="position:absolute" from="2463,447" to="2472,447" stroked="true" strokeweight=".48pt" strokecolor="#000000"/>
            <v:line style="position:absolute" from="2482,447" to="2491,447" stroked="true" strokeweight=".48pt" strokecolor="#000000"/>
            <v:line style="position:absolute" from="2487,447" to="2491,447" stroked="true" strokeweight=".479971pt" strokecolor="#000000"/>
            <v:line style="position:absolute" from="2501,447" to="2511,447" stroked="true" strokeweight=".48pt" strokecolor="#000000"/>
            <v:line style="position:absolute" from="2506,447" to="2511,447" stroked="true" strokeweight=".479971pt" strokecolor="#000000"/>
            <v:line style="position:absolute" from="2520,447" to="2530,447" stroked="true" strokeweight=".48pt" strokecolor="#000000"/>
            <v:line style="position:absolute" from="2539,447" to="2549,447" stroked="true" strokeweight=".48pt" strokecolor="#000000"/>
            <v:line style="position:absolute" from="2559,447" to="2568,447" stroked="true" strokeweight=".48pt" strokecolor="#000000"/>
            <v:line style="position:absolute" from="2578,447" to="2587,447" stroked="true" strokeweight=".48pt" strokecolor="#000000"/>
            <v:line style="position:absolute" from="2597,447" to="2607,447" stroked="true" strokeweight=".48pt" strokecolor="#000000"/>
            <v:line style="position:absolute" from="2616,447" to="2626,447" stroked="true" strokeweight=".48pt" strokecolor="#000000"/>
            <v:line style="position:absolute" from="2635,447" to="2645,447" stroked="true" strokeweight=".48pt" strokecolor="#000000"/>
            <v:line style="position:absolute" from="2655,447" to="2664,447" stroked="true" strokeweight=".48pt" strokecolor="#000000"/>
            <v:line style="position:absolute" from="2674,447" to="2683,447" stroked="true" strokeweight=".48pt" strokecolor="#000000"/>
            <v:line style="position:absolute" from="2693,447" to="2703,447" stroked="true" strokeweight=".48pt" strokecolor="#000000"/>
            <v:line style="position:absolute" from="2712,447" to="2722,447" stroked="true" strokeweight=".48pt" strokecolor="#000000"/>
            <v:line style="position:absolute" from="2731,447" to="2741,447" stroked="true" strokeweight=".48pt" strokecolor="#000000"/>
            <v:line style="position:absolute" from="2751,447" to="2760,447" stroked="true" strokeweight=".48pt" strokecolor="#000000"/>
            <v:line style="position:absolute" from="2770,447" to="2779,447" stroked="true" strokeweight=".48pt" strokecolor="#000000"/>
            <v:line style="position:absolute" from="2789,447" to="2799,447" stroked="true" strokeweight=".48pt" strokecolor="#000000"/>
            <v:line style="position:absolute" from="2808,447" to="2818,447" stroked="true" strokeweight=".48pt" strokecolor="#000000"/>
            <v:line style="position:absolute" from="2827,447" to="2837,447" stroked="true" strokeweight=".48pt" strokecolor="#000000"/>
            <v:line style="position:absolute" from="2847,447" to="2856,447" stroked="true" strokeweight=".48pt" strokecolor="#000000"/>
            <v:line style="position:absolute" from="2866,447" to="2875,447" stroked="true" strokeweight=".48pt" strokecolor="#000000"/>
            <v:line style="position:absolute" from="2885,447" to="2895,447" stroked="true" strokeweight=".48pt" strokecolor="#000000"/>
            <v:line style="position:absolute" from="2904,447" to="2914,447" stroked="true" strokeweight=".48pt" strokecolor="#000000"/>
            <v:line style="position:absolute" from="2923,447" to="2933,447" stroked="true" strokeweight=".48pt" strokecolor="#000000"/>
            <v:line style="position:absolute" from="2943,447" to="2952,447" stroked="true" strokeweight=".48pt" strokecolor="#000000"/>
            <v:line style="position:absolute" from="2962,447" to="2971,447" stroked="true" strokeweight=".48pt" strokecolor="#000000"/>
            <v:line style="position:absolute" from="2981,447" to="2991,447" stroked="true" strokeweight=".48pt" strokecolor="#000000"/>
            <v:line style="position:absolute" from="3000,447" to="3010,447" stroked="true" strokeweight=".48pt" strokecolor="#000000"/>
            <v:line style="position:absolute" from="3019,447" to="3029,447" stroked="true" strokeweight=".48pt" strokecolor="#000000"/>
            <v:line style="position:absolute" from="3039,447" to="3048,447" stroked="true" strokeweight=".48pt" strokecolor="#000000"/>
            <v:line style="position:absolute" from="3058,447" to="3067,447" stroked="true" strokeweight=".48pt" strokecolor="#000000"/>
            <v:line style="position:absolute" from="3077,447" to="3087,447" stroked="true" strokeweight=".48pt" strokecolor="#000000"/>
            <v:line style="position:absolute" from="3096,447" to="3106,447" stroked="true" strokeweight=".48pt" strokecolor="#000000"/>
            <v:line style="position:absolute" from="3115,447" to="3125,447" stroked="true" strokeweight=".48pt" strokecolor="#000000"/>
            <v:line style="position:absolute" from="3135,447" to="3144,447" stroked="true" strokeweight=".48pt" strokecolor="#000000"/>
            <v:line style="position:absolute" from="3154,447" to="3163,447" stroked="true" strokeweight=".48pt" strokecolor="#000000"/>
            <v:line style="position:absolute" from="3173,447" to="3183,447" stroked="true" strokeweight=".48pt" strokecolor="#000000"/>
            <v:line style="position:absolute" from="3192,447" to="3202,447" stroked="true" strokeweight=".48pt" strokecolor="#000000"/>
            <v:line style="position:absolute" from="3211,447" to="3221,447" stroked="true" strokeweight=".48pt" strokecolor="#000000"/>
            <v:line style="position:absolute" from="3231,447" to="3240,447" stroked="true" strokeweight=".48pt" strokecolor="#000000"/>
            <v:line style="position:absolute" from="3250,447" to="3259,447" stroked="true" strokeweight=".48pt" strokecolor="#000000"/>
            <v:line style="position:absolute" from="3269,447" to="3279,447" stroked="true" strokeweight=".48pt" strokecolor="#000000"/>
            <v:line style="position:absolute" from="3288,447" to="3298,447" stroked="true" strokeweight=".48pt" strokecolor="#000000"/>
            <v:line style="position:absolute" from="3307,447" to="3317,447" stroked="true" strokeweight=".48pt" strokecolor="#000000"/>
            <v:line style="position:absolute" from="3327,447" to="3336,447" stroked="true" strokeweight=".48pt" strokecolor="#000000"/>
            <v:line style="position:absolute" from="3346,447" to="3355,447" stroked="true" strokeweight=".48pt" strokecolor="#000000"/>
            <v:line style="position:absolute" from="3365,447" to="3375,447" stroked="true" strokeweight=".48pt" strokecolor="#000000"/>
            <v:line style="position:absolute" from="3384,447" to="3394,447" stroked="true" strokeweight=".48pt" strokecolor="#000000"/>
            <v:line style="position:absolute" from="3403,447" to="3413,447" stroked="true" strokeweight=".48pt" strokecolor="#000000"/>
            <v:line style="position:absolute" from="3423,447" to="3432,447" stroked="true" strokeweight=".48pt" strokecolor="#000000"/>
            <v:line style="position:absolute" from="3442,447" to="3451,447" stroked="true" strokeweight=".48pt" strokecolor="#000000"/>
            <v:line style="position:absolute" from="3461,447" to="3471,447" stroked="true" strokeweight=".48pt" strokecolor="#000000"/>
            <v:line style="position:absolute" from="3480,447" to="3490,447" stroked="true" strokeweight=".48pt" strokecolor="#000000"/>
            <v:line style="position:absolute" from="3499,447" to="3509,447" stroked="true" strokeweight=".48pt" strokecolor="#000000"/>
            <v:line style="position:absolute" from="3519,447" to="3528,447" stroked="true" strokeweight=".48pt" strokecolor="#000000"/>
            <v:line style="position:absolute" from="3538,447" to="3547,447" stroked="true" strokeweight=".48pt" strokecolor="#000000"/>
            <v:line style="position:absolute" from="3557,447" to="3567,447" stroked="true" strokeweight=".48pt" strokecolor="#000000"/>
            <v:line style="position:absolute" from="3576,447" to="3586,447" stroked="true" strokeweight=".48pt" strokecolor="#000000"/>
            <v:line style="position:absolute" from="3595,447" to="3605,447" stroked="true" strokeweight=".48pt" strokecolor="#000000"/>
            <v:line style="position:absolute" from="3615,447" to="3624,447" stroked="true" strokeweight=".48pt" strokecolor="#000000"/>
            <v:line style="position:absolute" from="3634,447" to="3643,447" stroked="true" strokeweight=".48pt" strokecolor="#000000"/>
            <v:line style="position:absolute" from="3653,447" to="3663,447" stroked="true" strokeweight=".48pt" strokecolor="#000000"/>
            <v:line style="position:absolute" from="3672,447" to="3682,447" stroked="true" strokeweight=".48pt" strokecolor="#000000"/>
            <v:line style="position:absolute" from="3691,447" to="3701,447" stroked="true" strokeweight=".48pt" strokecolor="#000000"/>
            <v:line style="position:absolute" from="3711,447" to="3720,447" stroked="true" strokeweight=".48pt" strokecolor="#000000"/>
            <v:line style="position:absolute" from="3730,447" to="3739,447" stroked="true" strokeweight=".48pt" strokecolor="#000000"/>
            <v:line style="position:absolute" from="3749,447" to="3759,447" stroked="true" strokeweight=".48pt" strokecolor="#000000"/>
            <v:line style="position:absolute" from="3768,447" to="3778,447" stroked="true" strokeweight=".48pt" strokecolor="#000000"/>
            <v:line style="position:absolute" from="3787,447" to="3797,447" stroked="true" strokeweight=".48pt" strokecolor="#000000"/>
            <v:line style="position:absolute" from="3807,447" to="3816,447" stroked="true" strokeweight=".48pt" strokecolor="#000000"/>
            <v:line style="position:absolute" from="3826,447" to="3835,447" stroked="true" strokeweight=".48pt" strokecolor="#000000"/>
            <v:line style="position:absolute" from="3845,447" to="3855,447" stroked="true" strokeweight=".48pt" strokecolor="#000000"/>
            <v:line style="position:absolute" from="3864,447" to="3874,447" stroked="true" strokeweight=".48pt" strokecolor="#000000"/>
            <v:line style="position:absolute" from="3883,447" to="3893,447" stroked="true" strokeweight=".48pt" strokecolor="#000000"/>
            <v:line style="position:absolute" from="3903,447" to="3912,447" stroked="true" strokeweight=".48pt" strokecolor="#000000"/>
            <v:line style="position:absolute" from="3922,447" to="3931,447" stroked="true" strokeweight=".48pt" strokecolor="#000000"/>
            <v:line style="position:absolute" from="3941,447" to="3951,447" stroked="true" strokeweight=".48pt" strokecolor="#000000"/>
            <v:line style="position:absolute" from="3960,447" to="3970,447" stroked="true" strokeweight=".48pt" strokecolor="#000000"/>
            <v:line style="position:absolute" from="3979,447" to="3989,447" stroked="true" strokeweight=".48pt" strokecolor="#000000"/>
            <v:line style="position:absolute" from="3999,447" to="4008,447" stroked="true" strokeweight=".48pt" strokecolor="#000000"/>
            <v:line style="position:absolute" from="4018,447" to="4027,447" stroked="true" strokeweight=".48pt" strokecolor="#000000"/>
            <v:line style="position:absolute" from="4037,447" to="4047,447" stroked="true" strokeweight=".48pt" strokecolor="#000000"/>
            <v:line style="position:absolute" from="4056,447" to="4066,447" stroked="true" strokeweight=".48pt" strokecolor="#000000"/>
            <v:line style="position:absolute" from="4075,447" to="4085,447" stroked="true" strokeweight=".48pt" strokecolor="#000000"/>
            <v:line style="position:absolute" from="4095,447" to="4104,447" stroked="true" strokeweight=".48pt" strokecolor="#000000"/>
            <v:line style="position:absolute" from="4114,447" to="4123,447" stroked="true" strokeweight=".48pt" strokecolor="#000000"/>
            <v:line style="position:absolute" from="4133,447" to="4143,447" stroked="true" strokeweight=".48pt" strokecolor="#000000"/>
            <v:line style="position:absolute" from="4152,447" to="4162,447" stroked="true" strokeweight=".48pt" strokecolor="#000000"/>
            <v:line style="position:absolute" from="4171,447" to="4181,447" stroked="true" strokeweight=".48pt" strokecolor="#000000"/>
            <v:line style="position:absolute" from="4191,447" to="4200,447" stroked="true" strokeweight=".48pt" strokecolor="#000000"/>
            <v:line style="position:absolute" from="4210,447" to="4219,447" stroked="true" strokeweight=".48pt" strokecolor="#000000"/>
            <v:line style="position:absolute" from="4229,447" to="4239,447" stroked="true" strokeweight=".48pt" strokecolor="#000000"/>
            <v:line style="position:absolute" from="4248,447" to="4258,447" stroked="true" strokeweight=".48pt" strokecolor="#000000"/>
            <v:line style="position:absolute" from="4267,447" to="4277,447" stroked="true" strokeweight=".48pt" strokecolor="#000000"/>
            <v:line style="position:absolute" from="4287,447" to="4296,447" stroked="true" strokeweight=".48pt" strokecolor="#000000"/>
            <v:line style="position:absolute" from="4306,447" to="4315,447" stroked="true" strokeweight=".48pt" strokecolor="#000000"/>
            <v:line style="position:absolute" from="4325,447" to="4335,447" stroked="true" strokeweight=".48pt" strokecolor="#000000"/>
            <v:line style="position:absolute" from="4344,447" to="4354,447" stroked="true" strokeweight=".48pt" strokecolor="#000000"/>
            <v:line style="position:absolute" from="4363,447" to="4373,447" stroked="true" strokeweight=".48pt" strokecolor="#000000"/>
            <v:line style="position:absolute" from="4383,447" to="4392,447" stroked="true" strokeweight=".48pt" strokecolor="#000000"/>
            <v:line style="position:absolute" from="4402,447" to="4411,447" stroked="true" strokeweight=".48pt" strokecolor="#000000"/>
            <v:line style="position:absolute" from="4421,447" to="4431,447" stroked="true" strokeweight=".48pt" strokecolor="#000000"/>
            <v:line style="position:absolute" from="4440,447" to="4450,447" stroked="true" strokeweight=".48pt" strokecolor="#000000"/>
            <v:line style="position:absolute" from="4459,447" to="4469,447" stroked="true" strokeweight=".48pt" strokecolor="#000000"/>
            <v:line style="position:absolute" from="4479,447" to="4488,447" stroked="true" strokeweight=".48pt" strokecolor="#000000"/>
            <v:line style="position:absolute" from="4498,447" to="4507,447" stroked="true" strokeweight=".48pt" strokecolor="#000000"/>
            <v:line style="position:absolute" from="4517,447" to="4527,447" stroked="true" strokeweight=".48pt" strokecolor="#000000"/>
            <v:line style="position:absolute" from="4536,447" to="4546,447" stroked="true" strokeweight=".48pt" strokecolor="#000000"/>
            <v:line style="position:absolute" from="4555,447" to="4565,447" stroked="true" strokeweight=".48pt" strokecolor="#000000"/>
            <v:line style="position:absolute" from="4575,447" to="4584,447" stroked="true" strokeweight=".48pt" strokecolor="#000000"/>
            <v:line style="position:absolute" from="4594,447" to="4603,447" stroked="true" strokeweight=".48pt" strokecolor="#000000"/>
            <v:line style="position:absolute" from="4613,447" to="4623,447" stroked="true" strokeweight=".48pt" strokecolor="#000000"/>
            <v:line style="position:absolute" from="4632,447" to="4642,447" stroked="true" strokeweight=".48pt" strokecolor="#000000"/>
            <v:line style="position:absolute" from="4651,447" to="4661,447" stroked="true" strokeweight=".48pt" strokecolor="#000000"/>
            <v:line style="position:absolute" from="4671,447" to="4680,447" stroked="true" strokeweight=".48pt" strokecolor="#000000"/>
            <v:line style="position:absolute" from="4690,447" to="4699,447" stroked="true" strokeweight=".48pt" strokecolor="#000000"/>
            <v:line style="position:absolute" from="4709,447" to="4719,447" stroked="true" strokeweight=".48pt" strokecolor="#000000"/>
            <v:line style="position:absolute" from="4728,447" to="4738,447" stroked="true" strokeweight=".48pt" strokecolor="#000000"/>
            <v:line style="position:absolute" from="4747,447" to="4757,447" stroked="true" strokeweight=".48pt" strokecolor="#000000"/>
            <v:line style="position:absolute" from="4767,447" to="4776,447" stroked="true" strokeweight=".48pt" strokecolor="#000000"/>
            <v:line style="position:absolute" from="4786,447" to="4795,447" stroked="true" strokeweight=".48pt" strokecolor="#000000"/>
            <v:line style="position:absolute" from="4805,447" to="4815,447" stroked="true" strokeweight=".48pt" strokecolor="#000000"/>
            <v:line style="position:absolute" from="4824,447" to="4834,447" stroked="true" strokeweight=".48pt" strokecolor="#000000"/>
            <v:line style="position:absolute" from="4843,447" to="4853,447" stroked="true" strokeweight=".48pt" strokecolor="#000000"/>
            <v:line style="position:absolute" from="4863,447" to="4872,447" stroked="true" strokeweight=".48pt" strokecolor="#000000"/>
            <v:line style="position:absolute" from="4882,447" to="4891,447" stroked="true" strokeweight=".48pt" strokecolor="#000000"/>
            <v:line style="position:absolute" from="4901,447" to="4911,447" stroked="true" strokeweight=".48pt" strokecolor="#000000"/>
            <v:line style="position:absolute" from="4920,447" to="4930,447" stroked="true" strokeweight=".48pt" strokecolor="#000000"/>
            <v:line style="position:absolute" from="4939,447" to="4949,447" stroked="true" strokeweight=".48pt" strokecolor="#000000"/>
            <v:line style="position:absolute" from="4959,447" to="4968,447" stroked="true" strokeweight=".48pt" strokecolor="#000000"/>
            <v:line style="position:absolute" from="4978,447" to="4987,447" stroked="true" strokeweight=".48pt" strokecolor="#000000"/>
            <v:line style="position:absolute" from="4997,447" to="5007,447" stroked="true" strokeweight=".48pt" strokecolor="#000000"/>
            <v:line style="position:absolute" from="5016,447" to="5026,447" stroked="true" strokeweight=".48pt" strokecolor="#000000"/>
            <v:line style="position:absolute" from="5035,447" to="5045,447" stroked="true" strokeweight=".48pt" strokecolor="#000000"/>
            <v:line style="position:absolute" from="5055,447" to="5064,447" stroked="true" strokeweight=".48pt" strokecolor="#000000"/>
            <v:line style="position:absolute" from="5074,447" to="5083,447" stroked="true" strokeweight=".48pt" strokecolor="#000000"/>
            <v:line style="position:absolute" from="5093,447" to="5103,447" stroked="true" strokeweight=".48pt" strokecolor="#000000"/>
            <v:line style="position:absolute" from="5112,447" to="5122,447" stroked="true" strokeweight=".48pt" strokecolor="#000000"/>
            <v:line style="position:absolute" from="5131,447" to="5141,447" stroked="true" strokeweight=".48pt" strokecolor="#000000"/>
            <v:line style="position:absolute" from="5151,447" to="5160,447" stroked="true" strokeweight=".48pt" strokecolor="#000000"/>
            <v:line style="position:absolute" from="5170,447" to="5179,447" stroked="true" strokeweight=".48pt" strokecolor="#000000"/>
            <v:line style="position:absolute" from="5189,447" to="5199,447" stroked="true" strokeweight=".48pt" strokecolor="#000000"/>
            <v:line style="position:absolute" from="5208,447" to="5218,447" stroked="true" strokeweight=".48pt" strokecolor="#000000"/>
            <v:line style="position:absolute" from="5227,447" to="5237,447" stroked="true" strokeweight=".48pt" strokecolor="#000000"/>
            <v:line style="position:absolute" from="5247,447" to="5256,447" stroked="true" strokeweight=".48pt" strokecolor="#000000"/>
            <v:line style="position:absolute" from="5266,447" to="5275,447" stroked="true" strokeweight=".48pt" strokecolor="#000000"/>
            <v:line style="position:absolute" from="5285,447" to="5295,447" stroked="true" strokeweight=".48pt" strokecolor="#000000"/>
            <v:line style="position:absolute" from="5304,447" to="5314,447" stroked="true" strokeweight=".48pt" strokecolor="#000000"/>
            <v:line style="position:absolute" from="5323,447" to="5333,447" stroked="true" strokeweight=".48pt" strokecolor="#000000"/>
            <v:line style="position:absolute" from="5343,447" to="5352,447" stroked="true" strokeweight=".48pt" strokecolor="#000000"/>
            <v:line style="position:absolute" from="5362,447" to="5371,447" stroked="true" strokeweight=".48pt" strokecolor="#000000"/>
            <v:line style="position:absolute" from="5381,447" to="5391,447" stroked="true" strokeweight=".48pt" strokecolor="#000000"/>
            <v:line style="position:absolute" from="5400,447" to="5410,447" stroked="true" strokeweight=".48pt" strokecolor="#000000"/>
            <v:line style="position:absolute" from="5419,447" to="5429,447" stroked="true" strokeweight=".48pt" strokecolor="#000000"/>
            <v:line style="position:absolute" from="5439,447" to="5448,447" stroked="true" strokeweight=".48pt" strokecolor="#000000"/>
            <v:line style="position:absolute" from="5458,447" to="5467,447" stroked="true" strokeweight=".48pt" strokecolor="#000000"/>
            <v:line style="position:absolute" from="5477,447" to="5487,447" stroked="true" strokeweight=".48pt" strokecolor="#000000"/>
            <v:line style="position:absolute" from="5496,447" to="5506,447" stroked="true" strokeweight=".48pt" strokecolor="#000000"/>
            <v:line style="position:absolute" from="5515,447" to="5525,447" stroked="true" strokeweight=".48pt" strokecolor="#000000"/>
            <v:line style="position:absolute" from="5535,447" to="5544,447" stroked="true" strokeweight=".48pt" strokecolor="#000000"/>
            <v:line style="position:absolute" from="5554,447" to="5563,447" stroked="true" strokeweight=".48pt" strokecolor="#000000"/>
            <v:line style="position:absolute" from="5573,447" to="5583,447" stroked="true" strokeweight=".48pt" strokecolor="#000000"/>
            <v:line style="position:absolute" from="5592,447" to="5602,447" stroked="true" strokeweight=".48pt" strokecolor="#000000"/>
            <v:line style="position:absolute" from="5611,447" to="5621,447" stroked="true" strokeweight=".48pt" strokecolor="#000000"/>
            <v:line style="position:absolute" from="5631,447" to="5640,447" stroked="true" strokeweight=".48pt" strokecolor="#000000"/>
            <v:line style="position:absolute" from="5650,447" to="5659,447" stroked="true" strokeweight=".48pt" strokecolor="#000000"/>
            <v:line style="position:absolute" from="5669,447" to="5679,447" stroked="true" strokeweight=".48pt" strokecolor="#000000"/>
            <v:line style="position:absolute" from="5688,447" to="5698,447" stroked="true" strokeweight=".48pt" strokecolor="#000000"/>
            <v:line style="position:absolute" from="5707,447" to="5717,447" stroked="true" strokeweight=".48pt" strokecolor="#000000"/>
            <v:line style="position:absolute" from="5727,447" to="5736,447" stroked="true" strokeweight=".48pt" strokecolor="#000000"/>
            <v:line style="position:absolute" from="5746,447" to="5755,447" stroked="true" strokeweight=".48pt" strokecolor="#000000"/>
            <v:line style="position:absolute" from="5765,447" to="5775,447" stroked="true" strokeweight=".48pt" strokecolor="#000000"/>
            <v:line style="position:absolute" from="5784,447" to="5794,447" stroked="true" strokeweight=".48pt" strokecolor="#000000"/>
            <v:line style="position:absolute" from="5803,447" to="5813,447" stroked="true" strokeweight=".48pt" strokecolor="#000000"/>
            <v:line style="position:absolute" from="5823,447" to="5832,447" stroked="true" strokeweight=".48pt" strokecolor="#000000"/>
            <v:line style="position:absolute" from="5842,447" to="5851,447" stroked="true" strokeweight=".48pt" strokecolor="#000000"/>
            <v:line style="position:absolute" from="5861,447" to="5871,447" stroked="true" strokeweight=".48pt" strokecolor="#000000"/>
            <v:line style="position:absolute" from="5880,447" to="5890,447" stroked="true" strokeweight=".48pt" strokecolor="#000000"/>
            <v:line style="position:absolute" from="5899,447" to="5909,447" stroked="true" strokeweight=".48pt" strokecolor="#000000"/>
            <v:line style="position:absolute" from="5919,447" to="5928,447" stroked="true" strokeweight=".48pt" strokecolor="#000000"/>
            <v:line style="position:absolute" from="5938,447" to="5947,447" stroked="true" strokeweight=".48pt" strokecolor="#000000"/>
            <v:line style="position:absolute" from="5957,447" to="5967,447" stroked="true" strokeweight=".48pt" strokecolor="#000000"/>
            <v:line style="position:absolute" from="5976,447" to="5986,447" stroked="true" strokeweight=".48pt" strokecolor="#000000"/>
            <v:line style="position:absolute" from="5995,447" to="6005,447" stroked="true" strokeweight=".48pt" strokecolor="#000000"/>
            <v:line style="position:absolute" from="6015,447" to="6024,447" stroked="true" strokeweight=".48pt" strokecolor="#000000"/>
            <v:line style="position:absolute" from="6034,447" to="6043,447" stroked="true" strokeweight=".48pt" strokecolor="#000000"/>
            <v:line style="position:absolute" from="6053,447" to="6063,447" stroked="true" strokeweight=".48pt" strokecolor="#000000"/>
            <v:line style="position:absolute" from="6072,447" to="6082,447" stroked="true" strokeweight=".48pt" strokecolor="#000000"/>
            <v:line style="position:absolute" from="6091,447" to="6101,447" stroked="true" strokeweight=".48pt" strokecolor="#000000"/>
            <v:line style="position:absolute" from="6111,447" to="6120,447" stroked="true" strokeweight=".48pt" strokecolor="#000000"/>
            <v:line style="position:absolute" from="6130,447" to="6139,447" stroked="true" strokeweight=".48pt" strokecolor="#000000"/>
            <v:line style="position:absolute" from="6149,447" to="6159,447" stroked="true" strokeweight=".48pt" strokecolor="#000000"/>
            <v:line style="position:absolute" from="6168,447" to="6178,447" stroked="true" strokeweight=".48pt" strokecolor="#000000"/>
            <v:line style="position:absolute" from="6187,447" to="6197,447" stroked="true" strokeweight=".48pt" strokecolor="#000000"/>
            <v:line style="position:absolute" from="6207,447" to="6216,447" stroked="true" strokeweight=".48pt" strokecolor="#000000"/>
            <v:line style="position:absolute" from="6226,447" to="6235,447" stroked="true" strokeweight=".48pt" strokecolor="#000000"/>
            <v:line style="position:absolute" from="6245,447" to="6255,447" stroked="true" strokeweight=".48pt" strokecolor="#000000"/>
            <v:line style="position:absolute" from="6264,447" to="6274,447" stroked="true" strokeweight=".48pt" strokecolor="#000000"/>
            <v:line style="position:absolute" from="6283,447" to="6293,447" stroked="true" strokeweight=".48pt" strokecolor="#000000"/>
            <v:line style="position:absolute" from="6303,447" to="6312,447" stroked="true" strokeweight=".48pt" strokecolor="#000000"/>
            <v:line style="position:absolute" from="6322,447" to="6331,447" stroked="true" strokeweight=".48pt" strokecolor="#000000"/>
            <v:line style="position:absolute" from="6341,447" to="6351,447" stroked="true" strokeweight=".48pt" strokecolor="#000000"/>
            <v:line style="position:absolute" from="6360,447" to="6370,447" stroked="true" strokeweight=".48pt" strokecolor="#000000"/>
            <v:line style="position:absolute" from="6379,447" to="6389,447" stroked="true" strokeweight=".48pt" strokecolor="#000000"/>
            <v:line style="position:absolute" from="6399,447" to="6408,447" stroked="true" strokeweight=".48pt" strokecolor="#000000"/>
            <v:line style="position:absolute" from="6418,447" to="6427,447" stroked="true" strokeweight=".48pt" strokecolor="#000000"/>
            <v:line style="position:absolute" from="6437,447" to="6447,447" stroked="true" strokeweight=".48pt" strokecolor="#000000"/>
            <v:line style="position:absolute" from="6456,447" to="6466,447" stroked="true" strokeweight=".48pt" strokecolor="#000000"/>
            <v:line style="position:absolute" from="6475,447" to="6485,447" stroked="true" strokeweight=".48pt" strokecolor="#000000"/>
            <v:line style="position:absolute" from="6495,447" to="6504,447" stroked="true" strokeweight=".48pt" strokecolor="#000000"/>
            <v:line style="position:absolute" from="6514,447" to="6523,447" stroked="true" strokeweight=".48pt" strokecolor="#000000"/>
            <v:line style="position:absolute" from="6533,447" to="6543,447" stroked="true" strokeweight=".48pt" strokecolor="#000000"/>
            <v:line style="position:absolute" from="6552,447" to="6562,447" stroked="true" strokeweight=".48pt" strokecolor="#000000"/>
            <v:line style="position:absolute" from="6571,447" to="6581,447" stroked="true" strokeweight=".48pt" strokecolor="#000000"/>
            <v:line style="position:absolute" from="6591,447" to="6600,447" stroked="true" strokeweight=".48pt" strokecolor="#000000"/>
            <v:line style="position:absolute" from="6610,447" to="6619,447" stroked="true" strokeweight=".48pt" strokecolor="#000000"/>
            <v:line style="position:absolute" from="6629,447" to="6639,447" stroked="true" strokeweight=".48pt" strokecolor="#000000"/>
            <v:line style="position:absolute" from="6648,447" to="6658,447" stroked="true" strokeweight=".48pt" strokecolor="#000000"/>
            <v:line style="position:absolute" from="6667,447" to="6677,447" stroked="true" strokeweight=".48pt" strokecolor="#000000"/>
            <v:line style="position:absolute" from="6687,447" to="6696,447" stroked="true" strokeweight=".48pt" strokecolor="#000000"/>
            <v:line style="position:absolute" from="6706,447" to="6715,447" stroked="true" strokeweight=".48pt" strokecolor="#000000"/>
            <v:line style="position:absolute" from="6725,447" to="6735,447" stroked="true" strokeweight=".48pt" strokecolor="#000000"/>
            <v:line style="position:absolute" from="6744,447" to="6754,447" stroked="true" strokeweight=".48pt" strokecolor="#000000"/>
            <v:line style="position:absolute" from="6763,447" to="6773,447" stroked="true" strokeweight=".48pt" strokecolor="#000000"/>
            <v:line style="position:absolute" from="6783,447" to="6792,447" stroked="true" strokeweight=".48pt" strokecolor="#000000"/>
            <v:line style="position:absolute" from="6802,447" to="6811,447" stroked="true" strokeweight=".48pt" strokecolor="#000000"/>
            <v:line style="position:absolute" from="6821,447" to="6831,447" stroked="true" strokeweight=".48pt" strokecolor="#000000"/>
            <v:line style="position:absolute" from="6840,447" to="6850,447" stroked="true" strokeweight=".48pt" strokecolor="#000000"/>
            <v:line style="position:absolute" from="6859,447" to="6869,447" stroked="true" strokeweight=".48pt" strokecolor="#000000"/>
            <v:line style="position:absolute" from="6879,447" to="6888,447" stroked="true" strokeweight=".48pt" strokecolor="#000000"/>
            <v:line style="position:absolute" from="6898,447" to="6907,447" stroked="true" strokeweight=".48pt" strokecolor="#000000"/>
            <v:line style="position:absolute" from="6917,447" to="6927,447" stroked="true" strokeweight=".48pt" strokecolor="#000000"/>
            <v:line style="position:absolute" from="6936,447" to="6946,447" stroked="true" strokeweight=".48pt" strokecolor="#000000"/>
            <v:line style="position:absolute" from="6955,447" to="6965,447" stroked="true" strokeweight=".48pt" strokecolor="#000000"/>
            <v:line style="position:absolute" from="6975,447" to="6984,447" stroked="true" strokeweight=".48pt" strokecolor="#000000"/>
            <v:line style="position:absolute" from="6994,447" to="7003,447" stroked="true" strokeweight=".48pt" strokecolor="#000000"/>
            <v:line style="position:absolute" from="7013,447" to="7023,447" stroked="true" strokeweight=".48pt" strokecolor="#000000"/>
            <v:line style="position:absolute" from="7032,447" to="7042,447" stroked="true" strokeweight=".48pt" strokecolor="#000000"/>
            <v:line style="position:absolute" from="7051,447" to="7061,447" stroked="true" strokeweight=".48pt" strokecolor="#000000"/>
            <v:line style="position:absolute" from="7071,447" to="7080,447" stroked="true" strokeweight=".48pt" strokecolor="#000000"/>
            <v:line style="position:absolute" from="7090,447" to="7099,447" stroked="true" strokeweight=".48pt" strokecolor="#000000"/>
            <v:line style="position:absolute" from="7109,447" to="7119,447" stroked="true" strokeweight=".48pt" strokecolor="#000000"/>
            <v:line style="position:absolute" from="7128,447" to="7138,447" stroked="true" strokeweight=".48pt" strokecolor="#000000"/>
            <v:line style="position:absolute" from="7147,447" to="7157,447" stroked="true" strokeweight=".48pt" strokecolor="#000000"/>
            <v:line style="position:absolute" from="7167,447" to="7176,447" stroked="true" strokeweight=".48pt" strokecolor="#000000"/>
            <v:line style="position:absolute" from="7186,447" to="7195,447" stroked="true" strokeweight=".48pt" strokecolor="#000000"/>
            <v:line style="position:absolute" from="7205,447" to="7215,447" stroked="true" strokeweight=".48pt" strokecolor="#000000"/>
            <v:line style="position:absolute" from="7224,447" to="7234,447" stroked="true" strokeweight=".48pt" strokecolor="#000000"/>
            <v:line style="position:absolute" from="7243,447" to="7253,447" stroked="true" strokeweight=".48pt" strokecolor="#000000"/>
            <v:line style="position:absolute" from="7263,447" to="7272,447" stroked="true" strokeweight=".48pt" strokecolor="#000000"/>
            <v:line style="position:absolute" from="7282,447" to="7291,447" stroked="true" strokeweight=".48pt" strokecolor="#000000"/>
            <v:line style="position:absolute" from="7301,447" to="7311,447" stroked="true" strokeweight=".48pt" strokecolor="#000000"/>
            <v:line style="position:absolute" from="7320,447" to="7330,447" stroked="true" strokeweight=".48pt" strokecolor="#000000"/>
            <v:line style="position:absolute" from="7339,447" to="7349,447" stroked="true" strokeweight=".48pt" strokecolor="#000000"/>
            <v:line style="position:absolute" from="7349,447" to="7349,447" stroked="true" strokeweight=".479971pt" strokecolor="#000000"/>
            <v:line style="position:absolute" from="7359,447" to="7368,447" stroked="true" strokeweight=".48pt" strokecolor="#000000"/>
            <v:line style="position:absolute" from="7378,447" to="7387,447" stroked="true" strokeweight=".48pt" strokecolor="#000000"/>
            <v:line style="position:absolute" from="7397,447" to="7407,447" stroked="true" strokeweight=".48pt" strokecolor="#000000"/>
            <v:line style="position:absolute" from="7416,447" to="7426,447" stroked="true" strokeweight=".48pt" strokecolor="#000000"/>
            <v:line style="position:absolute" from="7435,447" to="7445,447" stroked="true" strokeweight=".48pt" strokecolor="#000000"/>
            <v:line style="position:absolute" from="7455,447" to="7464,447" stroked="true" strokeweight=".48pt" strokecolor="#000000"/>
            <v:line style="position:absolute" from="7474,447" to="7483,447" stroked="true" strokeweight=".48pt" strokecolor="#000000"/>
            <v:line style="position:absolute" from="7493,447" to="7503,447" stroked="true" strokeweight=".48pt" strokecolor="#000000"/>
            <v:line style="position:absolute" from="7512,447" to="7522,447" stroked="true" strokeweight=".48pt" strokecolor="#000000"/>
            <v:line style="position:absolute" from="7531,447" to="7541,447" stroked="true" strokeweight=".48pt" strokecolor="#000000"/>
            <v:line style="position:absolute" from="7551,447" to="7560,447" stroked="true" strokeweight=".48pt" strokecolor="#000000"/>
            <v:line style="position:absolute" from="7570,447" to="7579,447" stroked="true" strokeweight=".48pt" strokecolor="#000000"/>
            <v:line style="position:absolute" from="7589,447" to="7599,447" stroked="true" strokeweight=".48pt" strokecolor="#000000"/>
            <v:line style="position:absolute" from="7608,447" to="7618,447" stroked="true" strokeweight=".48pt" strokecolor="#000000"/>
            <v:line style="position:absolute" from="7627,447" to="7637,447" stroked="true" strokeweight=".48pt" strokecolor="#000000"/>
            <v:line style="position:absolute" from="7647,447" to="7656,447" stroked="true" strokeweight=".48pt" strokecolor="#000000"/>
            <v:line style="position:absolute" from="7666,447" to="7675,447" stroked="true" strokeweight=".48pt" strokecolor="#000000"/>
            <v:line style="position:absolute" from="7685,447" to="7695,447" stroked="true" strokeweight=".48pt" strokecolor="#000000"/>
            <v:line style="position:absolute" from="7704,447" to="7714,447" stroked="true" strokeweight=".48pt" strokecolor="#000000"/>
            <v:line style="position:absolute" from="7723,447" to="7733,447" stroked="true" strokeweight=".48pt" strokecolor="#000000"/>
            <v:line style="position:absolute" from="7743,447" to="7752,447" stroked="true" strokeweight=".48pt" strokecolor="#000000"/>
            <v:line style="position:absolute" from="7762,447" to="7771,447" stroked="true" strokeweight=".48pt" strokecolor="#000000"/>
            <v:line style="position:absolute" from="7781,447" to="7791,447" stroked="true" strokeweight=".48pt" strokecolor="#000000"/>
            <v:line style="position:absolute" from="7800,447" to="7810,447" stroked="true" strokeweight=".48pt" strokecolor="#000000"/>
            <v:line style="position:absolute" from="7819,447" to="7829,447" stroked="true" strokeweight=".48pt" strokecolor="#000000"/>
            <v:line style="position:absolute" from="7839,447" to="7848,447" stroked="true" strokeweight=".48pt" strokecolor="#000000"/>
            <v:line style="position:absolute" from="7858,447" to="7867,447" stroked="true" strokeweight=".48pt" strokecolor="#000000"/>
            <v:line style="position:absolute" from="7877,447" to="7887,447" stroked="true" strokeweight=".48pt" strokecolor="#000000"/>
            <v:line style="position:absolute" from="7896,447" to="7906,447" stroked="true" strokeweight=".48pt" strokecolor="#000000"/>
            <v:line style="position:absolute" from="7915,447" to="7925,447" stroked="true" strokeweight=".48pt" strokecolor="#000000"/>
            <v:line style="position:absolute" from="7935,447" to="7944,447" stroked="true" strokeweight=".48pt" strokecolor="#000000"/>
            <v:line style="position:absolute" from="7954,447" to="7963,447" stroked="true" strokeweight=".48pt" strokecolor="#000000"/>
            <v:line style="position:absolute" from="7973,447" to="7983,447" stroked="true" strokeweight=".48pt" strokecolor="#000000"/>
            <v:line style="position:absolute" from="7992,447" to="8002,447" stroked="true" strokeweight=".48pt" strokecolor="#000000"/>
            <v:line style="position:absolute" from="8011,447" to="8021,447" stroked="true" strokeweight=".48pt" strokecolor="#000000"/>
            <v:line style="position:absolute" from="8031,447" to="8040,447" stroked="true" strokeweight=".48pt" strokecolor="#000000"/>
            <v:line style="position:absolute" from="8050,447" to="8059,447" stroked="true" strokeweight=".48pt" strokecolor="#000000"/>
            <v:line style="position:absolute" from="8069,447" to="8079,447" stroked="true" strokeweight=".48pt" strokecolor="#000000"/>
            <v:line style="position:absolute" from="8088,447" to="8098,447" stroked="true" strokeweight=".48pt" strokecolor="#000000"/>
            <v:line style="position:absolute" from="8107,447" to="8117,447" stroked="true" strokeweight=".48pt" strokecolor="#000000"/>
            <v:line style="position:absolute" from="8127,447" to="8136,447" stroked="true" strokeweight=".48pt" strokecolor="#000000"/>
            <v:line style="position:absolute" from="8136,447" to="8136,447" stroked="true" strokeweight=".479971pt" strokecolor="#000000"/>
            <v:line style="position:absolute" from="8146,447" to="8155,447" stroked="true" strokeweight=".48pt" strokecolor="#000000"/>
            <v:line style="position:absolute" from="8155,447" to="8155,447" stroked="true" strokeweight=".479971pt" strokecolor="#000000"/>
            <v:line style="position:absolute" from="8165,447" to="8175,447" stroked="true" strokeweight=".48pt" strokecolor="#000000"/>
            <v:line style="position:absolute" from="8184,447" to="8194,447" stroked="true" strokeweight=".48pt" strokecolor="#000000"/>
            <v:line style="position:absolute" from="8203,447" to="8213,447" stroked="true" strokeweight=".48pt" strokecolor="#000000"/>
            <v:line style="position:absolute" from="8223,447" to="8232,447" stroked="true" strokeweight=".48pt" strokecolor="#000000"/>
            <v:line style="position:absolute" from="8242,447" to="8251,447" stroked="true" strokeweight=".48pt" strokecolor="#000000"/>
            <v:line style="position:absolute" from="8261,447" to="8271,447" stroked="true" strokeweight=".48pt" strokecolor="#000000"/>
            <v:line style="position:absolute" from="8280,447" to="8290,447" stroked="true" strokeweight=".48pt" strokecolor="#000000"/>
            <v:line style="position:absolute" from="8299,447" to="8309,447" stroked="true" strokeweight=".48pt" strokecolor="#000000"/>
            <v:line style="position:absolute" from="8319,447" to="8328,447" stroked="true" strokeweight=".48pt" strokecolor="#000000"/>
            <v:line style="position:absolute" from="8338,447" to="8347,447" stroked="true" strokeweight=".48pt" strokecolor="#000000"/>
            <v:line style="position:absolute" from="8357,447" to="8367,447" stroked="true" strokeweight=".48pt" strokecolor="#000000"/>
            <v:line style="position:absolute" from="8376,447" to="8386,447" stroked="true" strokeweight=".48pt" strokecolor="#000000"/>
            <v:line style="position:absolute" from="8395,447" to="8405,447" stroked="true" strokeweight=".48pt" strokecolor="#000000"/>
            <v:line style="position:absolute" from="8415,447" to="8424,447" stroked="true" strokeweight=".48pt" strokecolor="#000000"/>
            <v:line style="position:absolute" from="8434,447" to="8443,447" stroked="true" strokeweight=".48pt" strokecolor="#000000"/>
            <v:line style="position:absolute" from="8453,447" to="8463,447" stroked="true" strokeweight=".48pt" strokecolor="#000000"/>
            <v:line style="position:absolute" from="8472,447" to="8482,447" stroked="true" strokeweight=".48pt" strokecolor="#000000"/>
            <v:line style="position:absolute" from="8491,447" to="8501,447" stroked="true" strokeweight=".48pt" strokecolor="#000000"/>
            <v:line style="position:absolute" from="8511,447" to="8520,447" stroked="true" strokeweight=".48pt" strokecolor="#000000"/>
            <v:line style="position:absolute" from="8530,447" to="8539,447" stroked="true" strokeweight=".48pt" strokecolor="#000000"/>
            <v:line style="position:absolute" from="8549,447" to="8559,447" stroked="true" strokeweight=".48pt" strokecolor="#000000"/>
            <v:line style="position:absolute" from="8568,447" to="8578,447" stroked="true" strokeweight=".48pt" strokecolor="#000000"/>
            <v:line style="position:absolute" from="8587,447" to="8597,447" stroked="true" strokeweight=".48pt" strokecolor="#000000"/>
            <v:line style="position:absolute" from="8607,447" to="8616,447" stroked="true" strokeweight=".48pt" strokecolor="#000000"/>
            <v:line style="position:absolute" from="8626,447" to="8635,447" stroked="true" strokeweight=".48pt" strokecolor="#000000"/>
            <v:line style="position:absolute" from="8645,447" to="8655,447" stroked="true" strokeweight=".48pt" strokecolor="#000000"/>
            <v:line style="position:absolute" from="8664,447" to="8674,447" stroked="true" strokeweight=".48pt" strokecolor="#000000"/>
            <v:line style="position:absolute" from="8683,447" to="8693,447" stroked="true" strokeweight=".48pt" strokecolor="#000000"/>
            <v:line style="position:absolute" from="8703,447" to="8712,447" stroked="true" strokeweight=".48pt" strokecolor="#000000"/>
            <v:line style="position:absolute" from="8722,447" to="8731,447" stroked="true" strokeweight=".48pt" strokecolor="#000000"/>
            <v:line style="position:absolute" from="8741,447" to="8751,447" stroked="true" strokeweight=".48pt" strokecolor="#000000"/>
            <v:line style="position:absolute" from="8760,447" to="8770,447" stroked="true" strokeweight=".48pt" strokecolor="#000000"/>
            <v:line style="position:absolute" from="8779,447" to="8789,447" stroked="true" strokeweight=".48pt" strokecolor="#000000"/>
            <v:line style="position:absolute" from="8799,447" to="8808,447" stroked="true" strokeweight=".48pt" strokecolor="#000000"/>
            <v:line style="position:absolute" from="8818,447" to="8827,447" stroked="true" strokeweight=".48pt" strokecolor="#000000"/>
            <v:line style="position:absolute" from="8837,447" to="8847,447" stroked="true" strokeweight=".48pt" strokecolor="#000000"/>
            <v:line style="position:absolute" from="2487,456" to="2496,456" stroked="true" strokeweight=".48pt" strokecolor="#000000"/>
            <v:line style="position:absolute" from="2487,475" to="2496,475" stroked="true" strokeweight=".48pt" strokecolor="#000000"/>
            <v:line style="position:absolute" from="2487,495" to="2496,495" stroked="true" strokeweight=".48pt" strokecolor="#000000"/>
            <v:line style="position:absolute" from="2487,514" to="2496,514" stroked="true" strokeweight=".48pt" strokecolor="#000000"/>
            <v:line style="position:absolute" from="2487,533" to="2496,533" stroked="true" strokeweight=".48pt" strokecolor="#000000"/>
            <v:line style="position:absolute" from="2487,552" to="2496,552" stroked="true" strokeweight=".48pt" strokecolor="#000000"/>
            <v:line style="position:absolute" from="2487,571" to="2496,571" stroked="true" strokeweight=".48pt" strokecolor="#000000"/>
            <v:line style="position:absolute" from="2487,591" to="2496,591" stroked="true" strokeweight=".48pt" strokecolor="#000000"/>
            <v:line style="position:absolute" from="2487,610" to="2496,610" stroked="true" strokeweight=".48pt" strokecolor="#000000"/>
            <v:line style="position:absolute" from="2487,629" to="2496,629" stroked="true" strokeweight=".48pt" strokecolor="#000000"/>
            <v:line style="position:absolute" from="2487,648" to="2496,648" stroked="true" strokeweight=".48pt" strokecolor="#000000"/>
            <v:line style="position:absolute" from="2487,667" to="2496,667" stroked="true" strokeweight=".48pt" strokecolor="#000000"/>
            <v:line style="position:absolute" from="7339,456" to="7349,456" stroked="true" strokeweight=".48pt" strokecolor="#000000"/>
            <v:line style="position:absolute" from="7339,475" to="7349,475" stroked="true" strokeweight=".48pt" strokecolor="#000000"/>
            <v:line style="position:absolute" from="7339,495" to="7349,495" stroked="true" strokeweight=".48pt" strokecolor="#000000"/>
            <v:line style="position:absolute" from="7339,514" to="7349,514" stroked="true" strokeweight=".48pt" strokecolor="#000000"/>
            <v:line style="position:absolute" from="7339,533" to="7349,533" stroked="true" strokeweight=".48pt" strokecolor="#000000"/>
            <v:line style="position:absolute" from="7339,552" to="7349,552" stroked="true" strokeweight=".48pt" strokecolor="#000000"/>
            <v:line style="position:absolute" from="7339,571" to="7349,571" stroked="true" strokeweight=".48pt" strokecolor="#000000"/>
            <v:line style="position:absolute" from="7339,591" to="7349,591" stroked="true" strokeweight=".48pt" strokecolor="#000000"/>
            <v:line style="position:absolute" from="7339,610" to="7349,610" stroked="true" strokeweight=".48pt" strokecolor="#000000"/>
            <v:line style="position:absolute" from="7339,629" to="7349,629" stroked="true" strokeweight=".48pt" strokecolor="#000000"/>
            <v:line style="position:absolute" from="7339,648" to="7349,648" stroked="true" strokeweight=".48pt" strokecolor="#000000"/>
            <v:line style="position:absolute" from="8136,456" to="8146,456" stroked="true" strokeweight=".48pt" strokecolor="#000000"/>
            <v:line style="position:absolute" from="8136,475" to="8146,475" stroked="true" strokeweight=".48pt" strokecolor="#000000"/>
            <v:line style="position:absolute" from="8136,495" to="8146,495" stroked="true" strokeweight=".48pt" strokecolor="#000000"/>
            <v:line style="position:absolute" from="8136,514" to="8146,514" stroked="true" strokeweight=".48pt" strokecolor="#000000"/>
            <v:line style="position:absolute" from="8136,533" to="8146,533" stroked="true" strokeweight=".48pt" strokecolor="#000000"/>
            <v:line style="position:absolute" from="8136,552" to="8146,552" stroked="true" strokeweight=".48pt" strokecolor="#000000"/>
            <v:line style="position:absolute" from="8136,571" to="8146,571" stroked="true" strokeweight=".48pt" strokecolor="#000000"/>
            <v:line style="position:absolute" from="8136,591" to="8146,591" stroked="true" strokeweight=".48pt" strokecolor="#000000"/>
            <v:line style="position:absolute" from="8136,610" to="8146,610" stroked="true" strokeweight=".48pt" strokecolor="#000000"/>
            <v:line style="position:absolute" from="8136,629" to="8146,629" stroked="true" strokeweight=".48pt" strokecolor="#000000"/>
            <v:line style="position:absolute" from="8136,648" to="8146,648" stroked="true" strokeweight=".48pt" strokecolor="#000000"/>
            <v:line style="position:absolute" from="5,696" to="15,696" stroked="true" strokeweight=".48pt" strokecolor="#000000"/>
            <v:line style="position:absolute" from="24,696" to="34,696" stroked="true" strokeweight=".48pt" strokecolor="#000000"/>
            <v:line style="position:absolute" from="43,696" to="53,696" stroked="true" strokeweight=".48pt" strokecolor="#000000"/>
            <v:line style="position:absolute" from="63,696" to="72,696" stroked="true" strokeweight=".48pt" strokecolor="#000000"/>
            <v:line style="position:absolute" from="82,696" to="91,696" stroked="true" strokeweight=".48pt" strokecolor="#000000"/>
            <v:line style="position:absolute" from="101,696" to="111,696" stroked="true" strokeweight=".48pt" strokecolor="#000000"/>
            <v:line style="position:absolute" from="120,696" to="130,696" stroked="true" strokeweight=".48pt" strokecolor="#000000"/>
            <v:line style="position:absolute" from="139,696" to="149,696" stroked="true" strokeweight=".48pt" strokecolor="#000000"/>
            <v:line style="position:absolute" from="159,696" to="168,696" stroked="true" strokeweight=".48pt" strokecolor="#000000"/>
            <v:line style="position:absolute" from="178,696" to="187,696" stroked="true" strokeweight=".48pt" strokecolor="#000000"/>
            <v:line style="position:absolute" from="197,696" to="207,696" stroked="true" strokeweight=".48pt" strokecolor="#000000"/>
            <v:line style="position:absolute" from="216,696" to="226,696" stroked="true" strokeweight=".48pt" strokecolor="#000000"/>
            <v:line style="position:absolute" from="235,696" to="245,696" stroked="true" strokeweight=".48pt" strokecolor="#000000"/>
            <v:line style="position:absolute" from="255,696" to="264,696" stroked="true" strokeweight=".48pt" strokecolor="#000000"/>
            <v:line style="position:absolute" from="274,696" to="283,696" stroked="true" strokeweight=".48pt" strokecolor="#000000"/>
            <v:line style="position:absolute" from="293,696" to="303,696" stroked="true" strokeweight=".48pt" strokecolor="#000000"/>
            <v:line style="position:absolute" from="312,696" to="322,696" stroked="true" strokeweight=".48pt" strokecolor="#000000"/>
            <v:line style="position:absolute" from="331,696" to="341,696" stroked="true" strokeweight=".48pt" strokecolor="#000000"/>
            <v:line style="position:absolute" from="351,696" to="360,696" stroked="true" strokeweight=".48pt" strokecolor="#000000"/>
            <v:line style="position:absolute" from="370,696" to="379,696" stroked="true" strokeweight=".48pt" strokecolor="#000000"/>
            <v:line style="position:absolute" from="389,696" to="399,696" stroked="true" strokeweight=".48pt" strokecolor="#000000"/>
            <v:line style="position:absolute" from="408,696" to="418,696" stroked="true" strokeweight=".48pt" strokecolor="#000000"/>
            <v:line style="position:absolute" from="427,696" to="437,696" stroked="true" strokeweight=".48pt" strokecolor="#000000"/>
            <v:line style="position:absolute" from="447,696" to="456,696" stroked="true" strokeweight=".48pt" strokecolor="#000000"/>
            <v:line style="position:absolute" from="466,696" to="475,696" stroked="true" strokeweight=".48pt" strokecolor="#000000"/>
            <v:line style="position:absolute" from="485,696" to="495,696" stroked="true" strokeweight=".48pt" strokecolor="#000000"/>
            <v:line style="position:absolute" from="504,696" to="514,696" stroked="true" strokeweight=".48pt" strokecolor="#000000"/>
            <v:line style="position:absolute" from="523,696" to="533,696" stroked="true" strokeweight=".48pt" strokecolor="#000000"/>
            <v:line style="position:absolute" from="543,696" to="552,696" stroked="true" strokeweight=".48pt" strokecolor="#000000"/>
            <v:line style="position:absolute" from="562,696" to="571,696" stroked="true" strokeweight=".48pt" strokecolor="#000000"/>
            <v:line style="position:absolute" from="581,696" to="591,696" stroked="true" strokeweight=".48pt" strokecolor="#000000"/>
            <v:line style="position:absolute" from="600,696" to="610,696" stroked="true" strokeweight=".48pt" strokecolor="#000000"/>
            <v:line style="position:absolute" from="619,696" to="629,696" stroked="true" strokeweight=".48pt" strokecolor="#000000"/>
            <v:line style="position:absolute" from="639,696" to="648,696" stroked="true" strokeweight=".48pt" strokecolor="#000000"/>
            <v:line style="position:absolute" from="658,696" to="667,696" stroked="true" strokeweight=".48pt" strokecolor="#000000"/>
            <v:line style="position:absolute" from="677,696" to="687,696" stroked="true" strokeweight=".48pt" strokecolor="#000000"/>
            <v:line style="position:absolute" from="696,696" to="706,696" stroked="true" strokeweight=".48pt" strokecolor="#000000"/>
            <v:line style="position:absolute" from="715,696" to="725,696" stroked="true" strokeweight=".48pt" strokecolor="#000000"/>
            <v:line style="position:absolute" from="735,696" to="744,696" stroked="true" strokeweight=".48pt" strokecolor="#000000"/>
            <v:line style="position:absolute" from="754,696" to="763,696" stroked="true" strokeweight=".48pt" strokecolor="#000000"/>
            <v:line style="position:absolute" from="773,696" to="783,696" stroked="true" strokeweight=".48pt" strokecolor="#000000"/>
            <v:line style="position:absolute" from="792,696" to="802,696" stroked="true" strokeweight=".48pt" strokecolor="#000000"/>
            <v:line style="position:absolute" from="811,696" to="821,696" stroked="true" strokeweight=".48pt" strokecolor="#000000"/>
            <v:line style="position:absolute" from="831,696" to="840,696" stroked="true" strokeweight=".48pt" strokecolor="#000000"/>
            <v:line style="position:absolute" from="850,696" to="859,696" stroked="true" strokeweight=".48pt" strokecolor="#000000"/>
            <v:line style="position:absolute" from="869,696" to="879,696" stroked="true" strokeweight=".48pt" strokecolor="#000000"/>
            <v:line style="position:absolute" from="888,696" to="898,696" stroked="true" strokeweight=".48pt" strokecolor="#000000"/>
            <v:line style="position:absolute" from="907,696" to="917,696" stroked="true" strokeweight=".48pt" strokecolor="#000000"/>
            <v:line style="position:absolute" from="927,696" to="936,696" stroked="true" strokeweight=".48pt" strokecolor="#000000"/>
            <v:line style="position:absolute" from="946,696" to="955,696" stroked="true" strokeweight=".48pt" strokecolor="#000000"/>
            <v:line style="position:absolute" from="965,696" to="975,696" stroked="true" strokeweight=".48pt" strokecolor="#000000"/>
            <v:line style="position:absolute" from="984,696" to="994,696" stroked="true" strokeweight=".48pt" strokecolor="#000000"/>
            <v:line style="position:absolute" from="1003,696" to="1013,696" stroked="true" strokeweight=".48pt" strokecolor="#000000"/>
            <v:line style="position:absolute" from="1023,696" to="1032,696" stroked="true" strokeweight=".48pt" strokecolor="#000000"/>
            <v:line style="position:absolute" from="1042,696" to="1051,696" stroked="true" strokeweight=".48pt" strokecolor="#000000"/>
            <v:line style="position:absolute" from="1061,696" to="1071,696" stroked="true" strokeweight=".48pt" strokecolor="#000000"/>
            <v:line style="position:absolute" from="1080,696" to="1090,696" stroked="true" strokeweight=".48pt" strokecolor="#000000"/>
            <v:line style="position:absolute" from="1099,696" to="1109,696" stroked="true" strokeweight=".48pt" strokecolor="#000000"/>
            <v:line style="position:absolute" from="1119,696" to="1128,696" stroked="true" strokeweight=".48pt" strokecolor="#000000"/>
            <v:line style="position:absolute" from="1138,696" to="1147,696" stroked="true" strokeweight=".48pt" strokecolor="#000000"/>
            <v:line style="position:absolute" from="1157,696" to="1167,696" stroked="true" strokeweight=".48pt" strokecolor="#000000"/>
            <v:line style="position:absolute" from="1176,696" to="1186,696" stroked="true" strokeweight=".48pt" strokecolor="#000000"/>
            <v:line style="position:absolute" from="1195,696" to="1205,696" stroked="true" strokeweight=".48pt" strokecolor="#000000"/>
            <v:line style="position:absolute" from="1215,696" to="1224,696" stroked="true" strokeweight=".48pt" strokecolor="#000000"/>
            <v:line style="position:absolute" from="1234,696" to="1243,696" stroked="true" strokeweight=".48pt" strokecolor="#000000"/>
            <v:line style="position:absolute" from="1253,696" to="1263,696" stroked="true" strokeweight=".48pt" strokecolor="#000000"/>
            <v:line style="position:absolute" from="1272,696" to="1282,696" stroked="true" strokeweight=".48pt" strokecolor="#000000"/>
            <v:line style="position:absolute" from="1291,696" to="1301,696" stroked="true" strokeweight=".48pt" strokecolor="#000000"/>
            <v:line style="position:absolute" from="1311,696" to="1320,696" stroked="true" strokeweight=".48pt" strokecolor="#000000"/>
            <v:line style="position:absolute" from="1330,696" to="1339,696" stroked="true" strokeweight=".48pt" strokecolor="#000000"/>
            <v:line style="position:absolute" from="1349,696" to="1359,696" stroked="true" strokeweight=".48pt" strokecolor="#000000"/>
            <v:line style="position:absolute" from="1368,696" to="1378,696" stroked="true" strokeweight=".48pt" strokecolor="#000000"/>
            <v:line style="position:absolute" from="1387,696" to="1397,696" stroked="true" strokeweight=".48pt" strokecolor="#000000"/>
            <v:line style="position:absolute" from="1407,696" to="1416,696" stroked="true" strokeweight=".48pt" strokecolor="#000000"/>
            <v:line style="position:absolute" from="1426,696" to="1435,696" stroked="true" strokeweight=".48pt" strokecolor="#000000"/>
            <v:line style="position:absolute" from="1445,696" to="1455,696" stroked="true" strokeweight=".48pt" strokecolor="#000000"/>
            <v:line style="position:absolute" from="1464,696" to="1474,696" stroked="true" strokeweight=".48pt" strokecolor="#000000"/>
            <v:line style="position:absolute" from="1483,696" to="1493,696" stroked="true" strokeweight=".48pt" strokecolor="#000000"/>
            <v:line style="position:absolute" from="1503,696" to="1512,696" stroked="true" strokeweight=".48pt" strokecolor="#000000"/>
            <v:line style="position:absolute" from="1522,696" to="1531,696" stroked="true" strokeweight=".48pt" strokecolor="#000000"/>
            <v:line style="position:absolute" from="1541,696" to="1551,696" stroked="true" strokeweight=".48pt" strokecolor="#000000"/>
            <v:line style="position:absolute" from="1560,696" to="1570,696" stroked="true" strokeweight=".48pt" strokecolor="#000000"/>
            <v:line style="position:absolute" from="1579,696" to="1589,696" stroked="true" strokeweight=".48pt" strokecolor="#000000"/>
            <v:line style="position:absolute" from="1599,696" to="1608,696" stroked="true" strokeweight=".48pt" strokecolor="#000000"/>
            <v:line style="position:absolute" from="1618,696" to="1627,696" stroked="true" strokeweight=".48pt" strokecolor="#000000"/>
            <v:line style="position:absolute" from="1637,696" to="1647,696" stroked="true" strokeweight=".48pt" strokecolor="#000000"/>
            <v:line style="position:absolute" from="1647,696" to="1656,696" stroked="true" strokeweight=".48pt" strokecolor="#ffffff"/>
            <v:line style="position:absolute" from="1656,696" to="1666,696" stroked="true" strokeweight=".48pt" strokecolor="#000000"/>
            <v:line style="position:absolute" from="1666,696" to="1675,696" stroked="true" strokeweight=".48pt" strokecolor="#ffffff"/>
            <v:line style="position:absolute" from="1675,696" to="1685,696" stroked="true" strokeweight=".48pt" strokecolor="#000000"/>
            <v:line style="position:absolute" from="1685,696" to="1695,696" stroked="true" strokeweight=".48pt" strokecolor="#ffffff"/>
            <v:line style="position:absolute" from="1695,696" to="1704,696" stroked="true" strokeweight=".48pt" strokecolor="#000000"/>
            <v:line style="position:absolute" from="1704,696" to="1714,696" stroked="true" strokeweight=".48pt" strokecolor="#ffffff"/>
            <v:line style="position:absolute" from="1714,696" to="1723,696" stroked="true" strokeweight=".48pt" strokecolor="#000000"/>
            <v:line style="position:absolute" from="1733,696" to="1743,696" stroked="true" strokeweight=".48pt" strokecolor="#000000"/>
            <v:line style="position:absolute" from="1752,696" to="1762,696" stroked="true" strokeweight=".48pt" strokecolor="#000000"/>
            <v:line style="position:absolute" from="1771,696" to="1781,696" stroked="true" strokeweight=".48pt" strokecolor="#000000"/>
            <v:line style="position:absolute" from="1791,696" to="1800,696" stroked="true" strokeweight=".48pt" strokecolor="#000000"/>
            <v:line style="position:absolute" from="1810,696" to="1819,696" stroked="true" strokeweight=".48pt" strokecolor="#000000"/>
            <v:line style="position:absolute" from="1829,696" to="1839,696" stroked="true" strokeweight=".48pt" strokecolor="#000000"/>
            <v:line style="position:absolute" from="1848,696" to="1858,696" stroked="true" strokeweight=".48pt" strokecolor="#000000"/>
            <v:line style="position:absolute" from="1867,696" to="1877,696" stroked="true" strokeweight=".48pt" strokecolor="#000000"/>
            <v:line style="position:absolute" from="1887,696" to="1896,696" stroked="true" strokeweight=".48pt" strokecolor="#000000"/>
            <v:line style="position:absolute" from="1906,696" to="1915,696" stroked="true" strokeweight=".48pt" strokecolor="#000000"/>
            <v:line style="position:absolute" from="1925,696" to="1935,696" stroked="true" strokeweight=".48pt" strokecolor="#000000"/>
            <v:line style="position:absolute" from="1944,696" to="1954,696" stroked="true" strokeweight=".48pt" strokecolor="#000000"/>
            <v:line style="position:absolute" from="1963,696" to="1973,696" stroked="true" strokeweight=".48pt" strokecolor="#000000"/>
            <v:line style="position:absolute" from="1983,696" to="1992,696" stroked="true" strokeweight=".48pt" strokecolor="#000000"/>
            <v:line style="position:absolute" from="2002,696" to="2011,696" stroked="true" strokeweight=".48pt" strokecolor="#000000"/>
            <v:line style="position:absolute" from="2021,696" to="2031,696" stroked="true" strokeweight=".48pt" strokecolor="#000000"/>
            <v:line style="position:absolute" from="2040,696" to="2050,696" stroked="true" strokeweight=".48pt" strokecolor="#000000"/>
            <v:line style="position:absolute" from="2059,696" to="2069,696" stroked="true" strokeweight=".48pt" strokecolor="#000000"/>
            <v:line style="position:absolute" from="2079,696" to="2088,696" stroked="true" strokeweight=".48pt" strokecolor="#000000"/>
            <v:line style="position:absolute" from="2098,696" to="2107,696" stroked="true" strokeweight=".48pt" strokecolor="#000000"/>
            <v:line style="position:absolute" from="2117,696" to="2127,696" stroked="true" strokeweight=".48pt" strokecolor="#000000"/>
            <v:line style="position:absolute" from="2136,696" to="2146,696" stroked="true" strokeweight=".48pt" strokecolor="#000000"/>
            <v:line style="position:absolute" from="2155,696" to="2165,696" stroked="true" strokeweight=".48pt" strokecolor="#000000"/>
            <v:line style="position:absolute" from="2175,696" to="2184,696" stroked="true" strokeweight=".48pt" strokecolor="#000000"/>
            <v:line style="position:absolute" from="2194,696" to="2203,696" stroked="true" strokeweight=".48pt" strokecolor="#000000"/>
            <v:line style="position:absolute" from="2213,696" to="2223,696" stroked="true" strokeweight=".48pt" strokecolor="#000000"/>
            <v:line style="position:absolute" from="2232,696" to="2242,696" stroked="true" strokeweight=".48pt" strokecolor="#000000"/>
            <v:line style="position:absolute" from="2251,696" to="2261,696" stroked="true" strokeweight=".48pt" strokecolor="#000000"/>
            <v:line style="position:absolute" from="2271,696" to="2280,696" stroked="true" strokeweight=".48pt" strokecolor="#000000"/>
            <v:line style="position:absolute" from="2290,696" to="2299,696" stroked="true" strokeweight=".48pt" strokecolor="#000000"/>
            <v:line style="position:absolute" from="2309,696" to="2319,696" stroked="true" strokeweight=".48pt" strokecolor="#000000"/>
            <v:line style="position:absolute" from="2328,696" to="2338,696" stroked="true" strokeweight=".48pt" strokecolor="#000000"/>
            <v:line style="position:absolute" from="2347,696" to="2357,696" stroked="true" strokeweight=".48pt" strokecolor="#000000"/>
            <v:line style="position:absolute" from="2367,696" to="2376,696" stroked="true" strokeweight=".48pt" strokecolor="#000000"/>
            <v:line style="position:absolute" from="2386,696" to="2395,696" stroked="true" strokeweight=".48pt" strokecolor="#000000"/>
            <v:line style="position:absolute" from="2405,696" to="2415,696" stroked="true" strokeweight=".48pt" strokecolor="#000000"/>
            <v:line style="position:absolute" from="2424,696" to="2434,696" stroked="true" strokeweight=".48pt" strokecolor="#000000"/>
            <v:line style="position:absolute" from="2443,696" to="2453,696" stroked="true" strokeweight=".48pt" strokecolor="#000000"/>
            <v:line style="position:absolute" from="2463,696" to="2472,696" stroked="true" strokeweight=".48pt" strokecolor="#000000"/>
            <v:line style="position:absolute" from="2482,696" to="2491,696" stroked="true" strokeweight=".48pt" strokecolor="#000000"/>
            <v:line style="position:absolute" from="2487,744" to="2496,744" stroked="true" strokeweight=".48pt" strokecolor="#000000"/>
            <v:line style="position:absolute" from="2487,763" to="2496,763" stroked="true" strokeweight=".48pt" strokecolor="#000000"/>
            <v:line style="position:absolute" from="2487,783" to="2496,783" stroked="true" strokeweight=".48pt" strokecolor="#000000"/>
            <v:line style="position:absolute" from="2487,802" to="2496,802" stroked="true" strokeweight=".48pt" strokecolor="#000000"/>
            <v:line style="position:absolute" from="2487,821" to="2496,821" stroked="true" strokeweight=".48pt" strokecolor="#000000"/>
            <v:line style="position:absolute" from="2487,840" to="2496,840" stroked="true" strokeweight=".48pt" strokecolor="#000000"/>
            <v:line style="position:absolute" from="2487,859" to="2496,859" stroked="true" strokeweight=".48pt" strokecolor="#000000"/>
            <v:line style="position:absolute" from="2487,879" to="2496,879" stroked="true" strokeweight=".48pt" strokecolor="#000000"/>
            <v:line style="position:absolute" from="7339,744" to="7349,744" stroked="true" strokeweight=".48pt" strokecolor="#000000"/>
            <v:line style="position:absolute" from="7339,763" to="7349,763" stroked="true" strokeweight=".48pt" strokecolor="#000000"/>
            <v:line style="position:absolute" from="7339,783" to="7349,783" stroked="true" strokeweight=".48pt" strokecolor="#000000"/>
            <v:line style="position:absolute" from="7339,802" to="7349,802" stroked="true" strokeweight=".48pt" strokecolor="#000000"/>
            <v:line style="position:absolute" from="7339,821" to="7349,821" stroked="true" strokeweight=".48pt" strokecolor="#000000"/>
            <v:line style="position:absolute" from="7339,840" to="7349,840" stroked="true" strokeweight=".48pt" strokecolor="#000000"/>
            <v:line style="position:absolute" from="7339,859" to="7349,859" stroked="true" strokeweight=".48pt" strokecolor="#000000"/>
            <v:line style="position:absolute" from="7339,879" to="7349,879" stroked="true" strokeweight=".48pt" strokecolor="#000000"/>
            <v:line style="position:absolute" from="7339,898" to="7349,898" stroked="true" strokeweight=".48pt" strokecolor="#000000"/>
            <v:line style="position:absolute" from="8136,744" to="8146,744" stroked="true" strokeweight=".48pt" strokecolor="#000000"/>
            <v:line style="position:absolute" from="8136,763" to="8146,763" stroked="true" strokeweight=".48pt" strokecolor="#000000"/>
            <v:line style="position:absolute" from="8136,783" to="8146,783" stroked="true" strokeweight=".48pt" strokecolor="#000000"/>
            <v:line style="position:absolute" from="8136,802" to="8146,802" stroked="true" strokeweight=".48pt" strokecolor="#000000"/>
            <v:line style="position:absolute" from="8136,821" to="8146,821" stroked="true" strokeweight=".48pt" strokecolor="#000000"/>
            <v:line style="position:absolute" from="8136,840" to="8146,840" stroked="true" strokeweight=".48pt" strokecolor="#000000"/>
            <v:line style="position:absolute" from="8136,859" to="8146,859" stroked="true" strokeweight=".48pt" strokecolor="#000000"/>
            <v:line style="position:absolute" from="8136,879" to="8146,879" stroked="true" strokeweight=".48pt" strokecolor="#000000"/>
            <v:line style="position:absolute" from="8136,898" to="8146,898" stroked="true" strokeweight=".48pt" strokecolor="#000000"/>
            <v:shape style="position:absolute;left:111;top:128;width:1696;height:803" type="#_x0000_t202" filled="false" stroked="false">
              <v:textbox inset="0,0,0,0">
                <w:txbxContent>
                  <w:p>
                    <w:pPr>
                      <w:spacing w:line="220" w:lineRule="exact" w:before="0"/>
                      <w:ind w:left="572" w:right="0" w:firstLine="0"/>
                      <w:jc w:val="left"/>
                      <w:rPr>
                        <w:b/>
                        <w:sz w:val="21"/>
                      </w:rPr>
                    </w:pPr>
                    <w:r>
                      <w:rPr>
                        <w:b/>
                        <w:color w:val="FFFFFF"/>
                        <w:sz w:val="21"/>
                      </w:rPr>
                      <w:t>Referencia</w:t>
                    </w:r>
                  </w:p>
                  <w:p>
                    <w:pPr>
                      <w:spacing w:line="256" w:lineRule="exact" w:before="74"/>
                      <w:ind w:left="0" w:right="0" w:firstLine="0"/>
                      <w:jc w:val="left"/>
                      <w:rPr>
                        <w:sz w:val="13"/>
                      </w:rPr>
                    </w:pPr>
                    <w:r>
                      <w:rPr>
                        <w:sz w:val="19"/>
                      </w:rPr>
                      <w:t>IPCC  (2006) </w:t>
                    </w:r>
                    <w:r>
                      <w:rPr>
                        <w:position w:val="10"/>
                        <w:sz w:val="13"/>
                      </w:rPr>
                      <w:t>a</w:t>
                    </w:r>
                  </w:p>
                  <w:p>
                    <w:pPr>
                      <w:spacing w:line="253" w:lineRule="exact" w:before="0"/>
                      <w:ind w:left="0" w:right="0" w:firstLine="0"/>
                      <w:jc w:val="left"/>
                      <w:rPr>
                        <w:sz w:val="13"/>
                      </w:rPr>
                    </w:pPr>
                    <w:r>
                      <w:rPr>
                        <w:w w:val="105"/>
                        <w:sz w:val="19"/>
                      </w:rPr>
                      <w:t>Yan </w:t>
                    </w:r>
                    <w:r>
                      <w:rPr>
                        <w:i/>
                        <w:w w:val="105"/>
                        <w:sz w:val="19"/>
                      </w:rPr>
                      <w:t>et al., </w:t>
                    </w:r>
                    <w:r>
                      <w:rPr>
                        <w:w w:val="105"/>
                        <w:sz w:val="19"/>
                      </w:rPr>
                      <w:t>(2006)</w:t>
                    </w:r>
                    <w:r>
                      <w:rPr>
                        <w:w w:val="105"/>
                        <w:position w:val="10"/>
                        <w:sz w:val="13"/>
                      </w:rPr>
                      <w:t>b</w:t>
                    </w:r>
                  </w:p>
                </w:txbxContent>
              </v:textbox>
              <w10:wrap type="none"/>
            </v:shape>
            <v:shape style="position:absolute;left:4426;top:128;width:976;height:216" type="#_x0000_t202" filled="false" stroked="false">
              <v:textbox inset="0,0,0,0">
                <w:txbxContent>
                  <w:p>
                    <w:pPr>
                      <w:spacing w:line="216" w:lineRule="exact" w:before="0"/>
                      <w:ind w:left="0" w:right="0" w:firstLine="0"/>
                      <w:jc w:val="left"/>
                      <w:rPr>
                        <w:b/>
                        <w:sz w:val="21"/>
                      </w:rPr>
                    </w:pPr>
                    <w:r>
                      <w:rPr>
                        <w:b/>
                        <w:color w:val="FFFFFF"/>
                        <w:sz w:val="21"/>
                      </w:rPr>
                      <w:t>Ecuación</w:t>
                    </w:r>
                  </w:p>
                </w:txbxContent>
              </v:textbox>
              <w10:wrap type="none"/>
            </v:shape>
            <v:shape style="position:absolute;left:7621;top:89;width:237;height:255" type="#_x0000_t202" filled="false" stroked="false">
              <v:textbox inset="0,0,0,0">
                <w:txbxContent>
                  <w:p>
                    <w:pPr>
                      <w:spacing w:line="255" w:lineRule="exact" w:before="0"/>
                      <w:ind w:left="0" w:right="-13" w:firstLine="0"/>
                      <w:jc w:val="left"/>
                      <w:rPr>
                        <w:b/>
                        <w:sz w:val="14"/>
                      </w:rPr>
                    </w:pPr>
                    <w:r>
                      <w:rPr>
                        <w:b/>
                        <w:color w:val="FFFFFF"/>
                        <w:position w:val="-9"/>
                        <w:sz w:val="21"/>
                      </w:rPr>
                      <w:t>R</w:t>
                    </w:r>
                    <w:r>
                      <w:rPr>
                        <w:b/>
                        <w:color w:val="FFFFFF"/>
                        <w:sz w:val="14"/>
                      </w:rPr>
                      <w:t>2</w:t>
                    </w:r>
                  </w:p>
                </w:txbxContent>
              </v:textbox>
              <w10:wrap type="none"/>
            </v:shape>
            <v:shape style="position:absolute;left:8410;top:128;width:156;height:216" type="#_x0000_t202" filled="false" stroked="false">
              <v:textbox inset="0,0,0,0">
                <w:txbxContent>
                  <w:p>
                    <w:pPr>
                      <w:spacing w:line="216" w:lineRule="exact" w:before="0"/>
                      <w:ind w:left="0" w:right="0" w:firstLine="0"/>
                      <w:jc w:val="left"/>
                      <w:rPr>
                        <w:b/>
                        <w:sz w:val="21"/>
                      </w:rPr>
                    </w:pPr>
                    <w:r>
                      <w:rPr>
                        <w:b/>
                        <w:color w:val="FFFFFF"/>
                        <w:w w:val="102"/>
                        <w:sz w:val="21"/>
                      </w:rPr>
                      <w:t>N</w:t>
                    </w:r>
                  </w:p>
                </w:txbxContent>
              </v:textbox>
              <w10:wrap type="none"/>
            </v:shape>
            <v:shape style="position:absolute;left:2487;top:484;width:6360;height:447" type="#_x0000_t202" filled="false" stroked="false">
              <v:textbox inset="0,0,0,0">
                <w:txbxContent>
                  <w:p>
                    <w:pPr>
                      <w:tabs>
                        <w:tab w:pos="6359" w:val="left" w:leader="none"/>
                      </w:tabs>
                      <w:spacing w:line="200" w:lineRule="exact" w:before="0"/>
                      <w:ind w:left="0" w:right="0" w:firstLine="0"/>
                      <w:jc w:val="left"/>
                      <w:rPr>
                        <w:sz w:val="19"/>
                      </w:rPr>
                    </w:pPr>
                    <w:r>
                      <w:rPr>
                        <w:rFonts w:ascii="Times New Roman" w:hAnsi="Times New Roman"/>
                        <w:w w:val="103"/>
                        <w:sz w:val="19"/>
                        <w:u w:val="single"/>
                      </w:rPr>
                      <w:t> </w:t>
                    </w:r>
                    <w:r>
                      <w:rPr>
                        <w:rFonts w:ascii="Times New Roman" w:hAnsi="Times New Roman"/>
                        <w:spacing w:val="13"/>
                        <w:sz w:val="19"/>
                        <w:u w:val="single"/>
                      </w:rPr>
                      <w:t> </w:t>
                    </w:r>
                    <w:r>
                      <w:rPr>
                        <w:w w:val="105"/>
                        <w:sz w:val="19"/>
                        <w:u w:val="single"/>
                      </w:rPr>
                      <w:t>Metano (kg/dag) = GE (MJ/d) ×</w:t>
                    </w:r>
                    <w:r>
                      <w:rPr>
                        <w:spacing w:val="-15"/>
                        <w:w w:val="105"/>
                        <w:sz w:val="19"/>
                        <w:u w:val="single"/>
                      </w:rPr>
                      <w:t> </w:t>
                    </w:r>
                    <w:r>
                      <w:rPr>
                        <w:w w:val="105"/>
                        <w:sz w:val="19"/>
                        <w:u w:val="single"/>
                      </w:rPr>
                      <w:t>Ym/55.65</w:t>
                    </w:r>
                    <w:r>
                      <w:rPr>
                        <w:sz w:val="19"/>
                        <w:u w:val="single"/>
                      </w:rPr>
                      <w:tab/>
                    </w:r>
                  </w:p>
                  <w:p>
                    <w:pPr>
                      <w:spacing w:line="216" w:lineRule="exact" w:before="31"/>
                      <w:ind w:left="110" w:right="0" w:firstLine="0"/>
                      <w:jc w:val="left"/>
                      <w:rPr>
                        <w:sz w:val="19"/>
                      </w:rPr>
                    </w:pPr>
                    <w:r>
                      <w:rPr>
                        <w:w w:val="105"/>
                        <w:sz w:val="19"/>
                      </w:rPr>
                      <w:t>Metano (L/d) = 47.8 × DMI  0.76 × DMI2 41 (kg/d)</w:t>
                    </w:r>
                  </w:p>
                </w:txbxContent>
              </v:textbox>
              <w10:wrap type="none"/>
            </v:shape>
            <v:shape style="position:absolute;left:7545;top:734;width:390;height:197" type="#_x0000_t202" filled="false" stroked="false">
              <v:textbox inset="0,0,0,0">
                <w:txbxContent>
                  <w:p>
                    <w:pPr>
                      <w:spacing w:line="197" w:lineRule="exact" w:before="0"/>
                      <w:ind w:left="0" w:right="-19" w:firstLine="0"/>
                      <w:jc w:val="left"/>
                      <w:rPr>
                        <w:sz w:val="19"/>
                      </w:rPr>
                    </w:pPr>
                    <w:r>
                      <w:rPr>
                        <w:w w:val="105"/>
                        <w:sz w:val="19"/>
                      </w:rPr>
                      <w:t>0.75</w:t>
                    </w:r>
                  </w:p>
                </w:txbxContent>
              </v:textbox>
              <w10:wrap type="none"/>
            </v:shape>
            <v:shape style="position:absolute;left:8323;top:734;width:334;height:197" type="#_x0000_t202" filled="false" stroked="false">
              <v:textbox inset="0,0,0,0">
                <w:txbxContent>
                  <w:p>
                    <w:pPr>
                      <w:spacing w:line="197" w:lineRule="exact" w:before="0"/>
                      <w:ind w:left="0" w:right="-19" w:firstLine="0"/>
                      <w:jc w:val="left"/>
                      <w:rPr>
                        <w:sz w:val="19"/>
                      </w:rPr>
                    </w:pPr>
                    <w:r>
                      <w:rPr>
                        <w:w w:val="105"/>
                        <w:sz w:val="19"/>
                      </w:rPr>
                      <w:t>315</w:t>
                    </w:r>
                  </w:p>
                </w:txbxContent>
              </v:textbox>
              <w10:wrap type="none"/>
            </v:shape>
          </v:group>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8"/>
        </w:rPr>
      </w:pPr>
    </w:p>
    <w:p>
      <w:pPr>
        <w:spacing w:line="206" w:lineRule="exact" w:before="124" w:after="16"/>
        <w:ind w:left="276" w:right="143" w:firstLine="0"/>
        <w:jc w:val="both"/>
        <w:rPr>
          <w:sz w:val="17"/>
        </w:rPr>
      </w:pPr>
      <w:r>
        <w:rPr/>
        <w:pict>
          <v:shape style="position:absolute;margin-left:98.872414pt;margin-top:-155.959991pt;width:443.55pt;height:162pt;mso-position-horizontal-relative:page;mso-position-vertical-relative:paragraph;z-index:53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1"/>
                    <w:gridCol w:w="4853"/>
                    <w:gridCol w:w="797"/>
                    <w:gridCol w:w="706"/>
                  </w:tblGrid>
                  <w:tr>
                    <w:trPr>
                      <w:trHeight w:val="566" w:hRule="exact"/>
                    </w:trPr>
                    <w:tc>
                      <w:tcPr>
                        <w:tcW w:w="2501" w:type="dxa"/>
                        <w:tcBorders>
                          <w:left w:val="nil"/>
                        </w:tcBorders>
                      </w:tcPr>
                      <w:p>
                        <w:pPr>
                          <w:pStyle w:val="TableParagraph"/>
                          <w:spacing w:before="128"/>
                          <w:ind w:left="119" w:right="649"/>
                          <w:rPr>
                            <w:rFonts w:ascii="Arial"/>
                            <w:sz w:val="13"/>
                          </w:rPr>
                        </w:pPr>
                        <w:r>
                          <w:rPr>
                            <w:rFonts w:ascii="Arial"/>
                            <w:w w:val="105"/>
                            <w:sz w:val="19"/>
                          </w:rPr>
                          <w:t>Yan </w:t>
                        </w:r>
                        <w:r>
                          <w:rPr>
                            <w:rFonts w:ascii="Arial"/>
                            <w:i/>
                            <w:w w:val="105"/>
                            <w:sz w:val="19"/>
                          </w:rPr>
                          <w:t>et al., </w:t>
                        </w:r>
                        <w:r>
                          <w:rPr>
                            <w:rFonts w:ascii="Arial"/>
                            <w:w w:val="105"/>
                            <w:sz w:val="19"/>
                          </w:rPr>
                          <w:t>(2006)</w:t>
                        </w:r>
                        <w:r>
                          <w:rPr>
                            <w:rFonts w:ascii="Arial"/>
                            <w:w w:val="105"/>
                            <w:position w:val="10"/>
                            <w:sz w:val="13"/>
                          </w:rPr>
                          <w:t>bc</w:t>
                        </w:r>
                      </w:p>
                    </w:tc>
                    <w:tc>
                      <w:tcPr>
                        <w:tcW w:w="4853" w:type="dxa"/>
                      </w:tcPr>
                      <w:p>
                        <w:pPr>
                          <w:pStyle w:val="TableParagraph"/>
                          <w:spacing w:before="52"/>
                          <w:ind w:left="100" w:right="-10"/>
                          <w:rPr>
                            <w:rFonts w:ascii="Arial" w:hAnsi="Arial"/>
                            <w:sz w:val="19"/>
                          </w:rPr>
                        </w:pPr>
                        <w:r>
                          <w:rPr>
                            <w:rFonts w:ascii="Arial" w:hAnsi="Arial"/>
                            <w:w w:val="105"/>
                            <w:sz w:val="19"/>
                          </w:rPr>
                          <w:t>Metano (L/d) = 0.34 × BW (kg) + 19.7 × DMI (kg/d)</w:t>
                        </w:r>
                      </w:p>
                      <w:p>
                        <w:pPr>
                          <w:pStyle w:val="TableParagraph"/>
                          <w:spacing w:before="21"/>
                          <w:ind w:left="100" w:right="-10"/>
                          <w:rPr>
                            <w:rFonts w:ascii="Arial"/>
                            <w:sz w:val="19"/>
                          </w:rPr>
                        </w:pPr>
                        <w:r>
                          <w:rPr>
                            <w:rFonts w:ascii="Arial"/>
                            <w:w w:val="105"/>
                            <w:sz w:val="19"/>
                          </w:rPr>
                          <w:t>+ 12</w:t>
                        </w:r>
                      </w:p>
                    </w:tc>
                    <w:tc>
                      <w:tcPr>
                        <w:tcW w:w="797" w:type="dxa"/>
                      </w:tcPr>
                      <w:p>
                        <w:pPr>
                          <w:pStyle w:val="TableParagraph"/>
                          <w:spacing w:before="172"/>
                          <w:ind w:left="196" w:right="-187"/>
                          <w:rPr>
                            <w:rFonts w:ascii="Arial"/>
                            <w:sz w:val="19"/>
                          </w:rPr>
                        </w:pPr>
                        <w:r>
                          <w:rPr>
                            <w:rFonts w:ascii="Arial"/>
                            <w:w w:val="105"/>
                            <w:sz w:val="19"/>
                          </w:rPr>
                          <w:t>0.77</w:t>
                        </w:r>
                      </w:p>
                    </w:tc>
                    <w:tc>
                      <w:tcPr>
                        <w:tcW w:w="706" w:type="dxa"/>
                        <w:tcBorders>
                          <w:right w:val="nil"/>
                        </w:tcBorders>
                      </w:tcPr>
                      <w:p>
                        <w:pPr>
                          <w:pStyle w:val="TableParagraph"/>
                          <w:spacing w:before="172"/>
                          <w:ind w:left="176"/>
                          <w:rPr>
                            <w:rFonts w:ascii="Arial"/>
                            <w:sz w:val="19"/>
                          </w:rPr>
                        </w:pPr>
                        <w:r>
                          <w:rPr>
                            <w:rFonts w:ascii="Arial"/>
                            <w:w w:val="105"/>
                            <w:sz w:val="19"/>
                          </w:rPr>
                          <w:t>315</w:t>
                        </w:r>
                      </w:p>
                    </w:tc>
                  </w:tr>
                  <w:tr>
                    <w:trPr>
                      <w:trHeight w:val="509" w:hRule="exact"/>
                    </w:trPr>
                    <w:tc>
                      <w:tcPr>
                        <w:tcW w:w="2501" w:type="dxa"/>
                        <w:tcBorders>
                          <w:left w:val="nil"/>
                        </w:tcBorders>
                      </w:tcPr>
                      <w:p>
                        <w:pPr>
                          <w:pStyle w:val="TableParagraph"/>
                          <w:spacing w:line="240" w:lineRule="exact"/>
                          <w:ind w:left="119" w:right="649"/>
                          <w:rPr>
                            <w:rFonts w:ascii="Arial"/>
                            <w:sz w:val="13"/>
                          </w:rPr>
                        </w:pPr>
                        <w:r>
                          <w:rPr>
                            <w:rFonts w:ascii="Arial"/>
                            <w:w w:val="105"/>
                            <w:sz w:val="19"/>
                          </w:rPr>
                          <w:t>Kirchgessner </w:t>
                        </w:r>
                        <w:r>
                          <w:rPr>
                            <w:rFonts w:ascii="Arial"/>
                            <w:i/>
                            <w:w w:val="105"/>
                            <w:sz w:val="19"/>
                          </w:rPr>
                          <w:t>et al.</w:t>
                        </w:r>
                        <w:r>
                          <w:rPr>
                            <w:rFonts w:ascii="Arial"/>
                            <w:w w:val="105"/>
                            <w:sz w:val="19"/>
                          </w:rPr>
                          <w:t>, (1994)</w:t>
                        </w:r>
                        <w:r>
                          <w:rPr>
                            <w:rFonts w:ascii="Arial"/>
                            <w:w w:val="105"/>
                            <w:position w:val="10"/>
                            <w:sz w:val="13"/>
                          </w:rPr>
                          <w:t>d</w:t>
                        </w:r>
                      </w:p>
                    </w:tc>
                    <w:tc>
                      <w:tcPr>
                        <w:tcW w:w="4853" w:type="dxa"/>
                      </w:tcPr>
                      <w:p>
                        <w:pPr>
                          <w:pStyle w:val="TableParagraph"/>
                          <w:spacing w:before="13"/>
                          <w:ind w:left="100" w:right="-10"/>
                          <w:rPr>
                            <w:rFonts w:ascii="Arial" w:hAnsi="Arial"/>
                            <w:sz w:val="19"/>
                          </w:rPr>
                        </w:pPr>
                        <w:r>
                          <w:rPr>
                            <w:rFonts w:ascii="Arial" w:hAnsi="Arial"/>
                            <w:w w:val="105"/>
                            <w:sz w:val="19"/>
                          </w:rPr>
                          <w:t>Metano (g/d) = 63 + 79 × CF + 10 × NFE + 26 × CP</w:t>
                        </w:r>
                      </w:p>
                      <w:p>
                        <w:pPr>
                          <w:pStyle w:val="TableParagraph"/>
                          <w:spacing w:before="21"/>
                          <w:ind w:left="100" w:right="-10"/>
                          <w:rPr>
                            <w:rFonts w:ascii="Arial" w:hAnsi="Arial"/>
                            <w:sz w:val="19"/>
                          </w:rPr>
                        </w:pPr>
                        <w:r>
                          <w:rPr>
                            <w:rFonts w:ascii="Arial" w:hAnsi="Arial"/>
                            <w:w w:val="105"/>
                            <w:sz w:val="19"/>
                          </w:rPr>
                          <w:t>– 212 × Cfat (kg/d)</w:t>
                        </w:r>
                      </w:p>
                    </w:tc>
                    <w:tc>
                      <w:tcPr>
                        <w:tcW w:w="797" w:type="dxa"/>
                      </w:tcPr>
                      <w:p>
                        <w:pPr>
                          <w:pStyle w:val="TableParagraph"/>
                          <w:spacing w:before="133"/>
                          <w:ind w:left="196" w:right="-187"/>
                          <w:rPr>
                            <w:rFonts w:ascii="Arial"/>
                            <w:sz w:val="19"/>
                          </w:rPr>
                        </w:pPr>
                        <w:r>
                          <w:rPr>
                            <w:rFonts w:ascii="Arial"/>
                            <w:w w:val="105"/>
                            <w:sz w:val="19"/>
                          </w:rPr>
                          <w:t>0.69</w:t>
                        </w:r>
                      </w:p>
                    </w:tc>
                    <w:tc>
                      <w:tcPr>
                        <w:tcW w:w="706" w:type="dxa"/>
                        <w:tcBorders>
                          <w:right w:val="nil"/>
                        </w:tcBorders>
                      </w:tcPr>
                      <w:p>
                        <w:pPr>
                          <w:pStyle w:val="TableParagraph"/>
                          <w:spacing w:before="133"/>
                          <w:ind w:left="232"/>
                          <w:rPr>
                            <w:rFonts w:ascii="Arial"/>
                            <w:sz w:val="19"/>
                          </w:rPr>
                        </w:pPr>
                        <w:r>
                          <w:rPr>
                            <w:rFonts w:ascii="Arial"/>
                            <w:w w:val="105"/>
                            <w:sz w:val="19"/>
                          </w:rPr>
                          <w:t>24</w:t>
                        </w:r>
                      </w:p>
                    </w:tc>
                  </w:tr>
                  <w:tr>
                    <w:trPr>
                      <w:trHeight w:val="470" w:hRule="exact"/>
                    </w:trPr>
                    <w:tc>
                      <w:tcPr>
                        <w:tcW w:w="2501" w:type="dxa"/>
                        <w:tcBorders>
                          <w:left w:val="nil"/>
                          <w:bottom w:val="nil"/>
                        </w:tcBorders>
                      </w:tcPr>
                      <w:p>
                        <w:pPr>
                          <w:pStyle w:val="TableParagraph"/>
                          <w:spacing w:line="213" w:lineRule="exact" w:before="71"/>
                          <w:ind w:left="119" w:right="-10"/>
                          <w:rPr>
                            <w:rFonts w:ascii="Arial"/>
                            <w:sz w:val="13"/>
                          </w:rPr>
                        </w:pPr>
                        <w:r>
                          <w:rPr>
                            <w:rFonts w:ascii="Arial"/>
                            <w:w w:val="105"/>
                            <w:sz w:val="19"/>
                          </w:rPr>
                          <w:t>Jentsch </w:t>
                        </w:r>
                        <w:r>
                          <w:rPr>
                            <w:rFonts w:ascii="Arial"/>
                            <w:i/>
                            <w:w w:val="105"/>
                            <w:sz w:val="19"/>
                          </w:rPr>
                          <w:t>et al., </w:t>
                        </w:r>
                        <w:r>
                          <w:rPr>
                            <w:rFonts w:ascii="Arial"/>
                            <w:w w:val="105"/>
                            <w:sz w:val="19"/>
                          </w:rPr>
                          <w:t>(2007)</w:t>
                        </w:r>
                        <w:r>
                          <w:rPr>
                            <w:rFonts w:ascii="Arial"/>
                            <w:w w:val="105"/>
                            <w:position w:val="10"/>
                            <w:sz w:val="13"/>
                          </w:rPr>
                          <w:t>de</w:t>
                        </w:r>
                      </w:p>
                      <w:p>
                        <w:pPr>
                          <w:pStyle w:val="TableParagraph"/>
                          <w:tabs>
                            <w:tab w:pos="2505" w:val="left" w:leader="none"/>
                          </w:tabs>
                          <w:spacing w:line="170" w:lineRule="exact"/>
                          <w:ind w:left="14" w:right="-10"/>
                          <w:rPr>
                            <w:rFonts w:ascii="Times New Roman"/>
                            <w:sz w:val="19"/>
                          </w:rPr>
                        </w:pPr>
                        <w:r>
                          <w:rPr>
                            <w:rFonts w:ascii="Times New Roman"/>
                            <w:w w:val="103"/>
                            <w:sz w:val="19"/>
                            <w:u w:val="single"/>
                          </w:rPr>
                          <w:t> </w:t>
                        </w:r>
                        <w:r>
                          <w:rPr>
                            <w:rFonts w:ascii="Times New Roman"/>
                            <w:sz w:val="19"/>
                            <w:u w:val="single"/>
                          </w:rPr>
                          <w:tab/>
                        </w:r>
                      </w:p>
                    </w:tc>
                    <w:tc>
                      <w:tcPr>
                        <w:tcW w:w="4853" w:type="dxa"/>
                        <w:tcBorders>
                          <w:bottom w:val="nil"/>
                        </w:tcBorders>
                      </w:tcPr>
                      <w:p>
                        <w:pPr>
                          <w:pStyle w:val="TableParagraph"/>
                          <w:spacing w:line="213" w:lineRule="exact"/>
                          <w:ind w:left="88" w:right="107"/>
                          <w:jc w:val="center"/>
                          <w:rPr>
                            <w:rFonts w:ascii="Arial" w:hAnsi="Arial"/>
                            <w:sz w:val="19"/>
                          </w:rPr>
                        </w:pPr>
                        <w:r>
                          <w:rPr>
                            <w:rFonts w:ascii="Arial" w:hAnsi="Arial"/>
                            <w:w w:val="105"/>
                            <w:sz w:val="19"/>
                          </w:rPr>
                          <w:t>Metano (kJ/d) = 1.62 × d_CP 0.38 × d_Cfat + 3.78 ×</w:t>
                        </w:r>
                      </w:p>
                      <w:p>
                        <w:pPr>
                          <w:pStyle w:val="TableParagraph"/>
                          <w:tabs>
                            <w:tab w:pos="4852" w:val="left" w:leader="none"/>
                          </w:tabs>
                          <w:spacing w:before="21"/>
                          <w:ind w:left="-10" w:right="-10"/>
                          <w:jc w:val="center"/>
                          <w:rPr>
                            <w:rFonts w:ascii="Arial" w:hAnsi="Arial"/>
                            <w:sz w:val="19"/>
                          </w:rPr>
                        </w:pPr>
                        <w:r>
                          <w:rPr>
                            <w:rFonts w:ascii="Times New Roman" w:hAnsi="Times New Roman"/>
                            <w:w w:val="103"/>
                            <w:sz w:val="19"/>
                            <w:u w:val="single"/>
                          </w:rPr>
                          <w:t> </w:t>
                        </w:r>
                        <w:r>
                          <w:rPr>
                            <w:rFonts w:ascii="Times New Roman" w:hAnsi="Times New Roman"/>
                            <w:spacing w:val="13"/>
                            <w:sz w:val="19"/>
                            <w:u w:val="single"/>
                          </w:rPr>
                          <w:t> </w:t>
                        </w:r>
                        <w:r>
                          <w:rPr>
                            <w:rFonts w:ascii="Arial" w:hAnsi="Arial"/>
                            <w:w w:val="105"/>
                            <w:sz w:val="19"/>
                            <w:u w:val="single"/>
                          </w:rPr>
                          <w:t>d_CF + 1.49 × d_NFE +1142</w:t>
                        </w:r>
                        <w:r>
                          <w:rPr>
                            <w:rFonts w:ascii="Arial" w:hAnsi="Arial"/>
                            <w:spacing w:val="-10"/>
                            <w:w w:val="105"/>
                            <w:sz w:val="19"/>
                            <w:u w:val="single"/>
                          </w:rPr>
                          <w:t> </w:t>
                        </w:r>
                        <w:r>
                          <w:rPr>
                            <w:rFonts w:ascii="Arial" w:hAnsi="Arial"/>
                            <w:w w:val="105"/>
                            <w:sz w:val="19"/>
                            <w:u w:val="single"/>
                          </w:rPr>
                          <w:t>(g/d)</w:t>
                        </w:r>
                        <w:r>
                          <w:rPr>
                            <w:rFonts w:ascii="Arial" w:hAnsi="Arial"/>
                            <w:sz w:val="19"/>
                            <w:u w:val="single"/>
                          </w:rPr>
                          <w:tab/>
                        </w:r>
                      </w:p>
                    </w:tc>
                    <w:tc>
                      <w:tcPr>
                        <w:tcW w:w="797" w:type="dxa"/>
                      </w:tcPr>
                      <w:p>
                        <w:pPr>
                          <w:pStyle w:val="TableParagraph"/>
                          <w:spacing w:before="114"/>
                          <w:ind w:left="196" w:right="-187"/>
                          <w:rPr>
                            <w:rFonts w:ascii="Arial"/>
                            <w:sz w:val="19"/>
                          </w:rPr>
                        </w:pPr>
                        <w:r>
                          <w:rPr>
                            <w:rFonts w:ascii="Arial"/>
                            <w:w w:val="105"/>
                            <w:sz w:val="19"/>
                          </w:rPr>
                          <w:t>0.90</w:t>
                        </w:r>
                      </w:p>
                    </w:tc>
                    <w:tc>
                      <w:tcPr>
                        <w:tcW w:w="706" w:type="dxa"/>
                        <w:tcBorders>
                          <w:right w:val="nil"/>
                        </w:tcBorders>
                      </w:tcPr>
                      <w:p>
                        <w:pPr>
                          <w:pStyle w:val="TableParagraph"/>
                          <w:spacing w:before="114"/>
                          <w:ind w:left="176"/>
                          <w:rPr>
                            <w:rFonts w:ascii="Arial"/>
                            <w:sz w:val="19"/>
                          </w:rPr>
                        </w:pPr>
                        <w:r>
                          <w:rPr>
                            <w:rFonts w:ascii="Arial"/>
                            <w:w w:val="105"/>
                            <w:sz w:val="19"/>
                          </w:rPr>
                          <w:t>337</w:t>
                        </w:r>
                      </w:p>
                    </w:tc>
                  </w:tr>
                  <w:tr>
                    <w:trPr>
                      <w:trHeight w:val="238" w:hRule="exact"/>
                    </w:trPr>
                    <w:tc>
                      <w:tcPr>
                        <w:tcW w:w="2501" w:type="dxa"/>
                        <w:tcBorders>
                          <w:top w:val="nil"/>
                          <w:left w:val="nil"/>
                          <w:bottom w:val="nil"/>
                        </w:tcBorders>
                      </w:tcPr>
                      <w:p>
                        <w:pPr>
                          <w:pStyle w:val="TableParagraph"/>
                          <w:tabs>
                            <w:tab w:pos="2505" w:val="left" w:leader="none"/>
                          </w:tabs>
                          <w:spacing w:before="18"/>
                          <w:ind w:left="14" w:right="-10"/>
                          <w:rPr>
                            <w:rFonts w:ascii="Arial"/>
                            <w:sz w:val="19"/>
                          </w:rPr>
                        </w:pPr>
                        <w:r>
                          <w:rPr>
                            <w:rFonts w:ascii="Times New Roman"/>
                            <w:w w:val="103"/>
                            <w:sz w:val="19"/>
                            <w:u w:val="single"/>
                          </w:rPr>
                          <w:t> </w:t>
                        </w:r>
                        <w:r>
                          <w:rPr>
                            <w:rFonts w:ascii="Times New Roman"/>
                            <w:spacing w:val="8"/>
                            <w:sz w:val="19"/>
                            <w:u w:val="single"/>
                          </w:rPr>
                          <w:t> </w:t>
                        </w:r>
                        <w:r>
                          <w:rPr>
                            <w:rFonts w:ascii="Arial"/>
                            <w:w w:val="105"/>
                            <w:sz w:val="19"/>
                            <w:u w:val="single"/>
                          </w:rPr>
                          <w:t>Ellis </w:t>
                        </w:r>
                        <w:r>
                          <w:rPr>
                            <w:rFonts w:ascii="Arial"/>
                            <w:i/>
                            <w:w w:val="105"/>
                            <w:sz w:val="19"/>
                            <w:u w:val="single"/>
                          </w:rPr>
                          <w:t>et al.,</w:t>
                        </w:r>
                        <w:r>
                          <w:rPr>
                            <w:rFonts w:ascii="Arial"/>
                            <w:i/>
                            <w:spacing w:val="-8"/>
                            <w:w w:val="105"/>
                            <w:sz w:val="19"/>
                            <w:u w:val="single"/>
                          </w:rPr>
                          <w:t> </w:t>
                        </w:r>
                        <w:r>
                          <w:rPr>
                            <w:rFonts w:ascii="Arial"/>
                            <w:w w:val="105"/>
                            <w:sz w:val="19"/>
                            <w:u w:val="single"/>
                          </w:rPr>
                          <w:t>(2007)</w:t>
                        </w:r>
                        <w:r>
                          <w:rPr>
                            <w:rFonts w:ascii="Arial"/>
                            <w:sz w:val="19"/>
                            <w:u w:val="single"/>
                          </w:rPr>
                          <w:tab/>
                        </w:r>
                      </w:p>
                    </w:tc>
                    <w:tc>
                      <w:tcPr>
                        <w:tcW w:w="4853" w:type="dxa"/>
                        <w:tcBorders>
                          <w:top w:val="nil"/>
                          <w:bottom w:val="nil"/>
                        </w:tcBorders>
                      </w:tcPr>
                      <w:p>
                        <w:pPr>
                          <w:pStyle w:val="TableParagraph"/>
                          <w:tabs>
                            <w:tab w:pos="4852" w:val="left" w:leader="none"/>
                          </w:tabs>
                          <w:spacing w:before="18"/>
                          <w:ind w:left="-10" w:right="-10"/>
                          <w:rPr>
                            <w:rFonts w:ascii="Arial" w:hAnsi="Arial"/>
                            <w:sz w:val="19"/>
                          </w:rPr>
                        </w:pPr>
                        <w:r>
                          <w:rPr>
                            <w:rFonts w:ascii="Times New Roman" w:hAnsi="Times New Roman"/>
                            <w:w w:val="103"/>
                            <w:sz w:val="19"/>
                            <w:u w:val="single"/>
                          </w:rPr>
                          <w:t> </w:t>
                        </w:r>
                        <w:r>
                          <w:rPr>
                            <w:rFonts w:ascii="Times New Roman" w:hAnsi="Times New Roman"/>
                            <w:spacing w:val="13"/>
                            <w:sz w:val="19"/>
                            <w:u w:val="single"/>
                          </w:rPr>
                          <w:t> </w:t>
                        </w:r>
                        <w:r>
                          <w:rPr>
                            <w:rFonts w:ascii="Arial" w:hAnsi="Arial"/>
                            <w:w w:val="105"/>
                            <w:sz w:val="19"/>
                            <w:u w:val="single"/>
                          </w:rPr>
                          <w:t>Metano (MJ/d) = 0.14 × forage (%) +</w:t>
                        </w:r>
                        <w:r>
                          <w:rPr>
                            <w:rFonts w:ascii="Arial" w:hAnsi="Arial"/>
                            <w:spacing w:val="-14"/>
                            <w:w w:val="105"/>
                            <w:sz w:val="19"/>
                            <w:u w:val="single"/>
                          </w:rPr>
                          <w:t> </w:t>
                        </w:r>
                        <w:r>
                          <w:rPr>
                            <w:rFonts w:ascii="Arial" w:hAnsi="Arial"/>
                            <w:w w:val="105"/>
                            <w:sz w:val="19"/>
                            <w:u w:val="single"/>
                          </w:rPr>
                          <w:t>8.6</w:t>
                        </w:r>
                        <w:r>
                          <w:rPr>
                            <w:rFonts w:ascii="Arial" w:hAnsi="Arial"/>
                            <w:sz w:val="19"/>
                            <w:u w:val="single"/>
                          </w:rPr>
                          <w:tab/>
                        </w:r>
                      </w:p>
                    </w:tc>
                    <w:tc>
                      <w:tcPr>
                        <w:tcW w:w="797" w:type="dxa"/>
                        <w:tcBorders>
                          <w:bottom w:val="nil"/>
                        </w:tcBorders>
                      </w:tcPr>
                      <w:p>
                        <w:pPr>
                          <w:pStyle w:val="TableParagraph"/>
                          <w:tabs>
                            <w:tab w:pos="1029" w:val="left" w:leader="none"/>
                          </w:tabs>
                          <w:spacing w:before="13"/>
                          <w:ind w:left="-10" w:right="-243"/>
                          <w:rPr>
                            <w:rFonts w:ascii="Arial"/>
                            <w:sz w:val="19"/>
                          </w:rPr>
                        </w:pPr>
                        <w:r>
                          <w:rPr>
                            <w:rFonts w:ascii="Times New Roman"/>
                            <w:w w:val="103"/>
                            <w:sz w:val="19"/>
                            <w:u w:val="single"/>
                          </w:rPr>
                          <w:t> </w:t>
                        </w:r>
                        <w:r>
                          <w:rPr>
                            <w:rFonts w:ascii="Times New Roman"/>
                            <w:sz w:val="19"/>
                            <w:u w:val="single"/>
                          </w:rPr>
                          <w:t>  </w:t>
                        </w:r>
                        <w:r>
                          <w:rPr>
                            <w:rFonts w:ascii="Times New Roman"/>
                            <w:spacing w:val="14"/>
                            <w:sz w:val="19"/>
                            <w:u w:val="single"/>
                          </w:rPr>
                          <w:t> </w:t>
                        </w:r>
                        <w:r>
                          <w:rPr>
                            <w:rFonts w:ascii="Arial"/>
                            <w:w w:val="105"/>
                            <w:sz w:val="19"/>
                            <w:u w:val="single"/>
                          </w:rPr>
                          <w:t>0.56</w:t>
                        </w:r>
                        <w:r>
                          <w:rPr>
                            <w:rFonts w:ascii="Arial"/>
                            <w:sz w:val="19"/>
                            <w:u w:val="single"/>
                          </w:rPr>
                          <w:tab/>
                        </w:r>
                      </w:p>
                    </w:tc>
                    <w:tc>
                      <w:tcPr>
                        <w:tcW w:w="706" w:type="dxa"/>
                        <w:tcBorders>
                          <w:bottom w:val="nil"/>
                          <w:right w:val="nil"/>
                        </w:tcBorders>
                      </w:tcPr>
                      <w:p>
                        <w:pPr>
                          <w:pStyle w:val="TableParagraph"/>
                          <w:tabs>
                            <w:tab w:pos="468" w:val="left" w:leader="none"/>
                          </w:tabs>
                          <w:spacing w:before="13"/>
                          <w:jc w:val="right"/>
                          <w:rPr>
                            <w:rFonts w:ascii="Arial"/>
                            <w:sz w:val="19"/>
                          </w:rPr>
                        </w:pPr>
                        <w:r>
                          <w:rPr>
                            <w:rFonts w:ascii="Arial"/>
                            <w:sz w:val="19"/>
                            <w:u w:val="single"/>
                          </w:rPr>
                          <w:t>89</w:t>
                          <w:tab/>
                        </w:r>
                      </w:p>
                    </w:tc>
                  </w:tr>
                  <w:tr>
                    <w:trPr>
                      <w:trHeight w:val="261" w:hRule="exact"/>
                    </w:trPr>
                    <w:tc>
                      <w:tcPr>
                        <w:tcW w:w="2501" w:type="dxa"/>
                        <w:tcBorders>
                          <w:top w:val="nil"/>
                          <w:left w:val="nil"/>
                        </w:tcBorders>
                      </w:tcPr>
                      <w:p>
                        <w:pPr>
                          <w:pStyle w:val="TableParagraph"/>
                          <w:spacing w:line="249" w:lineRule="exact"/>
                          <w:ind w:left="119" w:right="649"/>
                          <w:rPr>
                            <w:rFonts w:ascii="Arial"/>
                            <w:sz w:val="13"/>
                          </w:rPr>
                        </w:pPr>
                        <w:r>
                          <w:rPr>
                            <w:rFonts w:ascii="Arial"/>
                            <w:w w:val="105"/>
                            <w:sz w:val="19"/>
                          </w:rPr>
                          <w:t>Mills </w:t>
                        </w:r>
                        <w:r>
                          <w:rPr>
                            <w:rFonts w:ascii="Arial"/>
                            <w:i/>
                            <w:w w:val="105"/>
                            <w:sz w:val="19"/>
                          </w:rPr>
                          <w:t>et al., </w:t>
                        </w:r>
                        <w:r>
                          <w:rPr>
                            <w:rFonts w:ascii="Arial"/>
                            <w:w w:val="105"/>
                            <w:sz w:val="19"/>
                          </w:rPr>
                          <w:t>(2005)</w:t>
                        </w:r>
                        <w:r>
                          <w:rPr>
                            <w:rFonts w:ascii="Arial"/>
                            <w:w w:val="105"/>
                            <w:position w:val="10"/>
                            <w:sz w:val="13"/>
                          </w:rPr>
                          <w:t>f</w:t>
                        </w:r>
                      </w:p>
                    </w:tc>
                    <w:tc>
                      <w:tcPr>
                        <w:tcW w:w="4853" w:type="dxa"/>
                        <w:tcBorders>
                          <w:top w:val="nil"/>
                          <w:bottom w:val="nil"/>
                        </w:tcBorders>
                      </w:tcPr>
                      <w:p>
                        <w:pPr>
                          <w:pStyle w:val="TableParagraph"/>
                          <w:tabs>
                            <w:tab w:pos="4852" w:val="left" w:leader="none"/>
                          </w:tabs>
                          <w:spacing w:before="30"/>
                          <w:ind w:left="-10" w:right="-10"/>
                          <w:rPr>
                            <w:rFonts w:ascii="Arial" w:hAnsi="Arial"/>
                            <w:sz w:val="19"/>
                          </w:rPr>
                        </w:pPr>
                        <w:r>
                          <w:rPr>
                            <w:rFonts w:ascii="Times New Roman" w:hAnsi="Times New Roman"/>
                            <w:w w:val="103"/>
                            <w:sz w:val="19"/>
                            <w:u w:val="single"/>
                          </w:rPr>
                          <w:t> </w:t>
                        </w:r>
                        <w:r>
                          <w:rPr>
                            <w:rFonts w:ascii="Times New Roman" w:hAnsi="Times New Roman"/>
                            <w:spacing w:val="13"/>
                            <w:sz w:val="19"/>
                            <w:u w:val="single"/>
                          </w:rPr>
                          <w:t> </w:t>
                        </w:r>
                        <w:r>
                          <w:rPr>
                            <w:rFonts w:ascii="Arial" w:hAnsi="Arial"/>
                            <w:w w:val="105"/>
                            <w:sz w:val="19"/>
                            <w:u w:val="single"/>
                          </w:rPr>
                          <w:t>Metano (MJ/d) = 0.07 × ME (MJ/d) +</w:t>
                        </w:r>
                        <w:r>
                          <w:rPr>
                            <w:rFonts w:ascii="Arial" w:hAnsi="Arial"/>
                            <w:spacing w:val="-14"/>
                            <w:w w:val="105"/>
                            <w:sz w:val="19"/>
                            <w:u w:val="single"/>
                          </w:rPr>
                          <w:t> </w:t>
                        </w:r>
                        <w:r>
                          <w:rPr>
                            <w:rFonts w:ascii="Arial" w:hAnsi="Arial"/>
                            <w:w w:val="105"/>
                            <w:sz w:val="19"/>
                            <w:u w:val="single"/>
                          </w:rPr>
                          <w:t>8.25</w:t>
                        </w:r>
                        <w:r>
                          <w:rPr>
                            <w:rFonts w:ascii="Arial" w:hAnsi="Arial"/>
                            <w:sz w:val="19"/>
                            <w:u w:val="single"/>
                          </w:rPr>
                          <w:tab/>
                        </w:r>
                      </w:p>
                    </w:tc>
                    <w:tc>
                      <w:tcPr>
                        <w:tcW w:w="797" w:type="dxa"/>
                        <w:tcBorders>
                          <w:top w:val="nil"/>
                          <w:bottom w:val="nil"/>
                        </w:tcBorders>
                      </w:tcPr>
                      <w:p>
                        <w:pPr>
                          <w:pStyle w:val="TableParagraph"/>
                          <w:tabs>
                            <w:tab w:pos="973" w:val="left" w:leader="none"/>
                          </w:tabs>
                          <w:spacing w:before="30"/>
                          <w:ind w:left="-10" w:right="-187"/>
                          <w:rPr>
                            <w:rFonts w:ascii="Arial"/>
                            <w:sz w:val="19"/>
                          </w:rPr>
                        </w:pPr>
                        <w:r>
                          <w:rPr>
                            <w:rFonts w:ascii="Times New Roman"/>
                            <w:w w:val="103"/>
                            <w:sz w:val="19"/>
                            <w:u w:val="single"/>
                          </w:rPr>
                          <w:t> </w:t>
                        </w:r>
                        <w:r>
                          <w:rPr>
                            <w:rFonts w:ascii="Times New Roman"/>
                            <w:sz w:val="19"/>
                            <w:u w:val="single"/>
                          </w:rPr>
                          <w:t>  </w:t>
                        </w:r>
                        <w:r>
                          <w:rPr>
                            <w:rFonts w:ascii="Times New Roman"/>
                            <w:spacing w:val="14"/>
                            <w:sz w:val="19"/>
                            <w:u w:val="single"/>
                          </w:rPr>
                          <w:t> </w:t>
                        </w:r>
                        <w:r>
                          <w:rPr>
                            <w:rFonts w:ascii="Arial"/>
                            <w:w w:val="105"/>
                            <w:sz w:val="19"/>
                            <w:u w:val="single"/>
                          </w:rPr>
                          <w:t>0.55</w:t>
                        </w:r>
                        <w:r>
                          <w:rPr>
                            <w:rFonts w:ascii="Arial"/>
                            <w:sz w:val="19"/>
                            <w:u w:val="single"/>
                          </w:rPr>
                          <w:tab/>
                        </w:r>
                      </w:p>
                    </w:tc>
                    <w:tc>
                      <w:tcPr>
                        <w:tcW w:w="706" w:type="dxa"/>
                        <w:tcBorders>
                          <w:top w:val="nil"/>
                          <w:bottom w:val="nil"/>
                          <w:right w:val="nil"/>
                        </w:tcBorders>
                      </w:tcPr>
                      <w:p>
                        <w:pPr>
                          <w:pStyle w:val="TableParagraph"/>
                          <w:spacing w:before="30"/>
                          <w:jc w:val="right"/>
                          <w:rPr>
                            <w:rFonts w:ascii="Arial"/>
                            <w:sz w:val="19"/>
                          </w:rPr>
                        </w:pPr>
                        <w:r>
                          <w:rPr>
                            <w:rFonts w:ascii="Arial"/>
                            <w:sz w:val="19"/>
                            <w:u w:val="single"/>
                          </w:rPr>
                          <w:t>159 </w:t>
                        </w:r>
                      </w:p>
                    </w:tc>
                  </w:tr>
                  <w:tr>
                    <w:trPr>
                      <w:trHeight w:val="269" w:hRule="exact"/>
                    </w:trPr>
                    <w:tc>
                      <w:tcPr>
                        <w:tcW w:w="2501" w:type="dxa"/>
                        <w:tcBorders>
                          <w:left w:val="nil"/>
                        </w:tcBorders>
                      </w:tcPr>
                      <w:p>
                        <w:pPr>
                          <w:pStyle w:val="TableParagraph"/>
                          <w:spacing w:line="242" w:lineRule="exact"/>
                          <w:ind w:left="119" w:right="649"/>
                          <w:rPr>
                            <w:rFonts w:ascii="Arial"/>
                            <w:sz w:val="13"/>
                          </w:rPr>
                        </w:pPr>
                        <w:r>
                          <w:rPr>
                            <w:rFonts w:ascii="Arial"/>
                            <w:w w:val="105"/>
                            <w:sz w:val="19"/>
                          </w:rPr>
                          <w:t>Mills </w:t>
                        </w:r>
                        <w:r>
                          <w:rPr>
                            <w:rFonts w:ascii="Arial"/>
                            <w:i/>
                            <w:w w:val="105"/>
                            <w:sz w:val="19"/>
                          </w:rPr>
                          <w:t>et al., </w:t>
                        </w:r>
                        <w:r>
                          <w:rPr>
                            <w:rFonts w:ascii="Arial"/>
                            <w:w w:val="105"/>
                            <w:sz w:val="19"/>
                          </w:rPr>
                          <w:t>(2005)</w:t>
                        </w:r>
                        <w:r>
                          <w:rPr>
                            <w:rFonts w:ascii="Arial"/>
                            <w:w w:val="105"/>
                            <w:position w:val="10"/>
                            <w:sz w:val="13"/>
                          </w:rPr>
                          <w:t>b</w:t>
                        </w:r>
                      </w:p>
                    </w:tc>
                    <w:tc>
                      <w:tcPr>
                        <w:tcW w:w="4853" w:type="dxa"/>
                        <w:tcBorders>
                          <w:top w:val="nil"/>
                        </w:tcBorders>
                      </w:tcPr>
                      <w:p>
                        <w:pPr>
                          <w:pStyle w:val="TableParagraph"/>
                          <w:spacing w:before="28"/>
                          <w:ind w:left="100" w:right="-10"/>
                          <w:rPr>
                            <w:rFonts w:ascii="Arial" w:hAnsi="Arial"/>
                            <w:sz w:val="19"/>
                          </w:rPr>
                        </w:pPr>
                        <w:r>
                          <w:rPr>
                            <w:rFonts w:ascii="Arial" w:hAnsi="Arial"/>
                            <w:w w:val="105"/>
                            <w:sz w:val="19"/>
                          </w:rPr>
                          <w:t>Metano (MJ/d) = 0.92 × DMI (kg/d) + 5.93</w:t>
                        </w:r>
                      </w:p>
                    </w:tc>
                    <w:tc>
                      <w:tcPr>
                        <w:tcW w:w="797" w:type="dxa"/>
                        <w:tcBorders>
                          <w:top w:val="nil"/>
                        </w:tcBorders>
                      </w:tcPr>
                      <w:p>
                        <w:pPr>
                          <w:pStyle w:val="TableParagraph"/>
                          <w:spacing w:before="28"/>
                          <w:ind w:left="196" w:right="-187"/>
                          <w:rPr>
                            <w:rFonts w:ascii="Arial"/>
                            <w:sz w:val="19"/>
                          </w:rPr>
                        </w:pPr>
                        <w:r>
                          <w:rPr>
                            <w:rFonts w:ascii="Arial"/>
                            <w:w w:val="105"/>
                            <w:sz w:val="19"/>
                          </w:rPr>
                          <w:t>0.60</w:t>
                        </w:r>
                      </w:p>
                    </w:tc>
                    <w:tc>
                      <w:tcPr>
                        <w:tcW w:w="706" w:type="dxa"/>
                        <w:tcBorders>
                          <w:top w:val="nil"/>
                          <w:right w:val="nil"/>
                        </w:tcBorders>
                      </w:tcPr>
                      <w:p>
                        <w:pPr>
                          <w:pStyle w:val="TableParagraph"/>
                          <w:spacing w:before="28"/>
                          <w:ind w:left="176"/>
                          <w:rPr>
                            <w:rFonts w:ascii="Arial"/>
                            <w:sz w:val="19"/>
                          </w:rPr>
                        </w:pPr>
                        <w:r>
                          <w:rPr>
                            <w:rFonts w:ascii="Arial"/>
                            <w:w w:val="105"/>
                            <w:sz w:val="19"/>
                          </w:rPr>
                          <w:t>159</w:t>
                        </w:r>
                      </w:p>
                    </w:tc>
                  </w:tr>
                  <w:tr>
                    <w:trPr>
                      <w:trHeight w:val="494" w:hRule="exact"/>
                    </w:trPr>
                    <w:tc>
                      <w:tcPr>
                        <w:tcW w:w="2501" w:type="dxa"/>
                        <w:vMerge w:val="restart"/>
                        <w:tcBorders>
                          <w:left w:val="nil"/>
                        </w:tcBorders>
                      </w:tcPr>
                      <w:p>
                        <w:pPr>
                          <w:pStyle w:val="TableParagraph"/>
                          <w:spacing w:line="213" w:lineRule="exact" w:before="95"/>
                          <w:ind w:left="119" w:right="649"/>
                          <w:rPr>
                            <w:rFonts w:ascii="Arial"/>
                            <w:sz w:val="13"/>
                          </w:rPr>
                        </w:pPr>
                        <w:r>
                          <w:rPr>
                            <w:rFonts w:ascii="Arial"/>
                            <w:w w:val="105"/>
                            <w:sz w:val="19"/>
                          </w:rPr>
                          <w:t>Mills </w:t>
                        </w:r>
                        <w:r>
                          <w:rPr>
                            <w:rFonts w:ascii="Arial"/>
                            <w:i/>
                            <w:w w:val="105"/>
                            <w:sz w:val="19"/>
                          </w:rPr>
                          <w:t>et al., </w:t>
                        </w:r>
                        <w:r>
                          <w:rPr>
                            <w:rFonts w:ascii="Arial"/>
                            <w:w w:val="105"/>
                            <w:sz w:val="19"/>
                          </w:rPr>
                          <w:t>(2005)</w:t>
                        </w:r>
                        <w:r>
                          <w:rPr>
                            <w:rFonts w:ascii="Arial"/>
                            <w:w w:val="105"/>
                            <w:position w:val="10"/>
                            <w:sz w:val="13"/>
                          </w:rPr>
                          <w:t>b</w:t>
                        </w:r>
                      </w:p>
                      <w:p>
                        <w:pPr>
                          <w:pStyle w:val="TableParagraph"/>
                          <w:tabs>
                            <w:tab w:pos="2505" w:val="left" w:leader="none"/>
                          </w:tabs>
                          <w:spacing w:line="170" w:lineRule="exact"/>
                          <w:ind w:left="14" w:right="-10"/>
                          <w:rPr>
                            <w:rFonts w:ascii="Times New Roman"/>
                            <w:sz w:val="19"/>
                          </w:rPr>
                        </w:pPr>
                        <w:r>
                          <w:rPr>
                            <w:rFonts w:ascii="Times New Roman"/>
                            <w:w w:val="103"/>
                            <w:sz w:val="19"/>
                            <w:u w:val="single"/>
                          </w:rPr>
                          <w:t> </w:t>
                        </w:r>
                        <w:r>
                          <w:rPr>
                            <w:rFonts w:ascii="Times New Roman"/>
                            <w:sz w:val="19"/>
                            <w:u w:val="single"/>
                          </w:rPr>
                          <w:tab/>
                        </w:r>
                      </w:p>
                      <w:p>
                        <w:pPr>
                          <w:pStyle w:val="TableParagraph"/>
                          <w:spacing w:before="73"/>
                          <w:ind w:left="119" w:right="-10"/>
                          <w:rPr>
                            <w:rFonts w:ascii="Arial"/>
                            <w:sz w:val="13"/>
                          </w:rPr>
                        </w:pPr>
                        <w:r>
                          <w:rPr>
                            <w:rFonts w:ascii="Arial"/>
                            <w:w w:val="105"/>
                            <w:sz w:val="19"/>
                          </w:rPr>
                          <w:t>Grainger </w:t>
                        </w:r>
                        <w:r>
                          <w:rPr>
                            <w:rFonts w:ascii="Arial"/>
                            <w:i/>
                            <w:w w:val="105"/>
                            <w:sz w:val="19"/>
                          </w:rPr>
                          <w:t>et al., </w:t>
                        </w:r>
                        <w:r>
                          <w:rPr>
                            <w:rFonts w:ascii="Arial"/>
                            <w:w w:val="105"/>
                            <w:sz w:val="19"/>
                          </w:rPr>
                          <w:t>(2007)</w:t>
                        </w:r>
                        <w:r>
                          <w:rPr>
                            <w:rFonts w:ascii="Arial"/>
                            <w:w w:val="105"/>
                            <w:position w:val="10"/>
                            <w:sz w:val="13"/>
                          </w:rPr>
                          <w:t>b</w:t>
                        </w:r>
                      </w:p>
                    </w:tc>
                    <w:tc>
                      <w:tcPr>
                        <w:tcW w:w="4853" w:type="dxa"/>
                        <w:vMerge w:val="restart"/>
                      </w:tcPr>
                      <w:p>
                        <w:pPr>
                          <w:pStyle w:val="TableParagraph"/>
                          <w:spacing w:before="18"/>
                          <w:ind w:left="100" w:right="-10"/>
                          <w:rPr>
                            <w:rFonts w:ascii="Arial" w:hAnsi="Arial"/>
                            <w:sz w:val="19"/>
                          </w:rPr>
                        </w:pPr>
                        <w:r>
                          <w:rPr>
                            <w:rFonts w:ascii="Arial" w:hAnsi="Arial"/>
                            <w:w w:val="105"/>
                            <w:sz w:val="19"/>
                          </w:rPr>
                          <w:t>Metano (MJ/d) = 10.3 × forage (%) + 0.87 × DMI</w:t>
                        </w:r>
                      </w:p>
                      <w:p>
                        <w:pPr>
                          <w:pStyle w:val="TableParagraph"/>
                          <w:tabs>
                            <w:tab w:pos="4852" w:val="left" w:leader="none"/>
                          </w:tabs>
                          <w:spacing w:line="369" w:lineRule="auto" w:before="21"/>
                          <w:ind w:left="100" w:right="-10" w:hanging="111"/>
                          <w:rPr>
                            <w:rFonts w:ascii="Arial" w:hAnsi="Arial"/>
                            <w:sz w:val="19"/>
                          </w:rPr>
                        </w:pPr>
                        <w:r>
                          <w:rPr>
                            <w:rFonts w:ascii="Times New Roman" w:hAnsi="Times New Roman"/>
                            <w:w w:val="103"/>
                            <w:sz w:val="19"/>
                            <w:u w:val="single"/>
                          </w:rPr>
                          <w:t> </w:t>
                        </w:r>
                        <w:r>
                          <w:rPr>
                            <w:rFonts w:ascii="Times New Roman" w:hAnsi="Times New Roman"/>
                            <w:spacing w:val="13"/>
                            <w:sz w:val="19"/>
                            <w:u w:val="single"/>
                          </w:rPr>
                          <w:t> </w:t>
                        </w:r>
                        <w:r>
                          <w:rPr>
                            <w:rFonts w:ascii="Arial" w:hAnsi="Arial"/>
                            <w:w w:val="105"/>
                            <w:sz w:val="19"/>
                            <w:u w:val="single"/>
                          </w:rPr>
                          <w:t>(kg/d)</w:t>
                        </w:r>
                        <w:r>
                          <w:rPr>
                            <w:rFonts w:ascii="Arial" w:hAnsi="Arial"/>
                            <w:spacing w:val="-4"/>
                            <w:w w:val="105"/>
                            <w:sz w:val="19"/>
                            <w:u w:val="single"/>
                          </w:rPr>
                          <w:t> </w:t>
                        </w:r>
                        <w:r>
                          <w:rPr>
                            <w:rFonts w:ascii="Arial" w:hAnsi="Arial"/>
                            <w:w w:val="105"/>
                            <w:sz w:val="19"/>
                            <w:u w:val="single"/>
                          </w:rPr>
                          <w:t>+</w:t>
                        </w:r>
                        <w:r>
                          <w:rPr>
                            <w:rFonts w:ascii="Arial" w:hAnsi="Arial"/>
                            <w:spacing w:val="-3"/>
                            <w:w w:val="105"/>
                            <w:sz w:val="19"/>
                            <w:u w:val="single"/>
                          </w:rPr>
                          <w:t> </w:t>
                        </w:r>
                        <w:r>
                          <w:rPr>
                            <w:rFonts w:ascii="Arial" w:hAnsi="Arial"/>
                            <w:w w:val="105"/>
                            <w:sz w:val="19"/>
                            <w:u w:val="single"/>
                          </w:rPr>
                          <w:t>1.1</w:t>
                        </w:r>
                        <w:r>
                          <w:rPr>
                            <w:rFonts w:ascii="Arial" w:hAnsi="Arial"/>
                            <w:sz w:val="19"/>
                            <w:u w:val="single"/>
                          </w:rPr>
                          <w:tab/>
                        </w:r>
                        <w:r>
                          <w:rPr>
                            <w:rFonts w:ascii="Arial" w:hAnsi="Arial"/>
                            <w:sz w:val="19"/>
                          </w:rPr>
                          <w:t> </w:t>
                        </w:r>
                        <w:r>
                          <w:rPr>
                            <w:rFonts w:ascii="Arial" w:hAnsi="Arial"/>
                            <w:w w:val="105"/>
                            <w:sz w:val="19"/>
                          </w:rPr>
                          <w:t>Metano (g/d) = 18.5 × DMI (kg/d)</w:t>
                        </w:r>
                        <w:r>
                          <w:rPr>
                            <w:rFonts w:ascii="Arial" w:hAnsi="Arial"/>
                            <w:spacing w:val="-14"/>
                            <w:w w:val="105"/>
                            <w:sz w:val="19"/>
                          </w:rPr>
                          <w:t> </w:t>
                        </w:r>
                        <w:r>
                          <w:rPr>
                            <w:rFonts w:ascii="Arial" w:hAnsi="Arial"/>
                            <w:w w:val="105"/>
                            <w:sz w:val="19"/>
                          </w:rPr>
                          <w:t>9.5</w:t>
                        </w:r>
                      </w:p>
                    </w:tc>
                    <w:tc>
                      <w:tcPr>
                        <w:tcW w:w="797" w:type="dxa"/>
                      </w:tcPr>
                      <w:p>
                        <w:pPr>
                          <w:pStyle w:val="TableParagraph"/>
                          <w:spacing w:before="138"/>
                          <w:ind w:left="196" w:right="-187"/>
                          <w:rPr>
                            <w:rFonts w:ascii="Arial"/>
                            <w:sz w:val="19"/>
                          </w:rPr>
                        </w:pPr>
                        <w:r>
                          <w:rPr>
                            <w:rFonts w:ascii="Arial"/>
                            <w:w w:val="105"/>
                            <w:sz w:val="19"/>
                          </w:rPr>
                          <w:t>0.61</w:t>
                        </w:r>
                      </w:p>
                    </w:tc>
                    <w:tc>
                      <w:tcPr>
                        <w:tcW w:w="706" w:type="dxa"/>
                        <w:tcBorders>
                          <w:right w:val="nil"/>
                        </w:tcBorders>
                      </w:tcPr>
                      <w:p>
                        <w:pPr>
                          <w:pStyle w:val="TableParagraph"/>
                          <w:spacing w:before="138"/>
                          <w:ind w:left="176"/>
                          <w:rPr>
                            <w:rFonts w:ascii="Arial"/>
                            <w:sz w:val="19"/>
                          </w:rPr>
                        </w:pPr>
                        <w:r>
                          <w:rPr>
                            <w:rFonts w:ascii="Arial"/>
                            <w:w w:val="105"/>
                            <w:sz w:val="19"/>
                          </w:rPr>
                          <w:t>159</w:t>
                        </w:r>
                      </w:p>
                    </w:tc>
                  </w:tr>
                  <w:tr>
                    <w:trPr>
                      <w:trHeight w:val="422" w:hRule="exact"/>
                    </w:trPr>
                    <w:tc>
                      <w:tcPr>
                        <w:tcW w:w="2501" w:type="dxa"/>
                        <w:vMerge/>
                        <w:tcBorders>
                          <w:left w:val="nil"/>
                        </w:tcBorders>
                      </w:tcPr>
                      <w:p>
                        <w:pPr/>
                      </w:p>
                    </w:tc>
                    <w:tc>
                      <w:tcPr>
                        <w:tcW w:w="4853" w:type="dxa"/>
                        <w:vMerge/>
                      </w:tcPr>
                      <w:p>
                        <w:pPr/>
                      </w:p>
                    </w:tc>
                    <w:tc>
                      <w:tcPr>
                        <w:tcW w:w="797" w:type="dxa"/>
                      </w:tcPr>
                      <w:p>
                        <w:pPr>
                          <w:pStyle w:val="TableParagraph"/>
                          <w:spacing w:before="100"/>
                          <w:ind w:left="196" w:right="-187"/>
                          <w:rPr>
                            <w:rFonts w:ascii="Arial"/>
                            <w:sz w:val="19"/>
                          </w:rPr>
                        </w:pPr>
                        <w:r>
                          <w:rPr>
                            <w:rFonts w:ascii="Arial"/>
                            <w:w w:val="105"/>
                            <w:sz w:val="19"/>
                          </w:rPr>
                          <w:t>0.56</w:t>
                        </w:r>
                      </w:p>
                    </w:tc>
                    <w:tc>
                      <w:tcPr>
                        <w:tcW w:w="706" w:type="dxa"/>
                        <w:tcBorders>
                          <w:right w:val="nil"/>
                        </w:tcBorders>
                      </w:tcPr>
                      <w:p>
                        <w:pPr>
                          <w:pStyle w:val="TableParagraph"/>
                          <w:spacing w:before="100"/>
                          <w:ind w:left="232"/>
                          <w:rPr>
                            <w:rFonts w:ascii="Arial"/>
                            <w:sz w:val="19"/>
                          </w:rPr>
                        </w:pPr>
                        <w:r>
                          <w:rPr>
                            <w:rFonts w:ascii="Arial"/>
                            <w:w w:val="105"/>
                            <w:sz w:val="19"/>
                          </w:rPr>
                          <w:t>16</w:t>
                        </w:r>
                      </w:p>
                    </w:tc>
                  </w:tr>
                </w:tbl>
                <w:p>
                  <w:pPr>
                    <w:pStyle w:val="BodyText"/>
                  </w:pPr>
                </w:p>
              </w:txbxContent>
            </v:textbox>
            <w10:wrap type="none"/>
          </v:shape>
        </w:pict>
      </w:r>
      <w:r>
        <w:rPr>
          <w:w w:val="105"/>
          <w:position w:val="9"/>
          <w:sz w:val="12"/>
        </w:rPr>
        <w:t>a</w:t>
      </w:r>
      <w:r>
        <w:rPr>
          <w:w w:val="105"/>
          <w:sz w:val="17"/>
        </w:rPr>
        <w:t>GE = consumo de energía bruta; Ym = factor de emisión; </w:t>
      </w:r>
      <w:r>
        <w:rPr>
          <w:w w:val="105"/>
          <w:position w:val="9"/>
          <w:sz w:val="12"/>
        </w:rPr>
        <w:t>b</w:t>
      </w:r>
      <w:r>
        <w:rPr>
          <w:w w:val="105"/>
          <w:sz w:val="17"/>
        </w:rPr>
        <w:t>DMI = consumo de materia seca; </w:t>
      </w:r>
      <w:r>
        <w:rPr>
          <w:w w:val="105"/>
          <w:position w:val="9"/>
          <w:sz w:val="12"/>
        </w:rPr>
        <w:t>c</w:t>
      </w:r>
      <w:r>
        <w:rPr>
          <w:w w:val="105"/>
          <w:sz w:val="17"/>
        </w:rPr>
        <w:t>BW = peso corporal; </w:t>
      </w:r>
      <w:r>
        <w:rPr>
          <w:w w:val="105"/>
          <w:position w:val="9"/>
          <w:sz w:val="12"/>
        </w:rPr>
        <w:t>d</w:t>
      </w:r>
      <w:r>
        <w:rPr>
          <w:w w:val="105"/>
          <w:sz w:val="17"/>
        </w:rPr>
        <w:t>CF = fibra cruda; ENF = N- Extracto libre; CP = proteína cruda; Cfat = grasa cruda; eEl la ecuación</w:t>
      </w:r>
      <w:r>
        <w:rPr>
          <w:spacing w:val="49"/>
          <w:w w:val="105"/>
          <w:sz w:val="17"/>
        </w:rPr>
        <w:t> </w:t>
      </w:r>
      <w:r>
        <w:rPr>
          <w:w w:val="105"/>
          <w:sz w:val="17"/>
        </w:rPr>
        <w:t>se basa en cantidades digeridas que se designa con “d”; </w:t>
      </w:r>
      <w:r>
        <w:rPr>
          <w:w w:val="105"/>
          <w:position w:val="9"/>
          <w:sz w:val="12"/>
        </w:rPr>
        <w:t>f</w:t>
      </w:r>
      <w:r>
        <w:rPr>
          <w:w w:val="105"/>
          <w:sz w:val="17"/>
        </w:rPr>
        <w:t>ME = ingesta de energía</w:t>
      </w:r>
      <w:r>
        <w:rPr>
          <w:spacing w:val="34"/>
          <w:w w:val="105"/>
          <w:sz w:val="17"/>
        </w:rPr>
        <w:t> </w:t>
      </w:r>
      <w:r>
        <w:rPr>
          <w:w w:val="105"/>
          <w:sz w:val="17"/>
        </w:rPr>
        <w:t>metabolizable.</w:t>
      </w:r>
    </w:p>
    <w:p>
      <w:pPr>
        <w:pStyle w:val="BodyText"/>
        <w:spacing w:line="20" w:lineRule="exact"/>
        <w:ind w:left="242"/>
        <w:rPr>
          <w:sz w:val="2"/>
        </w:rPr>
      </w:pPr>
      <w:r>
        <w:rPr>
          <w:sz w:val="2"/>
        </w:rPr>
        <w:pict>
          <v:group style="width:445.25pt;height:.5pt;mso-position-horizontal-relative:char;mso-position-vertical-relative:line" coordorigin="0,0" coordsize="8905,10">
            <v:line style="position:absolute" from="5,5" to="8899,5" stroked="true" strokeweight=".48pt" strokecolor="#000000"/>
          </v:group>
        </w:pict>
      </w:r>
      <w:r>
        <w:rPr>
          <w:sz w:val="2"/>
        </w:rPr>
      </w:r>
    </w:p>
    <w:p>
      <w:pPr>
        <w:spacing w:before="0"/>
        <w:ind w:left="276" w:right="0" w:firstLine="0"/>
        <w:jc w:val="both"/>
        <w:rPr>
          <w:sz w:val="24"/>
        </w:rPr>
      </w:pPr>
      <w:r>
        <w:rPr>
          <w:b/>
          <w:sz w:val="24"/>
        </w:rPr>
        <w:t>Fuente: </w:t>
      </w:r>
      <w:r>
        <w:rPr>
          <w:sz w:val="24"/>
        </w:rPr>
        <w:t>Storm </w:t>
      </w:r>
      <w:r>
        <w:rPr>
          <w:i/>
          <w:sz w:val="24"/>
        </w:rPr>
        <w:t>et al., </w:t>
      </w:r>
      <w:r>
        <w:rPr>
          <w:sz w:val="24"/>
        </w:rPr>
        <w:t>(2012).</w:t>
      </w:r>
    </w:p>
    <w:p>
      <w:pPr>
        <w:pStyle w:val="BodyText"/>
      </w:pPr>
    </w:p>
    <w:p>
      <w:pPr>
        <w:pStyle w:val="BodyText"/>
        <w:spacing w:before="2"/>
      </w:pPr>
    </w:p>
    <w:p>
      <w:pPr>
        <w:pStyle w:val="Heading6"/>
      </w:pPr>
      <w:r>
        <w:rPr/>
        <w:t>Conclusiones</w:t>
      </w:r>
    </w:p>
    <w:p>
      <w:pPr>
        <w:pStyle w:val="BodyText"/>
        <w:spacing w:line="360" w:lineRule="auto" w:before="137"/>
        <w:ind w:left="276" w:right="143"/>
        <w:jc w:val="both"/>
      </w:pPr>
      <w:r>
        <w:rPr/>
        <w:t>El desarrollo de técnicas y métodos para la mitigación de las emisiones de metano generado</w:t>
      </w:r>
      <w:r>
        <w:rPr>
          <w:spacing w:val="-12"/>
        </w:rPr>
        <w:t> </w:t>
      </w:r>
      <w:r>
        <w:rPr/>
        <w:t>por</w:t>
      </w:r>
      <w:r>
        <w:rPr>
          <w:spacing w:val="-12"/>
        </w:rPr>
        <w:t> </w:t>
      </w:r>
      <w:r>
        <w:rPr/>
        <w:t>el</w:t>
      </w:r>
      <w:r>
        <w:rPr>
          <w:spacing w:val="-12"/>
        </w:rPr>
        <w:t> </w:t>
      </w:r>
      <w:r>
        <w:rPr/>
        <w:t>ganado</w:t>
      </w:r>
      <w:r>
        <w:rPr>
          <w:spacing w:val="-12"/>
        </w:rPr>
        <w:t> </w:t>
      </w:r>
      <w:r>
        <w:rPr/>
        <w:t>son</w:t>
      </w:r>
      <w:r>
        <w:rPr>
          <w:spacing w:val="-12"/>
        </w:rPr>
        <w:t> </w:t>
      </w:r>
      <w:r>
        <w:rPr/>
        <w:t>posibles</w:t>
      </w:r>
      <w:r>
        <w:rPr>
          <w:spacing w:val="-12"/>
        </w:rPr>
        <w:t> </w:t>
      </w:r>
      <w:r>
        <w:rPr/>
        <w:t>y</w:t>
      </w:r>
      <w:r>
        <w:rPr>
          <w:spacing w:val="-12"/>
        </w:rPr>
        <w:t> </w:t>
      </w:r>
      <w:r>
        <w:rPr/>
        <w:t>deseables.</w:t>
      </w:r>
      <w:r>
        <w:rPr>
          <w:spacing w:val="-12"/>
        </w:rPr>
        <w:t> </w:t>
      </w:r>
      <w:r>
        <w:rPr/>
        <w:t>No</w:t>
      </w:r>
      <w:r>
        <w:rPr>
          <w:spacing w:val="-12"/>
        </w:rPr>
        <w:t> </w:t>
      </w:r>
      <w:r>
        <w:rPr/>
        <w:t>sólo</w:t>
      </w:r>
      <w:r>
        <w:rPr>
          <w:spacing w:val="-12"/>
        </w:rPr>
        <w:t> </w:t>
      </w:r>
      <w:r>
        <w:rPr/>
        <w:t>para</w:t>
      </w:r>
      <w:r>
        <w:rPr>
          <w:spacing w:val="-12"/>
        </w:rPr>
        <w:t> </w:t>
      </w:r>
      <w:r>
        <w:rPr/>
        <w:t>mejorar</w:t>
      </w:r>
      <w:r>
        <w:rPr>
          <w:spacing w:val="-12"/>
        </w:rPr>
        <w:t> </w:t>
      </w:r>
      <w:r>
        <w:rPr/>
        <w:t>la</w:t>
      </w:r>
      <w:r>
        <w:rPr>
          <w:spacing w:val="-12"/>
        </w:rPr>
        <w:t> </w:t>
      </w:r>
      <w:r>
        <w:rPr/>
        <w:t>eficiencia de</w:t>
      </w:r>
      <w:r>
        <w:rPr>
          <w:spacing w:val="-16"/>
        </w:rPr>
        <w:t> </w:t>
      </w:r>
      <w:r>
        <w:rPr/>
        <w:t>la</w:t>
      </w:r>
      <w:r>
        <w:rPr>
          <w:spacing w:val="-16"/>
        </w:rPr>
        <w:t> </w:t>
      </w:r>
      <w:r>
        <w:rPr/>
        <w:t>alimentación</w:t>
      </w:r>
      <w:r>
        <w:rPr>
          <w:spacing w:val="-16"/>
        </w:rPr>
        <w:t> </w:t>
      </w:r>
      <w:r>
        <w:rPr/>
        <w:t>y</w:t>
      </w:r>
      <w:r>
        <w:rPr>
          <w:spacing w:val="-16"/>
        </w:rPr>
        <w:t> </w:t>
      </w:r>
      <w:r>
        <w:rPr/>
        <w:t>la</w:t>
      </w:r>
      <w:r>
        <w:rPr>
          <w:spacing w:val="-16"/>
        </w:rPr>
        <w:t> </w:t>
      </w:r>
      <w:r>
        <w:rPr/>
        <w:t>productividad</w:t>
      </w:r>
      <w:r>
        <w:rPr>
          <w:spacing w:val="-16"/>
        </w:rPr>
        <w:t> </w:t>
      </w:r>
      <w:r>
        <w:rPr/>
        <w:t>de</w:t>
      </w:r>
      <w:r>
        <w:rPr>
          <w:spacing w:val="-16"/>
        </w:rPr>
        <w:t> </w:t>
      </w:r>
      <w:r>
        <w:rPr/>
        <w:t>los</w:t>
      </w:r>
      <w:r>
        <w:rPr>
          <w:spacing w:val="-16"/>
        </w:rPr>
        <w:t> </w:t>
      </w:r>
      <w:r>
        <w:rPr/>
        <w:t>animales,</w:t>
      </w:r>
      <w:r>
        <w:rPr>
          <w:spacing w:val="-16"/>
        </w:rPr>
        <w:t> </w:t>
      </w:r>
      <w:r>
        <w:rPr/>
        <w:t>sino</w:t>
      </w:r>
      <w:r>
        <w:rPr>
          <w:spacing w:val="-16"/>
        </w:rPr>
        <w:t> </w:t>
      </w:r>
      <w:r>
        <w:rPr/>
        <w:t>para</w:t>
      </w:r>
      <w:r>
        <w:rPr>
          <w:spacing w:val="-16"/>
        </w:rPr>
        <w:t> </w:t>
      </w:r>
      <w:r>
        <w:rPr/>
        <w:t>reducir</w:t>
      </w:r>
      <w:r>
        <w:rPr>
          <w:spacing w:val="-16"/>
        </w:rPr>
        <w:t> </w:t>
      </w:r>
      <w:r>
        <w:rPr/>
        <w:t>las</w:t>
      </w:r>
      <w:r>
        <w:rPr>
          <w:spacing w:val="-16"/>
        </w:rPr>
        <w:t> </w:t>
      </w:r>
      <w:r>
        <w:rPr/>
        <w:t>emisiones del</w:t>
      </w:r>
      <w:r>
        <w:rPr>
          <w:spacing w:val="-11"/>
        </w:rPr>
        <w:t> </w:t>
      </w:r>
      <w:r>
        <w:rPr/>
        <w:t>metano</w:t>
      </w:r>
      <w:r>
        <w:rPr>
          <w:spacing w:val="-11"/>
        </w:rPr>
        <w:t> </w:t>
      </w:r>
      <w:r>
        <w:rPr/>
        <w:t>en</w:t>
      </w:r>
      <w:r>
        <w:rPr>
          <w:spacing w:val="-11"/>
        </w:rPr>
        <w:t> </w:t>
      </w:r>
      <w:r>
        <w:rPr/>
        <w:t>los</w:t>
      </w:r>
      <w:r>
        <w:rPr>
          <w:spacing w:val="-11"/>
        </w:rPr>
        <w:t> </w:t>
      </w:r>
      <w:r>
        <w:rPr/>
        <w:t>inventarios</w:t>
      </w:r>
      <w:r>
        <w:rPr>
          <w:spacing w:val="-11"/>
        </w:rPr>
        <w:t> </w:t>
      </w:r>
      <w:r>
        <w:rPr/>
        <w:t>globales.</w:t>
      </w:r>
      <w:r>
        <w:rPr>
          <w:spacing w:val="-11"/>
        </w:rPr>
        <w:t> </w:t>
      </w:r>
      <w:r>
        <w:rPr/>
        <w:t>Por</w:t>
      </w:r>
      <w:r>
        <w:rPr>
          <w:spacing w:val="-11"/>
        </w:rPr>
        <w:t> </w:t>
      </w:r>
      <w:r>
        <w:rPr/>
        <w:t>lo</w:t>
      </w:r>
      <w:r>
        <w:rPr>
          <w:spacing w:val="-11"/>
        </w:rPr>
        <w:t> </w:t>
      </w:r>
      <w:r>
        <w:rPr/>
        <w:t>que</w:t>
      </w:r>
      <w:r>
        <w:rPr>
          <w:spacing w:val="-11"/>
        </w:rPr>
        <w:t> </w:t>
      </w:r>
      <w:r>
        <w:rPr/>
        <w:t>no</w:t>
      </w:r>
      <w:r>
        <w:rPr>
          <w:spacing w:val="-11"/>
        </w:rPr>
        <w:t> </w:t>
      </w:r>
      <w:r>
        <w:rPr/>
        <w:t>existen</w:t>
      </w:r>
      <w:r>
        <w:rPr>
          <w:spacing w:val="-11"/>
        </w:rPr>
        <w:t> </w:t>
      </w:r>
      <w:r>
        <w:rPr/>
        <w:t>metodologías</w:t>
      </w:r>
      <w:r>
        <w:rPr>
          <w:spacing w:val="-11"/>
        </w:rPr>
        <w:t> </w:t>
      </w:r>
      <w:r>
        <w:rPr/>
        <w:t>sencillas fáciles de implementar y estandarizar en cualquier laboratorio para efectuar investigaciones sobre la producción de metano </w:t>
      </w:r>
      <w:r>
        <w:rPr>
          <w:i/>
        </w:rPr>
        <w:t>in vitro </w:t>
      </w:r>
      <w:r>
        <w:rPr/>
        <w:t>o </w:t>
      </w:r>
      <w:r>
        <w:rPr>
          <w:i/>
        </w:rPr>
        <w:t>in</w:t>
      </w:r>
      <w:r>
        <w:rPr>
          <w:i/>
          <w:spacing w:val="-2"/>
        </w:rPr>
        <w:t> </w:t>
      </w:r>
      <w:r>
        <w:rPr>
          <w:i/>
        </w:rPr>
        <w:t>vivo</w:t>
      </w:r>
      <w:r>
        <w:rPr/>
        <w:t>.</w:t>
      </w:r>
    </w:p>
    <w:p>
      <w:pPr>
        <w:pStyle w:val="BodyText"/>
        <w:spacing w:line="360" w:lineRule="auto" w:before="7"/>
        <w:ind w:left="276" w:right="143"/>
        <w:jc w:val="both"/>
      </w:pPr>
      <w:r>
        <w:rPr/>
        <w:t>Todas las técnicas y métodos requieren de una cuidadosa atención antes de su aplicación. En este sentido, es muy importante un conocimiento profundo de las ventajas</w:t>
      </w:r>
      <w:r>
        <w:rPr>
          <w:spacing w:val="-7"/>
        </w:rPr>
        <w:t> </w:t>
      </w:r>
      <w:r>
        <w:rPr/>
        <w:t>y</w:t>
      </w:r>
      <w:r>
        <w:rPr>
          <w:spacing w:val="-7"/>
        </w:rPr>
        <w:t> </w:t>
      </w:r>
      <w:r>
        <w:rPr/>
        <w:t>desventajas</w:t>
      </w:r>
      <w:r>
        <w:rPr>
          <w:spacing w:val="-7"/>
        </w:rPr>
        <w:t> </w:t>
      </w:r>
      <w:r>
        <w:rPr/>
        <w:t>de</w:t>
      </w:r>
      <w:r>
        <w:rPr>
          <w:spacing w:val="-7"/>
        </w:rPr>
        <w:t> </w:t>
      </w:r>
      <w:r>
        <w:rPr/>
        <w:t>los</w:t>
      </w:r>
      <w:r>
        <w:rPr>
          <w:spacing w:val="-7"/>
        </w:rPr>
        <w:t> </w:t>
      </w:r>
      <w:r>
        <w:rPr/>
        <w:t>métodos</w:t>
      </w:r>
      <w:r>
        <w:rPr>
          <w:spacing w:val="-7"/>
        </w:rPr>
        <w:t> </w:t>
      </w:r>
      <w:r>
        <w:rPr/>
        <w:t>y</w:t>
      </w:r>
      <w:r>
        <w:rPr>
          <w:spacing w:val="-7"/>
        </w:rPr>
        <w:t> </w:t>
      </w:r>
      <w:r>
        <w:rPr/>
        <w:t>técnicas</w:t>
      </w:r>
      <w:r>
        <w:rPr>
          <w:spacing w:val="-7"/>
        </w:rPr>
        <w:t> </w:t>
      </w:r>
      <w:r>
        <w:rPr/>
        <w:t>experimentales</w:t>
      </w:r>
      <w:r>
        <w:rPr>
          <w:spacing w:val="-7"/>
        </w:rPr>
        <w:t> </w:t>
      </w:r>
      <w:r>
        <w:rPr/>
        <w:t>a</w:t>
      </w:r>
      <w:r>
        <w:rPr>
          <w:spacing w:val="-7"/>
        </w:rPr>
        <w:t> </w:t>
      </w:r>
      <w:r>
        <w:rPr/>
        <w:t>utilizar,</w:t>
      </w:r>
      <w:r>
        <w:rPr>
          <w:spacing w:val="-7"/>
        </w:rPr>
        <w:t> </w:t>
      </w:r>
      <w:r>
        <w:rPr/>
        <w:t>tanto</w:t>
      </w:r>
      <w:r>
        <w:rPr>
          <w:spacing w:val="-7"/>
        </w:rPr>
        <w:t> </w:t>
      </w:r>
      <w:r>
        <w:rPr/>
        <w:t>en la planificación de experimentos a desarrollar, como al momento de interpretar los resultados obtenidos en las investigaciones propias y de los resultados publicados por otros investigadores.</w:t>
      </w:r>
    </w:p>
    <w:p>
      <w:pPr>
        <w:spacing w:after="0" w:line="360" w:lineRule="auto"/>
        <w:jc w:val="both"/>
        <w:sectPr>
          <w:pgSz w:w="12240" w:h="15840"/>
          <w:pgMar w:header="741" w:footer="739" w:top="1220" w:bottom="920" w:left="1720" w:right="1260"/>
        </w:sectPr>
      </w:pPr>
    </w:p>
    <w:p>
      <w:pPr>
        <w:pStyle w:val="BodyText"/>
        <w:spacing w:before="4"/>
        <w:rPr>
          <w:sz w:val="11"/>
        </w:rPr>
      </w:pPr>
    </w:p>
    <w:p>
      <w:pPr>
        <w:pStyle w:val="Heading6"/>
        <w:spacing w:before="69"/>
        <w:jc w:val="left"/>
      </w:pPr>
      <w:r>
        <w:rPr/>
        <w:t>Literatura Citada</w:t>
      </w:r>
    </w:p>
    <w:p>
      <w:pPr>
        <w:pStyle w:val="BodyText"/>
        <w:rPr>
          <w:b/>
        </w:rPr>
      </w:pPr>
    </w:p>
    <w:p>
      <w:pPr>
        <w:pStyle w:val="BodyText"/>
        <w:spacing w:before="2"/>
        <w:rPr>
          <w:b/>
        </w:rPr>
      </w:pPr>
    </w:p>
    <w:p>
      <w:pPr>
        <w:spacing w:line="360" w:lineRule="auto" w:before="0"/>
        <w:ind w:left="1269" w:right="144" w:hanging="993"/>
        <w:jc w:val="both"/>
        <w:rPr>
          <w:sz w:val="24"/>
        </w:rPr>
      </w:pPr>
      <w:r>
        <w:rPr>
          <w:b/>
          <w:sz w:val="24"/>
        </w:rPr>
        <w:t>Beauchemin, K. A., Janzen, H. H., Little, S. M., Mcallister, T. A., Mcginn, S. M. 2010. </w:t>
      </w:r>
      <w:r>
        <w:rPr>
          <w:sz w:val="24"/>
        </w:rPr>
        <w:t>Life cycle assessment of greenhouse gas emissions from beef production in western Canada: A case study. Agricultural Systems, vol. 103, 2010, p. 371-379.</w:t>
      </w:r>
    </w:p>
    <w:p>
      <w:pPr>
        <w:spacing w:line="360" w:lineRule="auto" w:before="2"/>
        <w:ind w:left="1269" w:right="144" w:hanging="993"/>
        <w:jc w:val="both"/>
        <w:rPr>
          <w:sz w:val="24"/>
        </w:rPr>
      </w:pPr>
      <w:r>
        <w:rPr>
          <w:b/>
          <w:sz w:val="24"/>
        </w:rPr>
        <w:t>Berra G, Valtorta SE , Finster L, Mangano E, Barrera F, Fraigi L. 2007. </w:t>
      </w:r>
      <w:r>
        <w:rPr>
          <w:sz w:val="24"/>
        </w:rPr>
        <w:t>A</w:t>
      </w:r>
      <w:r>
        <w:rPr>
          <w:spacing w:val="-15"/>
          <w:sz w:val="24"/>
        </w:rPr>
        <w:t> </w:t>
      </w:r>
      <w:r>
        <w:rPr>
          <w:sz w:val="24"/>
        </w:rPr>
        <w:t>simple technique</w:t>
      </w:r>
      <w:r>
        <w:rPr>
          <w:spacing w:val="-16"/>
          <w:sz w:val="24"/>
        </w:rPr>
        <w:t> </w:t>
      </w:r>
      <w:r>
        <w:rPr>
          <w:sz w:val="24"/>
        </w:rPr>
        <w:t>for</w:t>
      </w:r>
      <w:r>
        <w:rPr>
          <w:spacing w:val="-16"/>
          <w:sz w:val="24"/>
        </w:rPr>
        <w:t> </w:t>
      </w:r>
      <w:r>
        <w:rPr>
          <w:sz w:val="24"/>
        </w:rPr>
        <w:t>measuring</w:t>
      </w:r>
      <w:r>
        <w:rPr>
          <w:spacing w:val="-16"/>
          <w:sz w:val="24"/>
        </w:rPr>
        <w:t> </w:t>
      </w:r>
      <w:r>
        <w:rPr>
          <w:sz w:val="24"/>
        </w:rPr>
        <w:t>enteric</w:t>
      </w:r>
      <w:r>
        <w:rPr>
          <w:spacing w:val="-16"/>
          <w:sz w:val="24"/>
        </w:rPr>
        <w:t> </w:t>
      </w:r>
      <w:r>
        <w:rPr>
          <w:sz w:val="24"/>
        </w:rPr>
        <w:t>methane</w:t>
      </w:r>
      <w:r>
        <w:rPr>
          <w:spacing w:val="-16"/>
          <w:sz w:val="24"/>
        </w:rPr>
        <w:t> </w:t>
      </w:r>
      <w:r>
        <w:rPr>
          <w:sz w:val="24"/>
        </w:rPr>
        <w:t>emissions</w:t>
      </w:r>
      <w:r>
        <w:rPr>
          <w:spacing w:val="-16"/>
          <w:sz w:val="24"/>
        </w:rPr>
        <w:t> </w:t>
      </w:r>
      <w:r>
        <w:rPr>
          <w:sz w:val="24"/>
        </w:rPr>
        <w:t>in</w:t>
      </w:r>
      <w:r>
        <w:rPr>
          <w:spacing w:val="-16"/>
          <w:sz w:val="24"/>
        </w:rPr>
        <w:t> </w:t>
      </w:r>
      <w:r>
        <w:rPr>
          <w:sz w:val="24"/>
        </w:rPr>
        <w:t>cows.</w:t>
      </w:r>
      <w:r>
        <w:rPr>
          <w:spacing w:val="-16"/>
          <w:sz w:val="24"/>
        </w:rPr>
        <w:t> </w:t>
      </w:r>
      <w:r>
        <w:rPr>
          <w:sz w:val="24"/>
        </w:rPr>
        <w:t>GGAAC.</w:t>
      </w:r>
      <w:r>
        <w:rPr>
          <w:spacing w:val="-16"/>
          <w:sz w:val="24"/>
        </w:rPr>
        <w:t> </w:t>
      </w:r>
      <w:r>
        <w:rPr>
          <w:sz w:val="24"/>
        </w:rPr>
        <w:t>New Zeland.</w:t>
      </w:r>
      <w:r>
        <w:rPr>
          <w:spacing w:val="-1"/>
          <w:sz w:val="24"/>
        </w:rPr>
        <w:t> </w:t>
      </w:r>
      <w:r>
        <w:rPr>
          <w:sz w:val="24"/>
        </w:rPr>
        <w:t>2007:xxvii-xxviii.</w:t>
      </w:r>
    </w:p>
    <w:p>
      <w:pPr>
        <w:spacing w:line="360" w:lineRule="auto" w:before="7"/>
        <w:ind w:left="1269" w:right="144" w:hanging="993"/>
        <w:jc w:val="both"/>
        <w:rPr>
          <w:sz w:val="24"/>
        </w:rPr>
      </w:pPr>
      <w:r>
        <w:rPr>
          <w:b/>
          <w:sz w:val="24"/>
        </w:rPr>
        <w:t>Bhatta, R. B., Nishi, O., Kurihara, M. 2007. </w:t>
      </w:r>
      <w:r>
        <w:rPr>
          <w:sz w:val="24"/>
        </w:rPr>
        <w:t>Measurement of Methane Production from Ruminants. Asian-Australian Journal of Animal Science. Vol. 20, 2007. pp. 1305-1318.</w:t>
      </w:r>
    </w:p>
    <w:p>
      <w:pPr>
        <w:spacing w:line="360" w:lineRule="auto" w:before="2"/>
        <w:ind w:left="1269" w:right="143" w:hanging="993"/>
        <w:jc w:val="both"/>
        <w:rPr>
          <w:sz w:val="24"/>
        </w:rPr>
      </w:pPr>
      <w:r>
        <w:rPr>
          <w:b/>
          <w:sz w:val="24"/>
        </w:rPr>
        <w:t>Bhatta,</w:t>
      </w:r>
      <w:r>
        <w:rPr>
          <w:b/>
          <w:spacing w:val="-13"/>
          <w:sz w:val="24"/>
        </w:rPr>
        <w:t> </w:t>
      </w:r>
      <w:r>
        <w:rPr>
          <w:b/>
          <w:sz w:val="24"/>
        </w:rPr>
        <w:t>R.</w:t>
      </w:r>
      <w:r>
        <w:rPr>
          <w:b/>
          <w:spacing w:val="-13"/>
          <w:sz w:val="24"/>
        </w:rPr>
        <w:t> </w:t>
      </w:r>
      <w:r>
        <w:rPr>
          <w:b/>
          <w:sz w:val="24"/>
        </w:rPr>
        <w:t>B.,</w:t>
      </w:r>
      <w:r>
        <w:rPr>
          <w:b/>
          <w:spacing w:val="-13"/>
          <w:sz w:val="24"/>
        </w:rPr>
        <w:t> </w:t>
      </w:r>
      <w:r>
        <w:rPr>
          <w:b/>
          <w:sz w:val="24"/>
        </w:rPr>
        <w:t>Enishi,</w:t>
      </w:r>
      <w:r>
        <w:rPr>
          <w:b/>
          <w:spacing w:val="-13"/>
          <w:sz w:val="24"/>
        </w:rPr>
        <w:t> </w:t>
      </w:r>
      <w:r>
        <w:rPr>
          <w:b/>
          <w:sz w:val="24"/>
        </w:rPr>
        <w:t>O.,</w:t>
      </w:r>
      <w:r>
        <w:rPr>
          <w:b/>
          <w:spacing w:val="-13"/>
          <w:sz w:val="24"/>
        </w:rPr>
        <w:t> </w:t>
      </w:r>
      <w:r>
        <w:rPr>
          <w:b/>
          <w:sz w:val="24"/>
        </w:rPr>
        <w:t>Takusari,</w:t>
      </w:r>
      <w:r>
        <w:rPr>
          <w:b/>
          <w:spacing w:val="-13"/>
          <w:sz w:val="24"/>
        </w:rPr>
        <w:t> </w:t>
      </w:r>
      <w:r>
        <w:rPr>
          <w:b/>
          <w:sz w:val="24"/>
        </w:rPr>
        <w:t>N.,</w:t>
      </w:r>
      <w:r>
        <w:rPr>
          <w:b/>
          <w:spacing w:val="-13"/>
          <w:sz w:val="24"/>
        </w:rPr>
        <w:t> </w:t>
      </w:r>
      <w:r>
        <w:rPr>
          <w:b/>
          <w:sz w:val="24"/>
        </w:rPr>
        <w:t>Higuchi,</w:t>
      </w:r>
      <w:r>
        <w:rPr>
          <w:b/>
          <w:spacing w:val="-13"/>
          <w:sz w:val="24"/>
        </w:rPr>
        <w:t> </w:t>
      </w:r>
      <w:r>
        <w:rPr>
          <w:b/>
          <w:sz w:val="24"/>
        </w:rPr>
        <w:t>K.,</w:t>
      </w:r>
      <w:r>
        <w:rPr>
          <w:b/>
          <w:spacing w:val="-13"/>
          <w:sz w:val="24"/>
        </w:rPr>
        <w:t> </w:t>
      </w:r>
      <w:r>
        <w:rPr>
          <w:b/>
          <w:sz w:val="24"/>
        </w:rPr>
        <w:t>Nonaka,</w:t>
      </w:r>
      <w:r>
        <w:rPr>
          <w:b/>
          <w:spacing w:val="-13"/>
          <w:sz w:val="24"/>
        </w:rPr>
        <w:t> </w:t>
      </w:r>
      <w:r>
        <w:rPr>
          <w:b/>
          <w:sz w:val="24"/>
        </w:rPr>
        <w:t>I.,</w:t>
      </w:r>
      <w:r>
        <w:rPr>
          <w:b/>
          <w:spacing w:val="-13"/>
          <w:sz w:val="24"/>
        </w:rPr>
        <w:t> </w:t>
      </w:r>
      <w:r>
        <w:rPr>
          <w:b/>
          <w:sz w:val="24"/>
        </w:rPr>
        <w:t>Kurihara,</w:t>
      </w:r>
      <w:r>
        <w:rPr>
          <w:b/>
          <w:spacing w:val="-13"/>
          <w:sz w:val="24"/>
        </w:rPr>
        <w:t> </w:t>
      </w:r>
      <w:r>
        <w:rPr>
          <w:b/>
          <w:sz w:val="24"/>
        </w:rPr>
        <w:t>M.</w:t>
      </w:r>
      <w:r>
        <w:rPr>
          <w:b/>
          <w:spacing w:val="-13"/>
          <w:sz w:val="24"/>
        </w:rPr>
        <w:t> </w:t>
      </w:r>
      <w:r>
        <w:rPr>
          <w:b/>
          <w:sz w:val="24"/>
        </w:rPr>
        <w:t>2008. </w:t>
      </w:r>
      <w:r>
        <w:rPr>
          <w:sz w:val="24"/>
        </w:rPr>
        <w:t>Dieteffectson methane production by goats and a comparison between measurement methodologies. Journal of Agricultural Science, vol. 146, 2008, p.</w:t>
      </w:r>
      <w:r>
        <w:rPr>
          <w:spacing w:val="-6"/>
          <w:sz w:val="24"/>
        </w:rPr>
        <w:t> </w:t>
      </w:r>
      <w:r>
        <w:rPr>
          <w:sz w:val="24"/>
        </w:rPr>
        <w:t>70-715.</w:t>
      </w:r>
    </w:p>
    <w:p>
      <w:pPr>
        <w:spacing w:line="360" w:lineRule="auto" w:before="2"/>
        <w:ind w:left="1269" w:right="143" w:hanging="993"/>
        <w:jc w:val="both"/>
        <w:rPr>
          <w:sz w:val="24"/>
        </w:rPr>
      </w:pPr>
      <w:r>
        <w:rPr>
          <w:b/>
          <w:sz w:val="24"/>
        </w:rPr>
        <w:t>Bjerg, B., Zhang, G., Madsen, J., Rom, H.B. 2012. </w:t>
      </w:r>
      <w:r>
        <w:rPr>
          <w:sz w:val="24"/>
        </w:rPr>
        <w:t>Methane emission from naturally ventilated livestock buildings can easily be determined from gas concentration measurements. Environ. Monit. Assess. 2012, doi: 10. 1007/s10661-011-2397-8.</w:t>
      </w:r>
    </w:p>
    <w:p>
      <w:pPr>
        <w:spacing w:before="2"/>
        <w:ind w:left="276" w:right="0" w:firstLine="0"/>
        <w:jc w:val="left"/>
        <w:rPr>
          <w:sz w:val="24"/>
        </w:rPr>
      </w:pPr>
      <w:r>
        <w:rPr>
          <w:b/>
          <w:sz w:val="24"/>
        </w:rPr>
        <w:t>Blaxter, K. L. 1962. </w:t>
      </w:r>
      <w:r>
        <w:rPr>
          <w:sz w:val="24"/>
        </w:rPr>
        <w:t>The Energy Metabolism of Ruminants. London, Hutchinson.</w:t>
      </w:r>
    </w:p>
    <w:p>
      <w:pPr>
        <w:pStyle w:val="BodyText"/>
        <w:spacing w:line="360" w:lineRule="auto" w:before="141"/>
        <w:ind w:left="1269" w:right="145" w:hanging="993"/>
        <w:jc w:val="both"/>
      </w:pPr>
      <w:r>
        <w:rPr>
          <w:b/>
        </w:rPr>
        <w:t>Bonilla, C. J. A., Lemus, F. C. 2012. </w:t>
      </w:r>
      <w:r>
        <w:rPr/>
        <w:t>Emisión de metano entérico por rumiantes y su contribución al calentamiento global y al cambio climático. Revisión. Rev Mex Cienc Pecu. 2012; 3(2):215-246.</w:t>
      </w:r>
    </w:p>
    <w:p>
      <w:pPr>
        <w:spacing w:line="360" w:lineRule="auto" w:before="2"/>
        <w:ind w:left="1269" w:right="144" w:hanging="993"/>
        <w:jc w:val="both"/>
        <w:rPr>
          <w:sz w:val="24"/>
        </w:rPr>
      </w:pPr>
      <w:r>
        <w:rPr>
          <w:b/>
          <w:sz w:val="24"/>
        </w:rPr>
        <w:t>Brown,</w:t>
      </w:r>
      <w:r>
        <w:rPr>
          <w:b/>
          <w:spacing w:val="-7"/>
          <w:sz w:val="24"/>
        </w:rPr>
        <w:t> </w:t>
      </w:r>
      <w:r>
        <w:rPr>
          <w:b/>
          <w:sz w:val="24"/>
        </w:rPr>
        <w:t>D.,</w:t>
      </w:r>
      <w:r>
        <w:rPr>
          <w:b/>
          <w:spacing w:val="-7"/>
          <w:sz w:val="24"/>
        </w:rPr>
        <w:t> </w:t>
      </w:r>
      <w:r>
        <w:rPr>
          <w:b/>
          <w:sz w:val="24"/>
        </w:rPr>
        <w:t>Cole,</w:t>
      </w:r>
      <w:r>
        <w:rPr>
          <w:b/>
          <w:spacing w:val="-7"/>
          <w:sz w:val="24"/>
        </w:rPr>
        <w:t> </w:t>
      </w:r>
      <w:r>
        <w:rPr>
          <w:b/>
          <w:sz w:val="24"/>
        </w:rPr>
        <w:t>T.</w:t>
      </w:r>
      <w:r>
        <w:rPr>
          <w:b/>
          <w:spacing w:val="-7"/>
          <w:sz w:val="24"/>
        </w:rPr>
        <w:t> </w:t>
      </w:r>
      <w:r>
        <w:rPr>
          <w:b/>
          <w:sz w:val="24"/>
        </w:rPr>
        <w:t>J.,</w:t>
      </w:r>
      <w:r>
        <w:rPr>
          <w:b/>
          <w:spacing w:val="-7"/>
          <w:sz w:val="24"/>
        </w:rPr>
        <w:t> </w:t>
      </w:r>
      <w:r>
        <w:rPr>
          <w:b/>
          <w:sz w:val="24"/>
        </w:rPr>
        <w:t>Dauncey,</w:t>
      </w:r>
      <w:r>
        <w:rPr>
          <w:b/>
          <w:spacing w:val="-7"/>
          <w:sz w:val="24"/>
        </w:rPr>
        <w:t> </w:t>
      </w:r>
      <w:r>
        <w:rPr>
          <w:b/>
          <w:sz w:val="24"/>
        </w:rPr>
        <w:t>M.</w:t>
      </w:r>
      <w:r>
        <w:rPr>
          <w:b/>
          <w:spacing w:val="-7"/>
          <w:sz w:val="24"/>
        </w:rPr>
        <w:t> </w:t>
      </w:r>
      <w:r>
        <w:rPr>
          <w:b/>
          <w:sz w:val="24"/>
        </w:rPr>
        <w:t>J.,</w:t>
      </w:r>
      <w:r>
        <w:rPr>
          <w:b/>
          <w:spacing w:val="-7"/>
          <w:sz w:val="24"/>
        </w:rPr>
        <w:t> </w:t>
      </w:r>
      <w:r>
        <w:rPr>
          <w:b/>
          <w:sz w:val="24"/>
        </w:rPr>
        <w:t>Marrs,</w:t>
      </w:r>
      <w:r>
        <w:rPr>
          <w:b/>
          <w:spacing w:val="-7"/>
          <w:sz w:val="24"/>
        </w:rPr>
        <w:t> </w:t>
      </w:r>
      <w:r>
        <w:rPr>
          <w:b/>
          <w:sz w:val="24"/>
        </w:rPr>
        <w:t>R.</w:t>
      </w:r>
      <w:r>
        <w:rPr>
          <w:b/>
          <w:spacing w:val="-7"/>
          <w:sz w:val="24"/>
        </w:rPr>
        <w:t> </w:t>
      </w:r>
      <w:r>
        <w:rPr>
          <w:b/>
          <w:sz w:val="24"/>
        </w:rPr>
        <w:t>W.</w:t>
      </w:r>
      <w:r>
        <w:rPr>
          <w:b/>
          <w:spacing w:val="-7"/>
          <w:sz w:val="24"/>
        </w:rPr>
        <w:t> </w:t>
      </w:r>
      <w:r>
        <w:rPr>
          <w:b/>
          <w:sz w:val="24"/>
        </w:rPr>
        <w:t>and</w:t>
      </w:r>
      <w:r>
        <w:rPr>
          <w:b/>
          <w:spacing w:val="-7"/>
          <w:sz w:val="24"/>
        </w:rPr>
        <w:t> </w:t>
      </w:r>
      <w:r>
        <w:rPr>
          <w:b/>
          <w:sz w:val="24"/>
        </w:rPr>
        <w:t>Murgatroyd,</w:t>
      </w:r>
      <w:r>
        <w:rPr>
          <w:b/>
          <w:spacing w:val="-7"/>
          <w:sz w:val="24"/>
        </w:rPr>
        <w:t> </w:t>
      </w:r>
      <w:r>
        <w:rPr>
          <w:b/>
          <w:sz w:val="24"/>
        </w:rPr>
        <w:t>P.</w:t>
      </w:r>
      <w:r>
        <w:rPr>
          <w:b/>
          <w:spacing w:val="-7"/>
          <w:sz w:val="24"/>
        </w:rPr>
        <w:t> </w:t>
      </w:r>
      <w:r>
        <w:rPr>
          <w:b/>
          <w:sz w:val="24"/>
        </w:rPr>
        <w:t>R.</w:t>
      </w:r>
      <w:r>
        <w:rPr>
          <w:b/>
          <w:spacing w:val="-7"/>
          <w:sz w:val="24"/>
        </w:rPr>
        <w:t> </w:t>
      </w:r>
      <w:r>
        <w:rPr>
          <w:b/>
          <w:sz w:val="24"/>
        </w:rPr>
        <w:t>1984. </w:t>
      </w:r>
      <w:r>
        <w:rPr>
          <w:sz w:val="24"/>
        </w:rPr>
        <w:t>Analysis of gaseous exchange in open-circuit indirect calorimetry. Medical and Biological Engineering and Computing 22,</w:t>
      </w:r>
      <w:r>
        <w:rPr>
          <w:spacing w:val="-1"/>
          <w:sz w:val="24"/>
        </w:rPr>
        <w:t> </w:t>
      </w:r>
      <w:r>
        <w:rPr>
          <w:sz w:val="24"/>
        </w:rPr>
        <w:t>333-338.</w:t>
      </w:r>
    </w:p>
    <w:p>
      <w:pPr>
        <w:spacing w:line="369" w:lineRule="auto" w:before="2"/>
        <w:ind w:left="1269" w:right="144" w:hanging="993"/>
        <w:jc w:val="both"/>
        <w:rPr>
          <w:sz w:val="24"/>
        </w:rPr>
      </w:pPr>
      <w:r>
        <w:rPr>
          <w:b/>
          <w:sz w:val="24"/>
        </w:rPr>
        <w:t>Carmona,</w:t>
      </w:r>
      <w:r>
        <w:rPr>
          <w:b/>
          <w:spacing w:val="-16"/>
          <w:sz w:val="24"/>
        </w:rPr>
        <w:t> </w:t>
      </w:r>
      <w:r>
        <w:rPr>
          <w:b/>
          <w:sz w:val="24"/>
        </w:rPr>
        <w:t>J.</w:t>
      </w:r>
      <w:r>
        <w:rPr>
          <w:b/>
          <w:spacing w:val="-16"/>
          <w:sz w:val="24"/>
        </w:rPr>
        <w:t> </w:t>
      </w:r>
      <w:r>
        <w:rPr>
          <w:b/>
          <w:sz w:val="24"/>
        </w:rPr>
        <w:t>C.,</w:t>
      </w:r>
      <w:r>
        <w:rPr>
          <w:b/>
          <w:spacing w:val="-16"/>
          <w:sz w:val="24"/>
        </w:rPr>
        <w:t> </w:t>
      </w:r>
      <w:r>
        <w:rPr>
          <w:b/>
          <w:sz w:val="24"/>
        </w:rPr>
        <w:t>Bolivar,</w:t>
      </w:r>
      <w:r>
        <w:rPr>
          <w:b/>
          <w:spacing w:val="-16"/>
          <w:sz w:val="24"/>
        </w:rPr>
        <w:t> </w:t>
      </w:r>
      <w:r>
        <w:rPr>
          <w:b/>
          <w:sz w:val="24"/>
        </w:rPr>
        <w:t>D.</w:t>
      </w:r>
      <w:r>
        <w:rPr>
          <w:b/>
          <w:spacing w:val="-16"/>
          <w:sz w:val="24"/>
        </w:rPr>
        <w:t> </w:t>
      </w:r>
      <w:r>
        <w:rPr>
          <w:b/>
          <w:sz w:val="24"/>
        </w:rPr>
        <w:t>M.,</w:t>
      </w:r>
      <w:r>
        <w:rPr>
          <w:b/>
          <w:spacing w:val="-16"/>
          <w:sz w:val="24"/>
        </w:rPr>
        <w:t> </w:t>
      </w:r>
      <w:r>
        <w:rPr>
          <w:b/>
          <w:sz w:val="24"/>
        </w:rPr>
        <w:t>Giraldo,</w:t>
      </w:r>
      <w:r>
        <w:rPr>
          <w:b/>
          <w:spacing w:val="-16"/>
          <w:sz w:val="24"/>
        </w:rPr>
        <w:t> </w:t>
      </w:r>
      <w:r>
        <w:rPr>
          <w:b/>
          <w:sz w:val="24"/>
        </w:rPr>
        <w:t>L.</w:t>
      </w:r>
      <w:r>
        <w:rPr>
          <w:b/>
          <w:spacing w:val="-16"/>
          <w:sz w:val="24"/>
        </w:rPr>
        <w:t> </w:t>
      </w:r>
      <w:r>
        <w:rPr>
          <w:b/>
          <w:sz w:val="24"/>
        </w:rPr>
        <w:t>A.</w:t>
      </w:r>
      <w:r>
        <w:rPr>
          <w:b/>
          <w:spacing w:val="-16"/>
          <w:sz w:val="24"/>
        </w:rPr>
        <w:t> </w:t>
      </w:r>
      <w:r>
        <w:rPr>
          <w:b/>
          <w:sz w:val="24"/>
        </w:rPr>
        <w:t>2005.</w:t>
      </w:r>
      <w:r>
        <w:rPr>
          <w:b/>
          <w:spacing w:val="-16"/>
          <w:sz w:val="24"/>
        </w:rPr>
        <w:t> </w:t>
      </w:r>
      <w:r>
        <w:rPr>
          <w:sz w:val="24"/>
        </w:rPr>
        <w:t>El</w:t>
      </w:r>
      <w:r>
        <w:rPr>
          <w:spacing w:val="-16"/>
          <w:sz w:val="24"/>
        </w:rPr>
        <w:t> </w:t>
      </w:r>
      <w:r>
        <w:rPr>
          <w:sz w:val="24"/>
        </w:rPr>
        <w:t>gas</w:t>
      </w:r>
      <w:r>
        <w:rPr>
          <w:spacing w:val="-16"/>
          <w:sz w:val="24"/>
        </w:rPr>
        <w:t> </w:t>
      </w:r>
      <w:r>
        <w:rPr>
          <w:sz w:val="24"/>
        </w:rPr>
        <w:t>metano</w:t>
      </w:r>
      <w:r>
        <w:rPr>
          <w:spacing w:val="-16"/>
          <w:sz w:val="24"/>
        </w:rPr>
        <w:t> </w:t>
      </w:r>
      <w:r>
        <w:rPr>
          <w:sz w:val="24"/>
        </w:rPr>
        <w:t>en</w:t>
      </w:r>
      <w:r>
        <w:rPr>
          <w:spacing w:val="-16"/>
          <w:sz w:val="24"/>
        </w:rPr>
        <w:t> </w:t>
      </w:r>
      <w:r>
        <w:rPr>
          <w:sz w:val="24"/>
        </w:rPr>
        <w:t>la</w:t>
      </w:r>
      <w:r>
        <w:rPr>
          <w:spacing w:val="-16"/>
          <w:sz w:val="24"/>
        </w:rPr>
        <w:t> </w:t>
      </w:r>
      <w:r>
        <w:rPr>
          <w:sz w:val="24"/>
        </w:rPr>
        <w:t>producción ganadera y alternativas para medir sus emisiones y aminorar su impacto a nivel ambiental  y productivo. Rev. Col. Cienc. Pec. Vol. 18:1. pp.</w:t>
      </w:r>
      <w:r>
        <w:rPr>
          <w:spacing w:val="-37"/>
          <w:sz w:val="24"/>
        </w:rPr>
        <w:t> </w:t>
      </w:r>
      <w:r>
        <w:rPr>
          <w:sz w:val="24"/>
        </w:rPr>
        <w:t>49-63.</w:t>
      </w:r>
    </w:p>
    <w:p>
      <w:pPr>
        <w:spacing w:after="0" w:line="369" w:lineRule="auto"/>
        <w:jc w:val="both"/>
        <w:rPr>
          <w:sz w:val="24"/>
        </w:rPr>
        <w:sectPr>
          <w:pgSz w:w="12240" w:h="15840"/>
          <w:pgMar w:header="741" w:footer="739" w:top="1220" w:bottom="920" w:left="1720" w:right="1260"/>
        </w:sectPr>
      </w:pPr>
    </w:p>
    <w:p>
      <w:pPr>
        <w:pStyle w:val="BodyText"/>
        <w:spacing w:before="4"/>
        <w:rPr>
          <w:sz w:val="11"/>
        </w:rPr>
      </w:pPr>
    </w:p>
    <w:p>
      <w:pPr>
        <w:spacing w:line="360" w:lineRule="auto" w:before="69"/>
        <w:ind w:left="1269" w:right="144" w:hanging="993"/>
        <w:jc w:val="both"/>
        <w:rPr>
          <w:sz w:val="24"/>
        </w:rPr>
      </w:pPr>
      <w:r>
        <w:rPr>
          <w:b/>
          <w:sz w:val="24"/>
        </w:rPr>
        <w:t>Cone, J. W., Gelder, A. H. van, Visscher, G. J. W. and Oudshoorn, L. 1996. </w:t>
      </w:r>
      <w:r>
        <w:rPr>
          <w:sz w:val="24"/>
        </w:rPr>
        <w:t>Influence of rumen fluid substrate concentration on fermentation kinetics measured with a fully automated time related gas production apparatus. Animal Feed Science and Technology 61, 113-128.</w:t>
      </w:r>
    </w:p>
    <w:p>
      <w:pPr>
        <w:spacing w:line="360" w:lineRule="auto" w:before="2"/>
        <w:ind w:left="1269" w:right="144" w:hanging="993"/>
        <w:jc w:val="both"/>
        <w:rPr>
          <w:sz w:val="24"/>
        </w:rPr>
      </w:pPr>
      <w:r>
        <w:rPr>
          <w:b/>
          <w:sz w:val="24"/>
        </w:rPr>
        <w:t>Czerkawski,</w:t>
      </w:r>
      <w:r>
        <w:rPr>
          <w:b/>
          <w:spacing w:val="-13"/>
          <w:sz w:val="24"/>
        </w:rPr>
        <w:t> </w:t>
      </w:r>
      <w:r>
        <w:rPr>
          <w:b/>
          <w:sz w:val="24"/>
        </w:rPr>
        <w:t>J.</w:t>
      </w:r>
      <w:r>
        <w:rPr>
          <w:b/>
          <w:spacing w:val="-13"/>
          <w:sz w:val="24"/>
        </w:rPr>
        <w:t> </w:t>
      </w:r>
      <w:r>
        <w:rPr>
          <w:b/>
          <w:sz w:val="24"/>
        </w:rPr>
        <w:t>W.</w:t>
      </w:r>
      <w:r>
        <w:rPr>
          <w:b/>
          <w:spacing w:val="-13"/>
          <w:sz w:val="24"/>
        </w:rPr>
        <w:t> </w:t>
      </w:r>
      <w:r>
        <w:rPr>
          <w:b/>
          <w:sz w:val="24"/>
        </w:rPr>
        <w:t>And</w:t>
      </w:r>
      <w:r>
        <w:rPr>
          <w:b/>
          <w:spacing w:val="-13"/>
          <w:sz w:val="24"/>
        </w:rPr>
        <w:t> </w:t>
      </w:r>
      <w:r>
        <w:rPr>
          <w:b/>
          <w:sz w:val="24"/>
        </w:rPr>
        <w:t>G.</w:t>
      </w:r>
      <w:r>
        <w:rPr>
          <w:b/>
          <w:spacing w:val="-13"/>
          <w:sz w:val="24"/>
        </w:rPr>
        <w:t> </w:t>
      </w:r>
      <w:r>
        <w:rPr>
          <w:b/>
          <w:sz w:val="24"/>
        </w:rPr>
        <w:t>Breckenridge.</w:t>
      </w:r>
      <w:r>
        <w:rPr>
          <w:b/>
          <w:spacing w:val="-13"/>
          <w:sz w:val="24"/>
        </w:rPr>
        <w:t> </w:t>
      </w:r>
      <w:r>
        <w:rPr>
          <w:b/>
          <w:sz w:val="24"/>
        </w:rPr>
        <w:t>1977.</w:t>
      </w:r>
      <w:r>
        <w:rPr>
          <w:b/>
          <w:spacing w:val="-13"/>
          <w:sz w:val="24"/>
        </w:rPr>
        <w:t> </w:t>
      </w:r>
      <w:r>
        <w:rPr>
          <w:sz w:val="24"/>
        </w:rPr>
        <w:t>Design</w:t>
      </w:r>
      <w:r>
        <w:rPr>
          <w:spacing w:val="-13"/>
          <w:sz w:val="24"/>
        </w:rPr>
        <w:t> </w:t>
      </w:r>
      <w:r>
        <w:rPr>
          <w:sz w:val="24"/>
        </w:rPr>
        <w:t>and</w:t>
      </w:r>
      <w:r>
        <w:rPr>
          <w:spacing w:val="-13"/>
          <w:sz w:val="24"/>
        </w:rPr>
        <w:t> </w:t>
      </w:r>
      <w:r>
        <w:rPr>
          <w:sz w:val="24"/>
        </w:rPr>
        <w:t>development</w:t>
      </w:r>
      <w:r>
        <w:rPr>
          <w:spacing w:val="-13"/>
          <w:sz w:val="24"/>
        </w:rPr>
        <w:t> </w:t>
      </w:r>
      <w:r>
        <w:rPr>
          <w:sz w:val="24"/>
        </w:rPr>
        <w:t>of</w:t>
      </w:r>
      <w:r>
        <w:rPr>
          <w:spacing w:val="-13"/>
          <w:sz w:val="24"/>
        </w:rPr>
        <w:t> </w:t>
      </w:r>
      <w:r>
        <w:rPr>
          <w:sz w:val="24"/>
        </w:rPr>
        <w:t>a</w:t>
      </w:r>
      <w:r>
        <w:rPr>
          <w:spacing w:val="-13"/>
          <w:sz w:val="24"/>
        </w:rPr>
        <w:t> </w:t>
      </w:r>
      <w:r>
        <w:rPr>
          <w:sz w:val="24"/>
        </w:rPr>
        <w:t>long- term</w:t>
      </w:r>
      <w:r>
        <w:rPr>
          <w:spacing w:val="-11"/>
          <w:sz w:val="24"/>
        </w:rPr>
        <w:t> </w:t>
      </w:r>
      <w:r>
        <w:rPr>
          <w:sz w:val="24"/>
        </w:rPr>
        <w:t>rumen</w:t>
      </w:r>
      <w:r>
        <w:rPr>
          <w:spacing w:val="-11"/>
          <w:sz w:val="24"/>
        </w:rPr>
        <w:t> </w:t>
      </w:r>
      <w:r>
        <w:rPr>
          <w:sz w:val="24"/>
        </w:rPr>
        <w:t>simulation</w:t>
      </w:r>
      <w:r>
        <w:rPr>
          <w:spacing w:val="-11"/>
          <w:sz w:val="24"/>
        </w:rPr>
        <w:t> </w:t>
      </w:r>
      <w:r>
        <w:rPr>
          <w:sz w:val="24"/>
        </w:rPr>
        <w:t>technique</w:t>
      </w:r>
      <w:r>
        <w:rPr>
          <w:spacing w:val="-11"/>
          <w:sz w:val="24"/>
        </w:rPr>
        <w:t> </w:t>
      </w:r>
      <w:r>
        <w:rPr>
          <w:sz w:val="24"/>
        </w:rPr>
        <w:t>(Rusitec).</w:t>
      </w:r>
      <w:r>
        <w:rPr>
          <w:spacing w:val="-11"/>
          <w:sz w:val="24"/>
        </w:rPr>
        <w:t> </w:t>
      </w:r>
      <w:r>
        <w:rPr>
          <w:sz w:val="24"/>
        </w:rPr>
        <w:t>British</w:t>
      </w:r>
      <w:r>
        <w:rPr>
          <w:spacing w:val="-11"/>
          <w:sz w:val="24"/>
        </w:rPr>
        <w:t> </w:t>
      </w:r>
      <w:r>
        <w:rPr>
          <w:sz w:val="24"/>
        </w:rPr>
        <w:t>Journal</w:t>
      </w:r>
      <w:r>
        <w:rPr>
          <w:spacing w:val="-11"/>
          <w:sz w:val="24"/>
        </w:rPr>
        <w:t> </w:t>
      </w:r>
      <w:r>
        <w:rPr>
          <w:sz w:val="24"/>
        </w:rPr>
        <w:t>of</w:t>
      </w:r>
      <w:r>
        <w:rPr>
          <w:spacing w:val="-11"/>
          <w:sz w:val="24"/>
        </w:rPr>
        <w:t> </w:t>
      </w:r>
      <w:r>
        <w:rPr>
          <w:sz w:val="24"/>
        </w:rPr>
        <w:t>Nutrition.</w:t>
      </w:r>
      <w:r>
        <w:rPr>
          <w:spacing w:val="-11"/>
          <w:sz w:val="24"/>
        </w:rPr>
        <w:t> </w:t>
      </w:r>
      <w:r>
        <w:rPr>
          <w:sz w:val="24"/>
        </w:rPr>
        <w:t>Vol. 38:</w:t>
      </w:r>
      <w:r>
        <w:rPr>
          <w:spacing w:val="-3"/>
          <w:sz w:val="24"/>
        </w:rPr>
        <w:t> </w:t>
      </w:r>
      <w:r>
        <w:rPr>
          <w:sz w:val="24"/>
        </w:rPr>
        <w:t>371-384.</w:t>
      </w:r>
    </w:p>
    <w:p>
      <w:pPr>
        <w:spacing w:line="360" w:lineRule="auto" w:before="2"/>
        <w:ind w:left="1269" w:right="145" w:hanging="993"/>
        <w:jc w:val="both"/>
        <w:rPr>
          <w:sz w:val="24"/>
        </w:rPr>
      </w:pPr>
      <w:r>
        <w:rPr>
          <w:b/>
          <w:sz w:val="24"/>
        </w:rPr>
        <w:t>Charmley, E., Stephensand, M. L., Kennedy, P. M. 2008. </w:t>
      </w:r>
      <w:r>
        <w:rPr>
          <w:sz w:val="24"/>
        </w:rPr>
        <w:t>Predicting livestock productivity and methane emissions in northern Australia: development of a bio-economic modelling approach. Australian Journal of Experimental Agriculture, vol. 48, 2008, p. 109-113.</w:t>
      </w:r>
    </w:p>
    <w:p>
      <w:pPr>
        <w:spacing w:line="360" w:lineRule="auto" w:before="2"/>
        <w:ind w:left="1269" w:right="144" w:hanging="993"/>
        <w:jc w:val="both"/>
        <w:rPr>
          <w:sz w:val="24"/>
        </w:rPr>
      </w:pPr>
      <w:r>
        <w:rPr>
          <w:b/>
          <w:sz w:val="24"/>
        </w:rPr>
        <w:t>Dijkstra,</w:t>
      </w:r>
      <w:r>
        <w:rPr>
          <w:b/>
          <w:spacing w:val="-5"/>
          <w:sz w:val="24"/>
        </w:rPr>
        <w:t> </w:t>
      </w:r>
      <w:r>
        <w:rPr>
          <w:b/>
          <w:sz w:val="24"/>
        </w:rPr>
        <w:t>J.,</w:t>
      </w:r>
      <w:r>
        <w:rPr>
          <w:b/>
          <w:spacing w:val="-5"/>
          <w:sz w:val="24"/>
        </w:rPr>
        <w:t> </w:t>
      </w:r>
      <w:r>
        <w:rPr>
          <w:b/>
          <w:sz w:val="24"/>
        </w:rPr>
        <w:t>Kebreab,</w:t>
      </w:r>
      <w:r>
        <w:rPr>
          <w:b/>
          <w:spacing w:val="-5"/>
          <w:sz w:val="24"/>
        </w:rPr>
        <w:t> </w:t>
      </w:r>
      <w:r>
        <w:rPr>
          <w:b/>
          <w:sz w:val="24"/>
        </w:rPr>
        <w:t>E.,</w:t>
      </w:r>
      <w:r>
        <w:rPr>
          <w:b/>
          <w:spacing w:val="-5"/>
          <w:sz w:val="24"/>
        </w:rPr>
        <w:t> </w:t>
      </w:r>
      <w:r>
        <w:rPr>
          <w:b/>
          <w:sz w:val="24"/>
        </w:rPr>
        <w:t>Bannink,</w:t>
      </w:r>
      <w:r>
        <w:rPr>
          <w:b/>
          <w:spacing w:val="-5"/>
          <w:sz w:val="24"/>
        </w:rPr>
        <w:t> </w:t>
      </w:r>
      <w:r>
        <w:rPr>
          <w:b/>
          <w:sz w:val="24"/>
        </w:rPr>
        <w:t>A.,</w:t>
      </w:r>
      <w:r>
        <w:rPr>
          <w:b/>
          <w:spacing w:val="-5"/>
          <w:sz w:val="24"/>
        </w:rPr>
        <w:t> </w:t>
      </w:r>
      <w:r>
        <w:rPr>
          <w:b/>
          <w:sz w:val="24"/>
        </w:rPr>
        <w:t>France,</w:t>
      </w:r>
      <w:r>
        <w:rPr>
          <w:b/>
          <w:spacing w:val="-5"/>
          <w:sz w:val="24"/>
        </w:rPr>
        <w:t> </w:t>
      </w:r>
      <w:r>
        <w:rPr>
          <w:b/>
          <w:sz w:val="24"/>
        </w:rPr>
        <w:t>J.</w:t>
      </w:r>
      <w:r>
        <w:rPr>
          <w:b/>
          <w:spacing w:val="-5"/>
          <w:sz w:val="24"/>
        </w:rPr>
        <w:t> </w:t>
      </w:r>
      <w:r>
        <w:rPr>
          <w:b/>
          <w:sz w:val="24"/>
        </w:rPr>
        <w:t>and</w:t>
      </w:r>
      <w:r>
        <w:rPr>
          <w:b/>
          <w:spacing w:val="-5"/>
          <w:sz w:val="24"/>
        </w:rPr>
        <w:t> </w:t>
      </w:r>
      <w:r>
        <w:rPr>
          <w:b/>
          <w:sz w:val="24"/>
        </w:rPr>
        <w:t>López,</w:t>
      </w:r>
      <w:r>
        <w:rPr>
          <w:b/>
          <w:spacing w:val="-5"/>
          <w:sz w:val="24"/>
        </w:rPr>
        <w:t> </w:t>
      </w:r>
      <w:r>
        <w:rPr>
          <w:b/>
          <w:sz w:val="24"/>
        </w:rPr>
        <w:t>S.</w:t>
      </w:r>
      <w:r>
        <w:rPr>
          <w:b/>
          <w:spacing w:val="-5"/>
          <w:sz w:val="24"/>
        </w:rPr>
        <w:t> </w:t>
      </w:r>
      <w:r>
        <w:rPr>
          <w:b/>
          <w:sz w:val="24"/>
        </w:rPr>
        <w:t>2005.</w:t>
      </w:r>
      <w:r>
        <w:rPr>
          <w:b/>
          <w:spacing w:val="-5"/>
          <w:sz w:val="24"/>
        </w:rPr>
        <w:t> </w:t>
      </w:r>
      <w:r>
        <w:rPr>
          <w:sz w:val="24"/>
        </w:rPr>
        <w:t>Application of the gas production technique to feed evaluation systems for ruminants. Animal Feed Science and Technology 123-124,</w:t>
      </w:r>
      <w:r>
        <w:rPr>
          <w:spacing w:val="-6"/>
          <w:sz w:val="24"/>
        </w:rPr>
        <w:t> </w:t>
      </w:r>
      <w:r>
        <w:rPr>
          <w:sz w:val="24"/>
        </w:rPr>
        <w:t>561-578.</w:t>
      </w:r>
    </w:p>
    <w:p>
      <w:pPr>
        <w:spacing w:line="360" w:lineRule="auto" w:before="2"/>
        <w:ind w:left="1269" w:right="143" w:hanging="993"/>
        <w:jc w:val="both"/>
        <w:rPr>
          <w:sz w:val="24"/>
        </w:rPr>
      </w:pPr>
      <w:r>
        <w:rPr>
          <w:b/>
          <w:sz w:val="24"/>
        </w:rPr>
        <w:t>Ellis, J. L.; Kebreab, E.; Odondo, N. E.; McBride, B.W.; Okine, E. K.; France, J. 2007.</w:t>
      </w:r>
      <w:r>
        <w:rPr>
          <w:b/>
          <w:spacing w:val="-7"/>
          <w:sz w:val="24"/>
        </w:rPr>
        <w:t> </w:t>
      </w:r>
      <w:r>
        <w:rPr>
          <w:sz w:val="24"/>
        </w:rPr>
        <w:t>Prediction</w:t>
      </w:r>
      <w:r>
        <w:rPr>
          <w:spacing w:val="-7"/>
          <w:sz w:val="24"/>
        </w:rPr>
        <w:t> </w:t>
      </w:r>
      <w:r>
        <w:rPr>
          <w:sz w:val="24"/>
        </w:rPr>
        <w:t>of</w:t>
      </w:r>
      <w:r>
        <w:rPr>
          <w:spacing w:val="-7"/>
          <w:sz w:val="24"/>
        </w:rPr>
        <w:t> </w:t>
      </w:r>
      <w:r>
        <w:rPr>
          <w:sz w:val="24"/>
        </w:rPr>
        <w:t>methane</w:t>
      </w:r>
      <w:r>
        <w:rPr>
          <w:spacing w:val="-7"/>
          <w:sz w:val="24"/>
        </w:rPr>
        <w:t> </w:t>
      </w:r>
      <w:r>
        <w:rPr>
          <w:sz w:val="24"/>
        </w:rPr>
        <w:t>production</w:t>
      </w:r>
      <w:r>
        <w:rPr>
          <w:spacing w:val="-7"/>
          <w:sz w:val="24"/>
        </w:rPr>
        <w:t> </w:t>
      </w:r>
      <w:r>
        <w:rPr>
          <w:sz w:val="24"/>
        </w:rPr>
        <w:t>from</w:t>
      </w:r>
      <w:r>
        <w:rPr>
          <w:spacing w:val="-7"/>
          <w:sz w:val="24"/>
        </w:rPr>
        <w:t> </w:t>
      </w:r>
      <w:r>
        <w:rPr>
          <w:sz w:val="24"/>
        </w:rPr>
        <w:t>dairy</w:t>
      </w:r>
      <w:r>
        <w:rPr>
          <w:spacing w:val="-7"/>
          <w:sz w:val="24"/>
        </w:rPr>
        <w:t> </w:t>
      </w:r>
      <w:r>
        <w:rPr>
          <w:sz w:val="24"/>
        </w:rPr>
        <w:t>and</w:t>
      </w:r>
      <w:r>
        <w:rPr>
          <w:spacing w:val="-7"/>
          <w:sz w:val="24"/>
        </w:rPr>
        <w:t> </w:t>
      </w:r>
      <w:r>
        <w:rPr>
          <w:sz w:val="24"/>
        </w:rPr>
        <w:t>beef</w:t>
      </w:r>
      <w:r>
        <w:rPr>
          <w:spacing w:val="-7"/>
          <w:sz w:val="24"/>
        </w:rPr>
        <w:t> </w:t>
      </w:r>
      <w:r>
        <w:rPr>
          <w:sz w:val="24"/>
        </w:rPr>
        <w:t>cattle.</w:t>
      </w:r>
      <w:r>
        <w:rPr>
          <w:spacing w:val="-7"/>
          <w:sz w:val="24"/>
        </w:rPr>
        <w:t> </w:t>
      </w:r>
      <w:r>
        <w:rPr>
          <w:sz w:val="24"/>
        </w:rPr>
        <w:t>J.</w:t>
      </w:r>
      <w:r>
        <w:rPr>
          <w:spacing w:val="-7"/>
          <w:sz w:val="24"/>
        </w:rPr>
        <w:t> </w:t>
      </w:r>
      <w:r>
        <w:rPr>
          <w:sz w:val="24"/>
        </w:rPr>
        <w:t>Dairy Sci. 90,</w:t>
      </w:r>
      <w:r>
        <w:rPr>
          <w:spacing w:val="-1"/>
          <w:sz w:val="24"/>
        </w:rPr>
        <w:t> </w:t>
      </w:r>
      <w:r>
        <w:rPr>
          <w:sz w:val="24"/>
        </w:rPr>
        <w:t>3456-3467.</w:t>
      </w:r>
    </w:p>
    <w:p>
      <w:pPr>
        <w:pStyle w:val="BodyText"/>
        <w:spacing w:line="360" w:lineRule="auto" w:before="7"/>
        <w:ind w:left="1269" w:right="143" w:hanging="993"/>
        <w:jc w:val="both"/>
      </w:pPr>
      <w:r>
        <w:rPr>
          <w:b/>
        </w:rPr>
        <w:t>FAO, 2013. </w:t>
      </w:r>
      <w:r>
        <w:rPr/>
        <w:t>Enfrentando el Cambio Climático a Través de la Ganadería. Una evaluación global de las emisiones y oportunidades de nitigación. Organización</w:t>
      </w:r>
      <w:r>
        <w:rPr>
          <w:spacing w:val="-15"/>
        </w:rPr>
        <w:t> </w:t>
      </w:r>
      <w:r>
        <w:rPr/>
        <w:t>de</w:t>
      </w:r>
      <w:r>
        <w:rPr>
          <w:spacing w:val="-15"/>
        </w:rPr>
        <w:t> </w:t>
      </w:r>
      <w:r>
        <w:rPr/>
        <w:t>las</w:t>
      </w:r>
      <w:r>
        <w:rPr>
          <w:spacing w:val="-15"/>
        </w:rPr>
        <w:t> </w:t>
      </w:r>
      <w:r>
        <w:rPr/>
        <w:t>Naciones</w:t>
      </w:r>
      <w:r>
        <w:rPr>
          <w:spacing w:val="-15"/>
        </w:rPr>
        <w:t> </w:t>
      </w:r>
      <w:r>
        <w:rPr/>
        <w:t>Unidas</w:t>
      </w:r>
      <w:r>
        <w:rPr>
          <w:spacing w:val="-15"/>
        </w:rPr>
        <w:t> </w:t>
      </w:r>
      <w:r>
        <w:rPr/>
        <w:t>Para</w:t>
      </w:r>
      <w:r>
        <w:rPr>
          <w:spacing w:val="-15"/>
        </w:rPr>
        <w:t> </w:t>
      </w:r>
      <w:r>
        <w:rPr/>
        <w:t>la</w:t>
      </w:r>
      <w:r>
        <w:rPr>
          <w:spacing w:val="-15"/>
        </w:rPr>
        <w:t> </w:t>
      </w:r>
      <w:r>
        <w:rPr/>
        <w:t>Agricultura</w:t>
      </w:r>
      <w:r>
        <w:rPr>
          <w:spacing w:val="-15"/>
        </w:rPr>
        <w:t> </w:t>
      </w:r>
      <w:r>
        <w:rPr/>
        <w:t>y</w:t>
      </w:r>
      <w:r>
        <w:rPr>
          <w:spacing w:val="-15"/>
        </w:rPr>
        <w:t> </w:t>
      </w:r>
      <w:r>
        <w:rPr/>
        <w:t>la</w:t>
      </w:r>
      <w:r>
        <w:rPr>
          <w:spacing w:val="-15"/>
        </w:rPr>
        <w:t> </w:t>
      </w:r>
      <w:r>
        <w:rPr/>
        <w:t>Alimentación. Roma, Italia. pp. 129.</w:t>
      </w:r>
    </w:p>
    <w:p>
      <w:pPr>
        <w:pStyle w:val="BodyText"/>
        <w:spacing w:line="355" w:lineRule="auto" w:before="7"/>
        <w:ind w:left="1269" w:right="143" w:hanging="993"/>
        <w:jc w:val="both"/>
      </w:pPr>
      <w:r>
        <w:rPr>
          <w:b/>
        </w:rPr>
        <w:t>FAO, 2013b. </w:t>
      </w:r>
      <w:r>
        <w:rPr/>
        <w:t>Mitigación de las Emisiones de Gases de Efecto Invernadero en la Producción Ganadera. Una revisión de las opciones técnicas para la reducción de las emisiones de gases diferentes al CO</w:t>
      </w:r>
      <w:r>
        <w:rPr>
          <w:position w:val="-2"/>
          <w:sz w:val="16"/>
        </w:rPr>
        <w:t>2</w:t>
      </w:r>
      <w:r>
        <w:rPr/>
        <w:t>. Organización de las Naciones Unidas Para la Agricultura y la Alimentación. Roma, Italia. pp. 231.</w:t>
      </w:r>
    </w:p>
    <w:p>
      <w:pPr>
        <w:spacing w:line="360" w:lineRule="auto" w:before="13"/>
        <w:ind w:left="1269" w:right="143" w:hanging="993"/>
        <w:jc w:val="both"/>
        <w:rPr>
          <w:sz w:val="24"/>
        </w:rPr>
      </w:pPr>
      <w:r>
        <w:rPr>
          <w:b/>
          <w:sz w:val="24"/>
        </w:rPr>
        <w:t>Flesch, T. K., Wilson, J. D., Harper, L. A., Todd, R. W., Cole, N. A. 2007. </w:t>
      </w:r>
      <w:r>
        <w:rPr>
          <w:sz w:val="24"/>
        </w:rPr>
        <w:t>Determining ammonia emissions from a cattle feedlot with an inverse dispersion technique. Agricultural and Forest Meteorology, vol. 144, 2007, p. 139-155.</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spacing w:line="357" w:lineRule="auto" w:before="69"/>
        <w:ind w:left="1269" w:right="144" w:hanging="993"/>
        <w:jc w:val="both"/>
        <w:rPr>
          <w:sz w:val="24"/>
        </w:rPr>
      </w:pPr>
      <w:r>
        <w:rPr>
          <w:b/>
          <w:sz w:val="24"/>
        </w:rPr>
        <w:t>Grainger, C., Clarke, T., McGinn, S. M., Auldist, M. J., Beauchemin, K. A., Hannah, M. C., Waghorn, G. C., Clark H. and Eckard, R. J. 2007. </w:t>
      </w:r>
      <w:r>
        <w:rPr>
          <w:sz w:val="24"/>
        </w:rPr>
        <w:t>Methane Emissions from Dairy Cows Measured Using the Sulfur Hexafluoride (SF</w:t>
      </w:r>
      <w:r>
        <w:rPr>
          <w:position w:val="-2"/>
          <w:sz w:val="16"/>
        </w:rPr>
        <w:t>6</w:t>
      </w:r>
      <w:r>
        <w:rPr>
          <w:sz w:val="24"/>
        </w:rPr>
        <w:t>) Tracer and Chamber Techniques. Journal of Dairy Science 90, 2755-2766.</w:t>
      </w:r>
    </w:p>
    <w:p>
      <w:pPr>
        <w:pStyle w:val="BodyText"/>
        <w:spacing w:line="360" w:lineRule="auto" w:before="10"/>
        <w:ind w:left="1269" w:right="145" w:hanging="993"/>
        <w:jc w:val="both"/>
      </w:pPr>
      <w:r>
        <w:rPr>
          <w:b/>
        </w:rPr>
        <w:t>Goopy J. and Hegarty R. 2004. </w:t>
      </w:r>
      <w:r>
        <w:rPr/>
        <w:t>Repeatability of methane production in cattle fed concentrate and forage diets. Journal of Animal and Feed Sciences. 13, 75</w:t>
      </w:r>
      <w:r>
        <w:rPr>
          <w:rFonts w:ascii="Cambria Math"/>
        </w:rPr>
        <w:t>-</w:t>
      </w:r>
      <w:r>
        <w:rPr/>
        <w:t>8.</w:t>
      </w:r>
    </w:p>
    <w:p>
      <w:pPr>
        <w:pStyle w:val="BodyText"/>
        <w:tabs>
          <w:tab w:pos="3830" w:val="left" w:leader="none"/>
          <w:tab w:pos="5858" w:val="left" w:leader="none"/>
          <w:tab w:pos="8753" w:val="left" w:leader="none"/>
        </w:tabs>
        <w:spacing w:line="360" w:lineRule="auto" w:before="4"/>
        <w:ind w:left="1269" w:right="144" w:hanging="993"/>
      </w:pPr>
      <w:r>
        <w:rPr>
          <w:b/>
        </w:rPr>
        <w:t>Goopy, J. P., Chang, C. And Tomkins. 2015. </w:t>
      </w:r>
      <w:r>
        <w:rPr/>
        <w:t>Measurement Methods. Chapter 5: A comparasion of methodologies for measuring methane emissions from rumiants. SAMPLES. Atandard Assessment of Agricultural Mitigation Potential</w:t>
        <w:tab/>
        <w:t>and</w:t>
        <w:tab/>
        <w:t>Livelihoods.</w:t>
        <w:tab/>
        <w:t>En: </w:t>
      </w:r>
      <w:hyperlink r:id="rId191">
        <w:r>
          <w:rPr>
            <w:color w:val="0000FF"/>
            <w:u w:val="single" w:color="0000FF"/>
          </w:rPr>
          <w:t>http://samples.ccafs.cgiar.org/measurement-methods/chapter-5-a-</w:t>
        </w:r>
      </w:hyperlink>
      <w:r>
        <w:rPr>
          <w:color w:val="0000FF"/>
          <w:u w:val="single" w:color="0000FF"/>
        </w:rPr>
        <w:t> </w:t>
      </w:r>
      <w:r>
        <w:rPr>
          <w:color w:val="0000FF"/>
          <w:u w:val="single" w:color="0000FF"/>
        </w:rPr>
        <w:t>comparison-of-methodologies-for-measuring-methane-emissions-from- </w:t>
      </w:r>
      <w:r>
        <w:rPr>
          <w:color w:val="0000FF"/>
          <w:u w:val="single" w:color="0000FF"/>
        </w:rPr>
        <w:t>ruminants/</w:t>
      </w:r>
      <w:r>
        <w:rPr/>
        <w:t>, consultada en Agosto de</w:t>
      </w:r>
      <w:r>
        <w:rPr>
          <w:spacing w:val="-1"/>
        </w:rPr>
        <w:t> </w:t>
      </w:r>
      <w:r>
        <w:rPr/>
        <w:t>2015.</w:t>
      </w:r>
    </w:p>
    <w:p>
      <w:pPr>
        <w:spacing w:line="357" w:lineRule="auto" w:before="7"/>
        <w:ind w:left="1269" w:right="144" w:hanging="993"/>
        <w:jc w:val="both"/>
        <w:rPr>
          <w:sz w:val="24"/>
        </w:rPr>
      </w:pPr>
      <w:r>
        <w:rPr>
          <w:b/>
          <w:sz w:val="24"/>
        </w:rPr>
        <w:t>Grainger, C., Clarke, T., McGinn, S. M., Auldist, M. J., Beauchemin, K. A., Hannah, M. C., Waghorn, G. C., Clark H. and Eckard, R. J. 2007. </w:t>
      </w:r>
      <w:r>
        <w:rPr>
          <w:sz w:val="24"/>
        </w:rPr>
        <w:t>Methane Emissions from Dairy Cows Measured Using the Sulfur Hexafluoride (SF</w:t>
      </w:r>
      <w:r>
        <w:rPr>
          <w:position w:val="-2"/>
          <w:sz w:val="16"/>
        </w:rPr>
        <w:t>6</w:t>
      </w:r>
      <w:r>
        <w:rPr>
          <w:sz w:val="24"/>
        </w:rPr>
        <w:t>) Tracer and Chamber Techniques. Journal of Dairy Science. 90, 2755-2766.</w:t>
      </w:r>
    </w:p>
    <w:p>
      <w:pPr>
        <w:spacing w:line="357" w:lineRule="auto" w:before="5"/>
        <w:ind w:left="1269" w:right="144" w:hanging="993"/>
        <w:jc w:val="both"/>
        <w:rPr>
          <w:sz w:val="24"/>
        </w:rPr>
      </w:pPr>
      <w:r>
        <w:rPr>
          <w:b/>
          <w:sz w:val="24"/>
        </w:rPr>
        <w:t>Grainger, C., Clarke, T., Mcginn, S. M., Auldist, M. J., Beauchemin, K.A., Hannah, M.C.; Waghorn, G. C., Clark, H., Eckard, R. J. 2007. </w:t>
      </w:r>
      <w:r>
        <w:rPr>
          <w:sz w:val="24"/>
        </w:rPr>
        <w:t>Methane emissions from dairy cows measured using sulfur hexafluoride (SF</w:t>
      </w:r>
      <w:r>
        <w:rPr>
          <w:position w:val="-2"/>
          <w:sz w:val="16"/>
        </w:rPr>
        <w:t>6</w:t>
      </w:r>
      <w:r>
        <w:rPr>
          <w:sz w:val="24"/>
        </w:rPr>
        <w:t>) and chamber techniques. J. Dairy Sci. 90, 2755–2766.</w:t>
      </w:r>
    </w:p>
    <w:p>
      <w:pPr>
        <w:spacing w:line="360" w:lineRule="auto" w:before="5"/>
        <w:ind w:left="1269" w:right="143" w:hanging="993"/>
        <w:jc w:val="both"/>
        <w:rPr>
          <w:sz w:val="24"/>
        </w:rPr>
      </w:pPr>
      <w:r>
        <w:rPr>
          <w:b/>
          <w:sz w:val="24"/>
        </w:rPr>
        <w:t>Grainger, C., Williams, R., Clarke, T., Wright, A. D. G. and Eckard, R. J. 2010. </w:t>
      </w:r>
      <w:r>
        <w:rPr>
          <w:sz w:val="24"/>
        </w:rPr>
        <w:t>Supplementation with whole cottonseed causes longterm reduction of methane emissions from lactating dairy cows offered a forage and cereal grain diet. Journal of Dairy Science. 93, 2612-2619.</w:t>
      </w:r>
    </w:p>
    <w:p>
      <w:pPr>
        <w:spacing w:line="360" w:lineRule="auto" w:before="2"/>
        <w:ind w:left="1269" w:right="143" w:hanging="993"/>
        <w:jc w:val="both"/>
        <w:rPr>
          <w:sz w:val="24"/>
        </w:rPr>
      </w:pPr>
      <w:r>
        <w:rPr>
          <w:b/>
          <w:sz w:val="24"/>
        </w:rPr>
        <w:t>Haarlem</w:t>
      </w:r>
      <w:r>
        <w:rPr>
          <w:b/>
          <w:spacing w:val="-12"/>
          <w:sz w:val="24"/>
        </w:rPr>
        <w:t> </w:t>
      </w:r>
      <w:r>
        <w:rPr>
          <w:b/>
          <w:sz w:val="24"/>
        </w:rPr>
        <w:t>Van,</w:t>
      </w:r>
      <w:r>
        <w:rPr>
          <w:b/>
          <w:spacing w:val="-12"/>
          <w:sz w:val="24"/>
        </w:rPr>
        <w:t> </w:t>
      </w:r>
      <w:r>
        <w:rPr>
          <w:b/>
          <w:sz w:val="24"/>
        </w:rPr>
        <w:t>R.</w:t>
      </w:r>
      <w:r>
        <w:rPr>
          <w:b/>
          <w:spacing w:val="-12"/>
          <w:sz w:val="24"/>
        </w:rPr>
        <w:t> </w:t>
      </w:r>
      <w:r>
        <w:rPr>
          <w:b/>
          <w:sz w:val="24"/>
        </w:rPr>
        <w:t>P.,</w:t>
      </w:r>
      <w:r>
        <w:rPr>
          <w:b/>
          <w:spacing w:val="-12"/>
          <w:sz w:val="24"/>
        </w:rPr>
        <w:t> </w:t>
      </w:r>
      <w:r>
        <w:rPr>
          <w:b/>
          <w:sz w:val="24"/>
        </w:rPr>
        <w:t>Desjardins,</w:t>
      </w:r>
      <w:r>
        <w:rPr>
          <w:b/>
          <w:spacing w:val="-12"/>
          <w:sz w:val="24"/>
        </w:rPr>
        <w:t> </w:t>
      </w:r>
      <w:r>
        <w:rPr>
          <w:b/>
          <w:sz w:val="24"/>
        </w:rPr>
        <w:t>R.</w:t>
      </w:r>
      <w:r>
        <w:rPr>
          <w:b/>
          <w:spacing w:val="-12"/>
          <w:sz w:val="24"/>
        </w:rPr>
        <w:t> </w:t>
      </w:r>
      <w:r>
        <w:rPr>
          <w:b/>
          <w:sz w:val="24"/>
        </w:rPr>
        <w:t>L.,</w:t>
      </w:r>
      <w:r>
        <w:rPr>
          <w:b/>
          <w:spacing w:val="-12"/>
          <w:sz w:val="24"/>
        </w:rPr>
        <w:t> </w:t>
      </w:r>
      <w:r>
        <w:rPr>
          <w:b/>
          <w:sz w:val="24"/>
        </w:rPr>
        <w:t>Gao,</w:t>
      </w:r>
      <w:r>
        <w:rPr>
          <w:b/>
          <w:spacing w:val="-12"/>
          <w:sz w:val="24"/>
        </w:rPr>
        <w:t> </w:t>
      </w:r>
      <w:r>
        <w:rPr>
          <w:b/>
          <w:sz w:val="24"/>
        </w:rPr>
        <w:t>Z.,</w:t>
      </w:r>
      <w:r>
        <w:rPr>
          <w:b/>
          <w:spacing w:val="-12"/>
          <w:sz w:val="24"/>
        </w:rPr>
        <w:t> </w:t>
      </w:r>
      <w:r>
        <w:rPr>
          <w:b/>
          <w:sz w:val="24"/>
        </w:rPr>
        <w:t>Flesch,</w:t>
      </w:r>
      <w:r>
        <w:rPr>
          <w:b/>
          <w:spacing w:val="-12"/>
          <w:sz w:val="24"/>
        </w:rPr>
        <w:t> </w:t>
      </w:r>
      <w:r>
        <w:rPr>
          <w:b/>
          <w:sz w:val="24"/>
        </w:rPr>
        <w:t>T.</w:t>
      </w:r>
      <w:r>
        <w:rPr>
          <w:b/>
          <w:spacing w:val="-12"/>
          <w:sz w:val="24"/>
        </w:rPr>
        <w:t> </w:t>
      </w:r>
      <w:r>
        <w:rPr>
          <w:b/>
          <w:sz w:val="24"/>
        </w:rPr>
        <w:t>K.,</w:t>
      </w:r>
      <w:r>
        <w:rPr>
          <w:b/>
          <w:spacing w:val="-12"/>
          <w:sz w:val="24"/>
        </w:rPr>
        <w:t> </w:t>
      </w:r>
      <w:r>
        <w:rPr>
          <w:b/>
          <w:sz w:val="24"/>
        </w:rPr>
        <w:t>Li,</w:t>
      </w:r>
      <w:r>
        <w:rPr>
          <w:b/>
          <w:spacing w:val="-12"/>
          <w:sz w:val="24"/>
        </w:rPr>
        <w:t> </w:t>
      </w:r>
      <w:r>
        <w:rPr>
          <w:b/>
          <w:sz w:val="24"/>
        </w:rPr>
        <w:t>X.</w:t>
      </w:r>
      <w:r>
        <w:rPr>
          <w:b/>
          <w:spacing w:val="-12"/>
          <w:sz w:val="24"/>
        </w:rPr>
        <w:t> </w:t>
      </w:r>
      <w:r>
        <w:rPr>
          <w:b/>
          <w:sz w:val="24"/>
        </w:rPr>
        <w:t>2008.</w:t>
      </w:r>
      <w:r>
        <w:rPr>
          <w:b/>
          <w:spacing w:val="-12"/>
          <w:sz w:val="24"/>
        </w:rPr>
        <w:t> </w:t>
      </w:r>
      <w:r>
        <w:rPr>
          <w:sz w:val="24"/>
        </w:rPr>
        <w:t>Methane and</w:t>
      </w:r>
      <w:r>
        <w:rPr>
          <w:spacing w:val="51"/>
          <w:sz w:val="24"/>
        </w:rPr>
        <w:t> </w:t>
      </w:r>
      <w:r>
        <w:rPr>
          <w:sz w:val="24"/>
        </w:rPr>
        <w:t>ammonia</w:t>
      </w:r>
      <w:r>
        <w:rPr>
          <w:spacing w:val="51"/>
          <w:sz w:val="24"/>
        </w:rPr>
        <w:t> </w:t>
      </w:r>
      <w:r>
        <w:rPr>
          <w:sz w:val="24"/>
        </w:rPr>
        <w:t>emissions</w:t>
      </w:r>
      <w:r>
        <w:rPr>
          <w:spacing w:val="51"/>
          <w:sz w:val="24"/>
        </w:rPr>
        <w:t> </w:t>
      </w:r>
      <w:r>
        <w:rPr>
          <w:sz w:val="24"/>
        </w:rPr>
        <w:t>from</w:t>
      </w:r>
      <w:r>
        <w:rPr>
          <w:spacing w:val="51"/>
          <w:sz w:val="24"/>
        </w:rPr>
        <w:t> </w:t>
      </w:r>
      <w:r>
        <w:rPr>
          <w:sz w:val="24"/>
        </w:rPr>
        <w:t>a</w:t>
      </w:r>
      <w:r>
        <w:rPr>
          <w:spacing w:val="51"/>
          <w:sz w:val="24"/>
        </w:rPr>
        <w:t> </w:t>
      </w:r>
      <w:r>
        <w:rPr>
          <w:sz w:val="24"/>
        </w:rPr>
        <w:t>beef</w:t>
      </w:r>
      <w:r>
        <w:rPr>
          <w:spacing w:val="51"/>
          <w:sz w:val="24"/>
        </w:rPr>
        <w:t> </w:t>
      </w:r>
      <w:r>
        <w:rPr>
          <w:sz w:val="24"/>
        </w:rPr>
        <w:t>feedlot</w:t>
      </w:r>
      <w:r>
        <w:rPr>
          <w:spacing w:val="51"/>
          <w:sz w:val="24"/>
        </w:rPr>
        <w:t> </w:t>
      </w:r>
      <w:r>
        <w:rPr>
          <w:sz w:val="24"/>
        </w:rPr>
        <w:t>in</w:t>
      </w:r>
      <w:r>
        <w:rPr>
          <w:spacing w:val="51"/>
          <w:sz w:val="24"/>
        </w:rPr>
        <w:t> </w:t>
      </w:r>
      <w:r>
        <w:rPr>
          <w:sz w:val="24"/>
        </w:rPr>
        <w:t>western</w:t>
      </w:r>
      <w:r>
        <w:rPr>
          <w:spacing w:val="51"/>
          <w:sz w:val="24"/>
        </w:rPr>
        <w:t> </w:t>
      </w:r>
      <w:r>
        <w:rPr>
          <w:sz w:val="24"/>
        </w:rPr>
        <w:t>Canada</w:t>
      </w:r>
      <w:r>
        <w:rPr>
          <w:spacing w:val="51"/>
          <w:sz w:val="24"/>
        </w:rPr>
        <w:t> </w:t>
      </w:r>
      <w:r>
        <w:rPr>
          <w:sz w:val="24"/>
        </w:rPr>
        <w:t>for</w:t>
      </w:r>
      <w:r>
        <w:rPr>
          <w:spacing w:val="51"/>
          <w:sz w:val="24"/>
        </w:rPr>
        <w:t> </w:t>
      </w:r>
      <w:r>
        <w:rPr>
          <w:sz w:val="24"/>
        </w:rPr>
        <w:t>a</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pStyle w:val="BodyText"/>
        <w:spacing w:line="362" w:lineRule="auto" w:before="69"/>
        <w:ind w:left="1269"/>
      </w:pPr>
      <w:r>
        <w:rPr/>
        <w:t>twelve-day period in the fall. Canadian Journal of Animal Science, vol. 88 (4), 2008, p. 641-649.</w:t>
      </w:r>
    </w:p>
    <w:p>
      <w:pPr>
        <w:spacing w:line="360" w:lineRule="auto" w:before="0"/>
        <w:ind w:left="1269" w:right="144" w:hanging="993"/>
        <w:jc w:val="both"/>
        <w:rPr>
          <w:sz w:val="24"/>
        </w:rPr>
      </w:pPr>
      <w:r>
        <w:rPr>
          <w:b/>
          <w:sz w:val="24"/>
        </w:rPr>
        <w:t>Harper, L. A., Denmead, O. T., Freney, J. R., Byers, F. M. 1999. </w:t>
      </w:r>
      <w:r>
        <w:rPr>
          <w:sz w:val="24"/>
        </w:rPr>
        <w:t>Direct measurements of methane emissions from grazing and feedlot cattle. Journal of Animal Science, vol. 77, 1999, p. 1392-1401.</w:t>
      </w:r>
    </w:p>
    <w:p>
      <w:pPr>
        <w:spacing w:line="360" w:lineRule="auto" w:before="7"/>
        <w:ind w:left="1269" w:right="143" w:hanging="993"/>
        <w:jc w:val="both"/>
        <w:rPr>
          <w:sz w:val="24"/>
        </w:rPr>
      </w:pPr>
      <w:r>
        <w:rPr>
          <w:b/>
          <w:sz w:val="24"/>
        </w:rPr>
        <w:t>Hendricksen R. and Minson D. J. 1980. </w:t>
      </w:r>
      <w:r>
        <w:rPr>
          <w:sz w:val="24"/>
        </w:rPr>
        <w:t>The feed intake and grazing behaviour of cattle grazing a crop of Lablab purpureus cv. Rongai. The Journal of Agricultural Science. 95, 547-54.</w:t>
      </w:r>
    </w:p>
    <w:p>
      <w:pPr>
        <w:spacing w:line="360" w:lineRule="auto" w:before="2"/>
        <w:ind w:left="1269" w:right="144" w:hanging="993"/>
        <w:jc w:val="both"/>
        <w:rPr>
          <w:sz w:val="24"/>
        </w:rPr>
      </w:pPr>
      <w:r>
        <w:rPr>
          <w:b/>
          <w:sz w:val="24"/>
        </w:rPr>
        <w:t>Hoover, W. H., Kincaid, C. R., Varga, G. A., Thayne W. H. and Junkins, L. L. 1984. </w:t>
      </w:r>
      <w:r>
        <w:rPr>
          <w:sz w:val="24"/>
        </w:rPr>
        <w:t>Effects of solids and liquid flows on fermentation in continuous culture. IV. PH and dilution rate. Journal of Animal Science 58: 692.</w:t>
      </w:r>
    </w:p>
    <w:p>
      <w:pPr>
        <w:pStyle w:val="BodyText"/>
        <w:spacing w:line="360" w:lineRule="auto" w:before="2"/>
        <w:ind w:left="1269" w:right="87" w:hanging="993"/>
      </w:pPr>
      <w:r>
        <w:rPr>
          <w:b/>
        </w:rPr>
        <w:t>IPCC. 2006. </w:t>
      </w:r>
      <w:r>
        <w:rPr/>
        <w:t>Directrices del IPCC de 2006 para los inventarios nacionales de gases de efecto. Volumen 4. Agricultura, silvicultura y otros usos de la tierra. En: </w:t>
      </w:r>
      <w:hyperlink r:id="rId184">
        <w:r>
          <w:rPr>
            <w:color w:val="0000FF"/>
            <w:u w:val="single" w:color="0000FF"/>
          </w:rPr>
          <w:t>http://www.ipcc-nggip.iges.or.jp/public/2006gl/spanish/index.html</w:t>
        </w:r>
        <w:r>
          <w:rPr/>
          <w:t>,</w:t>
        </w:r>
      </w:hyperlink>
      <w:r>
        <w:rPr/>
        <w:t> consultada en septiembre de 2015.</w:t>
      </w:r>
    </w:p>
    <w:p>
      <w:pPr>
        <w:pStyle w:val="BodyText"/>
        <w:spacing w:line="360" w:lineRule="auto" w:before="2"/>
        <w:ind w:left="1269" w:right="143" w:hanging="993"/>
        <w:jc w:val="both"/>
      </w:pPr>
      <w:r>
        <w:rPr>
          <w:b/>
        </w:rPr>
        <w:t>Jamieson W. S. and Hodgson J. 1979. </w:t>
      </w:r>
      <w:r>
        <w:rPr/>
        <w:t>The effects of variation in sward characteristics upon the ingestive behaviour and herbage intake of calves and lambs under a continuous stocking management. Grass and Forage Science 34, 273-82.</w:t>
      </w:r>
    </w:p>
    <w:p>
      <w:pPr>
        <w:spacing w:line="360" w:lineRule="auto" w:before="2"/>
        <w:ind w:left="1269" w:right="144" w:hanging="993"/>
        <w:jc w:val="both"/>
        <w:rPr>
          <w:sz w:val="24"/>
        </w:rPr>
      </w:pPr>
      <w:r>
        <w:rPr>
          <w:b/>
          <w:sz w:val="24"/>
        </w:rPr>
        <w:t>Jentsch, W., Schweigel, M., Weissbach, F., Scholze, H., Pitroff, W., Derno, M. 2007. </w:t>
      </w:r>
      <w:r>
        <w:rPr>
          <w:sz w:val="24"/>
        </w:rPr>
        <w:t>Methane production in cattle calculated by the nutrient composition of the diet. Arch. Anim. Nutr. 61, 10-19.</w:t>
      </w:r>
    </w:p>
    <w:p>
      <w:pPr>
        <w:spacing w:line="352" w:lineRule="auto" w:before="2"/>
        <w:ind w:left="1269" w:right="144" w:hanging="993"/>
        <w:jc w:val="both"/>
        <w:rPr>
          <w:sz w:val="24"/>
        </w:rPr>
      </w:pPr>
      <w:r>
        <w:rPr>
          <w:b/>
          <w:sz w:val="24"/>
        </w:rPr>
        <w:t>Johnson, K., Huyler, M., Westberg, H., Lamb, B. and Zimmerman, P. 1994. </w:t>
      </w:r>
      <w:r>
        <w:rPr>
          <w:sz w:val="24"/>
        </w:rPr>
        <w:t>Measurement of methane emissions from ruminant livestock using a SF</w:t>
      </w:r>
      <w:r>
        <w:rPr>
          <w:position w:val="-2"/>
          <w:sz w:val="16"/>
        </w:rPr>
        <w:t>6 </w:t>
      </w:r>
      <w:r>
        <w:rPr>
          <w:sz w:val="24"/>
        </w:rPr>
        <w:t>tracer technique. Environmental Science and Technology 28, 359-362.</w:t>
      </w:r>
    </w:p>
    <w:p>
      <w:pPr>
        <w:spacing w:line="362" w:lineRule="auto" w:before="11"/>
        <w:ind w:left="1269" w:right="144" w:hanging="993"/>
        <w:jc w:val="both"/>
        <w:rPr>
          <w:sz w:val="24"/>
        </w:rPr>
      </w:pPr>
      <w:r>
        <w:rPr>
          <w:b/>
          <w:sz w:val="24"/>
        </w:rPr>
        <w:t>Johnson, K. A., Johnson, D. E. 1995. </w:t>
      </w:r>
      <w:r>
        <w:rPr>
          <w:sz w:val="24"/>
        </w:rPr>
        <w:t>Methane emissions from cattle. Journal of Animal Sciences 73, 2483-2492.</w:t>
      </w:r>
    </w:p>
    <w:p>
      <w:pPr>
        <w:spacing w:line="360" w:lineRule="auto" w:before="0"/>
        <w:ind w:left="1269" w:right="144" w:hanging="993"/>
        <w:jc w:val="both"/>
        <w:rPr>
          <w:sz w:val="24"/>
        </w:rPr>
      </w:pPr>
      <w:r>
        <w:rPr>
          <w:b/>
          <w:sz w:val="24"/>
        </w:rPr>
        <w:t>Johnson,</w:t>
      </w:r>
      <w:r>
        <w:rPr>
          <w:b/>
          <w:spacing w:val="-9"/>
          <w:sz w:val="24"/>
        </w:rPr>
        <w:t> </w:t>
      </w:r>
      <w:r>
        <w:rPr>
          <w:b/>
          <w:sz w:val="24"/>
        </w:rPr>
        <w:t>D.</w:t>
      </w:r>
      <w:r>
        <w:rPr>
          <w:b/>
          <w:spacing w:val="-9"/>
          <w:sz w:val="24"/>
        </w:rPr>
        <w:t> </w:t>
      </w:r>
      <w:r>
        <w:rPr>
          <w:b/>
          <w:sz w:val="24"/>
        </w:rPr>
        <w:t>E.,</w:t>
      </w:r>
      <w:r>
        <w:rPr>
          <w:b/>
          <w:spacing w:val="-9"/>
          <w:sz w:val="24"/>
        </w:rPr>
        <w:t> </w:t>
      </w:r>
      <w:r>
        <w:rPr>
          <w:b/>
          <w:sz w:val="24"/>
        </w:rPr>
        <w:t>Johnson,</w:t>
      </w:r>
      <w:r>
        <w:rPr>
          <w:b/>
          <w:spacing w:val="-9"/>
          <w:sz w:val="24"/>
        </w:rPr>
        <w:t> </w:t>
      </w:r>
      <w:r>
        <w:rPr>
          <w:b/>
          <w:sz w:val="24"/>
        </w:rPr>
        <w:t>K.</w:t>
      </w:r>
      <w:r>
        <w:rPr>
          <w:b/>
          <w:spacing w:val="-9"/>
          <w:sz w:val="24"/>
        </w:rPr>
        <w:t> </w:t>
      </w:r>
      <w:r>
        <w:rPr>
          <w:b/>
          <w:sz w:val="24"/>
        </w:rPr>
        <w:t>A.,</w:t>
      </w:r>
      <w:r>
        <w:rPr>
          <w:b/>
          <w:spacing w:val="-9"/>
          <w:sz w:val="24"/>
        </w:rPr>
        <w:t> </w:t>
      </w:r>
      <w:r>
        <w:rPr>
          <w:b/>
          <w:sz w:val="24"/>
        </w:rPr>
        <w:t>Ward,</w:t>
      </w:r>
      <w:r>
        <w:rPr>
          <w:b/>
          <w:spacing w:val="-9"/>
          <w:sz w:val="24"/>
        </w:rPr>
        <w:t> </w:t>
      </w:r>
      <w:r>
        <w:rPr>
          <w:b/>
          <w:sz w:val="24"/>
        </w:rPr>
        <w:t>G.</w:t>
      </w:r>
      <w:r>
        <w:rPr>
          <w:b/>
          <w:spacing w:val="-9"/>
          <w:sz w:val="24"/>
        </w:rPr>
        <w:t> </w:t>
      </w:r>
      <w:r>
        <w:rPr>
          <w:b/>
          <w:sz w:val="24"/>
        </w:rPr>
        <w:t>M.</w:t>
      </w:r>
      <w:r>
        <w:rPr>
          <w:b/>
          <w:spacing w:val="-9"/>
          <w:sz w:val="24"/>
        </w:rPr>
        <w:t> </w:t>
      </w:r>
      <w:r>
        <w:rPr>
          <w:b/>
          <w:sz w:val="24"/>
        </w:rPr>
        <w:t>and</w:t>
      </w:r>
      <w:r>
        <w:rPr>
          <w:b/>
          <w:spacing w:val="-9"/>
          <w:sz w:val="24"/>
        </w:rPr>
        <w:t> </w:t>
      </w:r>
      <w:r>
        <w:rPr>
          <w:b/>
          <w:sz w:val="24"/>
        </w:rPr>
        <w:t>Branine,</w:t>
      </w:r>
      <w:r>
        <w:rPr>
          <w:b/>
          <w:spacing w:val="-9"/>
          <w:sz w:val="24"/>
        </w:rPr>
        <w:t> </w:t>
      </w:r>
      <w:r>
        <w:rPr>
          <w:b/>
          <w:sz w:val="24"/>
        </w:rPr>
        <w:t>M.</w:t>
      </w:r>
      <w:r>
        <w:rPr>
          <w:b/>
          <w:spacing w:val="-9"/>
          <w:sz w:val="24"/>
        </w:rPr>
        <w:t> </w:t>
      </w:r>
      <w:r>
        <w:rPr>
          <w:b/>
          <w:sz w:val="24"/>
        </w:rPr>
        <w:t>E.</w:t>
      </w:r>
      <w:r>
        <w:rPr>
          <w:b/>
          <w:spacing w:val="-9"/>
          <w:sz w:val="24"/>
        </w:rPr>
        <w:t> </w:t>
      </w:r>
      <w:r>
        <w:rPr>
          <w:b/>
          <w:sz w:val="24"/>
        </w:rPr>
        <w:t>2000.</w:t>
      </w:r>
      <w:r>
        <w:rPr>
          <w:b/>
          <w:spacing w:val="-9"/>
          <w:sz w:val="24"/>
        </w:rPr>
        <w:t> </w:t>
      </w:r>
      <w:r>
        <w:rPr>
          <w:sz w:val="24"/>
        </w:rPr>
        <w:t>Ruminants and other animals. In: Atmospheric Methane: Its role in the global environment, (Ed. M. A. K. Khalil), Springer-Verlag, Berlin Heidelberg, pp. 112-133.</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spacing w:line="360" w:lineRule="auto" w:before="69"/>
        <w:ind w:left="1269" w:right="144" w:hanging="993"/>
        <w:jc w:val="both"/>
        <w:rPr>
          <w:sz w:val="24"/>
        </w:rPr>
      </w:pPr>
      <w:r>
        <w:rPr>
          <w:b/>
          <w:sz w:val="24"/>
        </w:rPr>
        <w:t>Kajikawa,</w:t>
      </w:r>
      <w:r>
        <w:rPr>
          <w:b/>
          <w:spacing w:val="-8"/>
          <w:sz w:val="24"/>
        </w:rPr>
        <w:t> </w:t>
      </w:r>
      <w:r>
        <w:rPr>
          <w:b/>
          <w:sz w:val="24"/>
        </w:rPr>
        <w:t>H.,</w:t>
      </w:r>
      <w:r>
        <w:rPr>
          <w:b/>
          <w:spacing w:val="-8"/>
          <w:sz w:val="24"/>
        </w:rPr>
        <w:t> </w:t>
      </w:r>
      <w:r>
        <w:rPr>
          <w:b/>
          <w:sz w:val="24"/>
        </w:rPr>
        <w:t>Hai,</w:t>
      </w:r>
      <w:r>
        <w:rPr>
          <w:b/>
          <w:spacing w:val="-8"/>
          <w:sz w:val="24"/>
        </w:rPr>
        <w:t> </w:t>
      </w:r>
      <w:r>
        <w:rPr>
          <w:b/>
          <w:sz w:val="24"/>
        </w:rPr>
        <w:t>J.,</w:t>
      </w:r>
      <w:r>
        <w:rPr>
          <w:b/>
          <w:spacing w:val="-8"/>
          <w:sz w:val="24"/>
        </w:rPr>
        <w:t> </w:t>
      </w:r>
      <w:r>
        <w:rPr>
          <w:b/>
          <w:sz w:val="24"/>
        </w:rPr>
        <w:t>Terada,</w:t>
      </w:r>
      <w:r>
        <w:rPr>
          <w:b/>
          <w:spacing w:val="-8"/>
          <w:sz w:val="24"/>
        </w:rPr>
        <w:t> </w:t>
      </w:r>
      <w:r>
        <w:rPr>
          <w:b/>
          <w:sz w:val="24"/>
        </w:rPr>
        <w:t>F.,</w:t>
      </w:r>
      <w:r>
        <w:rPr>
          <w:b/>
          <w:spacing w:val="-8"/>
          <w:sz w:val="24"/>
        </w:rPr>
        <w:t> </w:t>
      </w:r>
      <w:r>
        <w:rPr>
          <w:b/>
          <w:sz w:val="24"/>
        </w:rPr>
        <w:t>and</w:t>
      </w:r>
      <w:r>
        <w:rPr>
          <w:b/>
          <w:spacing w:val="-8"/>
          <w:sz w:val="24"/>
        </w:rPr>
        <w:t> </w:t>
      </w:r>
      <w:r>
        <w:rPr>
          <w:b/>
          <w:sz w:val="24"/>
        </w:rPr>
        <w:t>Suga,</w:t>
      </w:r>
      <w:r>
        <w:rPr>
          <w:b/>
          <w:spacing w:val="-8"/>
          <w:sz w:val="24"/>
        </w:rPr>
        <w:t> </w:t>
      </w:r>
      <w:r>
        <w:rPr>
          <w:b/>
          <w:sz w:val="24"/>
        </w:rPr>
        <w:t>T.</w:t>
      </w:r>
      <w:r>
        <w:rPr>
          <w:b/>
          <w:spacing w:val="-8"/>
          <w:sz w:val="24"/>
        </w:rPr>
        <w:t> </w:t>
      </w:r>
      <w:r>
        <w:rPr>
          <w:b/>
          <w:sz w:val="24"/>
        </w:rPr>
        <w:t>2003.</w:t>
      </w:r>
      <w:r>
        <w:rPr>
          <w:b/>
          <w:spacing w:val="-8"/>
          <w:sz w:val="24"/>
        </w:rPr>
        <w:t> </w:t>
      </w:r>
      <w:r>
        <w:rPr>
          <w:sz w:val="24"/>
        </w:rPr>
        <w:t>Operation</w:t>
      </w:r>
      <w:r>
        <w:rPr>
          <w:spacing w:val="-8"/>
          <w:sz w:val="24"/>
        </w:rPr>
        <w:t> </w:t>
      </w:r>
      <w:r>
        <w:rPr>
          <w:sz w:val="24"/>
        </w:rPr>
        <w:t>and</w:t>
      </w:r>
      <w:r>
        <w:rPr>
          <w:spacing w:val="-8"/>
          <w:sz w:val="24"/>
        </w:rPr>
        <w:t> </w:t>
      </w:r>
      <w:r>
        <w:rPr>
          <w:sz w:val="24"/>
        </w:rPr>
        <w:t>characteristics of</w:t>
      </w:r>
      <w:r>
        <w:rPr>
          <w:spacing w:val="-8"/>
          <w:sz w:val="24"/>
        </w:rPr>
        <w:t> </w:t>
      </w:r>
      <w:r>
        <w:rPr>
          <w:sz w:val="24"/>
        </w:rPr>
        <w:t>newly</w:t>
      </w:r>
      <w:r>
        <w:rPr>
          <w:spacing w:val="-8"/>
          <w:sz w:val="24"/>
        </w:rPr>
        <w:t> </w:t>
      </w:r>
      <w:r>
        <w:rPr>
          <w:sz w:val="24"/>
        </w:rPr>
        <w:t>improved</w:t>
      </w:r>
      <w:r>
        <w:rPr>
          <w:spacing w:val="-8"/>
          <w:sz w:val="24"/>
        </w:rPr>
        <w:t> </w:t>
      </w:r>
      <w:r>
        <w:rPr>
          <w:sz w:val="24"/>
        </w:rPr>
        <w:t>and</w:t>
      </w:r>
      <w:r>
        <w:rPr>
          <w:spacing w:val="-8"/>
          <w:sz w:val="24"/>
        </w:rPr>
        <w:t> </w:t>
      </w:r>
      <w:r>
        <w:rPr>
          <w:sz w:val="24"/>
        </w:rPr>
        <w:t>marketable</w:t>
      </w:r>
      <w:r>
        <w:rPr>
          <w:spacing w:val="-8"/>
          <w:sz w:val="24"/>
        </w:rPr>
        <w:t> </w:t>
      </w:r>
      <w:r>
        <w:rPr>
          <w:sz w:val="24"/>
        </w:rPr>
        <w:t>artifical</w:t>
      </w:r>
      <w:r>
        <w:rPr>
          <w:spacing w:val="-8"/>
          <w:sz w:val="24"/>
        </w:rPr>
        <w:t> </w:t>
      </w:r>
      <w:r>
        <w:rPr>
          <w:sz w:val="24"/>
        </w:rPr>
        <w:t>rumen</w:t>
      </w:r>
      <w:r>
        <w:rPr>
          <w:spacing w:val="-8"/>
          <w:sz w:val="24"/>
        </w:rPr>
        <w:t> </w:t>
      </w:r>
      <w:r>
        <w:rPr>
          <w:sz w:val="24"/>
        </w:rPr>
        <w:t>(Rusitec).</w:t>
      </w:r>
      <w:r>
        <w:rPr>
          <w:spacing w:val="-8"/>
          <w:sz w:val="24"/>
        </w:rPr>
        <w:t> </w:t>
      </w:r>
      <w:r>
        <w:rPr>
          <w:sz w:val="24"/>
        </w:rPr>
        <w:t>In:</w:t>
      </w:r>
      <w:r>
        <w:rPr>
          <w:spacing w:val="-8"/>
          <w:sz w:val="24"/>
        </w:rPr>
        <w:t> </w:t>
      </w:r>
      <w:r>
        <w:rPr>
          <w:sz w:val="24"/>
        </w:rPr>
        <w:t>Memoirs</w:t>
      </w:r>
      <w:r>
        <w:rPr>
          <w:spacing w:val="-8"/>
          <w:sz w:val="24"/>
        </w:rPr>
        <w:t> </w:t>
      </w:r>
      <w:r>
        <w:rPr>
          <w:sz w:val="24"/>
        </w:rPr>
        <w:t>of National Institute of Livestock and Grassland Science. Tsukuba, Japan, N0.</w:t>
      </w:r>
      <w:r>
        <w:rPr>
          <w:spacing w:val="-2"/>
          <w:sz w:val="24"/>
        </w:rPr>
        <w:t> </w:t>
      </w:r>
      <w:r>
        <w:rPr>
          <w:sz w:val="24"/>
        </w:rPr>
        <w:t>2.</w:t>
      </w:r>
    </w:p>
    <w:p>
      <w:pPr>
        <w:spacing w:line="360" w:lineRule="auto" w:before="2"/>
        <w:ind w:left="1269" w:right="143" w:hanging="993"/>
        <w:jc w:val="both"/>
        <w:rPr>
          <w:sz w:val="24"/>
        </w:rPr>
      </w:pPr>
      <w:r>
        <w:rPr>
          <w:b/>
          <w:sz w:val="24"/>
        </w:rPr>
        <w:t>Kebreab, E., Clark, K., Wagner-Riddle, C., France, J. 2006. </w:t>
      </w:r>
      <w:r>
        <w:rPr>
          <w:sz w:val="24"/>
        </w:rPr>
        <w:t>Methane and nitrous oxide emissions from Canadian animal agriculture: A review. Canadian Journal of Animal Science, vol. 86, 2006, p. 135-158.</w:t>
      </w:r>
    </w:p>
    <w:p>
      <w:pPr>
        <w:spacing w:line="360" w:lineRule="auto" w:before="2"/>
        <w:ind w:left="1269" w:right="144" w:hanging="993"/>
        <w:jc w:val="both"/>
        <w:rPr>
          <w:sz w:val="24"/>
        </w:rPr>
      </w:pPr>
      <w:r>
        <w:rPr>
          <w:b/>
          <w:sz w:val="24"/>
        </w:rPr>
        <w:t>Kirchgessner., Windisch, W., Müller, H. L. 1994. </w:t>
      </w:r>
      <w:r>
        <w:rPr>
          <w:sz w:val="24"/>
        </w:rPr>
        <w:t>Nutritional Factors for the Quantification of Methane Production. In Proceedings of the 8th International Symposium on Ruminant Physiology, Willingen, Hesse, Germany. pp. 333–348.</w:t>
      </w:r>
    </w:p>
    <w:p>
      <w:pPr>
        <w:spacing w:line="360" w:lineRule="auto" w:before="2"/>
        <w:ind w:left="1269" w:right="143" w:hanging="993"/>
        <w:jc w:val="both"/>
        <w:rPr>
          <w:sz w:val="24"/>
        </w:rPr>
      </w:pPr>
      <w:r>
        <w:rPr>
          <w:b/>
          <w:sz w:val="24"/>
        </w:rPr>
        <w:t>Klein, L. and Wright, A. D. G. 2006. </w:t>
      </w:r>
      <w:r>
        <w:rPr>
          <w:sz w:val="24"/>
        </w:rPr>
        <w:t>Construction and operation of open-circuit methane</w:t>
      </w:r>
      <w:r>
        <w:rPr>
          <w:spacing w:val="-12"/>
          <w:sz w:val="24"/>
        </w:rPr>
        <w:t> </w:t>
      </w:r>
      <w:r>
        <w:rPr>
          <w:sz w:val="24"/>
        </w:rPr>
        <w:t>chambers</w:t>
      </w:r>
      <w:r>
        <w:rPr>
          <w:spacing w:val="-12"/>
          <w:sz w:val="24"/>
        </w:rPr>
        <w:t> </w:t>
      </w:r>
      <w:r>
        <w:rPr>
          <w:sz w:val="24"/>
        </w:rPr>
        <w:t>for</w:t>
      </w:r>
      <w:r>
        <w:rPr>
          <w:spacing w:val="-12"/>
          <w:sz w:val="24"/>
        </w:rPr>
        <w:t> </w:t>
      </w:r>
      <w:r>
        <w:rPr>
          <w:sz w:val="24"/>
        </w:rPr>
        <w:t>small</w:t>
      </w:r>
      <w:r>
        <w:rPr>
          <w:spacing w:val="-12"/>
          <w:sz w:val="24"/>
        </w:rPr>
        <w:t> </w:t>
      </w:r>
      <w:r>
        <w:rPr>
          <w:sz w:val="24"/>
        </w:rPr>
        <w:t>ruminants.</w:t>
      </w:r>
      <w:r>
        <w:rPr>
          <w:spacing w:val="-12"/>
          <w:sz w:val="24"/>
        </w:rPr>
        <w:t> </w:t>
      </w:r>
      <w:r>
        <w:rPr>
          <w:sz w:val="24"/>
        </w:rPr>
        <w:t>Australian</w:t>
      </w:r>
      <w:r>
        <w:rPr>
          <w:spacing w:val="-12"/>
          <w:sz w:val="24"/>
        </w:rPr>
        <w:t> </w:t>
      </w:r>
      <w:r>
        <w:rPr>
          <w:sz w:val="24"/>
        </w:rPr>
        <w:t>Journal</w:t>
      </w:r>
      <w:r>
        <w:rPr>
          <w:spacing w:val="-12"/>
          <w:sz w:val="24"/>
        </w:rPr>
        <w:t> </w:t>
      </w:r>
      <w:r>
        <w:rPr>
          <w:sz w:val="24"/>
        </w:rPr>
        <w:t>of</w:t>
      </w:r>
      <w:r>
        <w:rPr>
          <w:spacing w:val="-12"/>
          <w:sz w:val="24"/>
        </w:rPr>
        <w:t> </w:t>
      </w:r>
      <w:r>
        <w:rPr>
          <w:sz w:val="24"/>
        </w:rPr>
        <w:t>Experimental Agriculture. 46,</w:t>
      </w:r>
      <w:r>
        <w:rPr>
          <w:spacing w:val="-1"/>
          <w:sz w:val="24"/>
        </w:rPr>
        <w:t> </w:t>
      </w:r>
      <w:r>
        <w:rPr>
          <w:sz w:val="24"/>
        </w:rPr>
        <w:t>1257-1262.</w:t>
      </w:r>
    </w:p>
    <w:p>
      <w:pPr>
        <w:spacing w:line="360" w:lineRule="auto" w:before="2"/>
        <w:ind w:left="1269" w:right="144" w:hanging="993"/>
        <w:jc w:val="both"/>
        <w:rPr>
          <w:sz w:val="24"/>
        </w:rPr>
      </w:pPr>
      <w:r>
        <w:rPr>
          <w:b/>
          <w:sz w:val="24"/>
        </w:rPr>
        <w:t>Lassen, J., Løvendahl, P., Madsen, J. 2012. </w:t>
      </w:r>
      <w:r>
        <w:rPr>
          <w:sz w:val="24"/>
        </w:rPr>
        <w:t>Experiences with large scale breath measurements in dairy cattle in order to select for lower methane production. J. Dairy Sci. 95, 890-898.</w:t>
      </w:r>
    </w:p>
    <w:p>
      <w:pPr>
        <w:pStyle w:val="Heading6"/>
        <w:spacing w:before="7"/>
        <w:jc w:val="left"/>
      </w:pPr>
      <w:r>
        <w:rPr/>
        <w:t>Laubach, J., Kelliher, F. M., Knight, T. W., Clark, H., Molano, G. and Cavanagh,</w:t>
      </w:r>
    </w:p>
    <w:p>
      <w:pPr>
        <w:pStyle w:val="ListParagraph"/>
        <w:numPr>
          <w:ilvl w:val="2"/>
          <w:numId w:val="15"/>
        </w:numPr>
        <w:tabs>
          <w:tab w:pos="1595" w:val="left" w:leader="none"/>
        </w:tabs>
        <w:spacing w:line="360" w:lineRule="auto" w:before="137" w:after="0"/>
        <w:ind w:left="1269" w:right="144" w:firstLine="0"/>
        <w:jc w:val="both"/>
        <w:rPr>
          <w:sz w:val="24"/>
        </w:rPr>
      </w:pPr>
      <w:r>
        <w:rPr>
          <w:b/>
          <w:sz w:val="24"/>
        </w:rPr>
        <w:t>2008. </w:t>
      </w:r>
      <w:r>
        <w:rPr>
          <w:sz w:val="24"/>
        </w:rPr>
        <w:t>Methane emissions from beef cattle–A comparison of paddock- and animal-scale measurements. Australian Journal of Experimental Agriculture. 48,</w:t>
      </w:r>
      <w:r>
        <w:rPr>
          <w:spacing w:val="-1"/>
          <w:sz w:val="24"/>
        </w:rPr>
        <w:t> </w:t>
      </w:r>
      <w:r>
        <w:rPr>
          <w:sz w:val="24"/>
        </w:rPr>
        <w:t>132-137.</w:t>
      </w:r>
    </w:p>
    <w:p>
      <w:pPr>
        <w:pStyle w:val="BodyText"/>
        <w:spacing w:line="360" w:lineRule="auto" w:before="7"/>
        <w:ind w:left="1269" w:right="145" w:hanging="993"/>
        <w:jc w:val="both"/>
      </w:pPr>
      <w:r>
        <w:rPr>
          <w:b/>
        </w:rPr>
        <w:t>Machmuller, A. and Hegarty, R. S. 2005. </w:t>
      </w:r>
      <w:r>
        <w:rPr/>
        <w:t>Alternative tracer gases for the ERUCT technique to estimate methane emission from grazing animals. 2nd International Conference on Greenhouse Gases and Animal Agriculture, Zurich. Pp. 365-368.</w:t>
      </w:r>
    </w:p>
    <w:p>
      <w:pPr>
        <w:spacing w:line="360" w:lineRule="auto" w:before="2"/>
        <w:ind w:left="1269" w:right="144" w:hanging="993"/>
        <w:jc w:val="both"/>
        <w:rPr>
          <w:sz w:val="24"/>
        </w:rPr>
      </w:pPr>
      <w:r>
        <w:rPr>
          <w:b/>
          <w:sz w:val="24"/>
        </w:rPr>
        <w:t>Mcginn, S. M., Chen, D, D., Loh, Z., Hill, J., Beauchemin, K. A., Denmead, O. T. 2008. </w:t>
      </w:r>
      <w:r>
        <w:rPr>
          <w:sz w:val="24"/>
        </w:rPr>
        <w:t>Methane emissions from feedlot cattle in Australia and Canada. Australian Journal of Experimental Agriculture. Vol. 48, pp. 183-185.</w:t>
      </w:r>
    </w:p>
    <w:p>
      <w:pPr>
        <w:spacing w:line="360" w:lineRule="auto" w:before="2"/>
        <w:ind w:left="1269" w:right="144" w:hanging="993"/>
        <w:jc w:val="both"/>
        <w:rPr>
          <w:sz w:val="24"/>
        </w:rPr>
      </w:pPr>
      <w:r>
        <w:rPr>
          <w:b/>
          <w:sz w:val="24"/>
        </w:rPr>
        <w:t>McLean, J. A. and Tobin, G. 1987. </w:t>
      </w:r>
      <w:r>
        <w:rPr>
          <w:sz w:val="24"/>
        </w:rPr>
        <w:t>Animal and human calorimetry. Cambridge university</w:t>
      </w:r>
      <w:r>
        <w:rPr>
          <w:spacing w:val="-5"/>
          <w:sz w:val="24"/>
        </w:rPr>
        <w:t> </w:t>
      </w:r>
      <w:r>
        <w:rPr>
          <w:sz w:val="24"/>
        </w:rPr>
        <w:t>press.</w:t>
      </w:r>
      <w:r>
        <w:rPr>
          <w:spacing w:val="-5"/>
          <w:sz w:val="24"/>
        </w:rPr>
        <w:t> </w:t>
      </w:r>
      <w:r>
        <w:rPr>
          <w:sz w:val="24"/>
        </w:rPr>
        <w:t>New</w:t>
      </w:r>
      <w:r>
        <w:rPr>
          <w:spacing w:val="-5"/>
          <w:sz w:val="24"/>
        </w:rPr>
        <w:t> </w:t>
      </w:r>
      <w:r>
        <w:rPr>
          <w:sz w:val="24"/>
        </w:rPr>
        <w:t>York.</w:t>
      </w:r>
      <w:r>
        <w:rPr>
          <w:spacing w:val="-5"/>
          <w:sz w:val="24"/>
        </w:rPr>
        <w:t> </w:t>
      </w:r>
      <w:r>
        <w:rPr>
          <w:sz w:val="24"/>
        </w:rPr>
        <w:t>McLean,</w:t>
      </w:r>
      <w:r>
        <w:rPr>
          <w:spacing w:val="-5"/>
          <w:sz w:val="24"/>
        </w:rPr>
        <w:t> </w:t>
      </w:r>
      <w:r>
        <w:rPr>
          <w:sz w:val="24"/>
        </w:rPr>
        <w:t>J.</w:t>
      </w:r>
      <w:r>
        <w:rPr>
          <w:spacing w:val="-5"/>
          <w:sz w:val="24"/>
        </w:rPr>
        <w:t> </w:t>
      </w:r>
      <w:r>
        <w:rPr>
          <w:sz w:val="24"/>
        </w:rPr>
        <w:t>A.</w:t>
      </w:r>
      <w:r>
        <w:rPr>
          <w:spacing w:val="-5"/>
          <w:sz w:val="24"/>
        </w:rPr>
        <w:t> </w:t>
      </w:r>
      <w:r>
        <w:rPr>
          <w:sz w:val="24"/>
        </w:rPr>
        <w:t>1972.</w:t>
      </w:r>
      <w:r>
        <w:rPr>
          <w:spacing w:val="-5"/>
          <w:sz w:val="24"/>
        </w:rPr>
        <w:t> </w:t>
      </w:r>
      <w:r>
        <w:rPr>
          <w:sz w:val="24"/>
        </w:rPr>
        <w:t>On</w:t>
      </w:r>
      <w:r>
        <w:rPr>
          <w:spacing w:val="-5"/>
          <w:sz w:val="24"/>
        </w:rPr>
        <w:t> </w:t>
      </w:r>
      <w:r>
        <w:rPr>
          <w:sz w:val="24"/>
        </w:rPr>
        <w:t>the</w:t>
      </w:r>
      <w:r>
        <w:rPr>
          <w:spacing w:val="-5"/>
          <w:sz w:val="24"/>
        </w:rPr>
        <w:t> </w:t>
      </w:r>
      <w:r>
        <w:rPr>
          <w:sz w:val="24"/>
        </w:rPr>
        <w:t>calculation</w:t>
      </w:r>
      <w:r>
        <w:rPr>
          <w:spacing w:val="-5"/>
          <w:sz w:val="24"/>
        </w:rPr>
        <w:t> </w:t>
      </w:r>
      <w:r>
        <w:rPr>
          <w:sz w:val="24"/>
        </w:rPr>
        <w:t>of</w:t>
      </w:r>
      <w:r>
        <w:rPr>
          <w:spacing w:val="-5"/>
          <w:sz w:val="24"/>
        </w:rPr>
        <w:t> </w:t>
      </w:r>
      <w:r>
        <w:rPr>
          <w:sz w:val="24"/>
        </w:rPr>
        <w:t>heat</w:t>
      </w:r>
    </w:p>
    <w:p>
      <w:pPr>
        <w:spacing w:after="0" w:line="360" w:lineRule="auto"/>
        <w:jc w:val="both"/>
        <w:rPr>
          <w:sz w:val="24"/>
        </w:rPr>
        <w:sectPr>
          <w:footerReference w:type="default" r:id="rId192"/>
          <w:pgSz w:w="12240" w:h="15840"/>
          <w:pgMar w:footer="739" w:header="741" w:top="1220" w:bottom="920" w:left="1720" w:right="1260"/>
        </w:sectPr>
      </w:pPr>
    </w:p>
    <w:p>
      <w:pPr>
        <w:pStyle w:val="BodyText"/>
        <w:spacing w:before="4"/>
        <w:rPr>
          <w:sz w:val="11"/>
        </w:rPr>
      </w:pPr>
    </w:p>
    <w:p>
      <w:pPr>
        <w:pStyle w:val="BodyText"/>
        <w:spacing w:line="362" w:lineRule="auto" w:before="69"/>
        <w:ind w:left="1269" w:right="144"/>
      </w:pPr>
      <w:r>
        <w:rPr/>
        <w:t>production from open-circuit calorimetric measurements. Br. J. Nutr. 27:597-600.</w:t>
      </w:r>
    </w:p>
    <w:p>
      <w:pPr>
        <w:spacing w:line="360" w:lineRule="auto" w:before="0"/>
        <w:ind w:left="1269" w:right="143" w:hanging="993"/>
        <w:jc w:val="both"/>
        <w:rPr>
          <w:sz w:val="24"/>
        </w:rPr>
      </w:pPr>
      <w:r>
        <w:rPr>
          <w:b/>
          <w:sz w:val="24"/>
        </w:rPr>
        <w:t>Madsen,</w:t>
      </w:r>
      <w:r>
        <w:rPr>
          <w:b/>
          <w:spacing w:val="-14"/>
          <w:sz w:val="24"/>
        </w:rPr>
        <w:t> </w:t>
      </w:r>
      <w:r>
        <w:rPr>
          <w:b/>
          <w:sz w:val="24"/>
        </w:rPr>
        <w:t>J.,</w:t>
      </w:r>
      <w:r>
        <w:rPr>
          <w:b/>
          <w:spacing w:val="-14"/>
          <w:sz w:val="24"/>
        </w:rPr>
        <w:t> </w:t>
      </w:r>
      <w:r>
        <w:rPr>
          <w:b/>
          <w:sz w:val="24"/>
        </w:rPr>
        <w:t>Bjerg,</w:t>
      </w:r>
      <w:r>
        <w:rPr>
          <w:b/>
          <w:spacing w:val="-14"/>
          <w:sz w:val="24"/>
        </w:rPr>
        <w:t> </w:t>
      </w:r>
      <w:r>
        <w:rPr>
          <w:b/>
          <w:sz w:val="24"/>
        </w:rPr>
        <w:t>B.</w:t>
      </w:r>
      <w:r>
        <w:rPr>
          <w:b/>
          <w:spacing w:val="-14"/>
          <w:sz w:val="24"/>
        </w:rPr>
        <w:t> </w:t>
      </w:r>
      <w:r>
        <w:rPr>
          <w:b/>
          <w:sz w:val="24"/>
        </w:rPr>
        <w:t>S.,</w:t>
      </w:r>
      <w:r>
        <w:rPr>
          <w:b/>
          <w:spacing w:val="-14"/>
          <w:sz w:val="24"/>
        </w:rPr>
        <w:t> </w:t>
      </w:r>
      <w:r>
        <w:rPr>
          <w:b/>
          <w:sz w:val="24"/>
        </w:rPr>
        <w:t>Hvelplund,</w:t>
      </w:r>
      <w:r>
        <w:rPr>
          <w:b/>
          <w:spacing w:val="-14"/>
          <w:sz w:val="24"/>
        </w:rPr>
        <w:t> </w:t>
      </w:r>
      <w:r>
        <w:rPr>
          <w:b/>
          <w:sz w:val="24"/>
        </w:rPr>
        <w:t>T.,</w:t>
      </w:r>
      <w:r>
        <w:rPr>
          <w:b/>
          <w:spacing w:val="-14"/>
          <w:sz w:val="24"/>
        </w:rPr>
        <w:t> </w:t>
      </w:r>
      <w:r>
        <w:rPr>
          <w:b/>
          <w:sz w:val="24"/>
        </w:rPr>
        <w:t>Weisbjerg,</w:t>
      </w:r>
      <w:r>
        <w:rPr>
          <w:b/>
          <w:spacing w:val="-14"/>
          <w:sz w:val="24"/>
        </w:rPr>
        <w:t> </w:t>
      </w:r>
      <w:r>
        <w:rPr>
          <w:b/>
          <w:sz w:val="24"/>
        </w:rPr>
        <w:t>M.</w:t>
      </w:r>
      <w:r>
        <w:rPr>
          <w:b/>
          <w:spacing w:val="-14"/>
          <w:sz w:val="24"/>
        </w:rPr>
        <w:t> </w:t>
      </w:r>
      <w:r>
        <w:rPr>
          <w:b/>
          <w:sz w:val="24"/>
        </w:rPr>
        <w:t>R.,</w:t>
      </w:r>
      <w:r>
        <w:rPr>
          <w:b/>
          <w:spacing w:val="-14"/>
          <w:sz w:val="24"/>
        </w:rPr>
        <w:t> </w:t>
      </w:r>
      <w:r>
        <w:rPr>
          <w:b/>
          <w:sz w:val="24"/>
        </w:rPr>
        <w:t>Lund,</w:t>
      </w:r>
      <w:r>
        <w:rPr>
          <w:b/>
          <w:spacing w:val="-14"/>
          <w:sz w:val="24"/>
        </w:rPr>
        <w:t> </w:t>
      </w:r>
      <w:r>
        <w:rPr>
          <w:b/>
          <w:sz w:val="24"/>
        </w:rPr>
        <w:t>P.</w:t>
      </w:r>
      <w:r>
        <w:rPr>
          <w:b/>
          <w:spacing w:val="-14"/>
          <w:sz w:val="24"/>
        </w:rPr>
        <w:t> </w:t>
      </w:r>
      <w:r>
        <w:rPr>
          <w:b/>
          <w:sz w:val="24"/>
        </w:rPr>
        <w:t>2010.</w:t>
      </w:r>
      <w:r>
        <w:rPr>
          <w:b/>
          <w:spacing w:val="-14"/>
          <w:sz w:val="24"/>
        </w:rPr>
        <w:t> </w:t>
      </w:r>
      <w:r>
        <w:rPr>
          <w:sz w:val="24"/>
        </w:rPr>
        <w:t>Methane and carbondioxide ration in excreted air for quantification of the methane prodction from ruminants. Livest. Sci. 129,</w:t>
      </w:r>
      <w:r>
        <w:rPr>
          <w:spacing w:val="-1"/>
          <w:sz w:val="24"/>
        </w:rPr>
        <w:t> </w:t>
      </w:r>
      <w:r>
        <w:rPr>
          <w:sz w:val="24"/>
        </w:rPr>
        <w:t>223–227.</w:t>
      </w:r>
    </w:p>
    <w:p>
      <w:pPr>
        <w:spacing w:line="360" w:lineRule="auto" w:before="7"/>
        <w:ind w:left="1269" w:right="144" w:hanging="993"/>
        <w:jc w:val="both"/>
        <w:rPr>
          <w:sz w:val="24"/>
        </w:rPr>
      </w:pPr>
      <w:r>
        <w:rPr>
          <w:b/>
          <w:sz w:val="24"/>
        </w:rPr>
        <w:t>Madsen, J., Bertelsen, M. F. 2012. </w:t>
      </w:r>
      <w:r>
        <w:rPr>
          <w:sz w:val="24"/>
        </w:rPr>
        <w:t>Methane production by Bennet’s wallabies (</w:t>
      </w:r>
      <w:r>
        <w:rPr>
          <w:i/>
          <w:sz w:val="24"/>
        </w:rPr>
        <w:t>Macropus rufogriseus</w:t>
      </w:r>
      <w:r>
        <w:rPr>
          <w:sz w:val="24"/>
        </w:rPr>
        <w:t>). J. Anim. Sci. 90 (4): 1364 a 1370.</w:t>
      </w:r>
    </w:p>
    <w:p>
      <w:pPr>
        <w:spacing w:line="360" w:lineRule="auto" w:before="2"/>
        <w:ind w:left="1269" w:right="145" w:hanging="993"/>
        <w:jc w:val="both"/>
        <w:rPr>
          <w:sz w:val="24"/>
        </w:rPr>
      </w:pPr>
      <w:r>
        <w:rPr>
          <w:b/>
          <w:sz w:val="24"/>
        </w:rPr>
        <w:t>Menke, K. H., Raab, L., Salewski, A., Steingass, H., Fritz, D. and Schneider, W. 1979. </w:t>
      </w:r>
      <w:r>
        <w:rPr>
          <w:sz w:val="24"/>
        </w:rPr>
        <w:t>The estimation of the digestibility and metabolizable energy content of</w:t>
      </w:r>
      <w:r>
        <w:rPr>
          <w:spacing w:val="-11"/>
          <w:sz w:val="24"/>
        </w:rPr>
        <w:t> </w:t>
      </w:r>
      <w:r>
        <w:rPr>
          <w:sz w:val="24"/>
        </w:rPr>
        <w:t>ruminant</w:t>
      </w:r>
      <w:r>
        <w:rPr>
          <w:spacing w:val="-11"/>
          <w:sz w:val="24"/>
        </w:rPr>
        <w:t> </w:t>
      </w:r>
      <w:r>
        <w:rPr>
          <w:sz w:val="24"/>
        </w:rPr>
        <w:t>feeding</w:t>
      </w:r>
      <w:r>
        <w:rPr>
          <w:spacing w:val="-11"/>
          <w:sz w:val="24"/>
        </w:rPr>
        <w:t> </w:t>
      </w:r>
      <w:r>
        <w:rPr>
          <w:sz w:val="24"/>
        </w:rPr>
        <w:t>stuffs</w:t>
      </w:r>
      <w:r>
        <w:rPr>
          <w:spacing w:val="-11"/>
          <w:sz w:val="24"/>
        </w:rPr>
        <w:t> </w:t>
      </w:r>
      <w:r>
        <w:rPr>
          <w:sz w:val="24"/>
        </w:rPr>
        <w:t>from</w:t>
      </w:r>
      <w:r>
        <w:rPr>
          <w:spacing w:val="-11"/>
          <w:sz w:val="24"/>
        </w:rPr>
        <w:t> </w:t>
      </w:r>
      <w:r>
        <w:rPr>
          <w:sz w:val="24"/>
        </w:rPr>
        <w:t>the</w:t>
      </w:r>
      <w:r>
        <w:rPr>
          <w:spacing w:val="-11"/>
          <w:sz w:val="24"/>
        </w:rPr>
        <w:t> </w:t>
      </w:r>
      <w:r>
        <w:rPr>
          <w:sz w:val="24"/>
        </w:rPr>
        <w:t>gas</w:t>
      </w:r>
      <w:r>
        <w:rPr>
          <w:spacing w:val="-11"/>
          <w:sz w:val="24"/>
        </w:rPr>
        <w:t> </w:t>
      </w:r>
      <w:r>
        <w:rPr>
          <w:sz w:val="24"/>
        </w:rPr>
        <w:t>production</w:t>
      </w:r>
      <w:r>
        <w:rPr>
          <w:spacing w:val="-11"/>
          <w:sz w:val="24"/>
        </w:rPr>
        <w:t> </w:t>
      </w:r>
      <w:r>
        <w:rPr>
          <w:sz w:val="24"/>
        </w:rPr>
        <w:t>when</w:t>
      </w:r>
      <w:r>
        <w:rPr>
          <w:spacing w:val="-11"/>
          <w:sz w:val="24"/>
        </w:rPr>
        <w:t> </w:t>
      </w:r>
      <w:r>
        <w:rPr>
          <w:sz w:val="24"/>
        </w:rPr>
        <w:t>they</w:t>
      </w:r>
      <w:r>
        <w:rPr>
          <w:spacing w:val="-11"/>
          <w:sz w:val="24"/>
        </w:rPr>
        <w:t> </w:t>
      </w:r>
      <w:r>
        <w:rPr>
          <w:sz w:val="24"/>
        </w:rPr>
        <w:t>are</w:t>
      </w:r>
      <w:r>
        <w:rPr>
          <w:spacing w:val="-11"/>
          <w:sz w:val="24"/>
        </w:rPr>
        <w:t> </w:t>
      </w:r>
      <w:r>
        <w:rPr>
          <w:sz w:val="24"/>
        </w:rPr>
        <w:t>incubated with rumen liquor </w:t>
      </w:r>
      <w:r>
        <w:rPr>
          <w:i/>
          <w:sz w:val="24"/>
        </w:rPr>
        <w:t>in vitro</w:t>
      </w:r>
      <w:r>
        <w:rPr>
          <w:sz w:val="24"/>
        </w:rPr>
        <w:t>. The Journal of Agricultural Science 93,</w:t>
      </w:r>
      <w:r>
        <w:rPr>
          <w:spacing w:val="-34"/>
          <w:sz w:val="24"/>
        </w:rPr>
        <w:t> </w:t>
      </w:r>
      <w:r>
        <w:rPr>
          <w:sz w:val="24"/>
        </w:rPr>
        <w:t>217-222.</w:t>
      </w:r>
    </w:p>
    <w:p>
      <w:pPr>
        <w:spacing w:line="360" w:lineRule="auto" w:before="2"/>
        <w:ind w:left="1269" w:right="144" w:hanging="993"/>
        <w:jc w:val="both"/>
        <w:rPr>
          <w:sz w:val="24"/>
        </w:rPr>
      </w:pPr>
      <w:r>
        <w:rPr>
          <w:b/>
          <w:sz w:val="24"/>
        </w:rPr>
        <w:t>Mihina, A. S. Kazimirova, V. Copland, T. A. 2012. </w:t>
      </w:r>
      <w:r>
        <w:rPr>
          <w:sz w:val="24"/>
        </w:rPr>
        <w:t>Technology for farm animal husbandry. 1st Issue. Nitra. Slovak Agricultural University. pp. 99.</w:t>
      </w:r>
    </w:p>
    <w:p>
      <w:pPr>
        <w:spacing w:line="360" w:lineRule="auto" w:before="7"/>
        <w:ind w:left="1269" w:right="144" w:hanging="993"/>
        <w:jc w:val="both"/>
        <w:rPr>
          <w:sz w:val="24"/>
        </w:rPr>
      </w:pPr>
      <w:r>
        <w:rPr>
          <w:b/>
          <w:sz w:val="24"/>
        </w:rPr>
        <w:t>Mills, J. A. N., Kebreab, E., Yates, C. M., Crompton, L. A., Cammell, S. B., Dahnoa, M.S., Agnew, R. E., France, J. 2003. </w:t>
      </w:r>
      <w:r>
        <w:rPr>
          <w:sz w:val="24"/>
        </w:rPr>
        <w:t>Alternative approaches to predicting methane emissions from dairy cows. J. Anim. Sci. 81, 3141– 3150.</w:t>
      </w:r>
    </w:p>
    <w:p>
      <w:pPr>
        <w:spacing w:line="355" w:lineRule="auto" w:before="7"/>
        <w:ind w:left="1269" w:right="144" w:hanging="993"/>
        <w:jc w:val="both"/>
        <w:rPr>
          <w:sz w:val="24"/>
        </w:rPr>
      </w:pPr>
      <w:r>
        <w:rPr>
          <w:b/>
          <w:sz w:val="24"/>
        </w:rPr>
        <w:t>Moate P. J., Deighton, M. H., Ribaux, B. E., Hannah, M. C., Wales, W. J., Williams,</w:t>
      </w:r>
      <w:r>
        <w:rPr>
          <w:b/>
          <w:spacing w:val="-6"/>
          <w:sz w:val="24"/>
        </w:rPr>
        <w:t> </w:t>
      </w:r>
      <w:r>
        <w:rPr>
          <w:b/>
          <w:sz w:val="24"/>
        </w:rPr>
        <w:t>S.</w:t>
      </w:r>
      <w:r>
        <w:rPr>
          <w:b/>
          <w:spacing w:val="-6"/>
          <w:sz w:val="24"/>
        </w:rPr>
        <w:t> </w:t>
      </w:r>
      <w:r>
        <w:rPr>
          <w:b/>
          <w:sz w:val="24"/>
        </w:rPr>
        <w:t>R.</w:t>
      </w:r>
      <w:r>
        <w:rPr>
          <w:b/>
          <w:spacing w:val="-6"/>
          <w:sz w:val="24"/>
        </w:rPr>
        <w:t> </w:t>
      </w:r>
      <w:r>
        <w:rPr>
          <w:b/>
          <w:sz w:val="24"/>
        </w:rPr>
        <w:t>O.</w:t>
      </w:r>
      <w:r>
        <w:rPr>
          <w:b/>
          <w:spacing w:val="-6"/>
          <w:sz w:val="24"/>
        </w:rPr>
        <w:t> </w:t>
      </w:r>
      <w:r>
        <w:rPr>
          <w:b/>
          <w:sz w:val="24"/>
        </w:rPr>
        <w:t>2015.</w:t>
      </w:r>
      <w:r>
        <w:rPr>
          <w:b/>
          <w:spacing w:val="-6"/>
          <w:sz w:val="24"/>
        </w:rPr>
        <w:t> </w:t>
      </w:r>
      <w:r>
        <w:rPr>
          <w:sz w:val="24"/>
        </w:rPr>
        <w:t>Michaelis–Menten</w:t>
      </w:r>
      <w:r>
        <w:rPr>
          <w:spacing w:val="-6"/>
          <w:sz w:val="24"/>
        </w:rPr>
        <w:t> </w:t>
      </w:r>
      <w:r>
        <w:rPr>
          <w:sz w:val="24"/>
        </w:rPr>
        <w:t>kinetics</w:t>
      </w:r>
      <w:r>
        <w:rPr>
          <w:spacing w:val="-6"/>
          <w:sz w:val="24"/>
        </w:rPr>
        <w:t> </w:t>
      </w:r>
      <w:r>
        <w:rPr>
          <w:sz w:val="24"/>
        </w:rPr>
        <w:t>predict</w:t>
      </w:r>
      <w:r>
        <w:rPr>
          <w:spacing w:val="-6"/>
          <w:sz w:val="24"/>
        </w:rPr>
        <w:t> </w:t>
      </w:r>
      <w:r>
        <w:rPr>
          <w:sz w:val="24"/>
        </w:rPr>
        <w:t>the</w:t>
      </w:r>
      <w:r>
        <w:rPr>
          <w:spacing w:val="-6"/>
          <w:sz w:val="24"/>
        </w:rPr>
        <w:t> </w:t>
      </w:r>
      <w:r>
        <w:rPr>
          <w:sz w:val="24"/>
        </w:rPr>
        <w:t>rate</w:t>
      </w:r>
      <w:r>
        <w:rPr>
          <w:spacing w:val="-6"/>
          <w:sz w:val="24"/>
        </w:rPr>
        <w:t> </w:t>
      </w:r>
      <w:r>
        <w:rPr>
          <w:sz w:val="24"/>
        </w:rPr>
        <w:t>of</w:t>
      </w:r>
      <w:r>
        <w:rPr>
          <w:spacing w:val="-6"/>
          <w:sz w:val="24"/>
        </w:rPr>
        <w:t> </w:t>
      </w:r>
      <w:r>
        <w:rPr>
          <w:sz w:val="24"/>
        </w:rPr>
        <w:t>SF</w:t>
      </w:r>
      <w:r>
        <w:rPr>
          <w:position w:val="-2"/>
          <w:sz w:val="16"/>
        </w:rPr>
        <w:t>6 </w:t>
      </w:r>
      <w:r>
        <w:rPr>
          <w:sz w:val="24"/>
        </w:rPr>
        <w:t>release from permeation tubes used to estimate methane emissions from ruminants. Anim Feed Sci Tech.</w:t>
      </w:r>
      <w:r>
        <w:rPr>
          <w:spacing w:val="-1"/>
          <w:sz w:val="24"/>
        </w:rPr>
        <w:t> </w:t>
      </w:r>
      <w:r>
        <w:rPr>
          <w:sz w:val="24"/>
        </w:rPr>
        <w:t>200:47–56.</w:t>
      </w:r>
    </w:p>
    <w:p>
      <w:pPr>
        <w:spacing w:line="352" w:lineRule="auto" w:before="13"/>
        <w:ind w:left="1269" w:right="144" w:hanging="993"/>
        <w:jc w:val="both"/>
        <w:rPr>
          <w:sz w:val="24"/>
        </w:rPr>
      </w:pPr>
      <w:r>
        <w:rPr>
          <w:b/>
          <w:sz w:val="24"/>
        </w:rPr>
        <w:t>Nay,</w:t>
      </w:r>
      <w:r>
        <w:rPr>
          <w:b/>
          <w:spacing w:val="-10"/>
          <w:sz w:val="24"/>
        </w:rPr>
        <w:t> </w:t>
      </w:r>
      <w:r>
        <w:rPr>
          <w:b/>
          <w:sz w:val="24"/>
        </w:rPr>
        <w:t>S.</w:t>
      </w:r>
      <w:r>
        <w:rPr>
          <w:b/>
          <w:spacing w:val="-10"/>
          <w:sz w:val="24"/>
        </w:rPr>
        <w:t> </w:t>
      </w:r>
      <w:r>
        <w:rPr>
          <w:b/>
          <w:sz w:val="24"/>
        </w:rPr>
        <w:t>M.,</w:t>
      </w:r>
      <w:r>
        <w:rPr>
          <w:b/>
          <w:spacing w:val="-10"/>
          <w:sz w:val="24"/>
        </w:rPr>
        <w:t> </w:t>
      </w:r>
      <w:r>
        <w:rPr>
          <w:b/>
          <w:sz w:val="24"/>
        </w:rPr>
        <w:t>Mattson,</w:t>
      </w:r>
      <w:r>
        <w:rPr>
          <w:b/>
          <w:spacing w:val="-10"/>
          <w:sz w:val="24"/>
        </w:rPr>
        <w:t> </w:t>
      </w:r>
      <w:r>
        <w:rPr>
          <w:b/>
          <w:sz w:val="24"/>
        </w:rPr>
        <w:t>K.</w:t>
      </w:r>
      <w:r>
        <w:rPr>
          <w:b/>
          <w:spacing w:val="-10"/>
          <w:sz w:val="24"/>
        </w:rPr>
        <w:t> </w:t>
      </w:r>
      <w:r>
        <w:rPr>
          <w:b/>
          <w:sz w:val="24"/>
        </w:rPr>
        <w:t>G.</w:t>
      </w:r>
      <w:r>
        <w:rPr>
          <w:b/>
          <w:spacing w:val="-10"/>
          <w:sz w:val="24"/>
        </w:rPr>
        <w:t> </w:t>
      </w:r>
      <w:r>
        <w:rPr>
          <w:b/>
          <w:sz w:val="24"/>
        </w:rPr>
        <w:t>and</w:t>
      </w:r>
      <w:r>
        <w:rPr>
          <w:b/>
          <w:spacing w:val="-10"/>
          <w:sz w:val="24"/>
        </w:rPr>
        <w:t> </w:t>
      </w:r>
      <w:r>
        <w:rPr>
          <w:b/>
          <w:sz w:val="24"/>
        </w:rPr>
        <w:t>Bormann,</w:t>
      </w:r>
      <w:r>
        <w:rPr>
          <w:b/>
          <w:spacing w:val="-10"/>
          <w:sz w:val="24"/>
        </w:rPr>
        <w:t> </w:t>
      </w:r>
      <w:r>
        <w:rPr>
          <w:b/>
          <w:sz w:val="24"/>
        </w:rPr>
        <w:t>B.</w:t>
      </w:r>
      <w:r>
        <w:rPr>
          <w:b/>
          <w:spacing w:val="-10"/>
          <w:sz w:val="24"/>
        </w:rPr>
        <w:t> </w:t>
      </w:r>
      <w:r>
        <w:rPr>
          <w:b/>
          <w:sz w:val="24"/>
        </w:rPr>
        <w:t>T.,</w:t>
      </w:r>
      <w:r>
        <w:rPr>
          <w:b/>
          <w:spacing w:val="-10"/>
          <w:sz w:val="24"/>
        </w:rPr>
        <w:t> </w:t>
      </w:r>
      <w:r>
        <w:rPr>
          <w:b/>
          <w:sz w:val="24"/>
        </w:rPr>
        <w:t>1994,</w:t>
      </w:r>
      <w:r>
        <w:rPr>
          <w:b/>
          <w:spacing w:val="-10"/>
          <w:sz w:val="24"/>
        </w:rPr>
        <w:t> </w:t>
      </w:r>
      <w:r>
        <w:rPr>
          <w:sz w:val="24"/>
        </w:rPr>
        <w:t>Biases</w:t>
      </w:r>
      <w:r>
        <w:rPr>
          <w:spacing w:val="-10"/>
          <w:sz w:val="24"/>
        </w:rPr>
        <w:t> </w:t>
      </w:r>
      <w:r>
        <w:rPr>
          <w:sz w:val="24"/>
        </w:rPr>
        <w:t>of</w:t>
      </w:r>
      <w:r>
        <w:rPr>
          <w:spacing w:val="-10"/>
          <w:sz w:val="24"/>
        </w:rPr>
        <w:t> </w:t>
      </w:r>
      <w:r>
        <w:rPr>
          <w:sz w:val="24"/>
        </w:rPr>
        <w:t>Chamber</w:t>
      </w:r>
      <w:r>
        <w:rPr>
          <w:spacing w:val="-10"/>
          <w:sz w:val="24"/>
        </w:rPr>
        <w:t> </w:t>
      </w:r>
      <w:r>
        <w:rPr>
          <w:sz w:val="24"/>
        </w:rPr>
        <w:t>Methods for Measuring Soil CO</w:t>
      </w:r>
      <w:r>
        <w:rPr>
          <w:position w:val="-2"/>
          <w:sz w:val="16"/>
        </w:rPr>
        <w:t>2 </w:t>
      </w:r>
      <w:r>
        <w:rPr>
          <w:sz w:val="24"/>
        </w:rPr>
        <w:t>Efflux Demonstrated with a Laboratory Apparatus. Ecology 75,</w:t>
      </w:r>
      <w:r>
        <w:rPr>
          <w:spacing w:val="-1"/>
          <w:sz w:val="24"/>
        </w:rPr>
        <w:t> </w:t>
      </w:r>
      <w:r>
        <w:rPr>
          <w:sz w:val="24"/>
        </w:rPr>
        <w:t>2460-2463.</w:t>
      </w:r>
    </w:p>
    <w:p>
      <w:pPr>
        <w:spacing w:line="360" w:lineRule="auto" w:before="11"/>
        <w:ind w:left="1269" w:right="144" w:hanging="993"/>
        <w:jc w:val="both"/>
        <w:rPr>
          <w:sz w:val="24"/>
        </w:rPr>
      </w:pPr>
      <w:r>
        <w:rPr>
          <w:b/>
          <w:sz w:val="24"/>
        </w:rPr>
        <w:t>Pell, A.N. and Schofield, P. 1993. </w:t>
      </w:r>
      <w:r>
        <w:rPr>
          <w:sz w:val="24"/>
        </w:rPr>
        <w:t>Computerized monitoring of gas production to measure</w:t>
      </w:r>
      <w:r>
        <w:rPr>
          <w:spacing w:val="-7"/>
          <w:sz w:val="24"/>
        </w:rPr>
        <w:t> </w:t>
      </w:r>
      <w:r>
        <w:rPr>
          <w:sz w:val="24"/>
        </w:rPr>
        <w:t>forage</w:t>
      </w:r>
      <w:r>
        <w:rPr>
          <w:spacing w:val="-7"/>
          <w:sz w:val="24"/>
        </w:rPr>
        <w:t> </w:t>
      </w:r>
      <w:r>
        <w:rPr>
          <w:sz w:val="24"/>
        </w:rPr>
        <w:t>digestion</w:t>
      </w:r>
      <w:r>
        <w:rPr>
          <w:spacing w:val="-7"/>
          <w:sz w:val="24"/>
        </w:rPr>
        <w:t> </w:t>
      </w:r>
      <w:r>
        <w:rPr>
          <w:sz w:val="24"/>
        </w:rPr>
        <w:t>in</w:t>
      </w:r>
      <w:r>
        <w:rPr>
          <w:spacing w:val="-7"/>
          <w:sz w:val="24"/>
        </w:rPr>
        <w:t> </w:t>
      </w:r>
      <w:r>
        <w:rPr>
          <w:sz w:val="24"/>
        </w:rPr>
        <w:t>vitro.</w:t>
      </w:r>
      <w:r>
        <w:rPr>
          <w:spacing w:val="-7"/>
          <w:sz w:val="24"/>
        </w:rPr>
        <w:t> </w:t>
      </w:r>
      <w:r>
        <w:rPr>
          <w:sz w:val="24"/>
        </w:rPr>
        <w:t>Journal</w:t>
      </w:r>
      <w:r>
        <w:rPr>
          <w:spacing w:val="-7"/>
          <w:sz w:val="24"/>
        </w:rPr>
        <w:t> </w:t>
      </w:r>
      <w:r>
        <w:rPr>
          <w:sz w:val="24"/>
        </w:rPr>
        <w:t>of</w:t>
      </w:r>
      <w:r>
        <w:rPr>
          <w:spacing w:val="-7"/>
          <w:sz w:val="24"/>
        </w:rPr>
        <w:t> </w:t>
      </w:r>
      <w:r>
        <w:rPr>
          <w:sz w:val="24"/>
        </w:rPr>
        <w:t>Dairy</w:t>
      </w:r>
      <w:r>
        <w:rPr>
          <w:spacing w:val="-7"/>
          <w:sz w:val="24"/>
        </w:rPr>
        <w:t> </w:t>
      </w:r>
      <w:r>
        <w:rPr>
          <w:sz w:val="24"/>
        </w:rPr>
        <w:t>Science</w:t>
      </w:r>
      <w:r>
        <w:rPr>
          <w:spacing w:val="-7"/>
          <w:sz w:val="24"/>
        </w:rPr>
        <w:t> </w:t>
      </w:r>
      <w:r>
        <w:rPr>
          <w:sz w:val="24"/>
        </w:rPr>
        <w:t>76,</w:t>
      </w:r>
      <w:r>
        <w:rPr>
          <w:spacing w:val="-7"/>
          <w:sz w:val="24"/>
        </w:rPr>
        <w:t> </w:t>
      </w:r>
      <w:r>
        <w:rPr>
          <w:sz w:val="24"/>
        </w:rPr>
        <w:t>1063-1073.</w:t>
      </w:r>
    </w:p>
    <w:p>
      <w:pPr>
        <w:spacing w:line="360" w:lineRule="auto" w:before="7"/>
        <w:ind w:left="1269" w:right="144" w:hanging="993"/>
        <w:jc w:val="both"/>
        <w:rPr>
          <w:sz w:val="24"/>
        </w:rPr>
      </w:pPr>
      <w:r>
        <w:rPr>
          <w:b/>
          <w:sz w:val="24"/>
        </w:rPr>
        <w:t>Pinares-Patiño, C. S., Hour, P.D., Jouany, J. P. and Martin, C. 2007. </w:t>
      </w:r>
      <w:r>
        <w:rPr>
          <w:sz w:val="24"/>
        </w:rPr>
        <w:t>Effects of stocking rate on methane and carbon dioxide emissions from grazing cattle. Agriculture Ecosystems and Environment. 121, 30-46.</w:t>
      </w:r>
    </w:p>
    <w:p>
      <w:pPr>
        <w:spacing w:line="362" w:lineRule="auto" w:before="2"/>
        <w:ind w:left="1269" w:right="144" w:hanging="993"/>
        <w:jc w:val="both"/>
        <w:rPr>
          <w:sz w:val="24"/>
        </w:rPr>
      </w:pPr>
      <w:r>
        <w:rPr>
          <w:b/>
          <w:sz w:val="24"/>
        </w:rPr>
        <w:t>Pinares-Patiño, C. S., Clark, H., Waghorn, G., Hunt, C., Martin, R., Lovejoy, P. and  West,  J.  2008.  </w:t>
      </w:r>
      <w:r>
        <w:rPr>
          <w:sz w:val="24"/>
        </w:rPr>
        <w:t>Ruminant  methane-  Extension  of  the        animal</w:t>
      </w:r>
    </w:p>
    <w:p>
      <w:pPr>
        <w:spacing w:after="0" w:line="362" w:lineRule="auto"/>
        <w:jc w:val="both"/>
        <w:rPr>
          <w:sz w:val="24"/>
        </w:rPr>
        <w:sectPr>
          <w:footerReference w:type="default" r:id="rId193"/>
          <w:pgSz w:w="12240" w:h="15840"/>
          <w:pgMar w:footer="739" w:header="741" w:top="1220" w:bottom="920" w:left="1720" w:right="1260"/>
          <w:pgNumType w:start="141"/>
        </w:sectPr>
      </w:pPr>
    </w:p>
    <w:p>
      <w:pPr>
        <w:pStyle w:val="BodyText"/>
        <w:spacing w:before="4"/>
        <w:rPr>
          <w:sz w:val="11"/>
        </w:rPr>
      </w:pPr>
    </w:p>
    <w:p>
      <w:pPr>
        <w:pStyle w:val="BodyText"/>
        <w:spacing w:line="362" w:lineRule="auto" w:before="69"/>
        <w:ind w:left="1269" w:right="144"/>
      </w:pPr>
      <w:r>
        <w:rPr/>
        <w:t>calorimetry facility at AgResearch Grasslands. Poject Code: CC MAF POL_2008-28 (1394).</w:t>
      </w:r>
    </w:p>
    <w:p>
      <w:pPr>
        <w:spacing w:line="357" w:lineRule="auto" w:before="0"/>
        <w:ind w:left="1269" w:right="144" w:hanging="993"/>
        <w:jc w:val="both"/>
        <w:rPr>
          <w:sz w:val="24"/>
        </w:rPr>
      </w:pPr>
      <w:r>
        <w:rPr>
          <w:b/>
          <w:sz w:val="24"/>
        </w:rPr>
        <w:t>Pinares-Patiño,</w:t>
      </w:r>
      <w:r>
        <w:rPr>
          <w:b/>
          <w:spacing w:val="-13"/>
          <w:sz w:val="24"/>
        </w:rPr>
        <w:t> </w:t>
      </w:r>
      <w:r>
        <w:rPr>
          <w:b/>
          <w:sz w:val="24"/>
        </w:rPr>
        <w:t>C.</w:t>
      </w:r>
      <w:r>
        <w:rPr>
          <w:b/>
          <w:spacing w:val="-13"/>
          <w:sz w:val="24"/>
        </w:rPr>
        <w:t> </w:t>
      </w:r>
      <w:r>
        <w:rPr>
          <w:b/>
          <w:sz w:val="24"/>
        </w:rPr>
        <w:t>S.,</w:t>
      </w:r>
      <w:r>
        <w:rPr>
          <w:b/>
          <w:spacing w:val="-13"/>
          <w:sz w:val="24"/>
        </w:rPr>
        <w:t> </w:t>
      </w:r>
      <w:r>
        <w:rPr>
          <w:b/>
          <w:sz w:val="24"/>
        </w:rPr>
        <w:t>Machmüller,</w:t>
      </w:r>
      <w:r>
        <w:rPr>
          <w:b/>
          <w:spacing w:val="-13"/>
          <w:sz w:val="24"/>
        </w:rPr>
        <w:t> </w:t>
      </w:r>
      <w:r>
        <w:rPr>
          <w:b/>
          <w:sz w:val="24"/>
        </w:rPr>
        <w:t>A.,</w:t>
      </w:r>
      <w:r>
        <w:rPr>
          <w:b/>
          <w:spacing w:val="-13"/>
          <w:sz w:val="24"/>
        </w:rPr>
        <w:t> </w:t>
      </w:r>
      <w:r>
        <w:rPr>
          <w:b/>
          <w:sz w:val="24"/>
        </w:rPr>
        <w:t>Molano,</w:t>
      </w:r>
      <w:r>
        <w:rPr>
          <w:b/>
          <w:spacing w:val="-13"/>
          <w:sz w:val="24"/>
        </w:rPr>
        <w:t> </w:t>
      </w:r>
      <w:r>
        <w:rPr>
          <w:b/>
          <w:sz w:val="24"/>
        </w:rPr>
        <w:t>G.,</w:t>
      </w:r>
      <w:r>
        <w:rPr>
          <w:b/>
          <w:spacing w:val="-13"/>
          <w:sz w:val="24"/>
        </w:rPr>
        <w:t> </w:t>
      </w:r>
      <w:r>
        <w:rPr>
          <w:b/>
          <w:sz w:val="24"/>
        </w:rPr>
        <w:t>Smith,</w:t>
      </w:r>
      <w:r>
        <w:rPr>
          <w:b/>
          <w:spacing w:val="-13"/>
          <w:sz w:val="24"/>
        </w:rPr>
        <w:t> </w:t>
      </w:r>
      <w:r>
        <w:rPr>
          <w:b/>
          <w:sz w:val="24"/>
        </w:rPr>
        <w:t>A.,</w:t>
      </w:r>
      <w:r>
        <w:rPr>
          <w:b/>
          <w:spacing w:val="-13"/>
          <w:sz w:val="24"/>
        </w:rPr>
        <w:t> </w:t>
      </w:r>
      <w:r>
        <w:rPr>
          <w:b/>
          <w:sz w:val="24"/>
        </w:rPr>
        <w:t>Vlaming,</w:t>
      </w:r>
      <w:r>
        <w:rPr>
          <w:b/>
          <w:spacing w:val="-13"/>
          <w:sz w:val="24"/>
        </w:rPr>
        <w:t> </w:t>
      </w:r>
      <w:r>
        <w:rPr>
          <w:b/>
          <w:sz w:val="24"/>
        </w:rPr>
        <w:t>J.</w:t>
      </w:r>
      <w:r>
        <w:rPr>
          <w:b/>
          <w:spacing w:val="-13"/>
          <w:sz w:val="24"/>
        </w:rPr>
        <w:t> </w:t>
      </w:r>
      <w:r>
        <w:rPr>
          <w:b/>
          <w:sz w:val="24"/>
        </w:rPr>
        <w:t>B.,</w:t>
      </w:r>
      <w:r>
        <w:rPr>
          <w:b/>
          <w:spacing w:val="-13"/>
          <w:sz w:val="24"/>
        </w:rPr>
        <w:t> </w:t>
      </w:r>
      <w:r>
        <w:rPr>
          <w:b/>
          <w:sz w:val="24"/>
        </w:rPr>
        <w:t>and Clark, H. 2008a. </w:t>
      </w:r>
      <w:r>
        <w:rPr>
          <w:sz w:val="24"/>
        </w:rPr>
        <w:t>The SF</w:t>
      </w:r>
      <w:r>
        <w:rPr>
          <w:position w:val="-2"/>
          <w:sz w:val="16"/>
        </w:rPr>
        <w:t>6 </w:t>
      </w:r>
      <w:r>
        <w:rPr>
          <w:sz w:val="24"/>
        </w:rPr>
        <w:t>tracer technique for measurements of methane emission</w:t>
      </w:r>
      <w:r>
        <w:rPr>
          <w:spacing w:val="-8"/>
          <w:sz w:val="24"/>
        </w:rPr>
        <w:t> </w:t>
      </w:r>
      <w:r>
        <w:rPr>
          <w:sz w:val="24"/>
        </w:rPr>
        <w:t>from</w:t>
      </w:r>
      <w:r>
        <w:rPr>
          <w:spacing w:val="-8"/>
          <w:sz w:val="24"/>
        </w:rPr>
        <w:t> </w:t>
      </w:r>
      <w:r>
        <w:rPr>
          <w:sz w:val="24"/>
        </w:rPr>
        <w:t>cattle</w:t>
      </w:r>
      <w:r>
        <w:rPr>
          <w:spacing w:val="-8"/>
          <w:sz w:val="24"/>
        </w:rPr>
        <w:t> </w:t>
      </w:r>
      <w:r>
        <w:rPr>
          <w:sz w:val="24"/>
        </w:rPr>
        <w:t>-</w:t>
      </w:r>
      <w:r>
        <w:rPr>
          <w:spacing w:val="-8"/>
          <w:sz w:val="24"/>
        </w:rPr>
        <w:t> </w:t>
      </w:r>
      <w:r>
        <w:rPr>
          <w:sz w:val="24"/>
        </w:rPr>
        <w:t>effect</w:t>
      </w:r>
      <w:r>
        <w:rPr>
          <w:spacing w:val="-8"/>
          <w:sz w:val="24"/>
        </w:rPr>
        <w:t> </w:t>
      </w:r>
      <w:r>
        <w:rPr>
          <w:sz w:val="24"/>
        </w:rPr>
        <w:t>of</w:t>
      </w:r>
      <w:r>
        <w:rPr>
          <w:spacing w:val="-8"/>
          <w:sz w:val="24"/>
        </w:rPr>
        <w:t> </w:t>
      </w:r>
      <w:r>
        <w:rPr>
          <w:sz w:val="24"/>
        </w:rPr>
        <w:t>tracer</w:t>
      </w:r>
      <w:r>
        <w:rPr>
          <w:spacing w:val="-8"/>
          <w:sz w:val="24"/>
        </w:rPr>
        <w:t> </w:t>
      </w:r>
      <w:r>
        <w:rPr>
          <w:sz w:val="24"/>
        </w:rPr>
        <w:t>permeation</w:t>
      </w:r>
      <w:r>
        <w:rPr>
          <w:spacing w:val="-8"/>
          <w:sz w:val="24"/>
        </w:rPr>
        <w:t> </w:t>
      </w:r>
      <w:r>
        <w:rPr>
          <w:sz w:val="24"/>
        </w:rPr>
        <w:t>rate.</w:t>
      </w:r>
      <w:r>
        <w:rPr>
          <w:spacing w:val="-8"/>
          <w:sz w:val="24"/>
        </w:rPr>
        <w:t> </w:t>
      </w:r>
      <w:r>
        <w:rPr>
          <w:sz w:val="24"/>
        </w:rPr>
        <w:t>Canadian</w:t>
      </w:r>
      <w:r>
        <w:rPr>
          <w:spacing w:val="-8"/>
          <w:sz w:val="24"/>
        </w:rPr>
        <w:t> </w:t>
      </w:r>
      <w:r>
        <w:rPr>
          <w:sz w:val="24"/>
        </w:rPr>
        <w:t>Journal</w:t>
      </w:r>
      <w:r>
        <w:rPr>
          <w:spacing w:val="-8"/>
          <w:sz w:val="24"/>
        </w:rPr>
        <w:t> </w:t>
      </w:r>
      <w:r>
        <w:rPr>
          <w:sz w:val="24"/>
        </w:rPr>
        <w:t>of Animal Sciences. 88,</w:t>
      </w:r>
      <w:r>
        <w:rPr>
          <w:spacing w:val="-1"/>
          <w:sz w:val="24"/>
        </w:rPr>
        <w:t> </w:t>
      </w:r>
      <w:r>
        <w:rPr>
          <w:sz w:val="24"/>
        </w:rPr>
        <w:t>309-320.</w:t>
      </w:r>
    </w:p>
    <w:p>
      <w:pPr>
        <w:spacing w:line="357" w:lineRule="auto" w:before="5"/>
        <w:ind w:left="1269" w:right="144" w:hanging="993"/>
        <w:jc w:val="both"/>
        <w:rPr>
          <w:sz w:val="24"/>
        </w:rPr>
      </w:pPr>
      <w:r>
        <w:rPr>
          <w:b/>
          <w:sz w:val="24"/>
        </w:rPr>
        <w:t>Pinares-Patiño, C. S., Lassey, K. R., Martin, R. J., Molano, G., Fernandez, M., MacLean, S., Sandoval, E., Luo, D. and Clark, H. 2011. </w:t>
      </w:r>
      <w:r>
        <w:rPr>
          <w:sz w:val="24"/>
        </w:rPr>
        <w:t>Assessment of the</w:t>
      </w:r>
      <w:r>
        <w:rPr>
          <w:spacing w:val="-11"/>
          <w:sz w:val="24"/>
        </w:rPr>
        <w:t> </w:t>
      </w:r>
      <w:r>
        <w:rPr>
          <w:sz w:val="24"/>
        </w:rPr>
        <w:t>sulphur</w:t>
      </w:r>
      <w:r>
        <w:rPr>
          <w:spacing w:val="-11"/>
          <w:sz w:val="24"/>
        </w:rPr>
        <w:t> </w:t>
      </w:r>
      <w:r>
        <w:rPr>
          <w:sz w:val="24"/>
        </w:rPr>
        <w:t>hexafluoride</w:t>
      </w:r>
      <w:r>
        <w:rPr>
          <w:spacing w:val="-11"/>
          <w:sz w:val="24"/>
        </w:rPr>
        <w:t> </w:t>
      </w:r>
      <w:r>
        <w:rPr>
          <w:sz w:val="24"/>
        </w:rPr>
        <w:t>(SF</w:t>
      </w:r>
      <w:r>
        <w:rPr>
          <w:position w:val="-2"/>
          <w:sz w:val="16"/>
        </w:rPr>
        <w:t>6</w:t>
      </w:r>
      <w:r>
        <w:rPr>
          <w:sz w:val="24"/>
        </w:rPr>
        <w:t>)</w:t>
      </w:r>
      <w:r>
        <w:rPr>
          <w:spacing w:val="-11"/>
          <w:sz w:val="24"/>
        </w:rPr>
        <w:t> </w:t>
      </w:r>
      <w:r>
        <w:rPr>
          <w:sz w:val="24"/>
        </w:rPr>
        <w:t>tracer</w:t>
      </w:r>
      <w:r>
        <w:rPr>
          <w:spacing w:val="-11"/>
          <w:sz w:val="24"/>
        </w:rPr>
        <w:t> </w:t>
      </w:r>
      <w:r>
        <w:rPr>
          <w:sz w:val="24"/>
        </w:rPr>
        <w:t>technique</w:t>
      </w:r>
      <w:r>
        <w:rPr>
          <w:spacing w:val="-11"/>
          <w:sz w:val="24"/>
        </w:rPr>
        <w:t> </w:t>
      </w:r>
      <w:r>
        <w:rPr>
          <w:sz w:val="24"/>
        </w:rPr>
        <w:t>using</w:t>
      </w:r>
      <w:r>
        <w:rPr>
          <w:spacing w:val="-11"/>
          <w:sz w:val="24"/>
        </w:rPr>
        <w:t> </w:t>
      </w:r>
      <w:r>
        <w:rPr>
          <w:sz w:val="24"/>
        </w:rPr>
        <w:t>respiration</w:t>
      </w:r>
      <w:r>
        <w:rPr>
          <w:spacing w:val="-11"/>
          <w:sz w:val="24"/>
        </w:rPr>
        <w:t> </w:t>
      </w:r>
      <w:r>
        <w:rPr>
          <w:sz w:val="24"/>
        </w:rPr>
        <w:t>chambers for</w:t>
      </w:r>
      <w:r>
        <w:rPr>
          <w:spacing w:val="-14"/>
          <w:sz w:val="24"/>
        </w:rPr>
        <w:t> </w:t>
      </w:r>
      <w:r>
        <w:rPr>
          <w:sz w:val="24"/>
        </w:rPr>
        <w:t>estimation</w:t>
      </w:r>
      <w:r>
        <w:rPr>
          <w:spacing w:val="-14"/>
          <w:sz w:val="24"/>
        </w:rPr>
        <w:t> </w:t>
      </w:r>
      <w:r>
        <w:rPr>
          <w:sz w:val="24"/>
        </w:rPr>
        <w:t>of</w:t>
      </w:r>
      <w:r>
        <w:rPr>
          <w:spacing w:val="-14"/>
          <w:sz w:val="24"/>
        </w:rPr>
        <w:t> </w:t>
      </w:r>
      <w:r>
        <w:rPr>
          <w:sz w:val="24"/>
        </w:rPr>
        <w:t>methane</w:t>
      </w:r>
      <w:r>
        <w:rPr>
          <w:spacing w:val="-14"/>
          <w:sz w:val="24"/>
        </w:rPr>
        <w:t> </w:t>
      </w:r>
      <w:r>
        <w:rPr>
          <w:sz w:val="24"/>
        </w:rPr>
        <w:t>emissions</w:t>
      </w:r>
      <w:r>
        <w:rPr>
          <w:spacing w:val="-14"/>
          <w:sz w:val="24"/>
        </w:rPr>
        <w:t> </w:t>
      </w:r>
      <w:r>
        <w:rPr>
          <w:sz w:val="24"/>
        </w:rPr>
        <w:t>from</w:t>
      </w:r>
      <w:r>
        <w:rPr>
          <w:spacing w:val="-14"/>
          <w:sz w:val="24"/>
        </w:rPr>
        <w:t> </w:t>
      </w:r>
      <w:r>
        <w:rPr>
          <w:sz w:val="24"/>
        </w:rPr>
        <w:t>sheep.</w:t>
      </w:r>
      <w:r>
        <w:rPr>
          <w:spacing w:val="-14"/>
          <w:sz w:val="24"/>
        </w:rPr>
        <w:t> </w:t>
      </w:r>
      <w:r>
        <w:rPr>
          <w:sz w:val="24"/>
        </w:rPr>
        <w:t>Animal</w:t>
      </w:r>
      <w:r>
        <w:rPr>
          <w:spacing w:val="-14"/>
          <w:sz w:val="24"/>
        </w:rPr>
        <w:t> </w:t>
      </w:r>
      <w:r>
        <w:rPr>
          <w:sz w:val="24"/>
        </w:rPr>
        <w:t>Feed</w:t>
      </w:r>
      <w:r>
        <w:rPr>
          <w:spacing w:val="-14"/>
          <w:sz w:val="24"/>
        </w:rPr>
        <w:t> </w:t>
      </w:r>
      <w:r>
        <w:rPr>
          <w:sz w:val="24"/>
        </w:rPr>
        <w:t>Science</w:t>
      </w:r>
      <w:r>
        <w:rPr>
          <w:spacing w:val="-14"/>
          <w:sz w:val="24"/>
        </w:rPr>
        <w:t> </w:t>
      </w:r>
      <w:r>
        <w:rPr>
          <w:sz w:val="24"/>
        </w:rPr>
        <w:t>and Technology 166,</w:t>
      </w:r>
      <w:r>
        <w:rPr>
          <w:spacing w:val="-1"/>
          <w:sz w:val="24"/>
        </w:rPr>
        <w:t> </w:t>
      </w:r>
      <w:r>
        <w:rPr>
          <w:sz w:val="24"/>
        </w:rPr>
        <w:t>201-209.</w:t>
      </w:r>
    </w:p>
    <w:p>
      <w:pPr>
        <w:spacing w:line="360" w:lineRule="auto" w:before="5"/>
        <w:ind w:left="1269" w:right="143" w:hanging="993"/>
        <w:jc w:val="both"/>
        <w:rPr>
          <w:sz w:val="24"/>
        </w:rPr>
      </w:pPr>
      <w:r>
        <w:rPr>
          <w:b/>
          <w:sz w:val="24"/>
        </w:rPr>
        <w:t>Ramirez-Restrepo, C. A., Barr, T. N., Marriner, A., López-Villalobos, N., McWilliam, E. L., Lassey, K. R. and Clark, H. 2010. </w:t>
      </w:r>
      <w:r>
        <w:rPr>
          <w:sz w:val="24"/>
        </w:rPr>
        <w:t>Effects of grazing willow fodder blocks upon methane production and blood composition in young sheep. Animal Feed Science Technology. 155, 33-43.</w:t>
      </w:r>
    </w:p>
    <w:p>
      <w:pPr>
        <w:spacing w:line="360" w:lineRule="auto" w:before="2"/>
        <w:ind w:left="1269" w:right="144" w:hanging="993"/>
        <w:jc w:val="both"/>
        <w:rPr>
          <w:sz w:val="24"/>
        </w:rPr>
      </w:pPr>
      <w:r>
        <w:rPr>
          <w:b/>
          <w:sz w:val="24"/>
        </w:rPr>
        <w:t>Robinson, D., Goopy, J., Donaldson, A., Woodgate, R., Oddy, V., Hegarty, R. 2014 </w:t>
      </w:r>
      <w:r>
        <w:rPr>
          <w:sz w:val="24"/>
        </w:rPr>
        <w:t>Sire and liveweight affect feed intake and methane emissions of sheep confined in respiration chambers. Animal 8:1935–1944</w:t>
      </w:r>
    </w:p>
    <w:p>
      <w:pPr>
        <w:spacing w:line="360" w:lineRule="auto" w:before="2"/>
        <w:ind w:left="1269" w:right="145" w:hanging="993"/>
        <w:jc w:val="both"/>
        <w:rPr>
          <w:sz w:val="24"/>
        </w:rPr>
      </w:pPr>
      <w:r>
        <w:rPr>
          <w:b/>
          <w:sz w:val="24"/>
        </w:rPr>
        <w:t>Sejian,</w:t>
      </w:r>
      <w:r>
        <w:rPr>
          <w:b/>
          <w:spacing w:val="-14"/>
          <w:sz w:val="24"/>
        </w:rPr>
        <w:t> </w:t>
      </w:r>
      <w:r>
        <w:rPr>
          <w:b/>
          <w:sz w:val="24"/>
        </w:rPr>
        <w:t>V.,</w:t>
      </w:r>
      <w:r>
        <w:rPr>
          <w:b/>
          <w:spacing w:val="-14"/>
          <w:sz w:val="24"/>
        </w:rPr>
        <w:t> </w:t>
      </w:r>
      <w:r>
        <w:rPr>
          <w:b/>
          <w:sz w:val="24"/>
        </w:rPr>
        <w:t>Lal,</w:t>
      </w:r>
      <w:r>
        <w:rPr>
          <w:b/>
          <w:spacing w:val="-14"/>
          <w:sz w:val="24"/>
        </w:rPr>
        <w:t> </w:t>
      </w:r>
      <w:r>
        <w:rPr>
          <w:b/>
          <w:sz w:val="24"/>
        </w:rPr>
        <w:t>R.,</w:t>
      </w:r>
      <w:r>
        <w:rPr>
          <w:b/>
          <w:spacing w:val="-14"/>
          <w:sz w:val="24"/>
        </w:rPr>
        <w:t> </w:t>
      </w:r>
      <w:r>
        <w:rPr>
          <w:b/>
          <w:sz w:val="24"/>
        </w:rPr>
        <w:t>Lakritz,</w:t>
      </w:r>
      <w:r>
        <w:rPr>
          <w:b/>
          <w:spacing w:val="-14"/>
          <w:sz w:val="24"/>
        </w:rPr>
        <w:t> </w:t>
      </w:r>
      <w:r>
        <w:rPr>
          <w:b/>
          <w:sz w:val="24"/>
        </w:rPr>
        <w:t>J.,</w:t>
      </w:r>
      <w:r>
        <w:rPr>
          <w:b/>
          <w:spacing w:val="-14"/>
          <w:sz w:val="24"/>
        </w:rPr>
        <w:t> </w:t>
      </w:r>
      <w:r>
        <w:rPr>
          <w:b/>
          <w:sz w:val="24"/>
        </w:rPr>
        <w:t>Ezeji,</w:t>
      </w:r>
      <w:r>
        <w:rPr>
          <w:b/>
          <w:spacing w:val="-14"/>
          <w:sz w:val="24"/>
        </w:rPr>
        <w:t> </w:t>
      </w:r>
      <w:r>
        <w:rPr>
          <w:b/>
          <w:sz w:val="24"/>
        </w:rPr>
        <w:t>T.</w:t>
      </w:r>
      <w:r>
        <w:rPr>
          <w:b/>
          <w:spacing w:val="-14"/>
          <w:sz w:val="24"/>
        </w:rPr>
        <w:t> </w:t>
      </w:r>
      <w:r>
        <w:rPr>
          <w:b/>
          <w:sz w:val="24"/>
        </w:rPr>
        <w:t>2011.</w:t>
      </w:r>
      <w:r>
        <w:rPr>
          <w:b/>
          <w:spacing w:val="-14"/>
          <w:sz w:val="24"/>
        </w:rPr>
        <w:t> </w:t>
      </w:r>
      <w:r>
        <w:rPr>
          <w:sz w:val="24"/>
        </w:rPr>
        <w:t>Measurement</w:t>
      </w:r>
      <w:r>
        <w:rPr>
          <w:spacing w:val="-14"/>
          <w:sz w:val="24"/>
        </w:rPr>
        <w:t> </w:t>
      </w:r>
      <w:r>
        <w:rPr>
          <w:sz w:val="24"/>
        </w:rPr>
        <w:t>and</w:t>
      </w:r>
      <w:r>
        <w:rPr>
          <w:spacing w:val="-14"/>
          <w:sz w:val="24"/>
        </w:rPr>
        <w:t> </w:t>
      </w:r>
      <w:r>
        <w:rPr>
          <w:sz w:val="24"/>
        </w:rPr>
        <w:t>prediction</w:t>
      </w:r>
      <w:r>
        <w:rPr>
          <w:spacing w:val="-14"/>
          <w:sz w:val="24"/>
        </w:rPr>
        <w:t> </w:t>
      </w:r>
      <w:r>
        <w:rPr>
          <w:sz w:val="24"/>
        </w:rPr>
        <w:t>of</w:t>
      </w:r>
      <w:r>
        <w:rPr>
          <w:spacing w:val="-14"/>
          <w:sz w:val="24"/>
        </w:rPr>
        <w:t> </w:t>
      </w:r>
      <w:r>
        <w:rPr>
          <w:sz w:val="24"/>
        </w:rPr>
        <w:t>enteric methane emission. International Journal of Biometeorology, vol. 55, 2011, p.</w:t>
      </w:r>
      <w:r>
        <w:rPr>
          <w:spacing w:val="-2"/>
          <w:sz w:val="24"/>
        </w:rPr>
        <w:t> </w:t>
      </w:r>
      <w:r>
        <w:rPr>
          <w:sz w:val="24"/>
        </w:rPr>
        <w:t>1-16.</w:t>
      </w:r>
    </w:p>
    <w:p>
      <w:pPr>
        <w:spacing w:line="360" w:lineRule="auto" w:before="7"/>
        <w:ind w:left="1269" w:right="143" w:hanging="993"/>
        <w:jc w:val="both"/>
        <w:rPr>
          <w:sz w:val="24"/>
        </w:rPr>
      </w:pPr>
      <w:r>
        <w:rPr>
          <w:b/>
          <w:sz w:val="24"/>
        </w:rPr>
        <w:t>Steinfeld, H., Gerber, P., Wassenaar, T., Castel, V., Rosales, M., de Haan, C. 2009. </w:t>
      </w:r>
      <w:r>
        <w:rPr>
          <w:sz w:val="24"/>
        </w:rPr>
        <w:t>La Larga Sombra del Ganado: Problemas ambientales y opciones. FAO. Roma. pp. 464.</w:t>
      </w:r>
    </w:p>
    <w:p>
      <w:pPr>
        <w:spacing w:line="360" w:lineRule="auto" w:before="2"/>
        <w:ind w:left="1269" w:right="144" w:hanging="993"/>
        <w:jc w:val="both"/>
        <w:rPr>
          <w:sz w:val="24"/>
        </w:rPr>
      </w:pPr>
      <w:r>
        <w:rPr>
          <w:b/>
          <w:sz w:val="24"/>
        </w:rPr>
        <w:t>Storm,</w:t>
      </w:r>
      <w:r>
        <w:rPr>
          <w:b/>
          <w:spacing w:val="-7"/>
          <w:sz w:val="24"/>
        </w:rPr>
        <w:t> </w:t>
      </w:r>
      <w:r>
        <w:rPr>
          <w:b/>
          <w:sz w:val="24"/>
        </w:rPr>
        <w:t>I.</w:t>
      </w:r>
      <w:r>
        <w:rPr>
          <w:b/>
          <w:spacing w:val="-7"/>
          <w:sz w:val="24"/>
        </w:rPr>
        <w:t> </w:t>
      </w:r>
      <w:r>
        <w:rPr>
          <w:b/>
          <w:sz w:val="24"/>
        </w:rPr>
        <w:t>M.</w:t>
      </w:r>
      <w:r>
        <w:rPr>
          <w:b/>
          <w:spacing w:val="-7"/>
          <w:sz w:val="24"/>
        </w:rPr>
        <w:t> </w:t>
      </w:r>
      <w:r>
        <w:rPr>
          <w:b/>
          <w:sz w:val="24"/>
        </w:rPr>
        <w:t>L.</w:t>
      </w:r>
      <w:r>
        <w:rPr>
          <w:b/>
          <w:spacing w:val="-7"/>
          <w:sz w:val="24"/>
        </w:rPr>
        <w:t> </w:t>
      </w:r>
      <w:r>
        <w:rPr>
          <w:b/>
          <w:sz w:val="24"/>
        </w:rPr>
        <w:t>D.,</w:t>
      </w:r>
      <w:r>
        <w:rPr>
          <w:b/>
          <w:spacing w:val="-7"/>
          <w:sz w:val="24"/>
        </w:rPr>
        <w:t> </w:t>
      </w:r>
      <w:r>
        <w:rPr>
          <w:b/>
          <w:sz w:val="24"/>
        </w:rPr>
        <w:t>Hellwing,</w:t>
      </w:r>
      <w:r>
        <w:rPr>
          <w:b/>
          <w:spacing w:val="-7"/>
          <w:sz w:val="24"/>
        </w:rPr>
        <w:t> </w:t>
      </w:r>
      <w:r>
        <w:rPr>
          <w:b/>
          <w:sz w:val="24"/>
        </w:rPr>
        <w:t>A.</w:t>
      </w:r>
      <w:r>
        <w:rPr>
          <w:b/>
          <w:spacing w:val="-7"/>
          <w:sz w:val="24"/>
        </w:rPr>
        <w:t> </w:t>
      </w:r>
      <w:r>
        <w:rPr>
          <w:b/>
          <w:sz w:val="24"/>
        </w:rPr>
        <w:t>L.</w:t>
      </w:r>
      <w:r>
        <w:rPr>
          <w:b/>
          <w:spacing w:val="-7"/>
          <w:sz w:val="24"/>
        </w:rPr>
        <w:t> </w:t>
      </w:r>
      <w:r>
        <w:rPr>
          <w:b/>
          <w:sz w:val="24"/>
        </w:rPr>
        <w:t>F.,</w:t>
      </w:r>
      <w:r>
        <w:rPr>
          <w:b/>
          <w:spacing w:val="-7"/>
          <w:sz w:val="24"/>
        </w:rPr>
        <w:t> </w:t>
      </w:r>
      <w:r>
        <w:rPr>
          <w:b/>
          <w:sz w:val="24"/>
        </w:rPr>
        <w:t>Nielsen,</w:t>
      </w:r>
      <w:r>
        <w:rPr>
          <w:b/>
          <w:spacing w:val="-7"/>
          <w:sz w:val="24"/>
        </w:rPr>
        <w:t> </w:t>
      </w:r>
      <w:r>
        <w:rPr>
          <w:b/>
          <w:sz w:val="24"/>
        </w:rPr>
        <w:t>N.</w:t>
      </w:r>
      <w:r>
        <w:rPr>
          <w:b/>
          <w:spacing w:val="-7"/>
          <w:sz w:val="24"/>
        </w:rPr>
        <w:t> </w:t>
      </w:r>
      <w:r>
        <w:rPr>
          <w:b/>
          <w:sz w:val="24"/>
        </w:rPr>
        <w:t>I.</w:t>
      </w:r>
      <w:r>
        <w:rPr>
          <w:b/>
          <w:spacing w:val="-7"/>
          <w:sz w:val="24"/>
        </w:rPr>
        <w:t> </w:t>
      </w:r>
      <w:r>
        <w:rPr>
          <w:b/>
          <w:sz w:val="24"/>
        </w:rPr>
        <w:t>and</w:t>
      </w:r>
      <w:r>
        <w:rPr>
          <w:b/>
          <w:spacing w:val="-7"/>
          <w:sz w:val="24"/>
        </w:rPr>
        <w:t> </w:t>
      </w:r>
      <w:r>
        <w:rPr>
          <w:b/>
          <w:sz w:val="24"/>
        </w:rPr>
        <w:t>Madsen,</w:t>
      </w:r>
      <w:r>
        <w:rPr>
          <w:b/>
          <w:spacing w:val="-7"/>
          <w:sz w:val="24"/>
        </w:rPr>
        <w:t> </w:t>
      </w:r>
      <w:r>
        <w:rPr>
          <w:b/>
          <w:sz w:val="24"/>
        </w:rPr>
        <w:t>J.</w:t>
      </w:r>
      <w:r>
        <w:rPr>
          <w:b/>
          <w:spacing w:val="-7"/>
          <w:sz w:val="24"/>
        </w:rPr>
        <w:t> </w:t>
      </w:r>
      <w:r>
        <w:rPr>
          <w:b/>
          <w:sz w:val="24"/>
        </w:rPr>
        <w:t>2012.</w:t>
      </w:r>
      <w:r>
        <w:rPr>
          <w:b/>
          <w:spacing w:val="-7"/>
          <w:sz w:val="24"/>
        </w:rPr>
        <w:t> </w:t>
      </w:r>
      <w:r>
        <w:rPr>
          <w:sz w:val="24"/>
        </w:rPr>
        <w:t>Methods for</w:t>
      </w:r>
      <w:r>
        <w:rPr>
          <w:spacing w:val="-18"/>
          <w:sz w:val="24"/>
        </w:rPr>
        <w:t> </w:t>
      </w:r>
      <w:r>
        <w:rPr>
          <w:sz w:val="24"/>
        </w:rPr>
        <w:t>Measuring</w:t>
      </w:r>
      <w:r>
        <w:rPr>
          <w:spacing w:val="-18"/>
          <w:sz w:val="24"/>
        </w:rPr>
        <w:t> </w:t>
      </w:r>
      <w:r>
        <w:rPr>
          <w:sz w:val="24"/>
        </w:rPr>
        <w:t>and</w:t>
      </w:r>
      <w:r>
        <w:rPr>
          <w:spacing w:val="-18"/>
          <w:sz w:val="24"/>
        </w:rPr>
        <w:t> </w:t>
      </w:r>
      <w:r>
        <w:rPr>
          <w:sz w:val="24"/>
        </w:rPr>
        <w:t>Estimating</w:t>
      </w:r>
      <w:r>
        <w:rPr>
          <w:spacing w:val="-18"/>
          <w:sz w:val="24"/>
        </w:rPr>
        <w:t> </w:t>
      </w:r>
      <w:r>
        <w:rPr>
          <w:sz w:val="24"/>
        </w:rPr>
        <w:t>Methane</w:t>
      </w:r>
      <w:r>
        <w:rPr>
          <w:spacing w:val="-18"/>
          <w:sz w:val="24"/>
        </w:rPr>
        <w:t> </w:t>
      </w:r>
      <w:r>
        <w:rPr>
          <w:sz w:val="24"/>
        </w:rPr>
        <w:t>Emission</w:t>
      </w:r>
      <w:r>
        <w:rPr>
          <w:spacing w:val="-18"/>
          <w:sz w:val="24"/>
        </w:rPr>
        <w:t> </w:t>
      </w:r>
      <w:r>
        <w:rPr>
          <w:sz w:val="24"/>
        </w:rPr>
        <w:t>from</w:t>
      </w:r>
      <w:r>
        <w:rPr>
          <w:spacing w:val="-18"/>
          <w:sz w:val="24"/>
        </w:rPr>
        <w:t> </w:t>
      </w:r>
      <w:r>
        <w:rPr>
          <w:sz w:val="24"/>
        </w:rPr>
        <w:t>Ruminants.</w:t>
      </w:r>
      <w:r>
        <w:rPr>
          <w:spacing w:val="-18"/>
          <w:sz w:val="24"/>
        </w:rPr>
        <w:t> </w:t>
      </w:r>
      <w:r>
        <w:rPr>
          <w:sz w:val="24"/>
        </w:rPr>
        <w:t>Animals. 2,</w:t>
      </w:r>
      <w:r>
        <w:rPr>
          <w:spacing w:val="-2"/>
          <w:sz w:val="24"/>
        </w:rPr>
        <w:t> </w:t>
      </w:r>
      <w:r>
        <w:rPr>
          <w:sz w:val="24"/>
        </w:rPr>
        <w:t>160-183.</w:t>
      </w:r>
    </w:p>
    <w:p>
      <w:pPr>
        <w:spacing w:line="360" w:lineRule="auto" w:before="2"/>
        <w:ind w:left="1269" w:right="144" w:hanging="993"/>
        <w:jc w:val="both"/>
        <w:rPr>
          <w:sz w:val="24"/>
        </w:rPr>
      </w:pPr>
      <w:r>
        <w:rPr>
          <w:b/>
          <w:sz w:val="24"/>
        </w:rPr>
        <w:t>Tejido, M. L., Ranilla, M. J., Carro, M. D. 2002. </w:t>
      </w:r>
      <w:r>
        <w:rPr>
          <w:i/>
          <w:sz w:val="24"/>
        </w:rPr>
        <w:t>In vitro </w:t>
      </w:r>
      <w:r>
        <w:rPr>
          <w:sz w:val="24"/>
        </w:rPr>
        <w:t>digestibility of forages as influences</w:t>
      </w:r>
      <w:r>
        <w:rPr>
          <w:spacing w:val="-14"/>
          <w:sz w:val="24"/>
        </w:rPr>
        <w:t> </w:t>
      </w:r>
      <w:r>
        <w:rPr>
          <w:sz w:val="24"/>
        </w:rPr>
        <w:t>by</w:t>
      </w:r>
      <w:r>
        <w:rPr>
          <w:spacing w:val="-14"/>
          <w:sz w:val="24"/>
        </w:rPr>
        <w:t> </w:t>
      </w:r>
      <w:r>
        <w:rPr>
          <w:sz w:val="24"/>
        </w:rPr>
        <w:t>source</w:t>
      </w:r>
      <w:r>
        <w:rPr>
          <w:spacing w:val="-14"/>
          <w:sz w:val="24"/>
        </w:rPr>
        <w:t> </w:t>
      </w:r>
      <w:r>
        <w:rPr>
          <w:sz w:val="24"/>
        </w:rPr>
        <w:t>of</w:t>
      </w:r>
      <w:r>
        <w:rPr>
          <w:spacing w:val="-14"/>
          <w:sz w:val="24"/>
        </w:rPr>
        <w:t> </w:t>
      </w:r>
      <w:r>
        <w:rPr>
          <w:sz w:val="24"/>
        </w:rPr>
        <w:t>inoculum</w:t>
      </w:r>
      <w:r>
        <w:rPr>
          <w:spacing w:val="-14"/>
          <w:sz w:val="24"/>
        </w:rPr>
        <w:t> </w:t>
      </w:r>
      <w:r>
        <w:rPr>
          <w:sz w:val="24"/>
        </w:rPr>
        <w:t>(sheep</w:t>
      </w:r>
      <w:r>
        <w:rPr>
          <w:spacing w:val="-14"/>
          <w:sz w:val="24"/>
        </w:rPr>
        <w:t> </w:t>
      </w:r>
      <w:r>
        <w:rPr>
          <w:sz w:val="24"/>
        </w:rPr>
        <w:t>rumen</w:t>
      </w:r>
      <w:r>
        <w:rPr>
          <w:spacing w:val="-14"/>
          <w:sz w:val="24"/>
        </w:rPr>
        <w:t> </w:t>
      </w:r>
      <w:r>
        <w:rPr>
          <w:sz w:val="24"/>
        </w:rPr>
        <w:t>versus</w:t>
      </w:r>
      <w:r>
        <w:rPr>
          <w:spacing w:val="-14"/>
          <w:sz w:val="24"/>
        </w:rPr>
        <w:t> </w:t>
      </w:r>
      <w:r>
        <w:rPr>
          <w:sz w:val="24"/>
        </w:rPr>
        <w:t>Rusitec</w:t>
      </w:r>
      <w:r>
        <w:rPr>
          <w:spacing w:val="-14"/>
          <w:sz w:val="24"/>
        </w:rPr>
        <w:t> </w:t>
      </w:r>
      <w:r>
        <w:rPr>
          <w:sz w:val="24"/>
        </w:rPr>
        <w:t>fermenters) and</w:t>
      </w:r>
      <w:r>
        <w:rPr>
          <w:spacing w:val="-13"/>
          <w:sz w:val="24"/>
        </w:rPr>
        <w:t> </w:t>
      </w:r>
      <w:r>
        <w:rPr>
          <w:sz w:val="24"/>
        </w:rPr>
        <w:t>diet</w:t>
      </w:r>
      <w:r>
        <w:rPr>
          <w:spacing w:val="-13"/>
          <w:sz w:val="24"/>
        </w:rPr>
        <w:t> </w:t>
      </w:r>
      <w:r>
        <w:rPr>
          <w:sz w:val="24"/>
        </w:rPr>
        <w:t>of</w:t>
      </w:r>
      <w:r>
        <w:rPr>
          <w:spacing w:val="-13"/>
          <w:sz w:val="24"/>
        </w:rPr>
        <w:t> </w:t>
      </w:r>
      <w:r>
        <w:rPr>
          <w:sz w:val="24"/>
        </w:rPr>
        <w:t>the</w:t>
      </w:r>
      <w:r>
        <w:rPr>
          <w:spacing w:val="-13"/>
          <w:sz w:val="24"/>
        </w:rPr>
        <w:t> </w:t>
      </w:r>
      <w:r>
        <w:rPr>
          <w:sz w:val="24"/>
        </w:rPr>
        <w:t>donor</w:t>
      </w:r>
      <w:r>
        <w:rPr>
          <w:spacing w:val="-13"/>
          <w:sz w:val="24"/>
        </w:rPr>
        <w:t> </w:t>
      </w:r>
      <w:r>
        <w:rPr>
          <w:sz w:val="24"/>
        </w:rPr>
        <w:t>sheep.</w:t>
      </w:r>
      <w:r>
        <w:rPr>
          <w:spacing w:val="-13"/>
          <w:sz w:val="24"/>
        </w:rPr>
        <w:t> </w:t>
      </w:r>
      <w:r>
        <w:rPr>
          <w:sz w:val="24"/>
        </w:rPr>
        <w:t>Animal</w:t>
      </w:r>
      <w:r>
        <w:rPr>
          <w:spacing w:val="-13"/>
          <w:sz w:val="24"/>
        </w:rPr>
        <w:t> </w:t>
      </w:r>
      <w:r>
        <w:rPr>
          <w:sz w:val="24"/>
        </w:rPr>
        <w:t>Feed</w:t>
      </w:r>
      <w:r>
        <w:rPr>
          <w:spacing w:val="-13"/>
          <w:sz w:val="24"/>
        </w:rPr>
        <w:t> </w:t>
      </w:r>
      <w:r>
        <w:rPr>
          <w:sz w:val="24"/>
        </w:rPr>
        <w:t>Science</w:t>
      </w:r>
      <w:r>
        <w:rPr>
          <w:spacing w:val="-13"/>
          <w:sz w:val="24"/>
        </w:rPr>
        <w:t> </w:t>
      </w:r>
      <w:r>
        <w:rPr>
          <w:sz w:val="24"/>
        </w:rPr>
        <w:t>and</w:t>
      </w:r>
      <w:r>
        <w:rPr>
          <w:spacing w:val="-13"/>
          <w:sz w:val="24"/>
        </w:rPr>
        <w:t> </w:t>
      </w:r>
      <w:r>
        <w:rPr>
          <w:sz w:val="24"/>
        </w:rPr>
        <w:t>Technology.</w:t>
      </w:r>
      <w:r>
        <w:rPr>
          <w:spacing w:val="-13"/>
          <w:sz w:val="24"/>
        </w:rPr>
        <w:t> </w:t>
      </w:r>
      <w:r>
        <w:rPr>
          <w:sz w:val="24"/>
        </w:rPr>
        <w:t>97:</w:t>
      </w:r>
      <w:r>
        <w:rPr>
          <w:spacing w:val="-13"/>
          <w:sz w:val="24"/>
        </w:rPr>
        <w:t> </w:t>
      </w:r>
      <w:r>
        <w:rPr>
          <w:sz w:val="24"/>
        </w:rPr>
        <w:t>41- 51.</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spacing w:line="360" w:lineRule="auto" w:before="69"/>
        <w:ind w:left="1269" w:right="144" w:hanging="993"/>
        <w:jc w:val="both"/>
        <w:rPr>
          <w:sz w:val="24"/>
        </w:rPr>
      </w:pPr>
      <w:r>
        <w:rPr>
          <w:b/>
          <w:sz w:val="24"/>
        </w:rPr>
        <w:t>Teye, F. K., Alkkiomaki, E., Simojoki, A., Pastell, M., Ahokas, J. 2009. </w:t>
      </w:r>
      <w:r>
        <w:rPr>
          <w:sz w:val="24"/>
        </w:rPr>
        <w:t>Instrumentation, measurement and performance of three air quality measurement systems for dairy buildings. Appl. Eng. Agric. 25, 247–256.</w:t>
      </w:r>
    </w:p>
    <w:p>
      <w:pPr>
        <w:spacing w:line="360" w:lineRule="auto" w:before="2"/>
        <w:ind w:left="1269" w:right="143" w:hanging="993"/>
        <w:jc w:val="both"/>
        <w:rPr>
          <w:sz w:val="24"/>
        </w:rPr>
      </w:pPr>
      <w:r>
        <w:rPr>
          <w:b/>
          <w:sz w:val="24"/>
        </w:rPr>
        <w:t>Theodorou, M. K., Williams, B. A., Dhanoa, M. S., McAllan, A. B. and France,</w:t>
      </w:r>
      <w:r>
        <w:rPr>
          <w:b/>
          <w:spacing w:val="-42"/>
          <w:sz w:val="24"/>
        </w:rPr>
        <w:t> </w:t>
      </w:r>
      <w:r>
        <w:rPr>
          <w:b/>
          <w:sz w:val="24"/>
        </w:rPr>
        <w:t>J. 1994. </w:t>
      </w:r>
      <w:r>
        <w:rPr>
          <w:sz w:val="24"/>
        </w:rPr>
        <w:t>A simple gas production method using a pressure transducer to determine the fermentation kinetics of ruminant feeds. Animal Feed Science and Technology 48,</w:t>
      </w:r>
      <w:r>
        <w:rPr>
          <w:spacing w:val="-1"/>
          <w:sz w:val="24"/>
        </w:rPr>
        <w:t> </w:t>
      </w:r>
      <w:r>
        <w:rPr>
          <w:sz w:val="24"/>
        </w:rPr>
        <w:t>185-197.</w:t>
      </w:r>
    </w:p>
    <w:p>
      <w:pPr>
        <w:spacing w:line="360" w:lineRule="auto" w:before="2"/>
        <w:ind w:left="1269" w:right="144" w:hanging="993"/>
        <w:jc w:val="both"/>
        <w:rPr>
          <w:sz w:val="24"/>
        </w:rPr>
      </w:pPr>
      <w:r>
        <w:rPr>
          <w:b/>
          <w:sz w:val="24"/>
        </w:rPr>
        <w:t>Tilley, J. M. and Terry, R. A. 1963. </w:t>
      </w:r>
      <w:r>
        <w:rPr>
          <w:sz w:val="24"/>
        </w:rPr>
        <w:t>A two stage technique for the in vitro digestion of forage crops. Journal of British Grassland Society. 18: 104-111.</w:t>
      </w:r>
    </w:p>
    <w:p>
      <w:pPr>
        <w:spacing w:line="360" w:lineRule="auto" w:before="7"/>
        <w:ind w:left="1269" w:right="144" w:hanging="993"/>
        <w:jc w:val="both"/>
        <w:rPr>
          <w:sz w:val="24"/>
        </w:rPr>
      </w:pPr>
      <w:r>
        <w:rPr>
          <w:b/>
          <w:sz w:val="24"/>
        </w:rPr>
        <w:t>Tomkins,</w:t>
      </w:r>
      <w:r>
        <w:rPr>
          <w:b/>
          <w:spacing w:val="-16"/>
          <w:sz w:val="24"/>
        </w:rPr>
        <w:t> </w:t>
      </w:r>
      <w:r>
        <w:rPr>
          <w:b/>
          <w:sz w:val="24"/>
        </w:rPr>
        <w:t>N.</w:t>
      </w:r>
      <w:r>
        <w:rPr>
          <w:b/>
          <w:spacing w:val="-16"/>
          <w:sz w:val="24"/>
        </w:rPr>
        <w:t> </w:t>
      </w:r>
      <w:r>
        <w:rPr>
          <w:b/>
          <w:sz w:val="24"/>
        </w:rPr>
        <w:t>W.,</w:t>
      </w:r>
      <w:r>
        <w:rPr>
          <w:b/>
          <w:spacing w:val="-16"/>
          <w:sz w:val="24"/>
        </w:rPr>
        <w:t> </w:t>
      </w:r>
      <w:r>
        <w:rPr>
          <w:b/>
          <w:sz w:val="24"/>
        </w:rPr>
        <w:t>McGinn,</w:t>
      </w:r>
      <w:r>
        <w:rPr>
          <w:b/>
          <w:spacing w:val="-16"/>
          <w:sz w:val="24"/>
        </w:rPr>
        <w:t> </w:t>
      </w:r>
      <w:r>
        <w:rPr>
          <w:b/>
          <w:sz w:val="24"/>
        </w:rPr>
        <w:t>S.</w:t>
      </w:r>
      <w:r>
        <w:rPr>
          <w:b/>
          <w:spacing w:val="-16"/>
          <w:sz w:val="24"/>
        </w:rPr>
        <w:t> </w:t>
      </w:r>
      <w:r>
        <w:rPr>
          <w:b/>
          <w:sz w:val="24"/>
        </w:rPr>
        <w:t>M.,</w:t>
      </w:r>
      <w:r>
        <w:rPr>
          <w:b/>
          <w:spacing w:val="-16"/>
          <w:sz w:val="24"/>
        </w:rPr>
        <w:t> </w:t>
      </w:r>
      <w:r>
        <w:rPr>
          <w:b/>
          <w:sz w:val="24"/>
        </w:rPr>
        <w:t>Turner,</w:t>
      </w:r>
      <w:r>
        <w:rPr>
          <w:b/>
          <w:spacing w:val="-16"/>
          <w:sz w:val="24"/>
        </w:rPr>
        <w:t> </w:t>
      </w:r>
      <w:r>
        <w:rPr>
          <w:b/>
          <w:sz w:val="24"/>
        </w:rPr>
        <w:t>D.</w:t>
      </w:r>
      <w:r>
        <w:rPr>
          <w:b/>
          <w:spacing w:val="-16"/>
          <w:sz w:val="24"/>
        </w:rPr>
        <w:t> </w:t>
      </w:r>
      <w:r>
        <w:rPr>
          <w:b/>
          <w:sz w:val="24"/>
        </w:rPr>
        <w:t>A.</w:t>
      </w:r>
      <w:r>
        <w:rPr>
          <w:b/>
          <w:spacing w:val="-16"/>
          <w:sz w:val="24"/>
        </w:rPr>
        <w:t> </w:t>
      </w:r>
      <w:r>
        <w:rPr>
          <w:b/>
          <w:sz w:val="24"/>
        </w:rPr>
        <w:t>and</w:t>
      </w:r>
      <w:r>
        <w:rPr>
          <w:b/>
          <w:spacing w:val="-16"/>
          <w:sz w:val="24"/>
        </w:rPr>
        <w:t> </w:t>
      </w:r>
      <w:r>
        <w:rPr>
          <w:b/>
          <w:sz w:val="24"/>
        </w:rPr>
        <w:t>Charmley,</w:t>
      </w:r>
      <w:r>
        <w:rPr>
          <w:b/>
          <w:spacing w:val="-16"/>
          <w:sz w:val="24"/>
        </w:rPr>
        <w:t> </w:t>
      </w:r>
      <w:r>
        <w:rPr>
          <w:b/>
          <w:sz w:val="24"/>
        </w:rPr>
        <w:t>E.</w:t>
      </w:r>
      <w:r>
        <w:rPr>
          <w:b/>
          <w:spacing w:val="-16"/>
          <w:sz w:val="24"/>
        </w:rPr>
        <w:t> </w:t>
      </w:r>
      <w:r>
        <w:rPr>
          <w:b/>
          <w:sz w:val="24"/>
        </w:rPr>
        <w:t>2011.</w:t>
      </w:r>
      <w:r>
        <w:rPr>
          <w:b/>
          <w:spacing w:val="-16"/>
          <w:sz w:val="24"/>
        </w:rPr>
        <w:t> </w:t>
      </w:r>
      <w:r>
        <w:rPr>
          <w:sz w:val="24"/>
        </w:rPr>
        <w:t>Comparison of</w:t>
      </w:r>
      <w:r>
        <w:rPr>
          <w:spacing w:val="-13"/>
          <w:sz w:val="24"/>
        </w:rPr>
        <w:t> </w:t>
      </w:r>
      <w:r>
        <w:rPr>
          <w:sz w:val="24"/>
        </w:rPr>
        <w:t>open-circuit</w:t>
      </w:r>
      <w:r>
        <w:rPr>
          <w:spacing w:val="-13"/>
          <w:sz w:val="24"/>
        </w:rPr>
        <w:t> </w:t>
      </w:r>
      <w:r>
        <w:rPr>
          <w:sz w:val="24"/>
        </w:rPr>
        <w:t>respiration</w:t>
      </w:r>
      <w:r>
        <w:rPr>
          <w:spacing w:val="-13"/>
          <w:sz w:val="24"/>
        </w:rPr>
        <w:t> </w:t>
      </w:r>
      <w:r>
        <w:rPr>
          <w:sz w:val="24"/>
        </w:rPr>
        <w:t>chambers</w:t>
      </w:r>
      <w:r>
        <w:rPr>
          <w:spacing w:val="-13"/>
          <w:sz w:val="24"/>
        </w:rPr>
        <w:t> </w:t>
      </w:r>
      <w:r>
        <w:rPr>
          <w:sz w:val="24"/>
        </w:rPr>
        <w:t>with</w:t>
      </w:r>
      <w:r>
        <w:rPr>
          <w:spacing w:val="-13"/>
          <w:sz w:val="24"/>
        </w:rPr>
        <w:t> </w:t>
      </w:r>
      <w:r>
        <w:rPr>
          <w:sz w:val="24"/>
        </w:rPr>
        <w:t>a</w:t>
      </w:r>
      <w:r>
        <w:rPr>
          <w:spacing w:val="-13"/>
          <w:sz w:val="24"/>
        </w:rPr>
        <w:t> </w:t>
      </w:r>
      <w:r>
        <w:rPr>
          <w:sz w:val="24"/>
        </w:rPr>
        <w:t>micrometeorological</w:t>
      </w:r>
      <w:r>
        <w:rPr>
          <w:spacing w:val="-13"/>
          <w:sz w:val="24"/>
        </w:rPr>
        <w:t> </w:t>
      </w:r>
      <w:r>
        <w:rPr>
          <w:sz w:val="24"/>
        </w:rPr>
        <w:t>method</w:t>
      </w:r>
      <w:r>
        <w:rPr>
          <w:spacing w:val="-13"/>
          <w:sz w:val="24"/>
        </w:rPr>
        <w:t> </w:t>
      </w:r>
      <w:r>
        <w:rPr>
          <w:sz w:val="24"/>
        </w:rPr>
        <w:t>for determining</w:t>
      </w:r>
      <w:r>
        <w:rPr>
          <w:spacing w:val="-11"/>
          <w:sz w:val="24"/>
        </w:rPr>
        <w:t> </w:t>
      </w:r>
      <w:r>
        <w:rPr>
          <w:sz w:val="24"/>
        </w:rPr>
        <w:t>methane</w:t>
      </w:r>
      <w:r>
        <w:rPr>
          <w:spacing w:val="-11"/>
          <w:sz w:val="24"/>
        </w:rPr>
        <w:t> </w:t>
      </w:r>
      <w:r>
        <w:rPr>
          <w:sz w:val="24"/>
        </w:rPr>
        <w:t>emissions</w:t>
      </w:r>
      <w:r>
        <w:rPr>
          <w:spacing w:val="-11"/>
          <w:sz w:val="24"/>
        </w:rPr>
        <w:t> </w:t>
      </w:r>
      <w:r>
        <w:rPr>
          <w:sz w:val="24"/>
        </w:rPr>
        <w:t>from</w:t>
      </w:r>
      <w:r>
        <w:rPr>
          <w:spacing w:val="-11"/>
          <w:sz w:val="24"/>
        </w:rPr>
        <w:t> </w:t>
      </w:r>
      <w:r>
        <w:rPr>
          <w:sz w:val="24"/>
        </w:rPr>
        <w:t>beef</w:t>
      </w:r>
      <w:r>
        <w:rPr>
          <w:spacing w:val="-11"/>
          <w:sz w:val="24"/>
        </w:rPr>
        <w:t> </w:t>
      </w:r>
      <w:r>
        <w:rPr>
          <w:sz w:val="24"/>
        </w:rPr>
        <w:t>cattle</w:t>
      </w:r>
      <w:r>
        <w:rPr>
          <w:spacing w:val="-11"/>
          <w:sz w:val="24"/>
        </w:rPr>
        <w:t> </w:t>
      </w:r>
      <w:r>
        <w:rPr>
          <w:sz w:val="24"/>
        </w:rPr>
        <w:t>grazing</w:t>
      </w:r>
      <w:r>
        <w:rPr>
          <w:spacing w:val="-11"/>
          <w:sz w:val="24"/>
        </w:rPr>
        <w:t> </w:t>
      </w:r>
      <w:r>
        <w:rPr>
          <w:sz w:val="24"/>
        </w:rPr>
        <w:t>a</w:t>
      </w:r>
      <w:r>
        <w:rPr>
          <w:spacing w:val="-11"/>
          <w:sz w:val="24"/>
        </w:rPr>
        <w:t> </w:t>
      </w:r>
      <w:r>
        <w:rPr>
          <w:sz w:val="24"/>
        </w:rPr>
        <w:t>tropical</w:t>
      </w:r>
      <w:r>
        <w:rPr>
          <w:spacing w:val="-11"/>
          <w:sz w:val="24"/>
        </w:rPr>
        <w:t> </w:t>
      </w:r>
      <w:r>
        <w:rPr>
          <w:sz w:val="24"/>
        </w:rPr>
        <w:t>pasture. Animal Feed Science and Technology 166-167,</w:t>
      </w:r>
      <w:r>
        <w:rPr>
          <w:spacing w:val="-5"/>
          <w:sz w:val="24"/>
        </w:rPr>
        <w:t> </w:t>
      </w:r>
      <w:r>
        <w:rPr>
          <w:sz w:val="24"/>
        </w:rPr>
        <w:t>240-247.</w:t>
      </w:r>
    </w:p>
    <w:p>
      <w:pPr>
        <w:spacing w:line="352" w:lineRule="auto" w:before="7"/>
        <w:ind w:left="1269" w:right="144" w:hanging="993"/>
        <w:jc w:val="both"/>
        <w:rPr>
          <w:sz w:val="24"/>
        </w:rPr>
      </w:pPr>
      <w:r>
        <w:rPr>
          <w:b/>
          <w:sz w:val="24"/>
        </w:rPr>
        <w:t>Tonini</w:t>
      </w:r>
      <w:r>
        <w:rPr>
          <w:b/>
          <w:spacing w:val="-14"/>
          <w:sz w:val="24"/>
        </w:rPr>
        <w:t> </w:t>
      </w:r>
      <w:r>
        <w:rPr>
          <w:b/>
          <w:sz w:val="24"/>
        </w:rPr>
        <w:t>M,</w:t>
      </w:r>
      <w:r>
        <w:rPr>
          <w:b/>
          <w:spacing w:val="-14"/>
          <w:sz w:val="24"/>
        </w:rPr>
        <w:t> </w:t>
      </w:r>
      <w:r>
        <w:rPr>
          <w:b/>
          <w:sz w:val="24"/>
        </w:rPr>
        <w:t>Griffith</w:t>
      </w:r>
      <w:r>
        <w:rPr>
          <w:b/>
          <w:spacing w:val="-14"/>
          <w:sz w:val="24"/>
        </w:rPr>
        <w:t> </w:t>
      </w:r>
      <w:r>
        <w:rPr>
          <w:b/>
          <w:sz w:val="24"/>
        </w:rPr>
        <w:t>D,</w:t>
      </w:r>
      <w:r>
        <w:rPr>
          <w:b/>
          <w:spacing w:val="-14"/>
          <w:sz w:val="24"/>
        </w:rPr>
        <w:t> </w:t>
      </w:r>
      <w:r>
        <w:rPr>
          <w:b/>
          <w:sz w:val="24"/>
        </w:rPr>
        <w:t>Bryant</w:t>
      </w:r>
      <w:r>
        <w:rPr>
          <w:b/>
          <w:spacing w:val="-14"/>
          <w:sz w:val="24"/>
        </w:rPr>
        <w:t> </w:t>
      </w:r>
      <w:r>
        <w:rPr>
          <w:b/>
          <w:sz w:val="24"/>
        </w:rPr>
        <w:t>G,</w:t>
      </w:r>
      <w:r>
        <w:rPr>
          <w:b/>
          <w:spacing w:val="-14"/>
          <w:sz w:val="24"/>
        </w:rPr>
        <w:t> </w:t>
      </w:r>
      <w:r>
        <w:rPr>
          <w:b/>
          <w:sz w:val="24"/>
        </w:rPr>
        <w:t>Phillips</w:t>
      </w:r>
      <w:r>
        <w:rPr>
          <w:b/>
          <w:spacing w:val="-14"/>
          <w:sz w:val="24"/>
        </w:rPr>
        <w:t> </w:t>
      </w:r>
      <w:r>
        <w:rPr>
          <w:b/>
          <w:sz w:val="24"/>
        </w:rPr>
        <w:t>F,</w:t>
      </w:r>
      <w:r>
        <w:rPr>
          <w:b/>
          <w:spacing w:val="-14"/>
          <w:sz w:val="24"/>
        </w:rPr>
        <w:t> </w:t>
      </w:r>
      <w:r>
        <w:rPr>
          <w:b/>
          <w:sz w:val="24"/>
        </w:rPr>
        <w:t>Eckard</w:t>
      </w:r>
      <w:r>
        <w:rPr>
          <w:b/>
          <w:spacing w:val="-14"/>
          <w:sz w:val="24"/>
        </w:rPr>
        <w:t> </w:t>
      </w:r>
      <w:r>
        <w:rPr>
          <w:b/>
          <w:sz w:val="24"/>
        </w:rPr>
        <w:t>R,</w:t>
      </w:r>
      <w:r>
        <w:rPr>
          <w:b/>
          <w:spacing w:val="-14"/>
          <w:sz w:val="24"/>
        </w:rPr>
        <w:t> </w:t>
      </w:r>
      <w:r>
        <w:rPr>
          <w:b/>
          <w:sz w:val="24"/>
        </w:rPr>
        <w:t>Grainger</w:t>
      </w:r>
      <w:r>
        <w:rPr>
          <w:b/>
          <w:spacing w:val="-14"/>
          <w:sz w:val="24"/>
        </w:rPr>
        <w:t> </w:t>
      </w:r>
      <w:r>
        <w:rPr>
          <w:b/>
          <w:sz w:val="24"/>
        </w:rPr>
        <w:t>C,</w:t>
      </w:r>
      <w:r>
        <w:rPr>
          <w:b/>
          <w:spacing w:val="-14"/>
          <w:sz w:val="24"/>
        </w:rPr>
        <w:t> </w:t>
      </w:r>
      <w:r>
        <w:rPr>
          <w:b/>
          <w:sz w:val="24"/>
        </w:rPr>
        <w:t>McGinn</w:t>
      </w:r>
      <w:r>
        <w:rPr>
          <w:b/>
          <w:spacing w:val="-14"/>
          <w:sz w:val="24"/>
        </w:rPr>
        <w:t> </w:t>
      </w:r>
      <w:r>
        <w:rPr>
          <w:b/>
          <w:sz w:val="24"/>
        </w:rPr>
        <w:t>S.</w:t>
      </w:r>
      <w:r>
        <w:rPr>
          <w:b/>
          <w:spacing w:val="-14"/>
          <w:sz w:val="24"/>
        </w:rPr>
        <w:t> </w:t>
      </w:r>
      <w:r>
        <w:rPr>
          <w:b/>
          <w:sz w:val="24"/>
        </w:rPr>
        <w:t>2007. </w:t>
      </w:r>
      <w:r>
        <w:rPr>
          <w:sz w:val="24"/>
        </w:rPr>
        <w:t>An open air tracer method for measuring CH</w:t>
      </w:r>
      <w:r>
        <w:rPr>
          <w:position w:val="-2"/>
          <w:sz w:val="16"/>
        </w:rPr>
        <w:t>4 </w:t>
      </w:r>
      <w:r>
        <w:rPr>
          <w:sz w:val="24"/>
        </w:rPr>
        <w:t>emissions from cattle. GGAAC. New Zeland. 2007:LXXXVIII.</w:t>
      </w:r>
    </w:p>
    <w:p>
      <w:pPr>
        <w:spacing w:line="362" w:lineRule="auto" w:before="11"/>
        <w:ind w:left="1269" w:right="144" w:hanging="993"/>
        <w:jc w:val="both"/>
        <w:rPr>
          <w:sz w:val="24"/>
        </w:rPr>
      </w:pPr>
      <w:r>
        <w:rPr>
          <w:b/>
          <w:sz w:val="24"/>
        </w:rPr>
        <w:t>Turner, H. G., Thornton, R. F. 1966. </w:t>
      </w:r>
      <w:r>
        <w:rPr>
          <w:sz w:val="24"/>
        </w:rPr>
        <w:t>A respiration chamber for cattle. Australian Society of Animal Production. Vol. 6, 413-419.</w:t>
      </w:r>
    </w:p>
    <w:p>
      <w:pPr>
        <w:pStyle w:val="BodyText"/>
        <w:spacing w:line="360" w:lineRule="auto"/>
        <w:ind w:left="1269" w:right="144" w:hanging="993"/>
        <w:jc w:val="both"/>
      </w:pPr>
      <w:r>
        <w:rPr>
          <w:b/>
        </w:rPr>
        <w:t>Van Soest P. J. 1994. </w:t>
      </w:r>
      <w:r>
        <w:rPr/>
        <w:t>Nutritional ecology of the ruminant. Second edition. Cornell University Press. pp. 476.p.</w:t>
      </w:r>
    </w:p>
    <w:p>
      <w:pPr>
        <w:pStyle w:val="BodyText"/>
        <w:spacing w:line="360" w:lineRule="auto" w:before="2"/>
        <w:ind w:left="1269" w:right="144" w:hanging="993"/>
        <w:jc w:val="both"/>
      </w:pPr>
      <w:r>
        <w:rPr>
          <w:b/>
        </w:rPr>
        <w:t>Veysset, P., Lherm, M., Bébin, D. 2010. </w:t>
      </w:r>
      <w:r>
        <w:rPr/>
        <w:t>Energy consumption, greenhouse gas emissions and economic performance assessments in French Charolaissuckler cattle farms: Model-based analysis and forecasts. Agricultural Systems, vol. 103, 2010, p. 41-50.</w:t>
      </w:r>
    </w:p>
    <w:p>
      <w:pPr>
        <w:pStyle w:val="BodyText"/>
        <w:spacing w:line="360" w:lineRule="auto" w:before="2"/>
        <w:ind w:left="1269" w:right="144" w:hanging="993"/>
        <w:jc w:val="both"/>
      </w:pPr>
      <w:r>
        <w:rPr/>
        <w:t>Vargas, J., Cárdenas, E., Pabón, M., Carulla, J. 2012. Emisión de metano entérico en rumiantes en pastoreo. Arch. Zootec. 61 (R): 51-66.</w:t>
      </w:r>
    </w:p>
    <w:p>
      <w:pPr>
        <w:spacing w:line="355" w:lineRule="auto" w:before="7"/>
        <w:ind w:left="1269" w:right="144" w:hanging="993"/>
        <w:jc w:val="both"/>
        <w:rPr>
          <w:sz w:val="24"/>
        </w:rPr>
      </w:pPr>
      <w:r>
        <w:rPr>
          <w:b/>
          <w:sz w:val="24"/>
        </w:rPr>
        <w:t>Williams, S. R. O., Moate, P. J., Hannah, M. C., Ribaux, B. E., Wales, W. J. and Eckard, R. J. 2011. </w:t>
      </w:r>
      <w:r>
        <w:rPr>
          <w:sz w:val="24"/>
        </w:rPr>
        <w:t>Background matters with the SF</w:t>
      </w:r>
      <w:r>
        <w:rPr>
          <w:position w:val="-2"/>
          <w:sz w:val="16"/>
        </w:rPr>
        <w:t>6 </w:t>
      </w:r>
      <w:r>
        <w:rPr>
          <w:sz w:val="24"/>
        </w:rPr>
        <w:t>tracer method for estimating</w:t>
      </w:r>
      <w:r>
        <w:rPr>
          <w:spacing w:val="-14"/>
          <w:sz w:val="24"/>
        </w:rPr>
        <w:t> </w:t>
      </w:r>
      <w:r>
        <w:rPr>
          <w:sz w:val="24"/>
        </w:rPr>
        <w:t>enteric</w:t>
      </w:r>
      <w:r>
        <w:rPr>
          <w:spacing w:val="-14"/>
          <w:sz w:val="24"/>
        </w:rPr>
        <w:t> </w:t>
      </w:r>
      <w:r>
        <w:rPr>
          <w:sz w:val="24"/>
        </w:rPr>
        <w:t>methane</w:t>
      </w:r>
      <w:r>
        <w:rPr>
          <w:spacing w:val="-14"/>
          <w:sz w:val="24"/>
        </w:rPr>
        <w:t> </w:t>
      </w:r>
      <w:r>
        <w:rPr>
          <w:sz w:val="24"/>
        </w:rPr>
        <w:t>emissions</w:t>
      </w:r>
      <w:r>
        <w:rPr>
          <w:spacing w:val="-14"/>
          <w:sz w:val="24"/>
        </w:rPr>
        <w:t> </w:t>
      </w:r>
      <w:r>
        <w:rPr>
          <w:sz w:val="24"/>
        </w:rPr>
        <w:t>from</w:t>
      </w:r>
      <w:r>
        <w:rPr>
          <w:spacing w:val="-14"/>
          <w:sz w:val="24"/>
        </w:rPr>
        <w:t> </w:t>
      </w:r>
      <w:r>
        <w:rPr>
          <w:sz w:val="24"/>
        </w:rPr>
        <w:t>dairy</w:t>
      </w:r>
      <w:r>
        <w:rPr>
          <w:spacing w:val="-14"/>
          <w:sz w:val="24"/>
        </w:rPr>
        <w:t> </w:t>
      </w:r>
      <w:r>
        <w:rPr>
          <w:sz w:val="24"/>
        </w:rPr>
        <w:t>cows:</w:t>
      </w:r>
      <w:r>
        <w:rPr>
          <w:spacing w:val="-14"/>
          <w:sz w:val="24"/>
        </w:rPr>
        <w:t> </w:t>
      </w:r>
      <w:r>
        <w:rPr>
          <w:sz w:val="24"/>
        </w:rPr>
        <w:t>A</w:t>
      </w:r>
      <w:r>
        <w:rPr>
          <w:spacing w:val="-14"/>
          <w:sz w:val="24"/>
        </w:rPr>
        <w:t> </w:t>
      </w:r>
      <w:r>
        <w:rPr>
          <w:sz w:val="24"/>
        </w:rPr>
        <w:t>critical</w:t>
      </w:r>
      <w:r>
        <w:rPr>
          <w:spacing w:val="-14"/>
          <w:sz w:val="24"/>
        </w:rPr>
        <w:t> </w:t>
      </w:r>
      <w:r>
        <w:rPr>
          <w:sz w:val="24"/>
        </w:rPr>
        <w:t>evaluation of the SF</w:t>
      </w:r>
      <w:r>
        <w:rPr>
          <w:position w:val="-2"/>
          <w:sz w:val="16"/>
        </w:rPr>
        <w:t>6 </w:t>
      </w:r>
      <w:r>
        <w:rPr>
          <w:sz w:val="24"/>
        </w:rPr>
        <w:t>procedure. Animal Feed Science and Technology. 170, 265- 276.</w:t>
      </w:r>
    </w:p>
    <w:p>
      <w:pPr>
        <w:spacing w:after="0" w:line="355" w:lineRule="auto"/>
        <w:jc w:val="both"/>
        <w:rPr>
          <w:sz w:val="24"/>
        </w:rPr>
        <w:sectPr>
          <w:pgSz w:w="12240" w:h="15840"/>
          <w:pgMar w:header="741" w:footer="739" w:top="1220" w:bottom="920" w:left="1720" w:right="1260"/>
        </w:sectPr>
      </w:pPr>
    </w:p>
    <w:p>
      <w:pPr>
        <w:pStyle w:val="BodyText"/>
        <w:rPr>
          <w:sz w:val="20"/>
        </w:rPr>
      </w:pPr>
    </w:p>
    <w:p>
      <w:pPr>
        <w:pStyle w:val="BodyText"/>
        <w:spacing w:before="4" w:after="1"/>
        <w:rPr>
          <w:sz w:val="22"/>
        </w:rPr>
      </w:pPr>
    </w:p>
    <w:p>
      <w:pPr>
        <w:pStyle w:val="BodyText"/>
        <w:ind w:left="1187"/>
        <w:rPr>
          <w:sz w:val="20"/>
        </w:rPr>
      </w:pPr>
      <w:r>
        <w:rPr>
          <w:sz w:val="20"/>
        </w:rPr>
        <w:pict>
          <v:group style="width:414.5pt;height:243.15pt;mso-position-horizontal-relative:char;mso-position-vertical-relative:line" coordorigin="0,0" coordsize="8290,4863">
            <v:shape style="position:absolute;left:0;top:0;width:8290;height:4862" type="#_x0000_t75" stroked="false">
              <v:imagedata r:id="rId194" o:title=""/>
            </v:shape>
            <v:shape style="position:absolute;left:432;top:5;width:211;height:552" type="#_x0000_t75" stroked="false">
              <v:imagedata r:id="rId195" o:title=""/>
            </v:shape>
            <v:shape style="position:absolute;left:715;top:5;width:206;height:552" type="#_x0000_t75" stroked="false">
              <v:imagedata r:id="rId10" o:title=""/>
            </v:shape>
            <v:shape style="position:absolute;left:0;top:0;width:8290;height:4863" type="#_x0000_t202" filled="false" stroked="false">
              <v:textbox inset="0,0,0,0">
                <w:txbxContent>
                  <w:p>
                    <w:pPr>
                      <w:spacing w:line="240" w:lineRule="auto" w:before="7"/>
                      <w:rPr>
                        <w:sz w:val="46"/>
                      </w:rPr>
                    </w:pPr>
                  </w:p>
                  <w:p>
                    <w:pPr>
                      <w:spacing w:line="240" w:lineRule="auto" w:before="0"/>
                      <w:ind w:left="739" w:right="146" w:firstLine="283"/>
                      <w:jc w:val="right"/>
                      <w:rPr>
                        <w:sz w:val="38"/>
                      </w:rPr>
                    </w:pPr>
                    <w:r>
                      <w:rPr>
                        <w:color w:val="632423"/>
                        <w:w w:val="80"/>
                        <w:sz w:val="38"/>
                      </w:rPr>
                      <w:t>La</w:t>
                    </w:r>
                    <w:r>
                      <w:rPr>
                        <w:color w:val="632423"/>
                        <w:spacing w:val="-52"/>
                        <w:w w:val="80"/>
                        <w:sz w:val="38"/>
                      </w:rPr>
                      <w:t> </w:t>
                    </w:r>
                    <w:r>
                      <w:rPr>
                        <w:color w:val="632423"/>
                        <w:w w:val="80"/>
                        <w:sz w:val="38"/>
                      </w:rPr>
                      <w:t>falta</w:t>
                    </w:r>
                    <w:r>
                      <w:rPr>
                        <w:color w:val="632423"/>
                        <w:spacing w:val="-52"/>
                        <w:w w:val="80"/>
                        <w:sz w:val="38"/>
                      </w:rPr>
                      <w:t> </w:t>
                    </w:r>
                    <w:r>
                      <w:rPr>
                        <w:color w:val="632423"/>
                        <w:w w:val="80"/>
                        <w:sz w:val="38"/>
                      </w:rPr>
                      <w:t>de</w:t>
                    </w:r>
                    <w:r>
                      <w:rPr>
                        <w:color w:val="632423"/>
                        <w:spacing w:val="-52"/>
                        <w:w w:val="80"/>
                        <w:sz w:val="38"/>
                      </w:rPr>
                      <w:t> </w:t>
                    </w:r>
                    <w:r>
                      <w:rPr>
                        <w:color w:val="632423"/>
                        <w:w w:val="80"/>
                        <w:sz w:val="38"/>
                      </w:rPr>
                      <w:t>datos</w:t>
                    </w:r>
                    <w:r>
                      <w:rPr>
                        <w:color w:val="632423"/>
                        <w:spacing w:val="-51"/>
                        <w:w w:val="80"/>
                        <w:sz w:val="38"/>
                      </w:rPr>
                      <w:t> </w:t>
                    </w:r>
                    <w:r>
                      <w:rPr>
                        <w:color w:val="632423"/>
                        <w:w w:val="80"/>
                        <w:sz w:val="38"/>
                      </w:rPr>
                      <w:t>dentro</w:t>
                    </w:r>
                    <w:r>
                      <w:rPr>
                        <w:color w:val="632423"/>
                        <w:spacing w:val="-51"/>
                        <w:w w:val="80"/>
                        <w:sz w:val="38"/>
                      </w:rPr>
                      <w:t> </w:t>
                    </w:r>
                    <w:r>
                      <w:rPr>
                        <w:color w:val="632423"/>
                        <w:w w:val="80"/>
                        <w:sz w:val="38"/>
                      </w:rPr>
                      <w:t>de</w:t>
                    </w:r>
                    <w:r>
                      <w:rPr>
                        <w:color w:val="632423"/>
                        <w:spacing w:val="-52"/>
                        <w:w w:val="80"/>
                        <w:sz w:val="38"/>
                      </w:rPr>
                      <w:t> </w:t>
                    </w:r>
                    <w:r>
                      <w:rPr>
                        <w:color w:val="632423"/>
                        <w:w w:val="80"/>
                        <w:sz w:val="38"/>
                      </w:rPr>
                      <w:t>las</w:t>
                    </w:r>
                    <w:r>
                      <w:rPr>
                        <w:color w:val="632423"/>
                        <w:spacing w:val="-51"/>
                        <w:w w:val="80"/>
                        <w:sz w:val="38"/>
                      </w:rPr>
                      <w:t> </w:t>
                    </w:r>
                    <w:r>
                      <w:rPr>
                        <w:color w:val="632423"/>
                        <w:w w:val="80"/>
                        <w:sz w:val="38"/>
                      </w:rPr>
                      <w:t>diferentes</w:t>
                    </w:r>
                    <w:r>
                      <w:rPr>
                        <w:color w:val="632423"/>
                        <w:spacing w:val="-51"/>
                        <w:w w:val="80"/>
                        <w:sz w:val="38"/>
                      </w:rPr>
                      <w:t> </w:t>
                    </w:r>
                    <w:r>
                      <w:rPr>
                        <w:color w:val="632423"/>
                        <w:w w:val="80"/>
                        <w:sz w:val="38"/>
                      </w:rPr>
                      <w:t>subcategorías</w:t>
                    </w:r>
                    <w:r>
                      <w:rPr>
                        <w:color w:val="632423"/>
                        <w:spacing w:val="-1"/>
                        <w:w w:val="72"/>
                        <w:sz w:val="38"/>
                      </w:rPr>
                      <w:t> </w:t>
                    </w:r>
                    <w:r>
                      <w:rPr>
                        <w:color w:val="632423"/>
                        <w:w w:val="80"/>
                        <w:sz w:val="38"/>
                      </w:rPr>
                      <w:t>animales</w:t>
                    </w:r>
                    <w:r>
                      <w:rPr>
                        <w:color w:val="632423"/>
                        <w:spacing w:val="-55"/>
                        <w:w w:val="80"/>
                        <w:sz w:val="38"/>
                      </w:rPr>
                      <w:t> </w:t>
                    </w:r>
                    <w:r>
                      <w:rPr>
                        <w:color w:val="632423"/>
                        <w:w w:val="80"/>
                        <w:sz w:val="38"/>
                      </w:rPr>
                      <w:t>del</w:t>
                    </w:r>
                    <w:r>
                      <w:rPr>
                        <w:color w:val="632423"/>
                        <w:spacing w:val="-55"/>
                        <w:w w:val="80"/>
                        <w:sz w:val="38"/>
                      </w:rPr>
                      <w:t> </w:t>
                    </w:r>
                    <w:r>
                      <w:rPr>
                        <w:color w:val="632423"/>
                        <w:w w:val="80"/>
                        <w:sz w:val="38"/>
                      </w:rPr>
                      <w:t>ganado</w:t>
                    </w:r>
                    <w:r>
                      <w:rPr>
                        <w:color w:val="632423"/>
                        <w:spacing w:val="-55"/>
                        <w:w w:val="80"/>
                        <w:sz w:val="38"/>
                      </w:rPr>
                      <w:t> </w:t>
                    </w:r>
                    <w:r>
                      <w:rPr>
                        <w:color w:val="632423"/>
                        <w:w w:val="80"/>
                        <w:sz w:val="38"/>
                      </w:rPr>
                      <w:t>como:</w:t>
                    </w:r>
                    <w:r>
                      <w:rPr>
                        <w:color w:val="632423"/>
                        <w:spacing w:val="-55"/>
                        <w:w w:val="80"/>
                        <w:sz w:val="38"/>
                      </w:rPr>
                      <w:t> </w:t>
                    </w:r>
                    <w:r>
                      <w:rPr>
                        <w:color w:val="632423"/>
                        <w:w w:val="80"/>
                        <w:sz w:val="38"/>
                      </w:rPr>
                      <w:t>la</w:t>
                    </w:r>
                    <w:r>
                      <w:rPr>
                        <w:color w:val="632423"/>
                        <w:spacing w:val="-55"/>
                        <w:w w:val="80"/>
                        <w:sz w:val="38"/>
                      </w:rPr>
                      <w:t> </w:t>
                    </w:r>
                    <w:r>
                      <w:rPr>
                        <w:color w:val="632423"/>
                        <w:w w:val="80"/>
                        <w:sz w:val="38"/>
                      </w:rPr>
                      <w:t>ganancia</w:t>
                    </w:r>
                    <w:r>
                      <w:rPr>
                        <w:color w:val="632423"/>
                        <w:spacing w:val="-55"/>
                        <w:w w:val="80"/>
                        <w:sz w:val="38"/>
                      </w:rPr>
                      <w:t> </w:t>
                    </w:r>
                    <w:r>
                      <w:rPr>
                        <w:color w:val="632423"/>
                        <w:w w:val="80"/>
                        <w:sz w:val="38"/>
                      </w:rPr>
                      <w:t>de</w:t>
                    </w:r>
                    <w:r>
                      <w:rPr>
                        <w:color w:val="632423"/>
                        <w:spacing w:val="-55"/>
                        <w:w w:val="80"/>
                        <w:sz w:val="38"/>
                      </w:rPr>
                      <w:t> </w:t>
                    </w:r>
                    <w:r>
                      <w:rPr>
                        <w:color w:val="632423"/>
                        <w:w w:val="80"/>
                        <w:sz w:val="38"/>
                      </w:rPr>
                      <w:t>peso</w:t>
                    </w:r>
                    <w:r>
                      <w:rPr>
                        <w:color w:val="632423"/>
                        <w:spacing w:val="-55"/>
                        <w:w w:val="80"/>
                        <w:sz w:val="38"/>
                      </w:rPr>
                      <w:t> </w:t>
                    </w:r>
                    <w:r>
                      <w:rPr>
                        <w:color w:val="632423"/>
                        <w:w w:val="80"/>
                        <w:sz w:val="38"/>
                      </w:rPr>
                      <w:t>vivo;</w:t>
                    </w:r>
                    <w:r>
                      <w:rPr>
                        <w:color w:val="632423"/>
                        <w:spacing w:val="-55"/>
                        <w:w w:val="80"/>
                        <w:sz w:val="38"/>
                      </w:rPr>
                      <w:t> </w:t>
                    </w:r>
                    <w:r>
                      <w:rPr>
                        <w:color w:val="632423"/>
                        <w:w w:val="80"/>
                        <w:sz w:val="38"/>
                      </w:rPr>
                      <w:t>tasa</w:t>
                    </w:r>
                    <w:r>
                      <w:rPr>
                        <w:color w:val="632423"/>
                        <w:w w:val="72"/>
                        <w:sz w:val="38"/>
                      </w:rPr>
                      <w:t> </w:t>
                    </w:r>
                    <w:r>
                      <w:rPr>
                        <w:color w:val="632423"/>
                        <w:w w:val="75"/>
                        <w:sz w:val="38"/>
                      </w:rPr>
                      <w:t>de crecimiento; necesidades energéticas; ingesta y</w:t>
                    </w:r>
                    <w:r>
                      <w:rPr>
                        <w:color w:val="632423"/>
                        <w:w w:val="70"/>
                        <w:sz w:val="38"/>
                      </w:rPr>
                      <w:t> </w:t>
                    </w:r>
                    <w:r>
                      <w:rPr>
                        <w:color w:val="632423"/>
                        <w:w w:val="80"/>
                        <w:sz w:val="38"/>
                      </w:rPr>
                      <w:t>características</w:t>
                    </w:r>
                    <w:r>
                      <w:rPr>
                        <w:color w:val="632423"/>
                        <w:spacing w:val="-52"/>
                        <w:w w:val="80"/>
                        <w:sz w:val="38"/>
                      </w:rPr>
                      <w:t> </w:t>
                    </w:r>
                    <w:r>
                      <w:rPr>
                        <w:color w:val="632423"/>
                        <w:w w:val="80"/>
                        <w:sz w:val="38"/>
                      </w:rPr>
                      <w:t>de</w:t>
                    </w:r>
                    <w:r>
                      <w:rPr>
                        <w:color w:val="632423"/>
                        <w:spacing w:val="-51"/>
                        <w:w w:val="80"/>
                        <w:sz w:val="38"/>
                      </w:rPr>
                      <w:t> </w:t>
                    </w:r>
                    <w:r>
                      <w:rPr>
                        <w:color w:val="632423"/>
                        <w:w w:val="80"/>
                        <w:sz w:val="38"/>
                      </w:rPr>
                      <w:t>las</w:t>
                    </w:r>
                    <w:r>
                      <w:rPr>
                        <w:color w:val="632423"/>
                        <w:spacing w:val="-52"/>
                        <w:w w:val="80"/>
                        <w:sz w:val="38"/>
                      </w:rPr>
                      <w:t> </w:t>
                    </w:r>
                    <w:r>
                      <w:rPr>
                        <w:color w:val="632423"/>
                        <w:w w:val="80"/>
                        <w:sz w:val="38"/>
                      </w:rPr>
                      <w:t>dietas,</w:t>
                    </w:r>
                    <w:r>
                      <w:rPr>
                        <w:color w:val="632423"/>
                        <w:spacing w:val="-52"/>
                        <w:w w:val="80"/>
                        <w:sz w:val="38"/>
                      </w:rPr>
                      <w:t> </w:t>
                    </w:r>
                    <w:r>
                      <w:rPr>
                        <w:color w:val="632423"/>
                        <w:w w:val="80"/>
                        <w:sz w:val="38"/>
                      </w:rPr>
                      <w:t>así</w:t>
                    </w:r>
                    <w:r>
                      <w:rPr>
                        <w:color w:val="632423"/>
                        <w:spacing w:val="-53"/>
                        <w:w w:val="80"/>
                        <w:sz w:val="38"/>
                      </w:rPr>
                      <w:t> </w:t>
                    </w:r>
                    <w:r>
                      <w:rPr>
                        <w:color w:val="632423"/>
                        <w:w w:val="80"/>
                        <w:sz w:val="38"/>
                      </w:rPr>
                      <w:t>como</w:t>
                    </w:r>
                    <w:r>
                      <w:rPr>
                        <w:color w:val="632423"/>
                        <w:spacing w:val="-51"/>
                        <w:w w:val="80"/>
                        <w:sz w:val="38"/>
                      </w:rPr>
                      <w:t> </w:t>
                    </w:r>
                    <w:r>
                      <w:rPr>
                        <w:color w:val="632423"/>
                        <w:w w:val="80"/>
                        <w:sz w:val="38"/>
                      </w:rPr>
                      <w:t>los</w:t>
                    </w:r>
                    <w:r>
                      <w:rPr>
                        <w:color w:val="632423"/>
                        <w:spacing w:val="-52"/>
                        <w:w w:val="80"/>
                        <w:sz w:val="38"/>
                      </w:rPr>
                      <w:t> </w:t>
                    </w:r>
                    <w:r>
                      <w:rPr>
                        <w:color w:val="632423"/>
                        <w:w w:val="80"/>
                        <w:sz w:val="38"/>
                      </w:rPr>
                      <w:t>FE</w:t>
                    </w:r>
                    <w:r>
                      <w:rPr>
                        <w:color w:val="632423"/>
                        <w:spacing w:val="-52"/>
                        <w:w w:val="80"/>
                        <w:sz w:val="38"/>
                      </w:rPr>
                      <w:t> </w:t>
                    </w:r>
                    <w:r>
                      <w:rPr>
                        <w:color w:val="632423"/>
                        <w:w w:val="80"/>
                        <w:sz w:val="38"/>
                      </w:rPr>
                      <w:t>y</w:t>
                    </w:r>
                    <w:r>
                      <w:rPr>
                        <w:color w:val="632423"/>
                        <w:spacing w:val="-52"/>
                        <w:w w:val="80"/>
                        <w:sz w:val="38"/>
                      </w:rPr>
                      <w:t> </w:t>
                    </w:r>
                    <w:r>
                      <w:rPr>
                        <w:color w:val="632423"/>
                        <w:w w:val="80"/>
                        <w:sz w:val="38"/>
                      </w:rPr>
                      <w:t>los</w:t>
                    </w:r>
                    <w:r>
                      <w:rPr>
                        <w:color w:val="632423"/>
                        <w:spacing w:val="-52"/>
                        <w:w w:val="80"/>
                        <w:sz w:val="38"/>
                      </w:rPr>
                      <w:t> </w:t>
                    </w:r>
                    <w:r>
                      <w:rPr>
                        <w:color w:val="632423"/>
                        <w:w w:val="80"/>
                        <w:sz w:val="38"/>
                      </w:rPr>
                      <w:t>Ym</w:t>
                    </w:r>
                    <w:r>
                      <w:rPr>
                        <w:color w:val="632423"/>
                        <w:spacing w:val="-52"/>
                        <w:w w:val="80"/>
                        <w:sz w:val="38"/>
                      </w:rPr>
                      <w:t> </w:t>
                    </w:r>
                    <w:r>
                      <w:rPr>
                        <w:color w:val="632423"/>
                        <w:w w:val="80"/>
                        <w:sz w:val="38"/>
                      </w:rPr>
                      <w:t>de</w:t>
                    </w:r>
                    <w:r>
                      <w:rPr>
                        <w:color w:val="632423"/>
                        <w:w w:val="72"/>
                        <w:sz w:val="38"/>
                      </w:rPr>
                      <w:t> </w:t>
                    </w:r>
                    <w:r>
                      <w:rPr>
                        <w:color w:val="632423"/>
                        <w:w w:val="75"/>
                        <w:sz w:val="38"/>
                      </w:rPr>
                      <w:t>CH</w:t>
                    </w:r>
                    <w:r>
                      <w:rPr>
                        <w:color w:val="632423"/>
                        <w:w w:val="75"/>
                        <w:position w:val="-3"/>
                        <w:sz w:val="25"/>
                      </w:rPr>
                      <w:t>4 </w:t>
                    </w:r>
                    <w:r>
                      <w:rPr>
                        <w:color w:val="632423"/>
                        <w:w w:val="75"/>
                        <w:sz w:val="38"/>
                      </w:rPr>
                      <w:t>se requieren para las buenas prácticas de estimación</w:t>
                    </w:r>
                    <w:r>
                      <w:rPr>
                        <w:color w:val="632423"/>
                        <w:w w:val="74"/>
                        <w:sz w:val="38"/>
                      </w:rPr>
                      <w:t> </w:t>
                    </w:r>
                    <w:r>
                      <w:rPr>
                        <w:color w:val="632423"/>
                        <w:w w:val="80"/>
                        <w:sz w:val="38"/>
                      </w:rPr>
                      <w:t>de</w:t>
                    </w:r>
                    <w:r>
                      <w:rPr>
                        <w:color w:val="632423"/>
                        <w:spacing w:val="-51"/>
                        <w:w w:val="80"/>
                        <w:sz w:val="38"/>
                      </w:rPr>
                      <w:t> </w:t>
                    </w:r>
                    <w:r>
                      <w:rPr>
                        <w:color w:val="632423"/>
                        <w:w w:val="80"/>
                        <w:sz w:val="38"/>
                      </w:rPr>
                      <w:t>CH</w:t>
                    </w:r>
                    <w:r>
                      <w:rPr>
                        <w:color w:val="632423"/>
                        <w:w w:val="80"/>
                        <w:position w:val="-3"/>
                        <w:sz w:val="25"/>
                      </w:rPr>
                      <w:t>4 </w:t>
                    </w:r>
                    <w:r>
                      <w:rPr>
                        <w:color w:val="632423"/>
                        <w:w w:val="80"/>
                        <w:sz w:val="38"/>
                      </w:rPr>
                      <w:t>en</w:t>
                    </w:r>
                    <w:r>
                      <w:rPr>
                        <w:color w:val="632423"/>
                        <w:spacing w:val="-51"/>
                        <w:w w:val="80"/>
                        <w:sz w:val="38"/>
                      </w:rPr>
                      <w:t> </w:t>
                    </w:r>
                    <w:r>
                      <w:rPr>
                        <w:color w:val="632423"/>
                        <w:w w:val="80"/>
                        <w:sz w:val="38"/>
                      </w:rPr>
                      <w:t>los</w:t>
                    </w:r>
                    <w:r>
                      <w:rPr>
                        <w:color w:val="632423"/>
                        <w:spacing w:val="-51"/>
                        <w:w w:val="80"/>
                        <w:sz w:val="38"/>
                      </w:rPr>
                      <w:t> </w:t>
                    </w:r>
                    <w:r>
                      <w:rPr>
                        <w:color w:val="632423"/>
                        <w:w w:val="80"/>
                        <w:sz w:val="38"/>
                      </w:rPr>
                      <w:t>Inventarios</w:t>
                    </w:r>
                    <w:r>
                      <w:rPr>
                        <w:color w:val="632423"/>
                        <w:spacing w:val="-51"/>
                        <w:w w:val="80"/>
                        <w:sz w:val="38"/>
                      </w:rPr>
                      <w:t> </w:t>
                    </w:r>
                    <w:r>
                      <w:rPr>
                        <w:color w:val="632423"/>
                        <w:w w:val="80"/>
                        <w:sz w:val="38"/>
                      </w:rPr>
                      <w:t>Nacionales</w:t>
                    </w:r>
                    <w:r>
                      <w:rPr>
                        <w:color w:val="632423"/>
                        <w:spacing w:val="-51"/>
                        <w:w w:val="80"/>
                        <w:sz w:val="38"/>
                      </w:rPr>
                      <w:t> </w:t>
                    </w:r>
                    <w:r>
                      <w:rPr>
                        <w:color w:val="632423"/>
                        <w:w w:val="80"/>
                        <w:sz w:val="38"/>
                      </w:rPr>
                      <w:t>de</w:t>
                    </w:r>
                    <w:r>
                      <w:rPr>
                        <w:color w:val="632423"/>
                        <w:spacing w:val="-51"/>
                        <w:w w:val="80"/>
                        <w:sz w:val="38"/>
                      </w:rPr>
                      <w:t> </w:t>
                    </w:r>
                    <w:r>
                      <w:rPr>
                        <w:color w:val="632423"/>
                        <w:w w:val="80"/>
                        <w:sz w:val="38"/>
                      </w:rPr>
                      <w:t>GEI,</w:t>
                    </w:r>
                    <w:r>
                      <w:rPr>
                        <w:color w:val="632423"/>
                        <w:spacing w:val="-51"/>
                        <w:w w:val="80"/>
                        <w:sz w:val="38"/>
                      </w:rPr>
                      <w:t> </w:t>
                    </w:r>
                    <w:r>
                      <w:rPr>
                        <w:color w:val="632423"/>
                        <w:w w:val="80"/>
                        <w:sz w:val="38"/>
                      </w:rPr>
                      <w:t>lo</w:t>
                    </w:r>
                    <w:r>
                      <w:rPr>
                        <w:color w:val="632423"/>
                        <w:spacing w:val="-51"/>
                        <w:w w:val="80"/>
                        <w:sz w:val="38"/>
                      </w:rPr>
                      <w:t> </w:t>
                    </w:r>
                    <w:r>
                      <w:rPr>
                        <w:color w:val="632423"/>
                        <w:w w:val="80"/>
                        <w:sz w:val="38"/>
                      </w:rPr>
                      <w:t>que</w:t>
                    </w:r>
                    <w:r>
                      <w:rPr>
                        <w:color w:val="632423"/>
                        <w:w w:val="72"/>
                        <w:sz w:val="38"/>
                      </w:rPr>
                      <w:t> </w:t>
                    </w:r>
                    <w:r>
                      <w:rPr>
                        <w:color w:val="632423"/>
                        <w:w w:val="75"/>
                        <w:sz w:val="38"/>
                      </w:rPr>
                      <w:t>permitirá realizar estimaciones lo más aproximadas</w:t>
                    </w:r>
                  </w:p>
                  <w:p>
                    <w:pPr>
                      <w:spacing w:before="4"/>
                      <w:ind w:left="0" w:right="144" w:firstLine="0"/>
                      <w:jc w:val="right"/>
                      <w:rPr>
                        <w:sz w:val="38"/>
                      </w:rPr>
                    </w:pPr>
                    <w:r>
                      <w:rPr>
                        <w:color w:val="632423"/>
                        <w:w w:val="75"/>
                        <w:sz w:val="38"/>
                      </w:rPr>
                      <w:t>posibles”.</w:t>
                    </w:r>
                  </w:p>
                  <w:p>
                    <w:pPr>
                      <w:spacing w:before="252"/>
                      <w:ind w:left="0" w:right="148" w:firstLine="0"/>
                      <w:jc w:val="right"/>
                      <w:rPr>
                        <w:sz w:val="23"/>
                      </w:rPr>
                    </w:pPr>
                    <w:r>
                      <w:rPr>
                        <w:color w:val="632423"/>
                        <w:w w:val="80"/>
                        <w:sz w:val="23"/>
                      </w:rPr>
                      <w:t>Zúñiga-González, N. (2015)</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56"/>
        </w:rPr>
      </w:pPr>
    </w:p>
    <w:p>
      <w:pPr>
        <w:pStyle w:val="BodyText"/>
        <w:rPr>
          <w:sz w:val="56"/>
        </w:rPr>
      </w:pPr>
    </w:p>
    <w:p>
      <w:pPr>
        <w:pStyle w:val="Heading1"/>
        <w:spacing w:before="401" w:after="23"/>
        <w:ind w:left="2456"/>
      </w:pPr>
      <w:r>
        <w:rPr/>
        <w:pict>
          <v:group style="position:absolute;margin-left:81.352432pt;margin-top:-91.675331pt;width:108.75pt;height:189.75pt;mso-position-horizontal-relative:page;mso-position-vertical-relative:paragraph;z-index:5488" coordorigin="1627,-1834" coordsize="2175,3795">
            <v:shape style="position:absolute;left:1627;top:-1834;width:2174;height:3091" type="#_x0000_t75" stroked="false">
              <v:imagedata r:id="rId196" o:title=""/>
            </v:shape>
            <v:shape style="position:absolute;left:1627;top:-1834;width:2175;height:3795" type="#_x0000_t202" filled="false" stroked="false">
              <v:textbox inset="0,0,0,0">
                <w:txbxContent>
                  <w:p>
                    <w:pPr>
                      <w:spacing w:before="176"/>
                      <w:ind w:left="144" w:right="0" w:firstLine="0"/>
                      <w:jc w:val="left"/>
                      <w:rPr>
                        <w:sz w:val="300"/>
                      </w:rPr>
                    </w:pPr>
                    <w:r>
                      <w:rPr>
                        <w:color w:val="943634"/>
                        <w:w w:val="99"/>
                        <w:sz w:val="300"/>
                      </w:rPr>
                      <w:t>9</w:t>
                    </w:r>
                  </w:p>
                </w:txbxContent>
              </v:textbox>
              <w10:wrap type="none"/>
            </v:shape>
            <w10:wrap type="none"/>
          </v:group>
        </w:pict>
      </w:r>
      <w:r>
        <w:rPr/>
        <w:t>Conclusiones</w:t>
      </w:r>
      <w:r>
        <w:rPr>
          <w:spacing w:val="101"/>
        </w:rPr>
        <w:t> </w:t>
      </w:r>
      <w:r>
        <w:rPr/>
        <w:t>generales</w:t>
      </w:r>
    </w:p>
    <w:p>
      <w:pPr>
        <w:pStyle w:val="BodyText"/>
        <w:spacing w:line="120" w:lineRule="exact"/>
        <w:ind w:left="2430"/>
        <w:rPr>
          <w:sz w:val="12"/>
        </w:rPr>
      </w:pPr>
      <w:r>
        <w:rPr>
          <w:position w:val="-1"/>
          <w:sz w:val="12"/>
        </w:rPr>
        <w:pict>
          <v:group style="width:345.4pt;height:6pt;mso-position-horizontal-relative:char;mso-position-vertical-relative:line" coordorigin="0,0" coordsize="6908,120">
            <v:rect style="position:absolute;left:0;top:0;width:6907;height:120" filled="true" fillcolor="#943634" stroked="false">
              <v:fill type="solid"/>
            </v:rect>
          </v:group>
        </w:pict>
      </w:r>
      <w:r>
        <w:rPr>
          <w:position w:val="-1"/>
          <w:sz w:val="12"/>
        </w:rPr>
      </w:r>
    </w:p>
    <w:p>
      <w:pPr>
        <w:pStyle w:val="BodyText"/>
        <w:spacing w:before="6"/>
        <w:rPr>
          <w:b/>
          <w:sz w:val="72"/>
        </w:rPr>
      </w:pPr>
    </w:p>
    <w:p>
      <w:pPr>
        <w:pStyle w:val="ListParagraph"/>
        <w:numPr>
          <w:ilvl w:val="0"/>
          <w:numId w:val="16"/>
        </w:numPr>
        <w:tabs>
          <w:tab w:pos="837" w:val="left" w:leader="none"/>
        </w:tabs>
        <w:spacing w:line="360" w:lineRule="auto" w:before="0" w:after="0"/>
        <w:ind w:left="836" w:right="263" w:hanging="360"/>
        <w:jc w:val="both"/>
        <w:rPr>
          <w:sz w:val="24"/>
        </w:rPr>
      </w:pPr>
      <w:r>
        <w:rPr>
          <w:sz w:val="24"/>
        </w:rPr>
        <w:t>Se estimaron los FE de cada subcategoría animal del ganado lechero</w:t>
      </w:r>
      <w:r>
        <w:rPr>
          <w:spacing w:val="-44"/>
          <w:sz w:val="24"/>
        </w:rPr>
        <w:t> </w:t>
      </w:r>
      <w:r>
        <w:rPr>
          <w:sz w:val="24"/>
        </w:rPr>
        <w:t>analizada en</w:t>
      </w:r>
      <w:r>
        <w:rPr>
          <w:spacing w:val="-13"/>
          <w:sz w:val="24"/>
        </w:rPr>
        <w:t> </w:t>
      </w:r>
      <w:r>
        <w:rPr>
          <w:sz w:val="24"/>
        </w:rPr>
        <w:t>el</w:t>
      </w:r>
      <w:r>
        <w:rPr>
          <w:spacing w:val="-13"/>
          <w:sz w:val="24"/>
        </w:rPr>
        <w:t> </w:t>
      </w:r>
      <w:r>
        <w:rPr>
          <w:sz w:val="24"/>
        </w:rPr>
        <w:t>sistema</w:t>
      </w:r>
      <w:r>
        <w:rPr>
          <w:spacing w:val="-13"/>
          <w:sz w:val="24"/>
        </w:rPr>
        <w:t> </w:t>
      </w:r>
      <w:r>
        <w:rPr>
          <w:sz w:val="24"/>
        </w:rPr>
        <w:t>de</w:t>
      </w:r>
      <w:r>
        <w:rPr>
          <w:spacing w:val="-13"/>
          <w:sz w:val="24"/>
        </w:rPr>
        <w:t> </w:t>
      </w:r>
      <w:r>
        <w:rPr>
          <w:sz w:val="24"/>
        </w:rPr>
        <w:t>producción</w:t>
      </w:r>
      <w:r>
        <w:rPr>
          <w:spacing w:val="-13"/>
          <w:sz w:val="24"/>
        </w:rPr>
        <w:t> </w:t>
      </w:r>
      <w:r>
        <w:rPr>
          <w:sz w:val="24"/>
        </w:rPr>
        <w:t>lechera</w:t>
      </w:r>
      <w:r>
        <w:rPr>
          <w:spacing w:val="-13"/>
          <w:sz w:val="24"/>
        </w:rPr>
        <w:t> </w:t>
      </w:r>
      <w:r>
        <w:rPr>
          <w:sz w:val="24"/>
        </w:rPr>
        <w:t>en</w:t>
      </w:r>
      <w:r>
        <w:rPr>
          <w:spacing w:val="-13"/>
          <w:sz w:val="24"/>
        </w:rPr>
        <w:t> </w:t>
      </w:r>
      <w:r>
        <w:rPr>
          <w:sz w:val="24"/>
        </w:rPr>
        <w:t>pequeña</w:t>
      </w:r>
      <w:r>
        <w:rPr>
          <w:spacing w:val="-13"/>
          <w:sz w:val="24"/>
        </w:rPr>
        <w:t> </w:t>
      </w:r>
      <w:r>
        <w:rPr>
          <w:sz w:val="24"/>
        </w:rPr>
        <w:t>escala</w:t>
      </w:r>
      <w:r>
        <w:rPr>
          <w:spacing w:val="-14"/>
          <w:sz w:val="24"/>
        </w:rPr>
        <w:t> </w:t>
      </w:r>
      <w:r>
        <w:rPr>
          <w:sz w:val="24"/>
        </w:rPr>
        <w:t>de</w:t>
      </w:r>
      <w:r>
        <w:rPr>
          <w:spacing w:val="-13"/>
          <w:sz w:val="24"/>
        </w:rPr>
        <w:t> </w:t>
      </w:r>
      <w:r>
        <w:rPr>
          <w:sz w:val="24"/>
        </w:rPr>
        <w:t>la</w:t>
      </w:r>
      <w:r>
        <w:rPr>
          <w:spacing w:val="-13"/>
          <w:sz w:val="24"/>
        </w:rPr>
        <w:t> </w:t>
      </w:r>
      <w:r>
        <w:rPr>
          <w:sz w:val="24"/>
        </w:rPr>
        <w:t>Región</w:t>
      </w:r>
      <w:r>
        <w:rPr>
          <w:spacing w:val="-13"/>
          <w:sz w:val="24"/>
        </w:rPr>
        <w:t> </w:t>
      </w:r>
      <w:r>
        <w:rPr>
          <w:sz w:val="24"/>
        </w:rPr>
        <w:t>Sur</w:t>
      </w:r>
      <w:r>
        <w:rPr>
          <w:spacing w:val="-13"/>
          <w:sz w:val="24"/>
        </w:rPr>
        <w:t> </w:t>
      </w:r>
      <w:r>
        <w:rPr>
          <w:sz w:val="24"/>
        </w:rPr>
        <w:t>Oriente del</w:t>
      </w:r>
      <w:r>
        <w:rPr>
          <w:spacing w:val="-8"/>
          <w:sz w:val="24"/>
        </w:rPr>
        <w:t> </w:t>
      </w:r>
      <w:r>
        <w:rPr>
          <w:sz w:val="24"/>
        </w:rPr>
        <w:t>Estado</w:t>
      </w:r>
      <w:r>
        <w:rPr>
          <w:spacing w:val="-8"/>
          <w:sz w:val="24"/>
        </w:rPr>
        <w:t> </w:t>
      </w:r>
      <w:r>
        <w:rPr>
          <w:sz w:val="24"/>
        </w:rPr>
        <w:t>de</w:t>
      </w:r>
      <w:r>
        <w:rPr>
          <w:spacing w:val="-8"/>
          <w:sz w:val="24"/>
        </w:rPr>
        <w:t> </w:t>
      </w:r>
      <w:r>
        <w:rPr>
          <w:sz w:val="24"/>
        </w:rPr>
        <w:t>México,</w:t>
      </w:r>
      <w:r>
        <w:rPr>
          <w:spacing w:val="-8"/>
          <w:sz w:val="24"/>
        </w:rPr>
        <w:t> </w:t>
      </w:r>
      <w:r>
        <w:rPr>
          <w:sz w:val="24"/>
        </w:rPr>
        <w:t>utilizando</w:t>
      </w:r>
      <w:r>
        <w:rPr>
          <w:spacing w:val="-8"/>
          <w:sz w:val="24"/>
        </w:rPr>
        <w:t> </w:t>
      </w:r>
      <w:r>
        <w:rPr>
          <w:sz w:val="24"/>
        </w:rPr>
        <w:t>la</w:t>
      </w:r>
      <w:r>
        <w:rPr>
          <w:spacing w:val="-8"/>
          <w:sz w:val="24"/>
        </w:rPr>
        <w:t> </w:t>
      </w:r>
      <w:r>
        <w:rPr>
          <w:sz w:val="24"/>
        </w:rPr>
        <w:t>metodología</w:t>
      </w:r>
      <w:r>
        <w:rPr>
          <w:spacing w:val="-8"/>
          <w:sz w:val="24"/>
        </w:rPr>
        <w:t> </w:t>
      </w:r>
      <w:r>
        <w:rPr>
          <w:sz w:val="24"/>
        </w:rPr>
        <w:t>del</w:t>
      </w:r>
      <w:r>
        <w:rPr>
          <w:spacing w:val="-8"/>
          <w:sz w:val="24"/>
        </w:rPr>
        <w:t> </w:t>
      </w:r>
      <w:r>
        <w:rPr>
          <w:sz w:val="24"/>
        </w:rPr>
        <w:t>IPCC</w:t>
      </w:r>
      <w:r>
        <w:rPr>
          <w:spacing w:val="-8"/>
          <w:sz w:val="24"/>
        </w:rPr>
        <w:t> </w:t>
      </w:r>
      <w:r>
        <w:rPr>
          <w:sz w:val="24"/>
        </w:rPr>
        <w:t>Nivel</w:t>
      </w:r>
      <w:r>
        <w:rPr>
          <w:spacing w:val="-8"/>
          <w:sz w:val="24"/>
        </w:rPr>
        <w:t> </w:t>
      </w:r>
      <w:r>
        <w:rPr>
          <w:sz w:val="24"/>
        </w:rPr>
        <w:t>2,</w:t>
      </w:r>
      <w:r>
        <w:rPr>
          <w:spacing w:val="-8"/>
          <w:sz w:val="24"/>
        </w:rPr>
        <w:t> </w:t>
      </w:r>
      <w:r>
        <w:rPr>
          <w:sz w:val="24"/>
        </w:rPr>
        <w:t>y</w:t>
      </w:r>
      <w:r>
        <w:rPr>
          <w:spacing w:val="-8"/>
          <w:sz w:val="24"/>
        </w:rPr>
        <w:t> </w:t>
      </w:r>
      <w:r>
        <w:rPr>
          <w:sz w:val="24"/>
        </w:rPr>
        <w:t>adaptándola a</w:t>
      </w:r>
      <w:r>
        <w:rPr>
          <w:spacing w:val="-8"/>
          <w:sz w:val="24"/>
        </w:rPr>
        <w:t> </w:t>
      </w:r>
      <w:r>
        <w:rPr>
          <w:sz w:val="24"/>
        </w:rPr>
        <w:t>través</w:t>
      </w:r>
      <w:r>
        <w:rPr>
          <w:spacing w:val="-8"/>
          <w:sz w:val="24"/>
        </w:rPr>
        <w:t> </w:t>
      </w:r>
      <w:r>
        <w:rPr>
          <w:sz w:val="24"/>
        </w:rPr>
        <w:t>de</w:t>
      </w:r>
      <w:r>
        <w:rPr>
          <w:spacing w:val="-8"/>
          <w:sz w:val="24"/>
        </w:rPr>
        <w:t> </w:t>
      </w:r>
      <w:r>
        <w:rPr>
          <w:sz w:val="24"/>
        </w:rPr>
        <w:t>las</w:t>
      </w:r>
      <w:r>
        <w:rPr>
          <w:spacing w:val="-8"/>
          <w:sz w:val="24"/>
        </w:rPr>
        <w:t> </w:t>
      </w:r>
      <w:r>
        <w:rPr>
          <w:sz w:val="24"/>
        </w:rPr>
        <w:t>digestibilidades</w:t>
      </w:r>
      <w:r>
        <w:rPr>
          <w:spacing w:val="-8"/>
          <w:sz w:val="24"/>
        </w:rPr>
        <w:t> </w:t>
      </w:r>
      <w:r>
        <w:rPr>
          <w:sz w:val="24"/>
        </w:rPr>
        <w:t>de</w:t>
      </w:r>
      <w:r>
        <w:rPr>
          <w:spacing w:val="-8"/>
          <w:sz w:val="24"/>
        </w:rPr>
        <w:t> </w:t>
      </w:r>
      <w:r>
        <w:rPr>
          <w:sz w:val="24"/>
        </w:rPr>
        <w:t>las</w:t>
      </w:r>
      <w:r>
        <w:rPr>
          <w:spacing w:val="-8"/>
          <w:sz w:val="24"/>
        </w:rPr>
        <w:t> </w:t>
      </w:r>
      <w:r>
        <w:rPr>
          <w:sz w:val="24"/>
        </w:rPr>
        <w:t>dietas</w:t>
      </w:r>
      <w:r>
        <w:rPr>
          <w:spacing w:val="-8"/>
          <w:sz w:val="24"/>
        </w:rPr>
        <w:t> </w:t>
      </w:r>
      <w:r>
        <w:rPr>
          <w:sz w:val="24"/>
        </w:rPr>
        <w:t>que</w:t>
      </w:r>
      <w:r>
        <w:rPr>
          <w:spacing w:val="-8"/>
          <w:sz w:val="24"/>
        </w:rPr>
        <w:t> </w:t>
      </w:r>
      <w:r>
        <w:rPr>
          <w:sz w:val="24"/>
        </w:rPr>
        <w:t>consumen</w:t>
      </w:r>
      <w:r>
        <w:rPr>
          <w:spacing w:val="-8"/>
          <w:sz w:val="24"/>
        </w:rPr>
        <w:t> </w:t>
      </w:r>
      <w:r>
        <w:rPr>
          <w:sz w:val="24"/>
        </w:rPr>
        <w:t>los</w:t>
      </w:r>
      <w:r>
        <w:rPr>
          <w:spacing w:val="-8"/>
          <w:sz w:val="24"/>
        </w:rPr>
        <w:t> </w:t>
      </w:r>
      <w:r>
        <w:rPr>
          <w:sz w:val="24"/>
        </w:rPr>
        <w:t>bovinos</w:t>
      </w:r>
      <w:r>
        <w:rPr>
          <w:spacing w:val="-8"/>
          <w:sz w:val="24"/>
        </w:rPr>
        <w:t> </w:t>
      </w:r>
      <w:r>
        <w:rPr>
          <w:sz w:val="24"/>
        </w:rPr>
        <w:t>lecheros de la región a través de la técnica de Tilley y Terry (1963), y la ecuación de regresión lineal y polinómica de Cambra-López et al. (2008) para la obtención de los Ym específicos, obteniendo información concreta de los FE propios</w:t>
      </w:r>
      <w:r>
        <w:rPr>
          <w:spacing w:val="42"/>
          <w:sz w:val="24"/>
        </w:rPr>
        <w:t> </w:t>
      </w:r>
      <w:r>
        <w:rPr>
          <w:sz w:val="24"/>
        </w:rPr>
        <w:t>para</w:t>
      </w:r>
    </w:p>
    <w:p>
      <w:pPr>
        <w:spacing w:after="0" w:line="360" w:lineRule="auto"/>
        <w:jc w:val="both"/>
        <w:rPr>
          <w:sz w:val="24"/>
        </w:rPr>
        <w:sectPr>
          <w:pgSz w:w="12240" w:h="15840"/>
          <w:pgMar w:header="741" w:footer="739" w:top="1220" w:bottom="920" w:left="1520" w:right="1140"/>
        </w:sectPr>
      </w:pPr>
    </w:p>
    <w:p>
      <w:pPr>
        <w:pStyle w:val="BodyText"/>
        <w:spacing w:before="4"/>
        <w:rPr>
          <w:sz w:val="11"/>
        </w:rPr>
      </w:pPr>
    </w:p>
    <w:p>
      <w:pPr>
        <w:pStyle w:val="BodyText"/>
        <w:spacing w:line="352" w:lineRule="auto" w:before="69"/>
        <w:ind w:left="636" w:right="129"/>
      </w:pPr>
      <w:r>
        <w:rPr/>
        <w:t>estimar las emisiones de CH</w:t>
      </w:r>
      <w:r>
        <w:rPr>
          <w:position w:val="-2"/>
          <w:sz w:val="16"/>
        </w:rPr>
        <w:t>4 </w:t>
      </w:r>
      <w:r>
        <w:rPr/>
        <w:t>por fermentación entérica, los cuales servirán como referente para los Inventarios Nacionales de GEI.</w:t>
      </w:r>
    </w:p>
    <w:p>
      <w:pPr>
        <w:pStyle w:val="ListParagraph"/>
        <w:numPr>
          <w:ilvl w:val="0"/>
          <w:numId w:val="17"/>
        </w:numPr>
        <w:tabs>
          <w:tab w:pos="637" w:val="left" w:leader="none"/>
        </w:tabs>
        <w:spacing w:line="336" w:lineRule="auto" w:before="9" w:after="0"/>
        <w:ind w:left="636" w:right="143" w:hanging="360"/>
        <w:jc w:val="both"/>
        <w:rPr>
          <w:rFonts w:ascii="Symbol" w:hAnsi="Symbol"/>
          <w:sz w:val="24"/>
        </w:rPr>
      </w:pPr>
      <w:r>
        <w:rPr>
          <w:sz w:val="24"/>
        </w:rPr>
        <w:t>Las estimaciones totales de metano entérico en las unidades de producción lecheras</w:t>
      </w:r>
      <w:r>
        <w:rPr>
          <w:spacing w:val="-15"/>
          <w:sz w:val="24"/>
        </w:rPr>
        <w:t> </w:t>
      </w:r>
      <w:r>
        <w:rPr>
          <w:sz w:val="24"/>
        </w:rPr>
        <w:t>en</w:t>
      </w:r>
      <w:r>
        <w:rPr>
          <w:spacing w:val="-15"/>
          <w:sz w:val="24"/>
        </w:rPr>
        <w:t> </w:t>
      </w:r>
      <w:r>
        <w:rPr>
          <w:sz w:val="24"/>
        </w:rPr>
        <w:t>pequeña</w:t>
      </w:r>
      <w:r>
        <w:rPr>
          <w:spacing w:val="-15"/>
          <w:sz w:val="24"/>
        </w:rPr>
        <w:t> </w:t>
      </w:r>
      <w:r>
        <w:rPr>
          <w:sz w:val="24"/>
        </w:rPr>
        <w:t>escala</w:t>
      </w:r>
      <w:r>
        <w:rPr>
          <w:spacing w:val="-15"/>
          <w:sz w:val="24"/>
        </w:rPr>
        <w:t> </w:t>
      </w:r>
      <w:r>
        <w:rPr>
          <w:sz w:val="24"/>
        </w:rPr>
        <w:t>corresponden</w:t>
      </w:r>
      <w:r>
        <w:rPr>
          <w:spacing w:val="-15"/>
          <w:sz w:val="24"/>
        </w:rPr>
        <w:t> </w:t>
      </w:r>
      <w:r>
        <w:rPr>
          <w:sz w:val="24"/>
        </w:rPr>
        <w:t>a:</w:t>
      </w:r>
      <w:r>
        <w:rPr>
          <w:spacing w:val="-15"/>
          <w:sz w:val="24"/>
        </w:rPr>
        <w:t> </w:t>
      </w:r>
      <w:r>
        <w:rPr>
          <w:sz w:val="24"/>
        </w:rPr>
        <w:t>188</w:t>
      </w:r>
      <w:r>
        <w:rPr>
          <w:spacing w:val="-15"/>
          <w:sz w:val="24"/>
        </w:rPr>
        <w:t> </w:t>
      </w:r>
      <w:r>
        <w:rPr>
          <w:sz w:val="24"/>
        </w:rPr>
        <w:t>vacas</w:t>
      </w:r>
      <w:r>
        <w:rPr>
          <w:spacing w:val="-15"/>
          <w:sz w:val="24"/>
        </w:rPr>
        <w:t> </w:t>
      </w:r>
      <w:r>
        <w:rPr>
          <w:sz w:val="24"/>
        </w:rPr>
        <w:t>en</w:t>
      </w:r>
      <w:r>
        <w:rPr>
          <w:spacing w:val="-15"/>
          <w:sz w:val="24"/>
        </w:rPr>
        <w:t> </w:t>
      </w:r>
      <w:r>
        <w:rPr>
          <w:sz w:val="24"/>
        </w:rPr>
        <w:t>producción,</w:t>
      </w:r>
      <w:r>
        <w:rPr>
          <w:spacing w:val="-15"/>
          <w:sz w:val="24"/>
        </w:rPr>
        <w:t> </w:t>
      </w:r>
      <w:r>
        <w:rPr>
          <w:sz w:val="24"/>
        </w:rPr>
        <w:t>38</w:t>
      </w:r>
      <w:r>
        <w:rPr>
          <w:spacing w:val="-15"/>
          <w:sz w:val="24"/>
        </w:rPr>
        <w:t> </w:t>
      </w:r>
      <w:r>
        <w:rPr>
          <w:sz w:val="24"/>
        </w:rPr>
        <w:t>vacas secas,</w:t>
      </w:r>
      <w:r>
        <w:rPr>
          <w:spacing w:val="-14"/>
          <w:sz w:val="24"/>
        </w:rPr>
        <w:t> </w:t>
      </w:r>
      <w:r>
        <w:rPr>
          <w:sz w:val="24"/>
        </w:rPr>
        <w:t>22</w:t>
      </w:r>
      <w:r>
        <w:rPr>
          <w:spacing w:val="-14"/>
          <w:sz w:val="24"/>
        </w:rPr>
        <w:t> </w:t>
      </w:r>
      <w:r>
        <w:rPr>
          <w:sz w:val="24"/>
        </w:rPr>
        <w:t>vaquillas,</w:t>
      </w:r>
      <w:r>
        <w:rPr>
          <w:spacing w:val="-14"/>
          <w:sz w:val="24"/>
        </w:rPr>
        <w:t> </w:t>
      </w:r>
      <w:r>
        <w:rPr>
          <w:sz w:val="24"/>
        </w:rPr>
        <w:t>34</w:t>
      </w:r>
      <w:r>
        <w:rPr>
          <w:spacing w:val="-14"/>
          <w:sz w:val="24"/>
        </w:rPr>
        <w:t> </w:t>
      </w:r>
      <w:r>
        <w:rPr>
          <w:sz w:val="24"/>
        </w:rPr>
        <w:t>novillas</w:t>
      </w:r>
      <w:r>
        <w:rPr>
          <w:spacing w:val="-14"/>
          <w:sz w:val="24"/>
        </w:rPr>
        <w:t> </w:t>
      </w:r>
      <w:r>
        <w:rPr>
          <w:sz w:val="24"/>
        </w:rPr>
        <w:t>y</w:t>
      </w:r>
      <w:r>
        <w:rPr>
          <w:spacing w:val="-14"/>
          <w:sz w:val="24"/>
        </w:rPr>
        <w:t> </w:t>
      </w:r>
      <w:r>
        <w:rPr>
          <w:sz w:val="24"/>
        </w:rPr>
        <w:t>66</w:t>
      </w:r>
      <w:r>
        <w:rPr>
          <w:spacing w:val="-14"/>
          <w:sz w:val="24"/>
        </w:rPr>
        <w:t> </w:t>
      </w:r>
      <w:r>
        <w:rPr>
          <w:sz w:val="24"/>
        </w:rPr>
        <w:t>terneras.</w:t>
      </w:r>
      <w:r>
        <w:rPr>
          <w:spacing w:val="-14"/>
          <w:sz w:val="24"/>
        </w:rPr>
        <w:t> </w:t>
      </w:r>
      <w:r>
        <w:rPr>
          <w:sz w:val="24"/>
        </w:rPr>
        <w:t>Estas</w:t>
      </w:r>
      <w:r>
        <w:rPr>
          <w:spacing w:val="-14"/>
          <w:sz w:val="24"/>
        </w:rPr>
        <w:t> </w:t>
      </w:r>
      <w:r>
        <w:rPr>
          <w:sz w:val="24"/>
        </w:rPr>
        <w:t>estimaciones</w:t>
      </w:r>
      <w:r>
        <w:rPr>
          <w:spacing w:val="-14"/>
          <w:sz w:val="24"/>
        </w:rPr>
        <w:t> </w:t>
      </w:r>
      <w:r>
        <w:rPr>
          <w:sz w:val="24"/>
        </w:rPr>
        <w:t>arrojan</w:t>
      </w:r>
      <w:r>
        <w:rPr>
          <w:spacing w:val="-14"/>
          <w:sz w:val="24"/>
        </w:rPr>
        <w:t> </w:t>
      </w:r>
      <w:r>
        <w:rPr>
          <w:sz w:val="24"/>
        </w:rPr>
        <w:t>un</w:t>
      </w:r>
      <w:r>
        <w:rPr>
          <w:spacing w:val="-14"/>
          <w:sz w:val="24"/>
        </w:rPr>
        <w:t> </w:t>
      </w:r>
      <w:r>
        <w:rPr>
          <w:sz w:val="24"/>
        </w:rPr>
        <w:t>total de 39,241.79 Gg CH</w:t>
      </w:r>
      <w:r>
        <w:rPr>
          <w:position w:val="-2"/>
          <w:sz w:val="16"/>
        </w:rPr>
        <w:t>4 </w:t>
      </w:r>
      <w:r>
        <w:rPr>
          <w:sz w:val="24"/>
        </w:rPr>
        <w:t>año</w:t>
      </w:r>
      <w:r>
        <w:rPr>
          <w:position w:val="11"/>
          <w:sz w:val="16"/>
        </w:rPr>
        <w:t>-1</w:t>
      </w:r>
      <w:r>
        <w:rPr>
          <w:sz w:val="24"/>
        </w:rPr>
        <w:t>. La contribución de las vacas en producción fue de 30,657.82 Gg CH</w:t>
      </w:r>
      <w:r>
        <w:rPr>
          <w:position w:val="-2"/>
          <w:sz w:val="16"/>
        </w:rPr>
        <w:t>4 </w:t>
      </w:r>
      <w:r>
        <w:rPr>
          <w:sz w:val="24"/>
        </w:rPr>
        <w:t>año</w:t>
      </w:r>
      <w:r>
        <w:rPr>
          <w:position w:val="11"/>
          <w:sz w:val="16"/>
        </w:rPr>
        <w:t>-1</w:t>
      </w:r>
      <w:r>
        <w:rPr>
          <w:sz w:val="24"/>
        </w:rPr>
        <w:t>, las vacas secas 2,884.04 Gg CH</w:t>
      </w:r>
      <w:r>
        <w:rPr>
          <w:position w:val="-2"/>
          <w:sz w:val="16"/>
        </w:rPr>
        <w:t>4 </w:t>
      </w:r>
      <w:r>
        <w:rPr>
          <w:sz w:val="24"/>
        </w:rPr>
        <w:t>año</w:t>
      </w:r>
      <w:r>
        <w:rPr>
          <w:position w:val="11"/>
          <w:sz w:val="16"/>
        </w:rPr>
        <w:t>-1</w:t>
      </w:r>
      <w:r>
        <w:rPr>
          <w:sz w:val="24"/>
        </w:rPr>
        <w:t>, las vaquillas 1,370.31 Gg CH</w:t>
      </w:r>
      <w:r>
        <w:rPr>
          <w:position w:val="-2"/>
          <w:sz w:val="16"/>
        </w:rPr>
        <w:t>4  </w:t>
      </w:r>
      <w:r>
        <w:rPr>
          <w:sz w:val="24"/>
        </w:rPr>
        <w:t>año</w:t>
      </w:r>
      <w:r>
        <w:rPr>
          <w:position w:val="11"/>
          <w:sz w:val="16"/>
        </w:rPr>
        <w:t>-1</w:t>
      </w:r>
      <w:r>
        <w:rPr>
          <w:sz w:val="24"/>
        </w:rPr>
        <w:t>, novillas 1,865.13 Gg CH</w:t>
      </w:r>
      <w:r>
        <w:rPr>
          <w:position w:val="-2"/>
          <w:sz w:val="16"/>
        </w:rPr>
        <w:t>4  </w:t>
      </w:r>
      <w:r>
        <w:rPr>
          <w:sz w:val="24"/>
        </w:rPr>
        <w:t>año</w:t>
      </w:r>
      <w:r>
        <w:rPr>
          <w:position w:val="11"/>
          <w:sz w:val="16"/>
        </w:rPr>
        <w:t>-1  </w:t>
      </w:r>
      <w:r>
        <w:rPr>
          <w:sz w:val="24"/>
        </w:rPr>
        <w:t>y las terneras</w:t>
      </w:r>
      <w:r>
        <w:rPr>
          <w:spacing w:val="17"/>
          <w:sz w:val="24"/>
        </w:rPr>
        <w:t> </w:t>
      </w:r>
      <w:r>
        <w:rPr>
          <w:sz w:val="24"/>
        </w:rPr>
        <w:t>2,461.49</w:t>
      </w:r>
    </w:p>
    <w:p>
      <w:pPr>
        <w:pStyle w:val="BodyText"/>
        <w:spacing w:line="290" w:lineRule="exact"/>
        <w:ind w:left="636"/>
      </w:pPr>
      <w:r>
        <w:rPr/>
        <w:t>Gg CH</w:t>
      </w:r>
      <w:r>
        <w:rPr>
          <w:position w:val="-2"/>
          <w:sz w:val="16"/>
        </w:rPr>
        <w:t>4  </w:t>
      </w:r>
      <w:r>
        <w:rPr/>
        <w:t>año</w:t>
      </w:r>
      <w:r>
        <w:rPr>
          <w:position w:val="11"/>
          <w:sz w:val="16"/>
        </w:rPr>
        <w:t>-1</w:t>
      </w:r>
      <w:r>
        <w:rPr/>
        <w:t>, siendo las vacas en producción las que emite mayor cantidad de</w:t>
      </w:r>
    </w:p>
    <w:p>
      <w:pPr>
        <w:pStyle w:val="BodyText"/>
        <w:spacing w:before="123"/>
        <w:ind w:left="636"/>
      </w:pPr>
      <w:r>
        <w:rPr/>
        <w:t>CH</w:t>
      </w:r>
      <w:r>
        <w:rPr>
          <w:position w:val="-2"/>
          <w:sz w:val="16"/>
        </w:rPr>
        <w:t>4  </w:t>
      </w:r>
      <w:r>
        <w:rPr/>
        <w:t>entérico a la atmósfera y varía en función al estado fisiológico.</w:t>
      </w:r>
    </w:p>
    <w:p>
      <w:pPr>
        <w:pStyle w:val="ListParagraph"/>
        <w:numPr>
          <w:ilvl w:val="0"/>
          <w:numId w:val="17"/>
        </w:numPr>
        <w:tabs>
          <w:tab w:pos="637" w:val="left" w:leader="none"/>
        </w:tabs>
        <w:spacing w:line="355" w:lineRule="auto" w:before="122" w:after="0"/>
        <w:ind w:left="636" w:right="144" w:hanging="360"/>
        <w:jc w:val="both"/>
        <w:rPr>
          <w:rFonts w:ascii="Symbol" w:hAnsi="Symbol"/>
          <w:sz w:val="24"/>
        </w:rPr>
      </w:pPr>
      <w:r>
        <w:rPr>
          <w:sz w:val="24"/>
        </w:rPr>
        <w:t>Para mejorar la estimación de las emisiones de CH</w:t>
      </w:r>
      <w:r>
        <w:rPr>
          <w:position w:val="-2"/>
          <w:sz w:val="16"/>
        </w:rPr>
        <w:t>4 </w:t>
      </w:r>
      <w:r>
        <w:rPr>
          <w:sz w:val="24"/>
        </w:rPr>
        <w:t>procedente de la fermentación entérica del ganado, es preciso refinar el Ym, siendo éste uno de los parámetros más influyentes y del que menos información se dispone para</w:t>
      </w:r>
      <w:r>
        <w:rPr>
          <w:spacing w:val="-12"/>
          <w:sz w:val="24"/>
        </w:rPr>
        <w:t> </w:t>
      </w:r>
      <w:r>
        <w:rPr>
          <w:sz w:val="24"/>
        </w:rPr>
        <w:t>la cuantificación de las emisiones de CH</w:t>
      </w:r>
      <w:r>
        <w:rPr>
          <w:position w:val="-2"/>
          <w:sz w:val="16"/>
        </w:rPr>
        <w:t>4 </w:t>
      </w:r>
      <w:r>
        <w:rPr>
          <w:sz w:val="24"/>
        </w:rPr>
        <w:t>entérico, ya que no se cuenta con Ym propios de nuestro País para el ganado bovino lechero y sus subcategorías,</w:t>
      </w:r>
      <w:r>
        <w:rPr>
          <w:spacing w:val="-38"/>
          <w:sz w:val="24"/>
        </w:rPr>
        <w:t> </w:t>
      </w:r>
      <w:r>
        <w:rPr>
          <w:sz w:val="24"/>
        </w:rPr>
        <w:t>por lo que se utilizan los proporcionados por las Directrices del IPCC para la realización de los Inventarios Nacionales de Gases de Efecto</w:t>
      </w:r>
      <w:r>
        <w:rPr>
          <w:spacing w:val="-2"/>
          <w:sz w:val="24"/>
        </w:rPr>
        <w:t> </w:t>
      </w:r>
      <w:r>
        <w:rPr>
          <w:sz w:val="24"/>
        </w:rPr>
        <w:t>Invernadero.</w:t>
      </w:r>
    </w:p>
    <w:p>
      <w:pPr>
        <w:pStyle w:val="ListParagraph"/>
        <w:numPr>
          <w:ilvl w:val="0"/>
          <w:numId w:val="17"/>
        </w:numPr>
        <w:tabs>
          <w:tab w:pos="637" w:val="left" w:leader="none"/>
        </w:tabs>
        <w:spacing w:line="328" w:lineRule="auto" w:before="4" w:after="0"/>
        <w:ind w:left="636" w:right="145" w:hanging="360"/>
        <w:jc w:val="both"/>
        <w:rPr>
          <w:rFonts w:ascii="Symbol" w:hAnsi="Symbol"/>
          <w:sz w:val="28"/>
        </w:rPr>
      </w:pPr>
      <w:r>
        <w:rPr>
          <w:sz w:val="24"/>
        </w:rPr>
        <w:t>El factor de conversión de CH</w:t>
      </w:r>
      <w:r>
        <w:rPr>
          <w:position w:val="-2"/>
          <w:sz w:val="16"/>
        </w:rPr>
        <w:t>4 </w:t>
      </w:r>
      <w:r>
        <w:rPr>
          <w:sz w:val="24"/>
        </w:rPr>
        <w:t>depende principalmente de la digestibilidad de las raciones, y varía inversamente proporcional con</w:t>
      </w:r>
      <w:r>
        <w:rPr>
          <w:spacing w:val="-2"/>
          <w:sz w:val="24"/>
        </w:rPr>
        <w:t> </w:t>
      </w:r>
      <w:r>
        <w:rPr>
          <w:sz w:val="24"/>
        </w:rPr>
        <w:t>ésta.</w:t>
      </w:r>
    </w:p>
    <w:p>
      <w:pPr>
        <w:pStyle w:val="ListParagraph"/>
        <w:numPr>
          <w:ilvl w:val="0"/>
          <w:numId w:val="17"/>
        </w:numPr>
        <w:tabs>
          <w:tab w:pos="637" w:val="left" w:leader="none"/>
        </w:tabs>
        <w:spacing w:line="355" w:lineRule="auto" w:before="40" w:after="0"/>
        <w:ind w:left="636" w:right="143" w:hanging="360"/>
        <w:jc w:val="both"/>
        <w:rPr>
          <w:rFonts w:ascii="Symbol" w:hAnsi="Symbol"/>
          <w:sz w:val="24"/>
        </w:rPr>
      </w:pPr>
      <w:r>
        <w:rPr>
          <w:sz w:val="24"/>
        </w:rPr>
        <w:t>El nivel de alimentación y la digestibilidad son las principales determinantes de los valores del Ym, mientras que el CMS es el determinante principal en la producción total de</w:t>
      </w:r>
      <w:r>
        <w:rPr>
          <w:spacing w:val="-2"/>
          <w:sz w:val="24"/>
        </w:rPr>
        <w:t> </w:t>
      </w:r>
      <w:r>
        <w:rPr>
          <w:sz w:val="24"/>
        </w:rPr>
        <w:t>CH</w:t>
      </w:r>
      <w:r>
        <w:rPr>
          <w:position w:val="-2"/>
          <w:sz w:val="16"/>
        </w:rPr>
        <w:t>4</w:t>
      </w:r>
      <w:r>
        <w:rPr>
          <w:sz w:val="24"/>
        </w:rPr>
        <w:t>.</w:t>
      </w:r>
    </w:p>
    <w:p>
      <w:pPr>
        <w:pStyle w:val="ListParagraph"/>
        <w:numPr>
          <w:ilvl w:val="0"/>
          <w:numId w:val="17"/>
        </w:numPr>
        <w:tabs>
          <w:tab w:pos="637" w:val="left" w:leader="none"/>
        </w:tabs>
        <w:spacing w:line="355" w:lineRule="auto" w:before="0" w:after="0"/>
        <w:ind w:left="636" w:right="144" w:hanging="360"/>
        <w:jc w:val="both"/>
        <w:rPr>
          <w:rFonts w:ascii="Symbol" w:hAnsi="Symbol"/>
          <w:sz w:val="24"/>
        </w:rPr>
      </w:pPr>
      <w:r>
        <w:rPr>
          <w:sz w:val="24"/>
        </w:rPr>
        <w:t>Esta investigación revela que la falta de datos dentro de las diferentes subcategorías</w:t>
      </w:r>
      <w:r>
        <w:rPr>
          <w:spacing w:val="-12"/>
          <w:sz w:val="24"/>
        </w:rPr>
        <w:t> </w:t>
      </w:r>
      <w:r>
        <w:rPr>
          <w:sz w:val="24"/>
        </w:rPr>
        <w:t>animales</w:t>
      </w:r>
      <w:r>
        <w:rPr>
          <w:spacing w:val="-12"/>
          <w:sz w:val="24"/>
        </w:rPr>
        <w:t> </w:t>
      </w:r>
      <w:r>
        <w:rPr>
          <w:sz w:val="24"/>
        </w:rPr>
        <w:t>del</w:t>
      </w:r>
      <w:r>
        <w:rPr>
          <w:spacing w:val="-12"/>
          <w:sz w:val="24"/>
        </w:rPr>
        <w:t> </w:t>
      </w:r>
      <w:r>
        <w:rPr>
          <w:sz w:val="24"/>
        </w:rPr>
        <w:t>ganado</w:t>
      </w:r>
      <w:r>
        <w:rPr>
          <w:spacing w:val="-12"/>
          <w:sz w:val="24"/>
        </w:rPr>
        <w:t> </w:t>
      </w:r>
      <w:r>
        <w:rPr>
          <w:sz w:val="24"/>
        </w:rPr>
        <w:t>lechero</w:t>
      </w:r>
      <w:r>
        <w:rPr>
          <w:spacing w:val="-12"/>
          <w:sz w:val="24"/>
        </w:rPr>
        <w:t> </w:t>
      </w:r>
      <w:r>
        <w:rPr>
          <w:sz w:val="24"/>
        </w:rPr>
        <w:t>como</w:t>
      </w:r>
      <w:r>
        <w:rPr>
          <w:spacing w:val="-12"/>
          <w:sz w:val="24"/>
        </w:rPr>
        <w:t> </w:t>
      </w:r>
      <w:r>
        <w:rPr>
          <w:sz w:val="24"/>
        </w:rPr>
        <w:t>la</w:t>
      </w:r>
      <w:r>
        <w:rPr>
          <w:spacing w:val="-12"/>
          <w:sz w:val="24"/>
        </w:rPr>
        <w:t> </w:t>
      </w:r>
      <w:r>
        <w:rPr>
          <w:sz w:val="24"/>
        </w:rPr>
        <w:t>ganancia</w:t>
      </w:r>
      <w:r>
        <w:rPr>
          <w:spacing w:val="-12"/>
          <w:sz w:val="24"/>
        </w:rPr>
        <w:t> </w:t>
      </w:r>
      <w:r>
        <w:rPr>
          <w:sz w:val="24"/>
        </w:rPr>
        <w:t>de</w:t>
      </w:r>
      <w:r>
        <w:rPr>
          <w:spacing w:val="-12"/>
          <w:sz w:val="24"/>
        </w:rPr>
        <w:t> </w:t>
      </w:r>
      <w:r>
        <w:rPr>
          <w:sz w:val="24"/>
        </w:rPr>
        <w:t>peso</w:t>
      </w:r>
      <w:r>
        <w:rPr>
          <w:spacing w:val="-12"/>
          <w:sz w:val="24"/>
        </w:rPr>
        <w:t> </w:t>
      </w:r>
      <w:r>
        <w:rPr>
          <w:sz w:val="24"/>
        </w:rPr>
        <w:t>vivo,</w:t>
      </w:r>
      <w:r>
        <w:rPr>
          <w:spacing w:val="-12"/>
          <w:sz w:val="24"/>
        </w:rPr>
        <w:t> </w:t>
      </w:r>
      <w:r>
        <w:rPr>
          <w:sz w:val="24"/>
        </w:rPr>
        <w:t>tasa de</w:t>
      </w:r>
      <w:r>
        <w:rPr>
          <w:spacing w:val="-8"/>
          <w:sz w:val="24"/>
        </w:rPr>
        <w:t> </w:t>
      </w:r>
      <w:r>
        <w:rPr>
          <w:sz w:val="24"/>
        </w:rPr>
        <w:t>crecimiento,</w:t>
      </w:r>
      <w:r>
        <w:rPr>
          <w:spacing w:val="-8"/>
          <w:sz w:val="24"/>
        </w:rPr>
        <w:t> </w:t>
      </w:r>
      <w:r>
        <w:rPr>
          <w:sz w:val="24"/>
        </w:rPr>
        <w:t>necesidades</w:t>
      </w:r>
      <w:r>
        <w:rPr>
          <w:spacing w:val="-8"/>
          <w:sz w:val="24"/>
        </w:rPr>
        <w:t> </w:t>
      </w:r>
      <w:r>
        <w:rPr>
          <w:sz w:val="24"/>
        </w:rPr>
        <w:t>energéticas,</w:t>
      </w:r>
      <w:r>
        <w:rPr>
          <w:spacing w:val="-8"/>
          <w:sz w:val="24"/>
        </w:rPr>
        <w:t> </w:t>
      </w:r>
      <w:r>
        <w:rPr>
          <w:sz w:val="24"/>
        </w:rPr>
        <w:t>ingesta</w:t>
      </w:r>
      <w:r>
        <w:rPr>
          <w:spacing w:val="-8"/>
          <w:sz w:val="24"/>
        </w:rPr>
        <w:t> </w:t>
      </w:r>
      <w:r>
        <w:rPr>
          <w:sz w:val="24"/>
        </w:rPr>
        <w:t>y</w:t>
      </w:r>
      <w:r>
        <w:rPr>
          <w:spacing w:val="-8"/>
          <w:sz w:val="24"/>
        </w:rPr>
        <w:t> </w:t>
      </w:r>
      <w:r>
        <w:rPr>
          <w:sz w:val="24"/>
        </w:rPr>
        <w:t>características</w:t>
      </w:r>
      <w:r>
        <w:rPr>
          <w:spacing w:val="-8"/>
          <w:sz w:val="24"/>
        </w:rPr>
        <w:t> </w:t>
      </w:r>
      <w:r>
        <w:rPr>
          <w:sz w:val="24"/>
        </w:rPr>
        <w:t>de</w:t>
      </w:r>
      <w:r>
        <w:rPr>
          <w:spacing w:val="-8"/>
          <w:sz w:val="24"/>
        </w:rPr>
        <w:t> </w:t>
      </w:r>
      <w:r>
        <w:rPr>
          <w:sz w:val="24"/>
        </w:rPr>
        <w:t>las</w:t>
      </w:r>
      <w:r>
        <w:rPr>
          <w:spacing w:val="-8"/>
          <w:sz w:val="24"/>
        </w:rPr>
        <w:t> </w:t>
      </w:r>
      <w:r>
        <w:rPr>
          <w:sz w:val="24"/>
        </w:rPr>
        <w:t>dietas, calidad y cantidad de la materia seca y concentrados, así como los FE y los</w:t>
      </w:r>
      <w:r>
        <w:rPr>
          <w:spacing w:val="-16"/>
          <w:sz w:val="24"/>
        </w:rPr>
        <w:t> </w:t>
      </w:r>
      <w:r>
        <w:rPr>
          <w:sz w:val="24"/>
        </w:rPr>
        <w:t>Ym de CH</w:t>
      </w:r>
      <w:r>
        <w:rPr>
          <w:position w:val="-2"/>
          <w:sz w:val="16"/>
        </w:rPr>
        <w:t>4 </w:t>
      </w:r>
      <w:r>
        <w:rPr>
          <w:sz w:val="24"/>
        </w:rPr>
        <w:t>se requieren para las buenas prácticas de estimación de CH</w:t>
      </w:r>
      <w:r>
        <w:rPr>
          <w:position w:val="-2"/>
          <w:sz w:val="16"/>
        </w:rPr>
        <w:t>4 </w:t>
      </w:r>
      <w:r>
        <w:rPr>
          <w:sz w:val="24"/>
        </w:rPr>
        <w:t>en los Inventarios Nacionales de GEI, lo que permitirá realizar estimaciones lo más aproximadas posibles.</w:t>
      </w:r>
    </w:p>
    <w:p>
      <w:pPr>
        <w:pStyle w:val="ListParagraph"/>
        <w:numPr>
          <w:ilvl w:val="0"/>
          <w:numId w:val="17"/>
        </w:numPr>
        <w:tabs>
          <w:tab w:pos="637" w:val="left" w:leader="none"/>
        </w:tabs>
        <w:spacing w:line="350" w:lineRule="auto" w:before="11" w:after="0"/>
        <w:ind w:left="636" w:right="143" w:hanging="360"/>
        <w:jc w:val="both"/>
        <w:rPr>
          <w:rFonts w:ascii="Symbol" w:hAnsi="Symbol"/>
          <w:sz w:val="24"/>
        </w:rPr>
      </w:pPr>
      <w:r>
        <w:rPr>
          <w:sz w:val="24"/>
        </w:rPr>
        <w:t>Aunque</w:t>
      </w:r>
      <w:r>
        <w:rPr>
          <w:spacing w:val="-11"/>
          <w:sz w:val="24"/>
        </w:rPr>
        <w:t> </w:t>
      </w:r>
      <w:r>
        <w:rPr>
          <w:sz w:val="24"/>
        </w:rPr>
        <w:t>existen</w:t>
      </w:r>
      <w:r>
        <w:rPr>
          <w:spacing w:val="-11"/>
          <w:sz w:val="24"/>
        </w:rPr>
        <w:t> </w:t>
      </w:r>
      <w:r>
        <w:rPr>
          <w:sz w:val="24"/>
        </w:rPr>
        <w:t>un</w:t>
      </w:r>
      <w:r>
        <w:rPr>
          <w:spacing w:val="-11"/>
          <w:sz w:val="24"/>
        </w:rPr>
        <w:t> </w:t>
      </w:r>
      <w:r>
        <w:rPr>
          <w:sz w:val="24"/>
        </w:rPr>
        <w:t>considerable</w:t>
      </w:r>
      <w:r>
        <w:rPr>
          <w:spacing w:val="-11"/>
          <w:sz w:val="24"/>
        </w:rPr>
        <w:t> </w:t>
      </w:r>
      <w:r>
        <w:rPr>
          <w:sz w:val="24"/>
        </w:rPr>
        <w:t>número</w:t>
      </w:r>
      <w:r>
        <w:rPr>
          <w:spacing w:val="-11"/>
          <w:sz w:val="24"/>
        </w:rPr>
        <w:t> </w:t>
      </w:r>
      <w:r>
        <w:rPr>
          <w:sz w:val="24"/>
        </w:rPr>
        <w:t>de</w:t>
      </w:r>
      <w:r>
        <w:rPr>
          <w:spacing w:val="-11"/>
          <w:sz w:val="24"/>
        </w:rPr>
        <w:t> </w:t>
      </w:r>
      <w:r>
        <w:rPr>
          <w:sz w:val="24"/>
        </w:rPr>
        <w:t>investigación</w:t>
      </w:r>
      <w:r>
        <w:rPr>
          <w:spacing w:val="-11"/>
          <w:sz w:val="24"/>
        </w:rPr>
        <w:t> </w:t>
      </w:r>
      <w:r>
        <w:rPr>
          <w:sz w:val="24"/>
        </w:rPr>
        <w:t>sobre</w:t>
      </w:r>
      <w:r>
        <w:rPr>
          <w:spacing w:val="-11"/>
          <w:sz w:val="24"/>
        </w:rPr>
        <w:t> </w:t>
      </w:r>
      <w:r>
        <w:rPr>
          <w:sz w:val="24"/>
        </w:rPr>
        <w:t>la</w:t>
      </w:r>
      <w:r>
        <w:rPr>
          <w:spacing w:val="-11"/>
          <w:sz w:val="24"/>
        </w:rPr>
        <w:t> </w:t>
      </w:r>
      <w:r>
        <w:rPr>
          <w:sz w:val="24"/>
        </w:rPr>
        <w:t>producción</w:t>
      </w:r>
      <w:r>
        <w:rPr>
          <w:spacing w:val="-11"/>
          <w:sz w:val="24"/>
        </w:rPr>
        <w:t> </w:t>
      </w:r>
      <w:r>
        <w:rPr>
          <w:sz w:val="24"/>
        </w:rPr>
        <w:t>de CH</w:t>
      </w:r>
      <w:r>
        <w:rPr>
          <w:position w:val="-2"/>
          <w:sz w:val="16"/>
        </w:rPr>
        <w:t>4 </w:t>
      </w:r>
      <w:r>
        <w:rPr>
          <w:spacing w:val="12"/>
          <w:position w:val="-2"/>
          <w:sz w:val="16"/>
        </w:rPr>
        <w:t> </w:t>
      </w:r>
      <w:r>
        <w:rPr>
          <w:sz w:val="24"/>
        </w:rPr>
        <w:t>por</w:t>
      </w:r>
      <w:r>
        <w:rPr>
          <w:spacing w:val="34"/>
          <w:sz w:val="24"/>
        </w:rPr>
        <w:t> </w:t>
      </w:r>
      <w:r>
        <w:rPr>
          <w:sz w:val="24"/>
        </w:rPr>
        <w:t>fermentación</w:t>
      </w:r>
      <w:r>
        <w:rPr>
          <w:spacing w:val="34"/>
          <w:sz w:val="24"/>
        </w:rPr>
        <w:t> </w:t>
      </w:r>
      <w:r>
        <w:rPr>
          <w:sz w:val="24"/>
        </w:rPr>
        <w:t>entérica</w:t>
      </w:r>
      <w:r>
        <w:rPr>
          <w:spacing w:val="34"/>
          <w:sz w:val="24"/>
        </w:rPr>
        <w:t> </w:t>
      </w:r>
      <w:r>
        <w:rPr>
          <w:sz w:val="24"/>
        </w:rPr>
        <w:t>en</w:t>
      </w:r>
      <w:r>
        <w:rPr>
          <w:spacing w:val="34"/>
          <w:sz w:val="24"/>
        </w:rPr>
        <w:t> </w:t>
      </w:r>
      <w:r>
        <w:rPr>
          <w:sz w:val="24"/>
        </w:rPr>
        <w:t>el</w:t>
      </w:r>
      <w:r>
        <w:rPr>
          <w:spacing w:val="34"/>
          <w:sz w:val="24"/>
        </w:rPr>
        <w:t> </w:t>
      </w:r>
      <w:r>
        <w:rPr>
          <w:sz w:val="24"/>
        </w:rPr>
        <w:t>ganado</w:t>
      </w:r>
      <w:r>
        <w:rPr>
          <w:spacing w:val="34"/>
          <w:sz w:val="24"/>
        </w:rPr>
        <w:t> </w:t>
      </w:r>
      <w:r>
        <w:rPr>
          <w:sz w:val="24"/>
        </w:rPr>
        <w:t>bovino,</w:t>
      </w:r>
      <w:r>
        <w:rPr>
          <w:spacing w:val="34"/>
          <w:sz w:val="24"/>
        </w:rPr>
        <w:t> </w:t>
      </w:r>
      <w:r>
        <w:rPr>
          <w:sz w:val="24"/>
        </w:rPr>
        <w:t>en</w:t>
      </w:r>
      <w:r>
        <w:rPr>
          <w:spacing w:val="34"/>
          <w:sz w:val="24"/>
        </w:rPr>
        <w:t> </w:t>
      </w:r>
      <w:r>
        <w:rPr>
          <w:sz w:val="24"/>
        </w:rPr>
        <w:t>nuestro</w:t>
      </w:r>
      <w:r>
        <w:rPr>
          <w:spacing w:val="34"/>
          <w:sz w:val="24"/>
        </w:rPr>
        <w:t> </w:t>
      </w:r>
      <w:r>
        <w:rPr>
          <w:sz w:val="24"/>
        </w:rPr>
        <w:t>País</w:t>
      </w:r>
      <w:r>
        <w:rPr>
          <w:spacing w:val="34"/>
          <w:sz w:val="24"/>
        </w:rPr>
        <w:t> </w:t>
      </w:r>
      <w:r>
        <w:rPr>
          <w:sz w:val="24"/>
        </w:rPr>
        <w:t>existen</w:t>
      </w:r>
    </w:p>
    <w:p>
      <w:pPr>
        <w:spacing w:after="0" w:line="350" w:lineRule="auto"/>
        <w:jc w:val="both"/>
        <w:rPr>
          <w:rFonts w:ascii="Symbol" w:hAnsi="Symbol"/>
          <w:sz w:val="24"/>
        </w:rPr>
        <w:sectPr>
          <w:pgSz w:w="12240" w:h="15840"/>
          <w:pgMar w:header="741" w:footer="739" w:top="1220" w:bottom="920" w:left="1720" w:right="1260"/>
        </w:sectPr>
      </w:pPr>
    </w:p>
    <w:p>
      <w:pPr>
        <w:pStyle w:val="BodyText"/>
        <w:spacing w:before="4"/>
        <w:rPr>
          <w:sz w:val="11"/>
        </w:rPr>
      </w:pPr>
    </w:p>
    <w:p>
      <w:pPr>
        <w:pStyle w:val="BodyText"/>
        <w:spacing w:line="357" w:lineRule="auto" w:before="69"/>
        <w:ind w:left="636" w:right="143"/>
        <w:jc w:val="both"/>
      </w:pPr>
      <w:r>
        <w:rPr/>
        <w:t>escasos estudios sobre las emisiones de GEI generados por las actividades pecuarias, en particular por el ganado bovino y la relación que existe con las emisiones</w:t>
      </w:r>
      <w:r>
        <w:rPr>
          <w:spacing w:val="-7"/>
        </w:rPr>
        <w:t> </w:t>
      </w:r>
      <w:r>
        <w:rPr/>
        <w:t>de</w:t>
      </w:r>
      <w:r>
        <w:rPr>
          <w:spacing w:val="-7"/>
        </w:rPr>
        <w:t> </w:t>
      </w:r>
      <w:r>
        <w:rPr/>
        <w:t>CH</w:t>
      </w:r>
      <w:r>
        <w:rPr>
          <w:position w:val="-2"/>
          <w:sz w:val="16"/>
        </w:rPr>
        <w:t>4</w:t>
      </w:r>
      <w:r>
        <w:rPr>
          <w:spacing w:val="16"/>
          <w:position w:val="-2"/>
          <w:sz w:val="16"/>
        </w:rPr>
        <w:t> </w:t>
      </w:r>
      <w:r>
        <w:rPr/>
        <w:t>que</w:t>
      </w:r>
      <w:r>
        <w:rPr>
          <w:spacing w:val="-7"/>
        </w:rPr>
        <w:t> </w:t>
      </w:r>
      <w:r>
        <w:rPr/>
        <w:t>generan</w:t>
      </w:r>
      <w:r>
        <w:rPr>
          <w:spacing w:val="-7"/>
        </w:rPr>
        <w:t> </w:t>
      </w:r>
      <w:r>
        <w:rPr/>
        <w:t>y</w:t>
      </w:r>
      <w:r>
        <w:rPr>
          <w:spacing w:val="-7"/>
        </w:rPr>
        <w:t> </w:t>
      </w:r>
      <w:r>
        <w:rPr/>
        <w:t>el</w:t>
      </w:r>
      <w:r>
        <w:rPr>
          <w:spacing w:val="-7"/>
        </w:rPr>
        <w:t> </w:t>
      </w:r>
      <w:r>
        <w:rPr/>
        <w:t>tipo</w:t>
      </w:r>
      <w:r>
        <w:rPr>
          <w:spacing w:val="-7"/>
        </w:rPr>
        <w:t> </w:t>
      </w:r>
      <w:r>
        <w:rPr/>
        <w:t>de</w:t>
      </w:r>
      <w:r>
        <w:rPr>
          <w:spacing w:val="-7"/>
        </w:rPr>
        <w:t> </w:t>
      </w:r>
      <w:r>
        <w:rPr/>
        <w:t>dieta</w:t>
      </w:r>
      <w:r>
        <w:rPr>
          <w:spacing w:val="-7"/>
        </w:rPr>
        <w:t> </w:t>
      </w:r>
      <w:r>
        <w:rPr/>
        <w:t>que</w:t>
      </w:r>
      <w:r>
        <w:rPr>
          <w:spacing w:val="-7"/>
        </w:rPr>
        <w:t> </w:t>
      </w:r>
      <w:r>
        <w:rPr/>
        <w:t>consumen</w:t>
      </w:r>
      <w:r>
        <w:rPr>
          <w:spacing w:val="-7"/>
        </w:rPr>
        <w:t> </w:t>
      </w:r>
      <w:r>
        <w:rPr/>
        <w:t>estos</w:t>
      </w:r>
      <w:r>
        <w:rPr>
          <w:spacing w:val="-7"/>
        </w:rPr>
        <w:t> </w:t>
      </w:r>
      <w:r>
        <w:rPr/>
        <w:t>rumiantes en los sistemas de producción de leche.</w:t>
      </w:r>
    </w:p>
    <w:p>
      <w:pPr>
        <w:pStyle w:val="ListParagraph"/>
        <w:numPr>
          <w:ilvl w:val="0"/>
          <w:numId w:val="17"/>
        </w:numPr>
        <w:tabs>
          <w:tab w:pos="637" w:val="left" w:leader="none"/>
        </w:tabs>
        <w:spacing w:line="360" w:lineRule="auto" w:before="3" w:after="0"/>
        <w:ind w:left="636" w:right="143" w:hanging="360"/>
        <w:jc w:val="both"/>
        <w:rPr>
          <w:rFonts w:ascii="Symbol" w:hAnsi="Symbol"/>
          <w:sz w:val="24"/>
        </w:rPr>
      </w:pPr>
      <w:r>
        <w:rPr>
          <w:sz w:val="24"/>
        </w:rPr>
        <w:t>El desarrollo de técnicas y métodos para la mitigación de las emisiones de metano</w:t>
      </w:r>
      <w:r>
        <w:rPr>
          <w:spacing w:val="-6"/>
          <w:sz w:val="24"/>
        </w:rPr>
        <w:t> </w:t>
      </w:r>
      <w:r>
        <w:rPr>
          <w:sz w:val="24"/>
        </w:rPr>
        <w:t>generado</w:t>
      </w:r>
      <w:r>
        <w:rPr>
          <w:spacing w:val="-6"/>
          <w:sz w:val="24"/>
        </w:rPr>
        <w:t> </w:t>
      </w:r>
      <w:r>
        <w:rPr>
          <w:sz w:val="24"/>
        </w:rPr>
        <w:t>por</w:t>
      </w:r>
      <w:r>
        <w:rPr>
          <w:spacing w:val="-6"/>
          <w:sz w:val="24"/>
        </w:rPr>
        <w:t> </w:t>
      </w:r>
      <w:r>
        <w:rPr>
          <w:sz w:val="24"/>
        </w:rPr>
        <w:t>el</w:t>
      </w:r>
      <w:r>
        <w:rPr>
          <w:spacing w:val="-6"/>
          <w:sz w:val="24"/>
        </w:rPr>
        <w:t> </w:t>
      </w:r>
      <w:r>
        <w:rPr>
          <w:sz w:val="24"/>
        </w:rPr>
        <w:t>ganado</w:t>
      </w:r>
      <w:r>
        <w:rPr>
          <w:spacing w:val="-6"/>
          <w:sz w:val="24"/>
        </w:rPr>
        <w:t> </w:t>
      </w:r>
      <w:r>
        <w:rPr>
          <w:sz w:val="24"/>
        </w:rPr>
        <w:t>son</w:t>
      </w:r>
      <w:r>
        <w:rPr>
          <w:spacing w:val="-6"/>
          <w:sz w:val="24"/>
        </w:rPr>
        <w:t> </w:t>
      </w:r>
      <w:r>
        <w:rPr>
          <w:sz w:val="24"/>
        </w:rPr>
        <w:t>posibles</w:t>
      </w:r>
      <w:r>
        <w:rPr>
          <w:spacing w:val="-6"/>
          <w:sz w:val="24"/>
        </w:rPr>
        <w:t> </w:t>
      </w:r>
      <w:r>
        <w:rPr>
          <w:sz w:val="24"/>
        </w:rPr>
        <w:t>y</w:t>
      </w:r>
      <w:r>
        <w:rPr>
          <w:spacing w:val="-6"/>
          <w:sz w:val="24"/>
        </w:rPr>
        <w:t> </w:t>
      </w:r>
      <w:r>
        <w:rPr>
          <w:sz w:val="24"/>
        </w:rPr>
        <w:t>deseables.</w:t>
      </w:r>
      <w:r>
        <w:rPr>
          <w:spacing w:val="-6"/>
          <w:sz w:val="24"/>
        </w:rPr>
        <w:t> </w:t>
      </w:r>
      <w:r>
        <w:rPr>
          <w:sz w:val="24"/>
        </w:rPr>
        <w:t>No</w:t>
      </w:r>
      <w:r>
        <w:rPr>
          <w:spacing w:val="-6"/>
          <w:sz w:val="24"/>
        </w:rPr>
        <w:t> </w:t>
      </w:r>
      <w:r>
        <w:rPr>
          <w:sz w:val="24"/>
        </w:rPr>
        <w:t>sólo</w:t>
      </w:r>
      <w:r>
        <w:rPr>
          <w:spacing w:val="-6"/>
          <w:sz w:val="24"/>
        </w:rPr>
        <w:t> </w:t>
      </w:r>
      <w:r>
        <w:rPr>
          <w:sz w:val="24"/>
        </w:rPr>
        <w:t>para</w:t>
      </w:r>
      <w:r>
        <w:rPr>
          <w:spacing w:val="-6"/>
          <w:sz w:val="24"/>
        </w:rPr>
        <w:t> </w:t>
      </w:r>
      <w:r>
        <w:rPr>
          <w:sz w:val="24"/>
        </w:rPr>
        <w:t>mejorar la eficiencia de la alimentación y la productividad de los animales, sino para reducir las emisiones del metano en los inventarios globales. Por lo que no existen metodologías sencillas fáciles de implementar y estandarizar en cualquier laboratorio para efectuar investigaciones sobre la producción de metano </w:t>
      </w:r>
      <w:r>
        <w:rPr>
          <w:i/>
          <w:sz w:val="24"/>
        </w:rPr>
        <w:t>in vitro </w:t>
      </w:r>
      <w:r>
        <w:rPr>
          <w:sz w:val="24"/>
        </w:rPr>
        <w:t>o </w:t>
      </w:r>
      <w:r>
        <w:rPr>
          <w:i/>
          <w:sz w:val="24"/>
        </w:rPr>
        <w:t>in</w:t>
      </w:r>
      <w:r>
        <w:rPr>
          <w:i/>
          <w:spacing w:val="-1"/>
          <w:sz w:val="24"/>
        </w:rPr>
        <w:t> </w:t>
      </w:r>
      <w:r>
        <w:rPr>
          <w:i/>
          <w:sz w:val="24"/>
        </w:rPr>
        <w:t>vivo</w:t>
      </w:r>
      <w:r>
        <w:rPr>
          <w:sz w:val="24"/>
        </w:rPr>
        <w:t>.</w:t>
      </w:r>
    </w:p>
    <w:p>
      <w:pPr>
        <w:pStyle w:val="ListParagraph"/>
        <w:numPr>
          <w:ilvl w:val="0"/>
          <w:numId w:val="17"/>
        </w:numPr>
        <w:tabs>
          <w:tab w:pos="637" w:val="left" w:leader="none"/>
        </w:tabs>
        <w:spacing w:line="357" w:lineRule="auto" w:before="1" w:after="0"/>
        <w:ind w:left="636" w:right="143" w:hanging="360"/>
        <w:jc w:val="both"/>
        <w:rPr>
          <w:rFonts w:ascii="Symbol" w:hAnsi="Symbol"/>
          <w:sz w:val="24"/>
        </w:rPr>
      </w:pPr>
      <w:r>
        <w:rPr>
          <w:sz w:val="24"/>
        </w:rPr>
        <w:t>Finalmente, todas las técnicas y métodos requieren de una cuidadosa atención antes de su aplicación. En este sentido, es muy importante un conocimiento profundo de las ventajas y desventajas de los métodos y técnicas experimentales</w:t>
      </w:r>
      <w:r>
        <w:rPr>
          <w:spacing w:val="-7"/>
          <w:sz w:val="24"/>
        </w:rPr>
        <w:t> </w:t>
      </w:r>
      <w:r>
        <w:rPr>
          <w:sz w:val="24"/>
        </w:rPr>
        <w:t>a</w:t>
      </w:r>
      <w:r>
        <w:rPr>
          <w:spacing w:val="-7"/>
          <w:sz w:val="24"/>
        </w:rPr>
        <w:t> </w:t>
      </w:r>
      <w:r>
        <w:rPr>
          <w:sz w:val="24"/>
        </w:rPr>
        <w:t>utilizar,</w:t>
      </w:r>
      <w:r>
        <w:rPr>
          <w:spacing w:val="-7"/>
          <w:sz w:val="24"/>
        </w:rPr>
        <w:t> </w:t>
      </w:r>
      <w:r>
        <w:rPr>
          <w:sz w:val="24"/>
        </w:rPr>
        <w:t>tanto</w:t>
      </w:r>
      <w:r>
        <w:rPr>
          <w:spacing w:val="-7"/>
          <w:sz w:val="24"/>
        </w:rPr>
        <w:t> </w:t>
      </w:r>
      <w:r>
        <w:rPr>
          <w:sz w:val="24"/>
        </w:rPr>
        <w:t>en</w:t>
      </w:r>
      <w:r>
        <w:rPr>
          <w:spacing w:val="-7"/>
          <w:sz w:val="24"/>
        </w:rPr>
        <w:t> </w:t>
      </w:r>
      <w:r>
        <w:rPr>
          <w:sz w:val="24"/>
        </w:rPr>
        <w:t>la</w:t>
      </w:r>
      <w:r>
        <w:rPr>
          <w:spacing w:val="-7"/>
          <w:sz w:val="24"/>
        </w:rPr>
        <w:t> </w:t>
      </w:r>
      <w:r>
        <w:rPr>
          <w:sz w:val="24"/>
        </w:rPr>
        <w:t>planificación</w:t>
      </w:r>
      <w:r>
        <w:rPr>
          <w:spacing w:val="-7"/>
          <w:sz w:val="24"/>
        </w:rPr>
        <w:t> </w:t>
      </w:r>
      <w:r>
        <w:rPr>
          <w:sz w:val="24"/>
        </w:rPr>
        <w:t>de</w:t>
      </w:r>
      <w:r>
        <w:rPr>
          <w:spacing w:val="-7"/>
          <w:sz w:val="24"/>
        </w:rPr>
        <w:t> </w:t>
      </w:r>
      <w:r>
        <w:rPr>
          <w:sz w:val="24"/>
        </w:rPr>
        <w:t>experimentos</w:t>
      </w:r>
      <w:r>
        <w:rPr>
          <w:spacing w:val="-7"/>
          <w:sz w:val="24"/>
        </w:rPr>
        <w:t> </w:t>
      </w:r>
      <w:r>
        <w:rPr>
          <w:sz w:val="24"/>
        </w:rPr>
        <w:t>a</w:t>
      </w:r>
      <w:r>
        <w:rPr>
          <w:spacing w:val="-7"/>
          <w:sz w:val="24"/>
        </w:rPr>
        <w:t> </w:t>
      </w:r>
      <w:r>
        <w:rPr>
          <w:sz w:val="24"/>
        </w:rPr>
        <w:t>desarrollar, como al momento de interpretar los resultados obtenidos en las investigaciones propias y de los resultados publicados por otros investigadores.</w:t>
      </w:r>
    </w:p>
    <w:p>
      <w:pPr>
        <w:spacing w:after="0" w:line="357" w:lineRule="auto"/>
        <w:jc w:val="both"/>
        <w:rPr>
          <w:rFonts w:ascii="Symbol" w:hAnsi="Symbol"/>
          <w:sz w:val="24"/>
        </w:rPr>
        <w:sectPr>
          <w:pgSz w:w="12240" w:h="15840"/>
          <w:pgMar w:header="741" w:footer="739" w:top="1220" w:bottom="920" w:left="1720" w:right="1260"/>
        </w:sectPr>
      </w:pPr>
    </w:p>
    <w:p>
      <w:pPr>
        <w:pStyle w:val="BodyText"/>
        <w:spacing w:before="8"/>
        <w:rPr>
          <w:sz w:val="25"/>
        </w:rPr>
      </w:pPr>
    </w:p>
    <w:p>
      <w:pPr>
        <w:pStyle w:val="BodyText"/>
        <w:ind w:left="1437"/>
        <w:rPr>
          <w:sz w:val="20"/>
        </w:rPr>
      </w:pPr>
      <w:r>
        <w:rPr>
          <w:sz w:val="20"/>
        </w:rPr>
        <w:pict>
          <v:group style="width:412.35pt;height:256.6pt;mso-position-horizontal-relative:char;mso-position-vertical-relative:line" coordorigin="0,0" coordsize="8247,5132">
            <v:shape style="position:absolute;left:0;top:0;width:8246;height:5131" type="#_x0000_t75" stroked="false">
              <v:imagedata r:id="rId197" o:title=""/>
            </v:shape>
            <v:shape style="position:absolute;left:432;top:5;width:206;height:547" type="#_x0000_t75" stroked="false">
              <v:imagedata r:id="rId198" o:title=""/>
            </v:shape>
            <v:shape style="position:absolute;left:715;top:5;width:206;height:547" type="#_x0000_t75" stroked="false">
              <v:imagedata r:id="rId168" o:title=""/>
            </v:shape>
            <v:shape style="position:absolute;left:0;top:0;width:8247;height:5132" type="#_x0000_t202" filled="false" stroked="false">
              <v:textbox inset="0,0,0,0">
                <w:txbxContent>
                  <w:p>
                    <w:pPr>
                      <w:spacing w:line="240" w:lineRule="auto" w:before="2"/>
                      <w:rPr>
                        <w:sz w:val="46"/>
                      </w:rPr>
                    </w:pPr>
                  </w:p>
                  <w:p>
                    <w:pPr>
                      <w:spacing w:line="242" w:lineRule="auto" w:before="0"/>
                      <w:ind w:left="446" w:right="139" w:firstLine="964"/>
                      <w:jc w:val="right"/>
                      <w:rPr>
                        <w:sz w:val="38"/>
                      </w:rPr>
                    </w:pPr>
                    <w:r>
                      <w:rPr>
                        <w:color w:val="632423"/>
                        <w:w w:val="80"/>
                        <w:sz w:val="38"/>
                      </w:rPr>
                      <w:t>Existe</w:t>
                    </w:r>
                    <w:r>
                      <w:rPr>
                        <w:color w:val="632423"/>
                        <w:spacing w:val="-49"/>
                        <w:w w:val="80"/>
                        <w:sz w:val="38"/>
                      </w:rPr>
                      <w:t> </w:t>
                    </w:r>
                    <w:r>
                      <w:rPr>
                        <w:color w:val="632423"/>
                        <w:w w:val="80"/>
                        <w:sz w:val="38"/>
                      </w:rPr>
                      <w:t>un</w:t>
                    </w:r>
                    <w:r>
                      <w:rPr>
                        <w:color w:val="632423"/>
                        <w:spacing w:val="-49"/>
                        <w:w w:val="80"/>
                        <w:sz w:val="38"/>
                      </w:rPr>
                      <w:t> </w:t>
                    </w:r>
                    <w:r>
                      <w:rPr>
                        <w:color w:val="632423"/>
                        <w:w w:val="80"/>
                        <w:sz w:val="38"/>
                      </w:rPr>
                      <w:t>interés</w:t>
                    </w:r>
                    <w:r>
                      <w:rPr>
                        <w:color w:val="632423"/>
                        <w:spacing w:val="-49"/>
                        <w:w w:val="80"/>
                        <w:sz w:val="38"/>
                      </w:rPr>
                      <w:t> </w:t>
                    </w:r>
                    <w:r>
                      <w:rPr>
                        <w:color w:val="632423"/>
                        <w:w w:val="80"/>
                        <w:sz w:val="38"/>
                      </w:rPr>
                      <w:t>global</w:t>
                    </w:r>
                    <w:r>
                      <w:rPr>
                        <w:color w:val="632423"/>
                        <w:spacing w:val="-49"/>
                        <w:w w:val="80"/>
                        <w:sz w:val="38"/>
                      </w:rPr>
                      <w:t> </w:t>
                    </w:r>
                    <w:r>
                      <w:rPr>
                        <w:color w:val="632423"/>
                        <w:w w:val="80"/>
                        <w:sz w:val="38"/>
                      </w:rPr>
                      <w:t>de</w:t>
                    </w:r>
                    <w:r>
                      <w:rPr>
                        <w:color w:val="632423"/>
                        <w:spacing w:val="-49"/>
                        <w:w w:val="80"/>
                        <w:sz w:val="38"/>
                      </w:rPr>
                      <w:t> </w:t>
                    </w:r>
                    <w:r>
                      <w:rPr>
                        <w:color w:val="632423"/>
                        <w:w w:val="80"/>
                        <w:sz w:val="38"/>
                      </w:rPr>
                      <w:t>predecir</w:t>
                    </w:r>
                    <w:r>
                      <w:rPr>
                        <w:color w:val="632423"/>
                        <w:spacing w:val="-50"/>
                        <w:w w:val="80"/>
                        <w:sz w:val="38"/>
                      </w:rPr>
                      <w:t> </w:t>
                    </w:r>
                    <w:r>
                      <w:rPr>
                        <w:color w:val="632423"/>
                        <w:w w:val="80"/>
                        <w:sz w:val="38"/>
                      </w:rPr>
                      <w:t>la</w:t>
                    </w:r>
                    <w:r>
                      <w:rPr>
                        <w:color w:val="632423"/>
                        <w:spacing w:val="-47"/>
                        <w:w w:val="80"/>
                        <w:sz w:val="38"/>
                      </w:rPr>
                      <w:t> </w:t>
                    </w:r>
                    <w:r>
                      <w:rPr>
                        <w:color w:val="632423"/>
                        <w:w w:val="80"/>
                        <w:sz w:val="38"/>
                      </w:rPr>
                      <w:t>producción</w:t>
                    </w:r>
                    <w:r>
                      <w:rPr>
                        <w:color w:val="632423"/>
                        <w:spacing w:val="-49"/>
                        <w:w w:val="80"/>
                        <w:sz w:val="38"/>
                      </w:rPr>
                      <w:t> </w:t>
                    </w:r>
                    <w:r>
                      <w:rPr>
                        <w:color w:val="632423"/>
                        <w:w w:val="80"/>
                        <w:sz w:val="38"/>
                      </w:rPr>
                      <w:t>de</w:t>
                    </w:r>
                    <w:r>
                      <w:rPr>
                        <w:color w:val="632423"/>
                        <w:spacing w:val="1"/>
                        <w:w w:val="74"/>
                        <w:sz w:val="38"/>
                      </w:rPr>
                      <w:t> </w:t>
                    </w:r>
                    <w:r>
                      <w:rPr>
                        <w:color w:val="632423"/>
                        <w:w w:val="75"/>
                        <w:sz w:val="38"/>
                      </w:rPr>
                      <w:t>metano utilizando modelos basados </w:t>
                    </w:r>
                    <w:r>
                      <w:rPr>
                        <w:color w:val="632423"/>
                        <w:spacing w:val="-3"/>
                        <w:w w:val="75"/>
                        <w:sz w:val="38"/>
                      </w:rPr>
                      <w:t>en </w:t>
                    </w:r>
                    <w:r>
                      <w:rPr>
                        <w:color w:val="632423"/>
                        <w:w w:val="75"/>
                        <w:sz w:val="38"/>
                      </w:rPr>
                      <w:t>los</w:t>
                    </w:r>
                    <w:r>
                      <w:rPr>
                        <w:color w:val="632423"/>
                        <w:spacing w:val="39"/>
                        <w:w w:val="75"/>
                        <w:sz w:val="38"/>
                      </w:rPr>
                      <w:t> </w:t>
                    </w:r>
                    <w:r>
                      <w:rPr>
                        <w:color w:val="632423"/>
                        <w:w w:val="75"/>
                        <w:sz w:val="38"/>
                      </w:rPr>
                      <w:t>datos</w:t>
                    </w:r>
                    <w:r>
                      <w:rPr>
                        <w:color w:val="632423"/>
                        <w:spacing w:val="5"/>
                        <w:w w:val="75"/>
                        <w:sz w:val="38"/>
                      </w:rPr>
                      <w:t> </w:t>
                    </w:r>
                    <w:r>
                      <w:rPr>
                        <w:color w:val="632423"/>
                        <w:w w:val="75"/>
                        <w:sz w:val="38"/>
                      </w:rPr>
                      <w:t>existentes,</w:t>
                    </w:r>
                    <w:r>
                      <w:rPr>
                        <w:color w:val="632423"/>
                        <w:w w:val="74"/>
                        <w:sz w:val="38"/>
                      </w:rPr>
                      <w:t> </w:t>
                    </w:r>
                    <w:r>
                      <w:rPr>
                        <w:color w:val="632423"/>
                        <w:w w:val="75"/>
                        <w:sz w:val="38"/>
                      </w:rPr>
                      <w:t>como las características de los animales,</w:t>
                    </w:r>
                    <w:r>
                      <w:rPr>
                        <w:color w:val="632423"/>
                        <w:spacing w:val="-51"/>
                        <w:w w:val="75"/>
                        <w:sz w:val="38"/>
                      </w:rPr>
                      <w:t> </w:t>
                    </w:r>
                    <w:r>
                      <w:rPr>
                        <w:color w:val="632423"/>
                        <w:w w:val="75"/>
                        <w:sz w:val="38"/>
                      </w:rPr>
                      <w:t>las</w:t>
                    </w:r>
                    <w:r>
                      <w:rPr>
                        <w:color w:val="632423"/>
                        <w:spacing w:val="-9"/>
                        <w:w w:val="75"/>
                        <w:sz w:val="38"/>
                      </w:rPr>
                      <w:t> </w:t>
                    </w:r>
                    <w:r>
                      <w:rPr>
                        <w:color w:val="632423"/>
                        <w:w w:val="75"/>
                        <w:sz w:val="38"/>
                      </w:rPr>
                      <w:t>características</w:t>
                    </w:r>
                    <w:r>
                      <w:rPr>
                        <w:color w:val="632423"/>
                        <w:spacing w:val="-1"/>
                        <w:w w:val="72"/>
                        <w:sz w:val="38"/>
                      </w:rPr>
                      <w:t> </w:t>
                    </w:r>
                    <w:r>
                      <w:rPr>
                        <w:color w:val="632423"/>
                        <w:w w:val="80"/>
                        <w:sz w:val="38"/>
                      </w:rPr>
                      <w:t>de</w:t>
                    </w:r>
                    <w:r>
                      <w:rPr>
                        <w:color w:val="632423"/>
                        <w:spacing w:val="-52"/>
                        <w:w w:val="80"/>
                        <w:sz w:val="38"/>
                      </w:rPr>
                      <w:t> </w:t>
                    </w:r>
                    <w:r>
                      <w:rPr>
                        <w:color w:val="632423"/>
                        <w:w w:val="80"/>
                        <w:sz w:val="38"/>
                      </w:rPr>
                      <w:t>alimentación,</w:t>
                    </w:r>
                    <w:r>
                      <w:rPr>
                        <w:color w:val="632423"/>
                        <w:spacing w:val="-53"/>
                        <w:w w:val="80"/>
                        <w:sz w:val="38"/>
                      </w:rPr>
                      <w:t> </w:t>
                    </w:r>
                    <w:r>
                      <w:rPr>
                        <w:color w:val="632423"/>
                        <w:w w:val="80"/>
                        <w:sz w:val="38"/>
                      </w:rPr>
                      <w:t>los</w:t>
                    </w:r>
                    <w:r>
                      <w:rPr>
                        <w:color w:val="632423"/>
                        <w:spacing w:val="-51"/>
                        <w:w w:val="80"/>
                        <w:sz w:val="38"/>
                      </w:rPr>
                      <w:t> </w:t>
                    </w:r>
                    <w:r>
                      <w:rPr>
                        <w:color w:val="632423"/>
                        <w:w w:val="80"/>
                        <w:sz w:val="38"/>
                      </w:rPr>
                      <w:t>datos</w:t>
                    </w:r>
                    <w:r>
                      <w:rPr>
                        <w:color w:val="632423"/>
                        <w:spacing w:val="-51"/>
                        <w:w w:val="80"/>
                        <w:sz w:val="38"/>
                      </w:rPr>
                      <w:t> </w:t>
                    </w:r>
                    <w:r>
                      <w:rPr>
                        <w:color w:val="632423"/>
                        <w:w w:val="80"/>
                        <w:sz w:val="38"/>
                      </w:rPr>
                      <w:t>de</w:t>
                    </w:r>
                    <w:r>
                      <w:rPr>
                        <w:color w:val="632423"/>
                        <w:spacing w:val="-52"/>
                        <w:w w:val="80"/>
                        <w:sz w:val="38"/>
                      </w:rPr>
                      <w:t> </w:t>
                    </w:r>
                    <w:r>
                      <w:rPr>
                        <w:color w:val="632423"/>
                        <w:w w:val="80"/>
                        <w:sz w:val="38"/>
                      </w:rPr>
                      <w:t>ingesta</w:t>
                    </w:r>
                    <w:r>
                      <w:rPr>
                        <w:color w:val="632423"/>
                        <w:spacing w:val="-50"/>
                        <w:w w:val="80"/>
                        <w:sz w:val="38"/>
                      </w:rPr>
                      <w:t> </w:t>
                    </w:r>
                    <w:r>
                      <w:rPr>
                        <w:color w:val="632423"/>
                        <w:w w:val="80"/>
                        <w:sz w:val="38"/>
                      </w:rPr>
                      <w:t>o</w:t>
                    </w:r>
                    <w:r>
                      <w:rPr>
                        <w:color w:val="632423"/>
                        <w:spacing w:val="-51"/>
                        <w:w w:val="80"/>
                        <w:sz w:val="38"/>
                      </w:rPr>
                      <w:t> </w:t>
                    </w:r>
                    <w:r>
                      <w:rPr>
                        <w:color w:val="632423"/>
                        <w:w w:val="80"/>
                        <w:sz w:val="38"/>
                      </w:rPr>
                      <w:t>nutrientes</w:t>
                    </w:r>
                    <w:r>
                      <w:rPr>
                        <w:color w:val="632423"/>
                        <w:w w:val="72"/>
                        <w:sz w:val="38"/>
                      </w:rPr>
                      <w:t> </w:t>
                    </w:r>
                    <w:r>
                      <w:rPr>
                        <w:color w:val="632423"/>
                        <w:spacing w:val="1"/>
                        <w:w w:val="76"/>
                        <w:sz w:val="38"/>
                      </w:rPr>
                      <w:t> </w:t>
                    </w:r>
                    <w:r>
                      <w:rPr>
                        <w:color w:val="632423"/>
                        <w:w w:val="75"/>
                        <w:sz w:val="38"/>
                      </w:rPr>
                      <w:t>digeridos. Estos modelos utilizan a menudo</w:t>
                    </w:r>
                    <w:r>
                      <w:rPr>
                        <w:color w:val="632423"/>
                        <w:spacing w:val="41"/>
                        <w:w w:val="75"/>
                        <w:sz w:val="38"/>
                      </w:rPr>
                      <w:t> </w:t>
                    </w:r>
                    <w:r>
                      <w:rPr>
                        <w:color w:val="632423"/>
                        <w:w w:val="75"/>
                        <w:sz w:val="38"/>
                      </w:rPr>
                      <w:t>los</w:t>
                    </w:r>
                    <w:r>
                      <w:rPr>
                        <w:color w:val="632423"/>
                        <w:spacing w:val="7"/>
                        <w:w w:val="75"/>
                        <w:sz w:val="38"/>
                      </w:rPr>
                      <w:t> </w:t>
                    </w:r>
                    <w:r>
                      <w:rPr>
                        <w:color w:val="632423"/>
                        <w:w w:val="75"/>
                        <w:sz w:val="38"/>
                      </w:rPr>
                      <w:t>datos</w:t>
                    </w:r>
                    <w:r>
                      <w:rPr>
                        <w:color w:val="632423"/>
                        <w:spacing w:val="1"/>
                        <w:w w:val="74"/>
                        <w:sz w:val="38"/>
                      </w:rPr>
                      <w:t> </w:t>
                    </w:r>
                    <w:r>
                      <w:rPr>
                        <w:color w:val="632423"/>
                        <w:w w:val="75"/>
                        <w:sz w:val="38"/>
                      </w:rPr>
                      <w:t>derivados de experimentos llevados a cabo con</w:t>
                    </w:r>
                    <w:r>
                      <w:rPr>
                        <w:color w:val="632423"/>
                        <w:spacing w:val="12"/>
                        <w:w w:val="75"/>
                        <w:sz w:val="38"/>
                      </w:rPr>
                      <w:t> </w:t>
                    </w:r>
                    <w:r>
                      <w:rPr>
                        <w:color w:val="632423"/>
                        <w:w w:val="75"/>
                        <w:sz w:val="38"/>
                      </w:rPr>
                      <w:t>el ganado</w:t>
                    </w:r>
                    <w:r>
                      <w:rPr>
                        <w:color w:val="632423"/>
                        <w:w w:val="76"/>
                        <w:sz w:val="38"/>
                      </w:rPr>
                      <w:t> </w:t>
                    </w:r>
                    <w:r>
                      <w:rPr>
                        <w:color w:val="632423"/>
                        <w:w w:val="75"/>
                        <w:sz w:val="38"/>
                      </w:rPr>
                      <w:t>en las cámaras de respiración, así como</w:t>
                    </w:r>
                    <w:r>
                      <w:rPr>
                        <w:color w:val="632423"/>
                        <w:spacing w:val="-31"/>
                        <w:w w:val="75"/>
                        <w:sz w:val="38"/>
                      </w:rPr>
                      <w:t> </w:t>
                    </w:r>
                    <w:r>
                      <w:rPr>
                        <w:color w:val="632423"/>
                        <w:w w:val="75"/>
                        <w:sz w:val="38"/>
                      </w:rPr>
                      <w:t>técnicas</w:t>
                    </w:r>
                    <w:r>
                      <w:rPr>
                        <w:color w:val="632423"/>
                        <w:spacing w:val="-6"/>
                        <w:w w:val="75"/>
                        <w:sz w:val="38"/>
                      </w:rPr>
                      <w:t> </w:t>
                    </w:r>
                    <w:r>
                      <w:rPr>
                        <w:color w:val="632423"/>
                        <w:w w:val="75"/>
                        <w:sz w:val="38"/>
                      </w:rPr>
                      <w:t>recientes</w:t>
                    </w:r>
                    <w:r>
                      <w:rPr>
                        <w:color w:val="632423"/>
                        <w:spacing w:val="-1"/>
                        <w:w w:val="72"/>
                        <w:sz w:val="38"/>
                      </w:rPr>
                      <w:t> </w:t>
                    </w:r>
                    <w:r>
                      <w:rPr>
                        <w:color w:val="632423"/>
                        <w:w w:val="80"/>
                        <w:sz w:val="38"/>
                      </w:rPr>
                      <w:t>para</w:t>
                    </w:r>
                    <w:r>
                      <w:rPr>
                        <w:color w:val="632423"/>
                        <w:spacing w:val="-49"/>
                        <w:w w:val="80"/>
                        <w:sz w:val="38"/>
                      </w:rPr>
                      <w:t> </w:t>
                    </w:r>
                    <w:r>
                      <w:rPr>
                        <w:color w:val="632423"/>
                        <w:w w:val="80"/>
                        <w:sz w:val="38"/>
                      </w:rPr>
                      <w:t>medir</w:t>
                    </w:r>
                    <w:r>
                      <w:rPr>
                        <w:color w:val="632423"/>
                        <w:spacing w:val="-50"/>
                        <w:w w:val="80"/>
                        <w:sz w:val="38"/>
                      </w:rPr>
                      <w:t> </w:t>
                    </w:r>
                    <w:r>
                      <w:rPr>
                        <w:color w:val="632423"/>
                        <w:w w:val="80"/>
                        <w:sz w:val="38"/>
                      </w:rPr>
                      <w:t>el</w:t>
                    </w:r>
                    <w:r>
                      <w:rPr>
                        <w:color w:val="632423"/>
                        <w:spacing w:val="-50"/>
                        <w:w w:val="80"/>
                        <w:sz w:val="38"/>
                      </w:rPr>
                      <w:t> </w:t>
                    </w:r>
                    <w:r>
                      <w:rPr>
                        <w:color w:val="632423"/>
                        <w:w w:val="80"/>
                        <w:sz w:val="38"/>
                      </w:rPr>
                      <w:t>metano,</w:t>
                    </w:r>
                    <w:r>
                      <w:rPr>
                        <w:color w:val="632423"/>
                        <w:spacing w:val="-50"/>
                        <w:w w:val="80"/>
                        <w:sz w:val="38"/>
                      </w:rPr>
                      <w:t> </w:t>
                    </w:r>
                    <w:r>
                      <w:rPr>
                        <w:color w:val="632423"/>
                        <w:w w:val="80"/>
                        <w:sz w:val="38"/>
                      </w:rPr>
                      <w:t>como</w:t>
                    </w:r>
                    <w:r>
                      <w:rPr>
                        <w:color w:val="632423"/>
                        <w:spacing w:val="-48"/>
                        <w:w w:val="80"/>
                        <w:sz w:val="38"/>
                      </w:rPr>
                      <w:t> </w:t>
                    </w:r>
                    <w:r>
                      <w:rPr>
                        <w:color w:val="632423"/>
                        <w:w w:val="80"/>
                        <w:sz w:val="38"/>
                      </w:rPr>
                      <w:t>la</w:t>
                    </w:r>
                    <w:r>
                      <w:rPr>
                        <w:color w:val="632423"/>
                        <w:spacing w:val="-49"/>
                        <w:w w:val="80"/>
                        <w:sz w:val="38"/>
                      </w:rPr>
                      <w:t> </w:t>
                    </w:r>
                    <w:r>
                      <w:rPr>
                        <w:color w:val="632423"/>
                        <w:w w:val="80"/>
                        <w:sz w:val="38"/>
                      </w:rPr>
                      <w:t>del</w:t>
                    </w:r>
                    <w:r>
                      <w:rPr>
                        <w:color w:val="632423"/>
                        <w:spacing w:val="-50"/>
                        <w:w w:val="80"/>
                        <w:sz w:val="38"/>
                      </w:rPr>
                      <w:t> </w:t>
                    </w:r>
                    <w:r>
                      <w:rPr>
                        <w:color w:val="632423"/>
                        <w:w w:val="80"/>
                        <w:sz w:val="38"/>
                      </w:rPr>
                      <w:t>SF</w:t>
                    </w:r>
                    <w:r>
                      <w:rPr>
                        <w:color w:val="632423"/>
                        <w:w w:val="80"/>
                        <w:position w:val="-3"/>
                        <w:sz w:val="25"/>
                      </w:rPr>
                      <w:t>6</w:t>
                    </w:r>
                    <w:r>
                      <w:rPr>
                        <w:color w:val="632423"/>
                        <w:spacing w:val="-18"/>
                        <w:w w:val="80"/>
                        <w:position w:val="-3"/>
                        <w:sz w:val="25"/>
                      </w:rPr>
                      <w:t> </w:t>
                    </w:r>
                    <w:r>
                      <w:rPr>
                        <w:color w:val="632423"/>
                        <w:w w:val="80"/>
                        <w:sz w:val="38"/>
                      </w:rPr>
                      <w:t>o</w:t>
                    </w:r>
                    <w:r>
                      <w:rPr>
                        <w:color w:val="632423"/>
                        <w:spacing w:val="-49"/>
                        <w:w w:val="80"/>
                        <w:sz w:val="38"/>
                      </w:rPr>
                      <w:t> </w:t>
                    </w:r>
                    <w:r>
                      <w:rPr>
                        <w:color w:val="632423"/>
                        <w:w w:val="80"/>
                        <w:sz w:val="38"/>
                      </w:rPr>
                      <w:t>del</w:t>
                    </w:r>
                    <w:r>
                      <w:rPr>
                        <w:color w:val="632423"/>
                        <w:spacing w:val="-50"/>
                        <w:w w:val="80"/>
                        <w:sz w:val="38"/>
                      </w:rPr>
                      <w:t> </w:t>
                    </w:r>
                    <w:r>
                      <w:rPr>
                        <w:color w:val="632423"/>
                        <w:w w:val="80"/>
                        <w:sz w:val="38"/>
                      </w:rPr>
                      <w:t>CO</w:t>
                    </w:r>
                    <w:r>
                      <w:rPr>
                        <w:color w:val="632423"/>
                        <w:w w:val="80"/>
                        <w:position w:val="-3"/>
                        <w:sz w:val="25"/>
                      </w:rPr>
                      <w:t>2</w:t>
                    </w:r>
                    <w:r>
                      <w:rPr>
                        <w:color w:val="632423"/>
                        <w:w w:val="80"/>
                        <w:sz w:val="38"/>
                      </w:rPr>
                      <w:t>,</w:t>
                    </w:r>
                    <w:r>
                      <w:rPr>
                        <w:color w:val="632423"/>
                        <w:spacing w:val="-48"/>
                        <w:w w:val="80"/>
                        <w:sz w:val="38"/>
                      </w:rPr>
                      <w:t> </w:t>
                    </w:r>
                    <w:r>
                      <w:rPr>
                        <w:color w:val="632423"/>
                        <w:w w:val="80"/>
                        <w:sz w:val="38"/>
                      </w:rPr>
                      <w:t>las</w:t>
                    </w:r>
                    <w:r>
                      <w:rPr>
                        <w:color w:val="632423"/>
                        <w:spacing w:val="-49"/>
                        <w:w w:val="80"/>
                        <w:sz w:val="38"/>
                      </w:rPr>
                      <w:t> </w:t>
                    </w:r>
                    <w:r>
                      <w:rPr>
                        <w:color w:val="632423"/>
                        <w:w w:val="80"/>
                        <w:sz w:val="38"/>
                      </w:rPr>
                      <w:t>cuales</w:t>
                    </w:r>
                  </w:p>
                  <w:p>
                    <w:pPr>
                      <w:spacing w:line="425" w:lineRule="exact" w:before="0"/>
                      <w:ind w:left="0" w:right="143" w:firstLine="0"/>
                      <w:jc w:val="right"/>
                      <w:rPr>
                        <w:sz w:val="38"/>
                      </w:rPr>
                    </w:pPr>
                    <w:r>
                      <w:rPr>
                        <w:color w:val="632423"/>
                        <w:w w:val="85"/>
                        <w:sz w:val="38"/>
                      </w:rPr>
                      <w:t>se</w:t>
                    </w:r>
                    <w:r>
                      <w:rPr>
                        <w:color w:val="632423"/>
                        <w:spacing w:val="-53"/>
                        <w:w w:val="85"/>
                        <w:sz w:val="38"/>
                      </w:rPr>
                      <w:t> </w:t>
                    </w:r>
                    <w:r>
                      <w:rPr>
                        <w:color w:val="632423"/>
                        <w:w w:val="85"/>
                        <w:sz w:val="38"/>
                      </w:rPr>
                      <w:t>han</w:t>
                    </w:r>
                    <w:r>
                      <w:rPr>
                        <w:color w:val="632423"/>
                        <w:spacing w:val="-53"/>
                        <w:w w:val="85"/>
                        <w:sz w:val="38"/>
                      </w:rPr>
                      <w:t> </w:t>
                    </w:r>
                    <w:r>
                      <w:rPr>
                        <w:color w:val="632423"/>
                        <w:w w:val="85"/>
                        <w:sz w:val="38"/>
                      </w:rPr>
                      <w:t>aplicado</w:t>
                    </w:r>
                    <w:r>
                      <w:rPr>
                        <w:color w:val="632423"/>
                        <w:spacing w:val="-53"/>
                        <w:w w:val="85"/>
                        <w:sz w:val="38"/>
                      </w:rPr>
                      <w:t> </w:t>
                    </w:r>
                    <w:r>
                      <w:rPr>
                        <w:color w:val="632423"/>
                        <w:w w:val="85"/>
                        <w:sz w:val="38"/>
                      </w:rPr>
                      <w:t>en</w:t>
                    </w:r>
                    <w:r>
                      <w:rPr>
                        <w:color w:val="632423"/>
                        <w:spacing w:val="-53"/>
                        <w:w w:val="85"/>
                        <w:sz w:val="38"/>
                      </w:rPr>
                      <w:t> </w:t>
                    </w:r>
                    <w:r>
                      <w:rPr>
                        <w:color w:val="632423"/>
                        <w:w w:val="85"/>
                        <w:sz w:val="38"/>
                      </w:rPr>
                      <w:t>los</w:t>
                    </w:r>
                    <w:r>
                      <w:rPr>
                        <w:color w:val="632423"/>
                        <w:spacing w:val="-53"/>
                        <w:w w:val="85"/>
                        <w:sz w:val="38"/>
                      </w:rPr>
                      <w:t> </w:t>
                    </w:r>
                    <w:r>
                      <w:rPr>
                        <w:color w:val="632423"/>
                        <w:w w:val="85"/>
                        <w:sz w:val="38"/>
                      </w:rPr>
                      <w:t>últimos</w:t>
                    </w:r>
                    <w:r>
                      <w:rPr>
                        <w:color w:val="632423"/>
                        <w:spacing w:val="-53"/>
                        <w:w w:val="85"/>
                        <w:sz w:val="38"/>
                      </w:rPr>
                      <w:t> </w:t>
                    </w:r>
                    <w:r>
                      <w:rPr>
                        <w:color w:val="632423"/>
                        <w:w w:val="85"/>
                        <w:sz w:val="38"/>
                      </w:rPr>
                      <w:t>años”.</w:t>
                    </w:r>
                  </w:p>
                  <w:p>
                    <w:pPr>
                      <w:spacing w:before="239"/>
                      <w:ind w:left="0" w:right="140" w:firstLine="0"/>
                      <w:jc w:val="right"/>
                      <w:rPr>
                        <w:sz w:val="23"/>
                      </w:rPr>
                    </w:pPr>
                    <w:r>
                      <w:rPr>
                        <w:color w:val="632423"/>
                        <w:w w:val="90"/>
                        <w:sz w:val="23"/>
                      </w:rPr>
                      <w:t>Storm </w:t>
                    </w:r>
                    <w:r>
                      <w:rPr>
                        <w:rFonts w:ascii="Calibri"/>
                        <w:i/>
                        <w:color w:val="632423"/>
                        <w:w w:val="90"/>
                        <w:sz w:val="24"/>
                      </w:rPr>
                      <w:t>et al., </w:t>
                    </w:r>
                    <w:r>
                      <w:rPr>
                        <w:color w:val="632423"/>
                        <w:w w:val="90"/>
                        <w:sz w:val="23"/>
                      </w:rPr>
                      <w:t>(2007)</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56"/>
        </w:rPr>
      </w:pPr>
    </w:p>
    <w:p>
      <w:pPr>
        <w:pStyle w:val="BodyText"/>
        <w:rPr>
          <w:sz w:val="56"/>
        </w:rPr>
      </w:pPr>
    </w:p>
    <w:p>
      <w:pPr>
        <w:pStyle w:val="Heading1"/>
        <w:spacing w:before="434" w:after="23"/>
        <w:ind w:left="3916"/>
      </w:pPr>
      <w:r>
        <w:rPr/>
        <w:pict>
          <v:group style="position:absolute;margin-left:74.632423pt;margin-top:-90.505333pt;width:181.45pt;height:189.95pt;mso-position-horizontal-relative:page;mso-position-vertical-relative:paragraph;z-index:5608" coordorigin="1493,-1810" coordsize="3629,3799">
            <v:shape style="position:absolute;left:1493;top:-1810;width:3629;height:3091" type="#_x0000_t75" stroked="false">
              <v:imagedata r:id="rId199" o:title=""/>
            </v:shape>
            <v:shape style="position:absolute;left:1493;top:-1810;width:3629;height:3799" type="#_x0000_t202" filled="false" stroked="false">
              <v:textbox inset="0,0,0,0">
                <w:txbxContent>
                  <w:p>
                    <w:pPr>
                      <w:spacing w:before="181"/>
                      <w:ind w:left="143" w:right="0" w:firstLine="0"/>
                      <w:jc w:val="left"/>
                      <w:rPr>
                        <w:sz w:val="300"/>
                      </w:rPr>
                    </w:pPr>
                    <w:r>
                      <w:rPr>
                        <w:color w:val="943634"/>
                        <w:sz w:val="300"/>
                      </w:rPr>
                      <w:t>10</w:t>
                    </w:r>
                  </w:p>
                </w:txbxContent>
              </v:textbox>
              <w10:wrap type="none"/>
            </v:shape>
            <w10:wrap type="none"/>
          </v:group>
        </w:pict>
      </w:r>
      <w:r>
        <w:rPr/>
        <w:t>Recomendaciones</w:t>
      </w:r>
    </w:p>
    <w:p>
      <w:pPr>
        <w:pStyle w:val="BodyText"/>
        <w:spacing w:line="120" w:lineRule="exact"/>
        <w:ind w:left="3890"/>
        <w:rPr>
          <w:sz w:val="12"/>
        </w:rPr>
      </w:pPr>
      <w:r>
        <w:rPr>
          <w:position w:val="-1"/>
          <w:sz w:val="12"/>
        </w:rPr>
        <w:pict>
          <v:group style="width:279.4pt;height:6pt;mso-position-horizontal-relative:char;mso-position-vertical-relative:line" coordorigin="0,0" coordsize="5588,120">
            <v:rect style="position:absolute;left:0;top:0;width:5587;height:120" filled="true" fillcolor="#943634" stroked="false">
              <v:fill type="solid"/>
            </v:rect>
          </v:group>
        </w:pict>
      </w:r>
      <w:r>
        <w:rPr>
          <w:position w:val="-1"/>
          <w:sz w:val="12"/>
        </w:rPr>
      </w:r>
    </w:p>
    <w:p>
      <w:pPr>
        <w:pStyle w:val="BodyText"/>
        <w:spacing w:before="6"/>
        <w:rPr>
          <w:b/>
          <w:sz w:val="72"/>
        </w:rPr>
      </w:pPr>
    </w:p>
    <w:p>
      <w:pPr>
        <w:pStyle w:val="ListParagraph"/>
        <w:numPr>
          <w:ilvl w:val="1"/>
          <w:numId w:val="17"/>
        </w:numPr>
        <w:tabs>
          <w:tab w:pos="977" w:val="left" w:leader="none"/>
        </w:tabs>
        <w:spacing w:line="360" w:lineRule="auto" w:before="0" w:after="0"/>
        <w:ind w:left="976" w:right="343" w:hanging="360"/>
        <w:jc w:val="both"/>
        <w:rPr>
          <w:sz w:val="24"/>
        </w:rPr>
      </w:pPr>
      <w:r>
        <w:rPr>
          <w:sz w:val="24"/>
        </w:rPr>
        <w:t>Debido a que la ganadería es una importante fuente de emisiones de GEI representando el 14% hasta el 18% del total global y este porcentaje puede llegar a ser mayor si se incluyen aspectos relacionados como el cambio de uso de la tierra, la deforestación y el efecto de las emisiones más allá de los límites de la unidad de producción, es imprescindible realizar estimaciones lo más precisas</w:t>
      </w:r>
      <w:r>
        <w:rPr>
          <w:spacing w:val="-9"/>
          <w:sz w:val="24"/>
        </w:rPr>
        <w:t> </w:t>
      </w:r>
      <w:r>
        <w:rPr>
          <w:sz w:val="24"/>
        </w:rPr>
        <w:t>posible.</w:t>
      </w:r>
      <w:r>
        <w:rPr>
          <w:spacing w:val="-9"/>
          <w:sz w:val="24"/>
        </w:rPr>
        <w:t> </w:t>
      </w:r>
      <w:r>
        <w:rPr>
          <w:sz w:val="24"/>
        </w:rPr>
        <w:t>Para</w:t>
      </w:r>
      <w:r>
        <w:rPr>
          <w:spacing w:val="-9"/>
          <w:sz w:val="24"/>
        </w:rPr>
        <w:t> </w:t>
      </w:r>
      <w:r>
        <w:rPr>
          <w:sz w:val="24"/>
        </w:rPr>
        <w:t>ello,</w:t>
      </w:r>
      <w:r>
        <w:rPr>
          <w:spacing w:val="-9"/>
          <w:sz w:val="24"/>
        </w:rPr>
        <w:t> </w:t>
      </w:r>
      <w:r>
        <w:rPr>
          <w:sz w:val="24"/>
        </w:rPr>
        <w:t>se</w:t>
      </w:r>
      <w:r>
        <w:rPr>
          <w:spacing w:val="-9"/>
          <w:sz w:val="24"/>
        </w:rPr>
        <w:t> </w:t>
      </w:r>
      <w:r>
        <w:rPr>
          <w:sz w:val="24"/>
        </w:rPr>
        <w:t>requiere</w:t>
      </w:r>
      <w:r>
        <w:rPr>
          <w:spacing w:val="-9"/>
          <w:sz w:val="24"/>
        </w:rPr>
        <w:t> </w:t>
      </w:r>
      <w:r>
        <w:rPr>
          <w:sz w:val="24"/>
        </w:rPr>
        <w:t>de</w:t>
      </w:r>
      <w:r>
        <w:rPr>
          <w:spacing w:val="-9"/>
          <w:sz w:val="24"/>
        </w:rPr>
        <w:t> </w:t>
      </w:r>
      <w:r>
        <w:rPr>
          <w:sz w:val="24"/>
        </w:rPr>
        <w:t>bases</w:t>
      </w:r>
      <w:r>
        <w:rPr>
          <w:spacing w:val="-9"/>
          <w:sz w:val="24"/>
        </w:rPr>
        <w:t> </w:t>
      </w:r>
      <w:r>
        <w:rPr>
          <w:sz w:val="24"/>
        </w:rPr>
        <w:t>de</w:t>
      </w:r>
      <w:r>
        <w:rPr>
          <w:spacing w:val="-9"/>
          <w:sz w:val="24"/>
        </w:rPr>
        <w:t> </w:t>
      </w:r>
      <w:r>
        <w:rPr>
          <w:sz w:val="24"/>
        </w:rPr>
        <w:t>datos,</w:t>
      </w:r>
      <w:r>
        <w:rPr>
          <w:spacing w:val="-9"/>
          <w:sz w:val="24"/>
        </w:rPr>
        <w:t> </w:t>
      </w:r>
      <w:r>
        <w:rPr>
          <w:sz w:val="24"/>
        </w:rPr>
        <w:t>para</w:t>
      </w:r>
      <w:r>
        <w:rPr>
          <w:spacing w:val="-9"/>
          <w:sz w:val="24"/>
        </w:rPr>
        <w:t> </w:t>
      </w:r>
      <w:r>
        <w:rPr>
          <w:sz w:val="24"/>
        </w:rPr>
        <w:t>cuantificar</w:t>
      </w:r>
      <w:r>
        <w:rPr>
          <w:spacing w:val="-9"/>
          <w:sz w:val="24"/>
        </w:rPr>
        <w:t> </w:t>
      </w:r>
      <w:r>
        <w:rPr>
          <w:sz w:val="24"/>
        </w:rPr>
        <w:t>estas emisiones y el comportamiento de los mismas.</w:t>
      </w:r>
    </w:p>
    <w:p>
      <w:pPr>
        <w:spacing w:after="0" w:line="360" w:lineRule="auto"/>
        <w:jc w:val="both"/>
        <w:rPr>
          <w:sz w:val="24"/>
        </w:rPr>
        <w:sectPr>
          <w:pgSz w:w="12240" w:h="15840"/>
          <w:pgMar w:header="741" w:footer="739" w:top="1220" w:bottom="920" w:left="1380" w:right="1060"/>
        </w:sectPr>
      </w:pPr>
    </w:p>
    <w:p>
      <w:pPr>
        <w:pStyle w:val="BodyText"/>
        <w:spacing w:before="7"/>
        <w:rPr>
          <w:sz w:val="12"/>
        </w:rPr>
      </w:pPr>
    </w:p>
    <w:p>
      <w:pPr>
        <w:pStyle w:val="ListParagraph"/>
        <w:numPr>
          <w:ilvl w:val="0"/>
          <w:numId w:val="17"/>
        </w:numPr>
        <w:tabs>
          <w:tab w:pos="637" w:val="left" w:leader="none"/>
        </w:tabs>
        <w:spacing w:line="355" w:lineRule="auto" w:before="53" w:after="0"/>
        <w:ind w:left="636" w:right="143" w:hanging="360"/>
        <w:jc w:val="both"/>
        <w:rPr>
          <w:rFonts w:ascii="Symbol" w:hAnsi="Symbol"/>
          <w:sz w:val="24"/>
        </w:rPr>
      </w:pPr>
      <w:r>
        <w:rPr>
          <w:sz w:val="24"/>
        </w:rPr>
        <w:t>Aunque</w:t>
      </w:r>
      <w:r>
        <w:rPr>
          <w:spacing w:val="-11"/>
          <w:sz w:val="24"/>
        </w:rPr>
        <w:t> </w:t>
      </w:r>
      <w:r>
        <w:rPr>
          <w:sz w:val="24"/>
        </w:rPr>
        <w:t>existen</w:t>
      </w:r>
      <w:r>
        <w:rPr>
          <w:spacing w:val="-11"/>
          <w:sz w:val="24"/>
        </w:rPr>
        <w:t> </w:t>
      </w:r>
      <w:r>
        <w:rPr>
          <w:sz w:val="24"/>
        </w:rPr>
        <w:t>un</w:t>
      </w:r>
      <w:r>
        <w:rPr>
          <w:spacing w:val="-11"/>
          <w:sz w:val="24"/>
        </w:rPr>
        <w:t> </w:t>
      </w:r>
      <w:r>
        <w:rPr>
          <w:sz w:val="24"/>
        </w:rPr>
        <w:t>considerable</w:t>
      </w:r>
      <w:r>
        <w:rPr>
          <w:spacing w:val="-11"/>
          <w:sz w:val="24"/>
        </w:rPr>
        <w:t> </w:t>
      </w:r>
      <w:r>
        <w:rPr>
          <w:sz w:val="24"/>
        </w:rPr>
        <w:t>número</w:t>
      </w:r>
      <w:r>
        <w:rPr>
          <w:spacing w:val="-11"/>
          <w:sz w:val="24"/>
        </w:rPr>
        <w:t> </w:t>
      </w:r>
      <w:r>
        <w:rPr>
          <w:sz w:val="24"/>
        </w:rPr>
        <w:t>de</w:t>
      </w:r>
      <w:r>
        <w:rPr>
          <w:spacing w:val="-11"/>
          <w:sz w:val="24"/>
        </w:rPr>
        <w:t> </w:t>
      </w:r>
      <w:r>
        <w:rPr>
          <w:sz w:val="24"/>
        </w:rPr>
        <w:t>investigación</w:t>
      </w:r>
      <w:r>
        <w:rPr>
          <w:spacing w:val="-11"/>
          <w:sz w:val="24"/>
        </w:rPr>
        <w:t> </w:t>
      </w:r>
      <w:r>
        <w:rPr>
          <w:sz w:val="24"/>
        </w:rPr>
        <w:t>sobre</w:t>
      </w:r>
      <w:r>
        <w:rPr>
          <w:spacing w:val="-11"/>
          <w:sz w:val="24"/>
        </w:rPr>
        <w:t> </w:t>
      </w:r>
      <w:r>
        <w:rPr>
          <w:sz w:val="24"/>
        </w:rPr>
        <w:t>la</w:t>
      </w:r>
      <w:r>
        <w:rPr>
          <w:spacing w:val="-11"/>
          <w:sz w:val="24"/>
        </w:rPr>
        <w:t> </w:t>
      </w:r>
      <w:r>
        <w:rPr>
          <w:sz w:val="24"/>
        </w:rPr>
        <w:t>producción</w:t>
      </w:r>
      <w:r>
        <w:rPr>
          <w:spacing w:val="-11"/>
          <w:sz w:val="24"/>
        </w:rPr>
        <w:t> </w:t>
      </w:r>
      <w:r>
        <w:rPr>
          <w:sz w:val="24"/>
        </w:rPr>
        <w:t>de CH</w:t>
      </w:r>
      <w:r>
        <w:rPr>
          <w:position w:val="-2"/>
          <w:sz w:val="16"/>
        </w:rPr>
        <w:t>4 </w:t>
      </w:r>
      <w:r>
        <w:rPr>
          <w:sz w:val="24"/>
        </w:rPr>
        <w:t>por fermentación entérica en el ganado bovino a nivel mundial, en nuestro país</w:t>
      </w:r>
      <w:r>
        <w:rPr>
          <w:spacing w:val="-7"/>
          <w:sz w:val="24"/>
        </w:rPr>
        <w:t> </w:t>
      </w:r>
      <w:r>
        <w:rPr>
          <w:sz w:val="24"/>
        </w:rPr>
        <w:t>son</w:t>
      </w:r>
      <w:r>
        <w:rPr>
          <w:spacing w:val="-7"/>
          <w:sz w:val="24"/>
        </w:rPr>
        <w:t> </w:t>
      </w:r>
      <w:r>
        <w:rPr>
          <w:sz w:val="24"/>
        </w:rPr>
        <w:t>escasas</w:t>
      </w:r>
      <w:r>
        <w:rPr>
          <w:spacing w:val="-7"/>
          <w:sz w:val="24"/>
        </w:rPr>
        <w:t> </w:t>
      </w:r>
      <w:r>
        <w:rPr>
          <w:sz w:val="24"/>
        </w:rPr>
        <w:t>las</w:t>
      </w:r>
      <w:r>
        <w:rPr>
          <w:spacing w:val="-7"/>
          <w:sz w:val="24"/>
        </w:rPr>
        <w:t> </w:t>
      </w:r>
      <w:r>
        <w:rPr>
          <w:sz w:val="24"/>
        </w:rPr>
        <w:t>investigaciones</w:t>
      </w:r>
      <w:r>
        <w:rPr>
          <w:spacing w:val="-7"/>
          <w:sz w:val="24"/>
        </w:rPr>
        <w:t> </w:t>
      </w:r>
      <w:r>
        <w:rPr>
          <w:sz w:val="24"/>
        </w:rPr>
        <w:t>sobre</w:t>
      </w:r>
      <w:r>
        <w:rPr>
          <w:spacing w:val="-7"/>
          <w:sz w:val="24"/>
        </w:rPr>
        <w:t> </w:t>
      </w:r>
      <w:r>
        <w:rPr>
          <w:sz w:val="24"/>
        </w:rPr>
        <w:t>las</w:t>
      </w:r>
      <w:r>
        <w:rPr>
          <w:spacing w:val="-7"/>
          <w:sz w:val="24"/>
        </w:rPr>
        <w:t> </w:t>
      </w:r>
      <w:r>
        <w:rPr>
          <w:sz w:val="24"/>
        </w:rPr>
        <w:t>emisiones</w:t>
      </w:r>
      <w:r>
        <w:rPr>
          <w:spacing w:val="-7"/>
          <w:sz w:val="24"/>
        </w:rPr>
        <w:t> </w:t>
      </w:r>
      <w:r>
        <w:rPr>
          <w:sz w:val="24"/>
        </w:rPr>
        <w:t>de</w:t>
      </w:r>
      <w:r>
        <w:rPr>
          <w:spacing w:val="-7"/>
          <w:sz w:val="24"/>
        </w:rPr>
        <w:t> </w:t>
      </w:r>
      <w:r>
        <w:rPr>
          <w:sz w:val="24"/>
        </w:rPr>
        <w:t>GEI</w:t>
      </w:r>
      <w:r>
        <w:rPr>
          <w:spacing w:val="-7"/>
          <w:sz w:val="24"/>
        </w:rPr>
        <w:t> </w:t>
      </w:r>
      <w:r>
        <w:rPr>
          <w:sz w:val="24"/>
        </w:rPr>
        <w:t>generados</w:t>
      </w:r>
      <w:r>
        <w:rPr>
          <w:spacing w:val="-7"/>
          <w:sz w:val="24"/>
        </w:rPr>
        <w:t> </w:t>
      </w:r>
      <w:r>
        <w:rPr>
          <w:sz w:val="24"/>
        </w:rPr>
        <w:t>por las actividades pecuarias, en particular por el ganado bovino y la relación que existe entre las emisiones de CH</w:t>
      </w:r>
      <w:r>
        <w:rPr>
          <w:position w:val="-2"/>
          <w:sz w:val="16"/>
        </w:rPr>
        <w:t>4 </w:t>
      </w:r>
      <w:r>
        <w:rPr>
          <w:sz w:val="24"/>
        </w:rPr>
        <w:t>que generan y el tipo de dieta que consumen los rumiantes en los sistemas de producción de leche y carne, por lo que es necesario realizar investigaciones sobre las emisiones de CH</w:t>
      </w:r>
      <w:r>
        <w:rPr>
          <w:position w:val="-2"/>
          <w:sz w:val="16"/>
        </w:rPr>
        <w:t>4 </w:t>
      </w:r>
      <w:r>
        <w:rPr>
          <w:sz w:val="24"/>
        </w:rPr>
        <w:t>por fermentación entérica, relacionadas con los tipos de las dietas que consumen y las necesidades energéticas de cada subcategoría</w:t>
      </w:r>
      <w:r>
        <w:rPr>
          <w:spacing w:val="-1"/>
          <w:sz w:val="24"/>
        </w:rPr>
        <w:t> </w:t>
      </w:r>
      <w:r>
        <w:rPr>
          <w:sz w:val="24"/>
        </w:rPr>
        <w:t>animal.</w:t>
      </w:r>
    </w:p>
    <w:p>
      <w:pPr>
        <w:pStyle w:val="ListParagraph"/>
        <w:numPr>
          <w:ilvl w:val="0"/>
          <w:numId w:val="17"/>
        </w:numPr>
        <w:tabs>
          <w:tab w:pos="637" w:val="left" w:leader="none"/>
        </w:tabs>
        <w:spacing w:line="357" w:lineRule="auto" w:before="6" w:after="0"/>
        <w:ind w:left="636" w:right="143" w:hanging="360"/>
        <w:jc w:val="both"/>
        <w:rPr>
          <w:rFonts w:ascii="Symbol" w:hAnsi="Symbol"/>
          <w:sz w:val="24"/>
        </w:rPr>
      </w:pPr>
      <w:r>
        <w:rPr>
          <w:sz w:val="24"/>
        </w:rPr>
        <w:t>Por otra parte, el Ym es una variable que afecta directamente al cálculo del FE y como consecuencia a la medición de las emisiones de GEI, por lo que es importante refinar los valores de este parámetro. La mejor opción es obtener experimentalmente valores de Ym mediante medición directa de la emisión de CH</w:t>
      </w:r>
      <w:r>
        <w:rPr>
          <w:position w:val="-2"/>
          <w:sz w:val="16"/>
        </w:rPr>
        <w:t>4  </w:t>
      </w:r>
      <w:r>
        <w:rPr>
          <w:sz w:val="24"/>
        </w:rPr>
        <w:t>y de la digestibilidad de las distintas</w:t>
      </w:r>
      <w:r>
        <w:rPr>
          <w:spacing w:val="-23"/>
          <w:sz w:val="24"/>
        </w:rPr>
        <w:t> </w:t>
      </w:r>
      <w:r>
        <w:rPr>
          <w:sz w:val="24"/>
        </w:rPr>
        <w:t>dietas.</w:t>
      </w:r>
    </w:p>
    <w:p>
      <w:pPr>
        <w:pStyle w:val="ListParagraph"/>
        <w:numPr>
          <w:ilvl w:val="0"/>
          <w:numId w:val="17"/>
        </w:numPr>
        <w:tabs>
          <w:tab w:pos="637" w:val="left" w:leader="none"/>
        </w:tabs>
        <w:spacing w:line="352" w:lineRule="auto" w:before="0" w:after="0"/>
        <w:ind w:left="636" w:right="143" w:hanging="360"/>
        <w:jc w:val="both"/>
        <w:rPr>
          <w:rFonts w:ascii="Symbol" w:hAnsi="Symbol"/>
          <w:sz w:val="24"/>
        </w:rPr>
      </w:pPr>
      <w:r>
        <w:rPr>
          <w:sz w:val="24"/>
        </w:rPr>
        <w:t>En la actualidad el Ym está determinado experimentalmente a partir de las mediciones realizadas en cámaras de respiración, pero éstas técnicas se actualizan</w:t>
      </w:r>
      <w:r>
        <w:rPr>
          <w:spacing w:val="-10"/>
          <w:sz w:val="24"/>
        </w:rPr>
        <w:t> </w:t>
      </w:r>
      <w:r>
        <w:rPr>
          <w:sz w:val="24"/>
        </w:rPr>
        <w:t>a</w:t>
      </w:r>
      <w:r>
        <w:rPr>
          <w:spacing w:val="-10"/>
          <w:sz w:val="24"/>
        </w:rPr>
        <w:t> </w:t>
      </w:r>
      <w:r>
        <w:rPr>
          <w:sz w:val="24"/>
        </w:rPr>
        <w:t>medida</w:t>
      </w:r>
      <w:r>
        <w:rPr>
          <w:spacing w:val="-10"/>
          <w:sz w:val="24"/>
        </w:rPr>
        <w:t> </w:t>
      </w:r>
      <w:r>
        <w:rPr>
          <w:sz w:val="24"/>
        </w:rPr>
        <w:t>que</w:t>
      </w:r>
      <w:r>
        <w:rPr>
          <w:spacing w:val="-10"/>
          <w:sz w:val="24"/>
        </w:rPr>
        <w:t> </w:t>
      </w:r>
      <w:r>
        <w:rPr>
          <w:sz w:val="24"/>
        </w:rPr>
        <w:t>nuevas</w:t>
      </w:r>
      <w:r>
        <w:rPr>
          <w:spacing w:val="-10"/>
          <w:sz w:val="24"/>
        </w:rPr>
        <w:t> </w:t>
      </w:r>
      <w:r>
        <w:rPr>
          <w:sz w:val="24"/>
        </w:rPr>
        <w:t>técnicas</w:t>
      </w:r>
      <w:r>
        <w:rPr>
          <w:spacing w:val="-10"/>
          <w:sz w:val="24"/>
        </w:rPr>
        <w:t> </w:t>
      </w:r>
      <w:r>
        <w:rPr>
          <w:sz w:val="24"/>
        </w:rPr>
        <w:t>para</w:t>
      </w:r>
      <w:r>
        <w:rPr>
          <w:spacing w:val="-10"/>
          <w:sz w:val="24"/>
        </w:rPr>
        <w:t> </w:t>
      </w:r>
      <w:r>
        <w:rPr>
          <w:sz w:val="24"/>
        </w:rPr>
        <w:t>la</w:t>
      </w:r>
      <w:r>
        <w:rPr>
          <w:spacing w:val="-10"/>
          <w:sz w:val="24"/>
        </w:rPr>
        <w:t> </w:t>
      </w:r>
      <w:r>
        <w:rPr>
          <w:sz w:val="24"/>
        </w:rPr>
        <w:t>medición</w:t>
      </w:r>
      <w:r>
        <w:rPr>
          <w:spacing w:val="-10"/>
          <w:sz w:val="24"/>
        </w:rPr>
        <w:t> </w:t>
      </w:r>
      <w:r>
        <w:rPr>
          <w:sz w:val="24"/>
        </w:rPr>
        <w:t>de</w:t>
      </w:r>
      <w:r>
        <w:rPr>
          <w:spacing w:val="-10"/>
          <w:sz w:val="24"/>
        </w:rPr>
        <w:t> </w:t>
      </w:r>
      <w:r>
        <w:rPr>
          <w:sz w:val="24"/>
        </w:rPr>
        <w:t>CH</w:t>
      </w:r>
      <w:r>
        <w:rPr>
          <w:position w:val="-2"/>
          <w:sz w:val="16"/>
        </w:rPr>
        <w:t>4</w:t>
      </w:r>
      <w:r>
        <w:rPr>
          <w:spacing w:val="13"/>
          <w:position w:val="-2"/>
          <w:sz w:val="16"/>
        </w:rPr>
        <w:t> </w:t>
      </w:r>
      <w:r>
        <w:rPr>
          <w:sz w:val="24"/>
        </w:rPr>
        <w:t>entran</w:t>
      </w:r>
      <w:r>
        <w:rPr>
          <w:spacing w:val="-10"/>
          <w:sz w:val="24"/>
        </w:rPr>
        <w:t> </w:t>
      </w:r>
      <w:r>
        <w:rPr>
          <w:sz w:val="24"/>
        </w:rPr>
        <w:t>en</w:t>
      </w:r>
      <w:r>
        <w:rPr>
          <w:spacing w:val="-10"/>
          <w:sz w:val="24"/>
        </w:rPr>
        <w:t> </w:t>
      </w:r>
      <w:r>
        <w:rPr>
          <w:sz w:val="24"/>
        </w:rPr>
        <w:t>uso por lo que es indispensable la comparación de estas técnicas de cuantificación de CH</w:t>
      </w:r>
      <w:r>
        <w:rPr>
          <w:position w:val="-2"/>
          <w:sz w:val="16"/>
        </w:rPr>
        <w:t>4 </w:t>
      </w:r>
      <w:r>
        <w:rPr>
          <w:sz w:val="24"/>
        </w:rPr>
        <w:t>entérico con las directrices del IPCC, para valorar la exactitud de cada una de ellas.</w:t>
      </w:r>
    </w:p>
    <w:p>
      <w:pPr>
        <w:pStyle w:val="ListParagraph"/>
        <w:numPr>
          <w:ilvl w:val="0"/>
          <w:numId w:val="17"/>
        </w:numPr>
        <w:tabs>
          <w:tab w:pos="637" w:val="left" w:leader="none"/>
        </w:tabs>
        <w:spacing w:line="357" w:lineRule="auto" w:before="9" w:after="0"/>
        <w:ind w:left="636" w:right="144" w:hanging="360"/>
        <w:jc w:val="both"/>
        <w:rPr>
          <w:rFonts w:ascii="Symbol" w:hAnsi="Symbol"/>
          <w:sz w:val="24"/>
        </w:rPr>
      </w:pPr>
      <w:r>
        <w:rPr>
          <w:sz w:val="24"/>
        </w:rPr>
        <w:t>También</w:t>
      </w:r>
      <w:r>
        <w:rPr>
          <w:spacing w:val="-8"/>
          <w:sz w:val="24"/>
        </w:rPr>
        <w:t> </w:t>
      </w:r>
      <w:r>
        <w:rPr>
          <w:sz w:val="24"/>
        </w:rPr>
        <w:t>se</w:t>
      </w:r>
      <w:r>
        <w:rPr>
          <w:spacing w:val="-8"/>
          <w:sz w:val="24"/>
        </w:rPr>
        <w:t> </w:t>
      </w:r>
      <w:r>
        <w:rPr>
          <w:sz w:val="24"/>
        </w:rPr>
        <w:t>requieren</w:t>
      </w:r>
      <w:r>
        <w:rPr>
          <w:spacing w:val="-8"/>
          <w:sz w:val="24"/>
        </w:rPr>
        <w:t> </w:t>
      </w:r>
      <w:r>
        <w:rPr>
          <w:sz w:val="24"/>
        </w:rPr>
        <w:t>de</w:t>
      </w:r>
      <w:r>
        <w:rPr>
          <w:spacing w:val="-8"/>
          <w:sz w:val="24"/>
        </w:rPr>
        <w:t> </w:t>
      </w:r>
      <w:r>
        <w:rPr>
          <w:sz w:val="24"/>
        </w:rPr>
        <w:t>modelos</w:t>
      </w:r>
      <w:r>
        <w:rPr>
          <w:spacing w:val="-8"/>
          <w:sz w:val="24"/>
        </w:rPr>
        <w:t> </w:t>
      </w:r>
      <w:r>
        <w:rPr>
          <w:sz w:val="24"/>
        </w:rPr>
        <w:t>para</w:t>
      </w:r>
      <w:r>
        <w:rPr>
          <w:spacing w:val="-8"/>
          <w:sz w:val="24"/>
        </w:rPr>
        <w:t> </w:t>
      </w:r>
      <w:r>
        <w:rPr>
          <w:sz w:val="24"/>
        </w:rPr>
        <w:t>determinar</w:t>
      </w:r>
      <w:r>
        <w:rPr>
          <w:spacing w:val="-8"/>
          <w:sz w:val="24"/>
        </w:rPr>
        <w:t> </w:t>
      </w:r>
      <w:r>
        <w:rPr>
          <w:sz w:val="24"/>
        </w:rPr>
        <w:t>la</w:t>
      </w:r>
      <w:r>
        <w:rPr>
          <w:spacing w:val="-8"/>
          <w:sz w:val="24"/>
        </w:rPr>
        <w:t> </w:t>
      </w:r>
      <w:r>
        <w:rPr>
          <w:sz w:val="24"/>
        </w:rPr>
        <w:t>alimentación</w:t>
      </w:r>
      <w:r>
        <w:rPr>
          <w:spacing w:val="-8"/>
          <w:sz w:val="24"/>
        </w:rPr>
        <w:t> </w:t>
      </w:r>
      <w:r>
        <w:rPr>
          <w:sz w:val="24"/>
        </w:rPr>
        <w:t>y</w:t>
      </w:r>
      <w:r>
        <w:rPr>
          <w:spacing w:val="-8"/>
          <w:sz w:val="24"/>
        </w:rPr>
        <w:t> </w:t>
      </w:r>
      <w:r>
        <w:rPr>
          <w:sz w:val="24"/>
        </w:rPr>
        <w:t>el</w:t>
      </w:r>
      <w:r>
        <w:rPr>
          <w:spacing w:val="-8"/>
          <w:sz w:val="24"/>
        </w:rPr>
        <w:t> </w:t>
      </w:r>
      <w:r>
        <w:rPr>
          <w:sz w:val="24"/>
        </w:rPr>
        <w:t>consumo de energía en relación con la producción del ganado en nuestro país o región determinada.</w:t>
      </w:r>
    </w:p>
    <w:p>
      <w:pPr>
        <w:pStyle w:val="ListParagraph"/>
        <w:numPr>
          <w:ilvl w:val="0"/>
          <w:numId w:val="17"/>
        </w:numPr>
        <w:tabs>
          <w:tab w:pos="637" w:val="left" w:leader="none"/>
        </w:tabs>
        <w:spacing w:line="357" w:lineRule="auto" w:before="3" w:after="0"/>
        <w:ind w:left="636" w:right="145" w:hanging="360"/>
        <w:jc w:val="both"/>
        <w:rPr>
          <w:rFonts w:ascii="Symbol" w:hAnsi="Symbol"/>
          <w:sz w:val="24"/>
        </w:rPr>
      </w:pPr>
      <w:r>
        <w:rPr>
          <w:sz w:val="24"/>
        </w:rPr>
        <w:t>Para la cuantificación más detallada y precisa de CH</w:t>
      </w:r>
      <w:r>
        <w:rPr>
          <w:position w:val="-2"/>
          <w:sz w:val="16"/>
        </w:rPr>
        <w:t>4 </w:t>
      </w:r>
      <w:r>
        <w:rPr>
          <w:sz w:val="24"/>
        </w:rPr>
        <w:t>entérico, se recomienda el uso del Nivel 3 del IPCC, pero se requiere de bases de datos, de la caracterización específica de las dietas que consume el ganado, así como las necesidades energéticas de los animales de estudio, con la finalidad de</w:t>
      </w:r>
      <w:r>
        <w:rPr>
          <w:spacing w:val="-45"/>
          <w:sz w:val="24"/>
        </w:rPr>
        <w:t> </w:t>
      </w:r>
      <w:r>
        <w:rPr>
          <w:sz w:val="24"/>
        </w:rPr>
        <w:t>obtener datos</w:t>
      </w:r>
      <w:r>
        <w:rPr>
          <w:spacing w:val="-8"/>
          <w:sz w:val="24"/>
        </w:rPr>
        <w:t> </w:t>
      </w:r>
      <w:r>
        <w:rPr>
          <w:sz w:val="24"/>
        </w:rPr>
        <w:t>precisos.</w:t>
      </w:r>
      <w:r>
        <w:rPr>
          <w:spacing w:val="-8"/>
          <w:sz w:val="24"/>
        </w:rPr>
        <w:t> </w:t>
      </w:r>
      <w:r>
        <w:rPr>
          <w:sz w:val="24"/>
        </w:rPr>
        <w:t>Por</w:t>
      </w:r>
      <w:r>
        <w:rPr>
          <w:spacing w:val="-8"/>
          <w:sz w:val="24"/>
        </w:rPr>
        <w:t> </w:t>
      </w:r>
      <w:r>
        <w:rPr>
          <w:sz w:val="24"/>
        </w:rPr>
        <w:t>lo</w:t>
      </w:r>
      <w:r>
        <w:rPr>
          <w:spacing w:val="-8"/>
          <w:sz w:val="24"/>
        </w:rPr>
        <w:t> </w:t>
      </w:r>
      <w:r>
        <w:rPr>
          <w:sz w:val="24"/>
        </w:rPr>
        <w:t>que</w:t>
      </w:r>
      <w:r>
        <w:rPr>
          <w:spacing w:val="-8"/>
          <w:sz w:val="24"/>
        </w:rPr>
        <w:t> </w:t>
      </w:r>
      <w:r>
        <w:rPr>
          <w:sz w:val="24"/>
        </w:rPr>
        <w:t>se</w:t>
      </w:r>
      <w:r>
        <w:rPr>
          <w:spacing w:val="-8"/>
          <w:sz w:val="24"/>
        </w:rPr>
        <w:t> </w:t>
      </w:r>
      <w:r>
        <w:rPr>
          <w:sz w:val="24"/>
        </w:rPr>
        <w:t>requiere</w:t>
      </w:r>
      <w:r>
        <w:rPr>
          <w:spacing w:val="-8"/>
          <w:sz w:val="24"/>
        </w:rPr>
        <w:t> </w:t>
      </w:r>
      <w:r>
        <w:rPr>
          <w:sz w:val="24"/>
        </w:rPr>
        <w:t>generar</w:t>
      </w:r>
      <w:r>
        <w:rPr>
          <w:spacing w:val="-8"/>
          <w:sz w:val="24"/>
        </w:rPr>
        <w:t> </w:t>
      </w:r>
      <w:r>
        <w:rPr>
          <w:sz w:val="24"/>
        </w:rPr>
        <w:t>la</w:t>
      </w:r>
      <w:r>
        <w:rPr>
          <w:spacing w:val="-8"/>
          <w:sz w:val="24"/>
        </w:rPr>
        <w:t> </w:t>
      </w:r>
      <w:r>
        <w:rPr>
          <w:sz w:val="24"/>
        </w:rPr>
        <w:t>documentación</w:t>
      </w:r>
      <w:r>
        <w:rPr>
          <w:spacing w:val="-8"/>
          <w:sz w:val="24"/>
        </w:rPr>
        <w:t> </w:t>
      </w:r>
      <w:r>
        <w:rPr>
          <w:sz w:val="24"/>
        </w:rPr>
        <w:t>científica</w:t>
      </w:r>
      <w:r>
        <w:rPr>
          <w:spacing w:val="-8"/>
          <w:sz w:val="24"/>
        </w:rPr>
        <w:t> </w:t>
      </w:r>
      <w:r>
        <w:rPr>
          <w:sz w:val="24"/>
        </w:rPr>
        <w:t>como artículos publicados en revistas internacionales que pueda servir para llevar a cabo las cuantificaciones de los inventarios nacionales de</w:t>
      </w:r>
      <w:r>
        <w:rPr>
          <w:spacing w:val="-4"/>
          <w:sz w:val="24"/>
        </w:rPr>
        <w:t> </w:t>
      </w:r>
      <w:r>
        <w:rPr>
          <w:sz w:val="24"/>
        </w:rPr>
        <w:t>GEI.</w:t>
      </w:r>
    </w:p>
    <w:p>
      <w:pPr>
        <w:spacing w:after="0" w:line="357" w:lineRule="auto"/>
        <w:jc w:val="both"/>
        <w:rPr>
          <w:rFonts w:ascii="Symbol" w:hAnsi="Symbol"/>
          <w:sz w:val="24"/>
        </w:rPr>
        <w:sectPr>
          <w:pgSz w:w="12240" w:h="15840"/>
          <w:pgMar w:header="741" w:footer="739" w:top="1220" w:bottom="920" w:left="1720" w:right="1260"/>
        </w:sectPr>
      </w:pPr>
    </w:p>
    <w:p>
      <w:pPr>
        <w:pStyle w:val="BodyText"/>
        <w:spacing w:before="7"/>
        <w:rPr>
          <w:sz w:val="12"/>
        </w:rPr>
      </w:pPr>
    </w:p>
    <w:p>
      <w:pPr>
        <w:pStyle w:val="ListParagraph"/>
        <w:numPr>
          <w:ilvl w:val="0"/>
          <w:numId w:val="17"/>
        </w:numPr>
        <w:tabs>
          <w:tab w:pos="637" w:val="left" w:leader="none"/>
        </w:tabs>
        <w:spacing w:line="357" w:lineRule="auto" w:before="53" w:after="0"/>
        <w:ind w:left="636" w:right="143" w:hanging="360"/>
        <w:jc w:val="both"/>
        <w:rPr>
          <w:rFonts w:ascii="Symbol" w:hAnsi="Symbol"/>
          <w:sz w:val="24"/>
        </w:rPr>
      </w:pPr>
      <w:r>
        <w:rPr>
          <w:sz w:val="24"/>
        </w:rPr>
        <w:t>Al analizar las emisiones de CH</w:t>
      </w:r>
      <w:r>
        <w:rPr>
          <w:position w:val="-2"/>
          <w:sz w:val="16"/>
        </w:rPr>
        <w:t>4 </w:t>
      </w:r>
      <w:r>
        <w:rPr>
          <w:sz w:val="24"/>
        </w:rPr>
        <w:t>entérico generado por el ganado bovino, no</w:t>
      </w:r>
      <w:r>
        <w:rPr>
          <w:spacing w:val="-19"/>
          <w:sz w:val="24"/>
        </w:rPr>
        <w:t> </w:t>
      </w:r>
      <w:r>
        <w:rPr>
          <w:sz w:val="24"/>
        </w:rPr>
        <w:t>se tomaron en cuenta los impactos de estas emisiones en el contexto de la granja en su conjunto o del ciclo productivo. Esta tarea solo se puede lograr a través del Análisis de Ciclo de Vida (ACV), lo que está más allá del alcance de esta investigación. Por lo que es fundamental realizar investigaciones sobre las emisiones de CH</w:t>
      </w:r>
      <w:r>
        <w:rPr>
          <w:position w:val="-2"/>
          <w:sz w:val="16"/>
        </w:rPr>
        <w:t>4 </w:t>
      </w:r>
      <w:r>
        <w:rPr>
          <w:sz w:val="24"/>
        </w:rPr>
        <w:t>generado por los</w:t>
      </w:r>
      <w:r>
        <w:rPr>
          <w:spacing w:val="19"/>
          <w:sz w:val="24"/>
        </w:rPr>
        <w:t> </w:t>
      </w:r>
      <w:r>
        <w:rPr>
          <w:sz w:val="24"/>
        </w:rPr>
        <w:t>bovinos.</w:t>
      </w:r>
    </w:p>
    <w:p>
      <w:pPr>
        <w:spacing w:after="0" w:line="357" w:lineRule="auto"/>
        <w:jc w:val="both"/>
        <w:rPr>
          <w:rFonts w:ascii="Symbol" w:hAnsi="Symbol"/>
          <w:sz w:val="24"/>
        </w:rPr>
        <w:sectPr>
          <w:pgSz w:w="12240" w:h="15840"/>
          <w:pgMar w:header="741" w:footer="739" w:top="1220" w:bottom="920" w:left="1720" w:right="1260"/>
        </w:sectPr>
      </w:pPr>
    </w:p>
    <w:p>
      <w:pPr>
        <w:pStyle w:val="BodyText"/>
        <w:spacing w:before="9"/>
        <w:rPr>
          <w:sz w:val="17"/>
        </w:rPr>
      </w:pPr>
    </w:p>
    <w:p>
      <w:pPr>
        <w:pStyle w:val="BodyText"/>
        <w:ind w:left="814"/>
        <w:rPr>
          <w:sz w:val="20"/>
        </w:rPr>
      </w:pPr>
      <w:r>
        <w:rPr>
          <w:sz w:val="20"/>
        </w:rPr>
        <w:drawing>
          <wp:inline distT="0" distB="0" distL="0" distR="0">
            <wp:extent cx="4953767" cy="3962400"/>
            <wp:effectExtent l="0" t="0" r="0" b="0"/>
            <wp:docPr id="39" name="image131.jpeg" descr=""/>
            <wp:cNvGraphicFramePr>
              <a:graphicFrameLocks noChangeAspect="1"/>
            </wp:cNvGraphicFramePr>
            <a:graphic>
              <a:graphicData uri="http://schemas.openxmlformats.org/drawingml/2006/picture">
                <pic:pic>
                  <pic:nvPicPr>
                    <pic:cNvPr id="40" name="image131.jpeg"/>
                    <pic:cNvPicPr/>
                  </pic:nvPicPr>
                  <pic:blipFill>
                    <a:blip r:embed="rId201" cstate="print"/>
                    <a:stretch>
                      <a:fillRect/>
                    </a:stretch>
                  </pic:blipFill>
                  <pic:spPr>
                    <a:xfrm>
                      <a:off x="0" y="0"/>
                      <a:ext cx="4953767" cy="3962400"/>
                    </a:xfrm>
                    <a:prstGeom prst="rect">
                      <a:avLst/>
                    </a:prstGeom>
                  </pic:spPr>
                </pic:pic>
              </a:graphicData>
            </a:graphic>
          </wp:inline>
        </w:drawing>
      </w:r>
      <w:r>
        <w:rPr>
          <w:sz w:val="20"/>
        </w:rPr>
      </w:r>
    </w:p>
    <w:p>
      <w:pPr>
        <w:pStyle w:val="BodyText"/>
        <w:spacing w:before="5"/>
        <w:rPr>
          <w:sz w:val="11"/>
        </w:rPr>
      </w:pPr>
    </w:p>
    <w:p>
      <w:pPr>
        <w:spacing w:line="247" w:lineRule="auto" w:before="62"/>
        <w:ind w:left="276" w:right="65" w:firstLine="0"/>
        <w:jc w:val="left"/>
        <w:rPr>
          <w:sz w:val="23"/>
        </w:rPr>
      </w:pPr>
      <w:r>
        <w:rPr>
          <w:w w:val="80"/>
          <w:sz w:val="23"/>
        </w:rPr>
        <w:t>Mensaje simbólico de la nave Pioneer 10 en una placa inscrita que informa a la civilización extraterrestre que pudiese interceptar la sonda acerca del ser humano y su lugar de procedencia, la Tierra.</w:t>
      </w:r>
    </w:p>
    <w:p>
      <w:pPr>
        <w:spacing w:line="247" w:lineRule="auto" w:before="6"/>
        <w:ind w:left="276" w:right="136" w:firstLine="0"/>
        <w:jc w:val="left"/>
        <w:rPr>
          <w:sz w:val="23"/>
        </w:rPr>
      </w:pPr>
      <w:r>
        <w:rPr>
          <w:w w:val="80"/>
          <w:sz w:val="23"/>
        </w:rPr>
        <w:t>La</w:t>
      </w:r>
      <w:r>
        <w:rPr>
          <w:spacing w:val="-16"/>
          <w:w w:val="80"/>
          <w:sz w:val="23"/>
        </w:rPr>
        <w:t> </w:t>
      </w:r>
      <w:r>
        <w:rPr>
          <w:w w:val="80"/>
          <w:sz w:val="23"/>
        </w:rPr>
        <w:t>placa</w:t>
      </w:r>
      <w:r>
        <w:rPr>
          <w:spacing w:val="-16"/>
          <w:w w:val="80"/>
          <w:sz w:val="23"/>
        </w:rPr>
        <w:t> </w:t>
      </w:r>
      <w:r>
        <w:rPr>
          <w:w w:val="80"/>
          <w:sz w:val="23"/>
        </w:rPr>
        <w:t>fue</w:t>
      </w:r>
      <w:r>
        <w:rPr>
          <w:spacing w:val="-16"/>
          <w:w w:val="80"/>
          <w:sz w:val="23"/>
        </w:rPr>
        <w:t> </w:t>
      </w:r>
      <w:r>
        <w:rPr>
          <w:w w:val="80"/>
          <w:sz w:val="23"/>
        </w:rPr>
        <w:t>diseñada</w:t>
      </w:r>
      <w:r>
        <w:rPr>
          <w:spacing w:val="-16"/>
          <w:w w:val="80"/>
          <w:sz w:val="23"/>
        </w:rPr>
        <w:t> </w:t>
      </w:r>
      <w:r>
        <w:rPr>
          <w:w w:val="80"/>
          <w:sz w:val="23"/>
        </w:rPr>
        <w:t>y</w:t>
      </w:r>
      <w:r>
        <w:rPr>
          <w:spacing w:val="-16"/>
          <w:w w:val="80"/>
          <w:sz w:val="23"/>
        </w:rPr>
        <w:t> </w:t>
      </w:r>
      <w:r>
        <w:rPr>
          <w:w w:val="80"/>
          <w:sz w:val="23"/>
        </w:rPr>
        <w:t>popularizada</w:t>
      </w:r>
      <w:r>
        <w:rPr>
          <w:spacing w:val="-16"/>
          <w:w w:val="80"/>
          <w:sz w:val="23"/>
        </w:rPr>
        <w:t> </w:t>
      </w:r>
      <w:r>
        <w:rPr>
          <w:w w:val="80"/>
          <w:sz w:val="23"/>
        </w:rPr>
        <w:t>por</w:t>
      </w:r>
      <w:r>
        <w:rPr>
          <w:spacing w:val="-16"/>
          <w:w w:val="80"/>
          <w:sz w:val="23"/>
        </w:rPr>
        <w:t> </w:t>
      </w:r>
      <w:r>
        <w:rPr>
          <w:w w:val="80"/>
          <w:sz w:val="23"/>
        </w:rPr>
        <w:t>el</w:t>
      </w:r>
      <w:r>
        <w:rPr>
          <w:spacing w:val="-16"/>
          <w:w w:val="80"/>
          <w:sz w:val="23"/>
        </w:rPr>
        <w:t> </w:t>
      </w:r>
      <w:r>
        <w:rPr>
          <w:w w:val="80"/>
          <w:sz w:val="23"/>
        </w:rPr>
        <w:t>astrónomo</w:t>
      </w:r>
      <w:r>
        <w:rPr>
          <w:spacing w:val="-16"/>
          <w:w w:val="80"/>
          <w:sz w:val="23"/>
        </w:rPr>
        <w:t> </w:t>
      </w:r>
      <w:r>
        <w:rPr>
          <w:w w:val="80"/>
          <w:sz w:val="23"/>
        </w:rPr>
        <w:t>y</w:t>
      </w:r>
      <w:r>
        <w:rPr>
          <w:spacing w:val="-16"/>
          <w:w w:val="80"/>
          <w:sz w:val="23"/>
        </w:rPr>
        <w:t> </w:t>
      </w:r>
      <w:r>
        <w:rPr>
          <w:w w:val="80"/>
          <w:sz w:val="23"/>
        </w:rPr>
        <w:t>divulgador</w:t>
      </w:r>
      <w:r>
        <w:rPr>
          <w:spacing w:val="-16"/>
          <w:w w:val="80"/>
          <w:sz w:val="23"/>
        </w:rPr>
        <w:t> </w:t>
      </w:r>
      <w:r>
        <w:rPr>
          <w:w w:val="80"/>
          <w:sz w:val="23"/>
        </w:rPr>
        <w:t>científico</w:t>
      </w:r>
      <w:r>
        <w:rPr>
          <w:spacing w:val="-16"/>
          <w:w w:val="80"/>
          <w:sz w:val="23"/>
        </w:rPr>
        <w:t> </w:t>
      </w:r>
      <w:r>
        <w:rPr>
          <w:w w:val="80"/>
          <w:sz w:val="23"/>
        </w:rPr>
        <w:t>estadounidense</w:t>
      </w:r>
      <w:r>
        <w:rPr>
          <w:spacing w:val="-16"/>
          <w:w w:val="80"/>
          <w:sz w:val="23"/>
        </w:rPr>
        <w:t> </w:t>
      </w:r>
      <w:r>
        <w:rPr>
          <w:w w:val="80"/>
          <w:sz w:val="23"/>
        </w:rPr>
        <w:t>Carl</w:t>
      </w:r>
      <w:r>
        <w:rPr>
          <w:spacing w:val="-16"/>
          <w:w w:val="80"/>
          <w:sz w:val="23"/>
        </w:rPr>
        <w:t> </w:t>
      </w:r>
      <w:r>
        <w:rPr>
          <w:w w:val="80"/>
          <w:sz w:val="23"/>
        </w:rPr>
        <w:t>Sagan</w:t>
      </w:r>
      <w:r>
        <w:rPr>
          <w:spacing w:val="-16"/>
          <w:w w:val="80"/>
          <w:sz w:val="23"/>
        </w:rPr>
        <w:t> </w:t>
      </w:r>
      <w:r>
        <w:rPr>
          <w:w w:val="80"/>
          <w:sz w:val="23"/>
        </w:rPr>
        <w:t>y</w:t>
      </w:r>
      <w:r>
        <w:rPr>
          <w:spacing w:val="-16"/>
          <w:w w:val="80"/>
          <w:sz w:val="23"/>
        </w:rPr>
        <w:t> </w:t>
      </w:r>
      <w:r>
        <w:rPr>
          <w:w w:val="80"/>
          <w:sz w:val="23"/>
        </w:rPr>
        <w:t>por el</w:t>
      </w:r>
      <w:r>
        <w:rPr>
          <w:spacing w:val="-17"/>
          <w:w w:val="80"/>
          <w:sz w:val="23"/>
        </w:rPr>
        <w:t> </w:t>
      </w:r>
      <w:r>
        <w:rPr>
          <w:w w:val="80"/>
          <w:sz w:val="23"/>
        </w:rPr>
        <w:t>también</w:t>
      </w:r>
      <w:r>
        <w:rPr>
          <w:spacing w:val="-17"/>
          <w:w w:val="80"/>
          <w:sz w:val="23"/>
        </w:rPr>
        <w:t> </w:t>
      </w:r>
      <w:r>
        <w:rPr>
          <w:w w:val="80"/>
          <w:sz w:val="23"/>
        </w:rPr>
        <w:t>astrónomo</w:t>
      </w:r>
      <w:r>
        <w:rPr>
          <w:spacing w:val="-17"/>
          <w:w w:val="80"/>
          <w:sz w:val="23"/>
        </w:rPr>
        <w:t> </w:t>
      </w:r>
      <w:r>
        <w:rPr>
          <w:w w:val="80"/>
          <w:sz w:val="23"/>
        </w:rPr>
        <w:t>estadounidense</w:t>
      </w:r>
      <w:r>
        <w:rPr>
          <w:spacing w:val="-17"/>
          <w:w w:val="80"/>
          <w:sz w:val="23"/>
        </w:rPr>
        <w:t> </w:t>
      </w:r>
      <w:r>
        <w:rPr>
          <w:w w:val="80"/>
          <w:sz w:val="23"/>
        </w:rPr>
        <w:t>Frank</w:t>
      </w:r>
      <w:r>
        <w:rPr>
          <w:spacing w:val="-17"/>
          <w:w w:val="80"/>
          <w:sz w:val="23"/>
        </w:rPr>
        <w:t> </w:t>
      </w:r>
      <w:r>
        <w:rPr>
          <w:w w:val="80"/>
          <w:sz w:val="23"/>
        </w:rPr>
        <w:t>Drake.</w:t>
      </w:r>
      <w:r>
        <w:rPr>
          <w:spacing w:val="-17"/>
          <w:w w:val="80"/>
          <w:sz w:val="23"/>
        </w:rPr>
        <w:t> </w:t>
      </w:r>
      <w:r>
        <w:rPr>
          <w:w w:val="80"/>
          <w:sz w:val="23"/>
        </w:rPr>
        <w:t>Fueron</w:t>
      </w:r>
      <w:r>
        <w:rPr>
          <w:spacing w:val="-17"/>
          <w:w w:val="80"/>
          <w:sz w:val="23"/>
        </w:rPr>
        <w:t> </w:t>
      </w:r>
      <w:r>
        <w:rPr>
          <w:w w:val="80"/>
          <w:sz w:val="23"/>
        </w:rPr>
        <w:t>dibujadas</w:t>
      </w:r>
      <w:r>
        <w:rPr>
          <w:spacing w:val="-17"/>
          <w:w w:val="80"/>
          <w:sz w:val="23"/>
        </w:rPr>
        <w:t> </w:t>
      </w:r>
      <w:r>
        <w:rPr>
          <w:w w:val="80"/>
          <w:sz w:val="23"/>
        </w:rPr>
        <w:t>por</w:t>
      </w:r>
      <w:r>
        <w:rPr>
          <w:spacing w:val="-17"/>
          <w:w w:val="80"/>
          <w:sz w:val="23"/>
        </w:rPr>
        <w:t> </w:t>
      </w:r>
      <w:r>
        <w:rPr>
          <w:w w:val="80"/>
          <w:sz w:val="23"/>
        </w:rPr>
        <w:t>Linda</w:t>
      </w:r>
      <w:r>
        <w:rPr>
          <w:spacing w:val="-17"/>
          <w:w w:val="80"/>
          <w:sz w:val="23"/>
        </w:rPr>
        <w:t> </w:t>
      </w:r>
      <w:r>
        <w:rPr>
          <w:w w:val="80"/>
          <w:sz w:val="23"/>
        </w:rPr>
        <w:t>Salzman</w:t>
      </w:r>
      <w:r>
        <w:rPr>
          <w:spacing w:val="-17"/>
          <w:w w:val="80"/>
          <w:sz w:val="23"/>
        </w:rPr>
        <w:t> </w:t>
      </w:r>
      <w:r>
        <w:rPr>
          <w:w w:val="80"/>
          <w:sz w:val="23"/>
        </w:rPr>
        <w:t>Sagan.</w:t>
      </w:r>
    </w:p>
    <w:p>
      <w:pPr>
        <w:pStyle w:val="BodyText"/>
        <w:rPr>
          <w:sz w:val="22"/>
        </w:rPr>
      </w:pPr>
      <w:r>
        <w:rPr/>
        <w:pict>
          <v:group style="position:absolute;margin-left:106.792397pt;margin-top:14.619716pt;width:24.5pt;height:28.1pt;mso-position-horizontal-relative:page;mso-position-vertical-relative:paragraph;z-index:5632;mso-wrap-distance-left:0;mso-wrap-distance-right:0" coordorigin="2136,292" coordsize="490,562">
            <v:shape style="position:absolute;left:2136;top:292;width:221;height:562" type="#_x0000_t75" stroked="false">
              <v:imagedata r:id="rId202" o:title=""/>
            </v:shape>
            <v:shape style="position:absolute;left:2409;top:292;width:216;height:562" type="#_x0000_t75" stroked="false">
              <v:imagedata r:id="rId203" o:title=""/>
            </v:shape>
            <w10:wrap type="topAndBottom"/>
          </v:group>
        </w:pict>
      </w:r>
      <w:r>
        <w:rPr/>
        <w:pict>
          <v:group style="position:absolute;margin-left:340.072388pt;margin-top:14.619716pt;width:24.5pt;height:28.1pt;mso-position-horizontal-relative:page;mso-position-vertical-relative:paragraph;z-index:5656;mso-wrap-distance-left:0;mso-wrap-distance-right:0" coordorigin="6801,292" coordsize="490,562">
            <v:shape style="position:absolute;left:6801;top:292;width:216;height:562" type="#_x0000_t75" stroked="false">
              <v:imagedata r:id="rId204" o:title=""/>
            </v:shape>
            <v:shape style="position:absolute;left:7070;top:292;width:221;height:562" type="#_x0000_t75" stroked="false">
              <v:imagedata r:id="rId205" o:title=""/>
            </v:shape>
            <w10:wrap type="topAndBottom"/>
          </v:group>
        </w:pict>
      </w:r>
    </w:p>
    <w:p>
      <w:pPr>
        <w:spacing w:after="0"/>
        <w:rPr>
          <w:sz w:val="22"/>
        </w:rPr>
        <w:sectPr>
          <w:footerReference w:type="default" r:id="rId200"/>
          <w:pgSz w:w="12240" w:h="15840"/>
          <w:pgMar w:footer="739" w:header="741" w:top="1220" w:bottom="920" w:left="1720" w:right="1260"/>
        </w:sectPr>
      </w:pPr>
    </w:p>
    <w:p>
      <w:pPr>
        <w:pStyle w:val="Heading3"/>
        <w:spacing w:before="30"/>
        <w:jc w:val="left"/>
      </w:pPr>
      <w:r>
        <w:rPr>
          <w:color w:val="632423"/>
          <w:w w:val="75"/>
        </w:rPr>
        <w:t>Ser Humano”</w:t>
      </w:r>
    </w:p>
    <w:p>
      <w:pPr>
        <w:spacing w:line="244" w:lineRule="auto" w:before="253"/>
        <w:ind w:left="417" w:right="1085" w:firstLine="0"/>
        <w:jc w:val="left"/>
        <w:rPr>
          <w:i/>
          <w:sz w:val="32"/>
        </w:rPr>
      </w:pPr>
      <w:r>
        <w:rPr>
          <w:color w:val="632423"/>
          <w:w w:val="85"/>
          <w:sz w:val="31"/>
        </w:rPr>
        <w:t>Reino: Animalia Filo: Chordata </w:t>
      </w:r>
      <w:r>
        <w:rPr>
          <w:color w:val="632423"/>
          <w:w w:val="80"/>
          <w:sz w:val="31"/>
        </w:rPr>
        <w:t>Clase: Mammalia </w:t>
      </w:r>
      <w:r>
        <w:rPr>
          <w:color w:val="632423"/>
          <w:w w:val="85"/>
          <w:sz w:val="31"/>
        </w:rPr>
        <w:t>Orden: Primates </w:t>
      </w:r>
      <w:r>
        <w:rPr>
          <w:color w:val="632423"/>
          <w:w w:val="75"/>
          <w:sz w:val="31"/>
        </w:rPr>
        <w:t>Familia: Hominidae </w:t>
      </w:r>
      <w:r>
        <w:rPr>
          <w:color w:val="632423"/>
          <w:w w:val="85"/>
          <w:sz w:val="31"/>
        </w:rPr>
        <w:t>Género: </w:t>
      </w:r>
      <w:r>
        <w:rPr>
          <w:i/>
          <w:color w:val="632423"/>
          <w:w w:val="85"/>
          <w:sz w:val="32"/>
        </w:rPr>
        <w:t>Homo </w:t>
      </w:r>
      <w:r>
        <w:rPr>
          <w:color w:val="632423"/>
          <w:w w:val="75"/>
          <w:sz w:val="31"/>
        </w:rPr>
        <w:t>Especie: </w:t>
      </w:r>
      <w:r>
        <w:rPr>
          <w:i/>
          <w:color w:val="632423"/>
          <w:w w:val="75"/>
          <w:sz w:val="32"/>
        </w:rPr>
        <w:t>H. Sapiens</w:t>
      </w:r>
    </w:p>
    <w:p>
      <w:pPr>
        <w:spacing w:line="362" w:lineRule="exact" w:before="0"/>
        <w:ind w:left="417" w:right="0" w:firstLine="0"/>
        <w:jc w:val="left"/>
        <w:rPr>
          <w:i/>
          <w:sz w:val="32"/>
        </w:rPr>
      </w:pPr>
      <w:r>
        <w:rPr>
          <w:color w:val="632423"/>
          <w:w w:val="75"/>
          <w:sz w:val="31"/>
        </w:rPr>
        <w:t>Subespecie: </w:t>
      </w:r>
      <w:r>
        <w:rPr>
          <w:i/>
          <w:color w:val="632423"/>
          <w:w w:val="75"/>
          <w:sz w:val="32"/>
        </w:rPr>
        <w:t>H. sapiens sapiens</w:t>
      </w:r>
    </w:p>
    <w:p>
      <w:pPr>
        <w:pStyle w:val="BodyText"/>
        <w:spacing w:before="7"/>
        <w:rPr>
          <w:i/>
          <w:sz w:val="32"/>
        </w:rPr>
      </w:pPr>
    </w:p>
    <w:p>
      <w:pPr>
        <w:spacing w:before="0"/>
        <w:ind w:left="0" w:right="0" w:firstLine="0"/>
        <w:jc w:val="right"/>
        <w:rPr>
          <w:sz w:val="23"/>
        </w:rPr>
      </w:pPr>
      <w:r>
        <w:rPr>
          <w:color w:val="632423"/>
          <w:w w:val="80"/>
          <w:sz w:val="23"/>
        </w:rPr>
        <w:t>Linneo, 1758.</w:t>
      </w:r>
    </w:p>
    <w:p>
      <w:pPr>
        <w:pStyle w:val="Heading3"/>
        <w:spacing w:before="26"/>
        <w:ind w:left="0" w:right="266"/>
        <w:jc w:val="right"/>
      </w:pPr>
      <w:r>
        <w:rPr/>
        <w:br w:type="column"/>
      </w:r>
      <w:r>
        <w:rPr>
          <w:color w:val="632423"/>
          <w:w w:val="75"/>
        </w:rPr>
        <w:t>Misión:</w:t>
      </w:r>
    </w:p>
    <w:p>
      <w:pPr>
        <w:pStyle w:val="Heading5"/>
        <w:spacing w:line="249" w:lineRule="auto" w:before="257"/>
        <w:ind w:left="417" w:firstLine="146"/>
      </w:pPr>
      <w:r>
        <w:rPr>
          <w:color w:val="632423"/>
          <w:w w:val="80"/>
        </w:rPr>
        <w:t>Su</w:t>
      </w:r>
      <w:r>
        <w:rPr>
          <w:color w:val="632423"/>
          <w:spacing w:val="-24"/>
          <w:w w:val="80"/>
        </w:rPr>
        <w:t> </w:t>
      </w:r>
      <w:r>
        <w:rPr>
          <w:color w:val="632423"/>
          <w:w w:val="80"/>
        </w:rPr>
        <w:t>capacidad</w:t>
      </w:r>
      <w:r>
        <w:rPr>
          <w:color w:val="632423"/>
          <w:spacing w:val="-24"/>
          <w:w w:val="80"/>
        </w:rPr>
        <w:t> </w:t>
      </w:r>
      <w:r>
        <w:rPr>
          <w:color w:val="632423"/>
          <w:w w:val="80"/>
        </w:rPr>
        <w:t>de</w:t>
      </w:r>
      <w:r>
        <w:rPr>
          <w:color w:val="632423"/>
          <w:spacing w:val="-24"/>
          <w:w w:val="80"/>
        </w:rPr>
        <w:t> </w:t>
      </w:r>
      <w:r>
        <w:rPr>
          <w:color w:val="632423"/>
          <w:w w:val="80"/>
        </w:rPr>
        <w:t>raciocinio</w:t>
      </w:r>
      <w:r>
        <w:rPr>
          <w:color w:val="632423"/>
          <w:spacing w:val="-24"/>
          <w:w w:val="80"/>
        </w:rPr>
        <w:t> </w:t>
      </w:r>
      <w:r>
        <w:rPr>
          <w:color w:val="632423"/>
          <w:w w:val="80"/>
        </w:rPr>
        <w:t>le</w:t>
      </w:r>
      <w:r>
        <w:rPr>
          <w:color w:val="632423"/>
          <w:spacing w:val="-24"/>
          <w:w w:val="80"/>
        </w:rPr>
        <w:t> </w:t>
      </w:r>
      <w:r>
        <w:rPr>
          <w:color w:val="632423"/>
          <w:w w:val="80"/>
        </w:rPr>
        <w:t>permite</w:t>
      </w:r>
      <w:r>
        <w:rPr>
          <w:color w:val="632423"/>
          <w:w w:val="75"/>
        </w:rPr>
        <w:t> </w:t>
      </w:r>
      <w:r>
        <w:rPr>
          <w:color w:val="632423"/>
          <w:w w:val="80"/>
        </w:rPr>
        <w:t>entender</w:t>
      </w:r>
      <w:r>
        <w:rPr>
          <w:color w:val="632423"/>
          <w:spacing w:val="-14"/>
          <w:w w:val="80"/>
        </w:rPr>
        <w:t> </w:t>
      </w:r>
      <w:r>
        <w:rPr>
          <w:color w:val="632423"/>
          <w:w w:val="80"/>
        </w:rPr>
        <w:t>la</w:t>
      </w:r>
      <w:r>
        <w:rPr>
          <w:color w:val="632423"/>
          <w:spacing w:val="-14"/>
          <w:w w:val="80"/>
        </w:rPr>
        <w:t> </w:t>
      </w:r>
      <w:r>
        <w:rPr>
          <w:color w:val="632423"/>
          <w:w w:val="80"/>
        </w:rPr>
        <w:t>vida</w:t>
      </w:r>
      <w:r>
        <w:rPr>
          <w:color w:val="632423"/>
          <w:spacing w:val="-14"/>
          <w:w w:val="80"/>
        </w:rPr>
        <w:t> </w:t>
      </w:r>
      <w:r>
        <w:rPr>
          <w:color w:val="632423"/>
          <w:w w:val="80"/>
        </w:rPr>
        <w:t>por</w:t>
      </w:r>
      <w:r>
        <w:rPr>
          <w:color w:val="632423"/>
          <w:spacing w:val="-14"/>
          <w:w w:val="80"/>
        </w:rPr>
        <w:t> </w:t>
      </w:r>
      <w:r>
        <w:rPr>
          <w:color w:val="632423"/>
          <w:w w:val="80"/>
        </w:rPr>
        <w:t>encima</w:t>
      </w:r>
      <w:r>
        <w:rPr>
          <w:color w:val="632423"/>
          <w:spacing w:val="-14"/>
          <w:w w:val="80"/>
        </w:rPr>
        <w:t> </w:t>
      </w:r>
      <w:r>
        <w:rPr>
          <w:color w:val="632423"/>
          <w:w w:val="80"/>
        </w:rPr>
        <w:t>de</w:t>
      </w:r>
      <w:r>
        <w:rPr>
          <w:color w:val="632423"/>
          <w:spacing w:val="-14"/>
          <w:w w:val="80"/>
        </w:rPr>
        <w:t> </w:t>
      </w:r>
      <w:r>
        <w:rPr>
          <w:color w:val="632423"/>
          <w:w w:val="80"/>
        </w:rPr>
        <w:t>sus</w:t>
      </w:r>
      <w:r>
        <w:rPr>
          <w:color w:val="632423"/>
          <w:w w:val="75"/>
        </w:rPr>
        <w:t> </w:t>
      </w:r>
      <w:r>
        <w:rPr>
          <w:color w:val="632423"/>
          <w:w w:val="80"/>
        </w:rPr>
        <w:t>impulsos</w:t>
      </w:r>
      <w:r>
        <w:rPr>
          <w:color w:val="632423"/>
          <w:spacing w:val="-16"/>
          <w:w w:val="80"/>
        </w:rPr>
        <w:t> </w:t>
      </w:r>
      <w:r>
        <w:rPr>
          <w:color w:val="632423"/>
          <w:w w:val="80"/>
        </w:rPr>
        <w:t>inmediatos,</w:t>
      </w:r>
      <w:r>
        <w:rPr>
          <w:color w:val="632423"/>
          <w:spacing w:val="-17"/>
          <w:w w:val="80"/>
        </w:rPr>
        <w:t> </w:t>
      </w:r>
      <w:r>
        <w:rPr>
          <w:color w:val="632423"/>
          <w:w w:val="80"/>
        </w:rPr>
        <w:t>por</w:t>
      </w:r>
      <w:r>
        <w:rPr>
          <w:color w:val="632423"/>
          <w:spacing w:val="-17"/>
          <w:w w:val="80"/>
        </w:rPr>
        <w:t> </w:t>
      </w:r>
      <w:r>
        <w:rPr>
          <w:color w:val="632423"/>
          <w:w w:val="80"/>
        </w:rPr>
        <w:t>lo</w:t>
      </w:r>
      <w:r>
        <w:rPr>
          <w:color w:val="632423"/>
          <w:spacing w:val="-17"/>
          <w:w w:val="80"/>
        </w:rPr>
        <w:t> </w:t>
      </w:r>
      <w:r>
        <w:rPr>
          <w:color w:val="632423"/>
          <w:w w:val="80"/>
        </w:rPr>
        <w:t>que</w:t>
      </w:r>
      <w:r>
        <w:rPr>
          <w:color w:val="632423"/>
          <w:spacing w:val="-16"/>
          <w:w w:val="80"/>
        </w:rPr>
        <w:t> </w:t>
      </w:r>
      <w:r>
        <w:rPr>
          <w:color w:val="632423"/>
          <w:w w:val="80"/>
        </w:rPr>
        <w:t>puede</w:t>
      </w:r>
      <w:r>
        <w:rPr>
          <w:color w:val="632423"/>
          <w:w w:val="76"/>
        </w:rPr>
        <w:t> </w:t>
      </w:r>
      <w:r>
        <w:rPr>
          <w:color w:val="632423"/>
          <w:w w:val="80"/>
        </w:rPr>
        <w:t>medir</w:t>
      </w:r>
      <w:r>
        <w:rPr>
          <w:color w:val="632423"/>
          <w:spacing w:val="-27"/>
          <w:w w:val="80"/>
        </w:rPr>
        <w:t> </w:t>
      </w:r>
      <w:r>
        <w:rPr>
          <w:color w:val="632423"/>
          <w:w w:val="80"/>
        </w:rPr>
        <w:t>las</w:t>
      </w:r>
      <w:r>
        <w:rPr>
          <w:color w:val="632423"/>
          <w:spacing w:val="-27"/>
          <w:w w:val="80"/>
        </w:rPr>
        <w:t> </w:t>
      </w:r>
      <w:r>
        <w:rPr>
          <w:color w:val="632423"/>
          <w:w w:val="80"/>
        </w:rPr>
        <w:t>consecuencias</w:t>
      </w:r>
      <w:r>
        <w:rPr>
          <w:color w:val="632423"/>
          <w:spacing w:val="-27"/>
          <w:w w:val="80"/>
        </w:rPr>
        <w:t> </w:t>
      </w:r>
      <w:r>
        <w:rPr>
          <w:color w:val="632423"/>
          <w:w w:val="80"/>
        </w:rPr>
        <w:t>de</w:t>
      </w:r>
      <w:r>
        <w:rPr>
          <w:color w:val="632423"/>
          <w:spacing w:val="-27"/>
          <w:w w:val="80"/>
        </w:rPr>
        <w:t> </w:t>
      </w:r>
      <w:r>
        <w:rPr>
          <w:color w:val="632423"/>
          <w:w w:val="80"/>
        </w:rPr>
        <w:t>sus</w:t>
      </w:r>
      <w:r>
        <w:rPr>
          <w:color w:val="632423"/>
          <w:spacing w:val="-27"/>
          <w:w w:val="80"/>
        </w:rPr>
        <w:t> </w:t>
      </w:r>
      <w:r>
        <w:rPr>
          <w:color w:val="632423"/>
          <w:w w:val="80"/>
        </w:rPr>
        <w:t>actos.</w:t>
      </w:r>
      <w:r>
        <w:rPr>
          <w:color w:val="632423"/>
          <w:w w:val="77"/>
        </w:rPr>
        <w:t> </w:t>
      </w:r>
      <w:r>
        <w:rPr>
          <w:color w:val="632423"/>
          <w:w w:val="80"/>
        </w:rPr>
        <w:t>Esta</w:t>
      </w:r>
      <w:r>
        <w:rPr>
          <w:color w:val="632423"/>
          <w:spacing w:val="-20"/>
          <w:w w:val="80"/>
        </w:rPr>
        <w:t> </w:t>
      </w:r>
      <w:r>
        <w:rPr>
          <w:color w:val="632423"/>
          <w:w w:val="80"/>
        </w:rPr>
        <w:t>facultad</w:t>
      </w:r>
      <w:r>
        <w:rPr>
          <w:color w:val="632423"/>
          <w:spacing w:val="-20"/>
          <w:w w:val="80"/>
        </w:rPr>
        <w:t> </w:t>
      </w:r>
      <w:r>
        <w:rPr>
          <w:color w:val="632423"/>
          <w:w w:val="80"/>
        </w:rPr>
        <w:t>destina</w:t>
      </w:r>
      <w:r>
        <w:rPr>
          <w:color w:val="632423"/>
          <w:spacing w:val="-20"/>
          <w:w w:val="80"/>
        </w:rPr>
        <w:t> </w:t>
      </w:r>
      <w:r>
        <w:rPr>
          <w:color w:val="632423"/>
          <w:w w:val="80"/>
        </w:rPr>
        <w:t>a</w:t>
      </w:r>
      <w:r>
        <w:rPr>
          <w:color w:val="632423"/>
          <w:spacing w:val="-20"/>
          <w:w w:val="80"/>
        </w:rPr>
        <w:t> </w:t>
      </w:r>
      <w:r>
        <w:rPr>
          <w:color w:val="632423"/>
          <w:w w:val="80"/>
        </w:rPr>
        <w:t>esta</w:t>
      </w:r>
      <w:r>
        <w:rPr>
          <w:color w:val="632423"/>
          <w:spacing w:val="-20"/>
          <w:w w:val="80"/>
        </w:rPr>
        <w:t> </w:t>
      </w:r>
      <w:r>
        <w:rPr>
          <w:color w:val="632423"/>
          <w:w w:val="80"/>
        </w:rPr>
        <w:t>especie</w:t>
      </w:r>
      <w:r>
        <w:rPr>
          <w:color w:val="632423"/>
          <w:spacing w:val="-20"/>
          <w:w w:val="80"/>
        </w:rPr>
        <w:t> </w:t>
      </w:r>
      <w:r>
        <w:rPr>
          <w:color w:val="632423"/>
          <w:w w:val="80"/>
        </w:rPr>
        <w:t>a</w:t>
      </w:r>
      <w:r>
        <w:rPr>
          <w:color w:val="632423"/>
          <w:w w:val="75"/>
        </w:rPr>
        <w:t> </w:t>
      </w:r>
      <w:r>
        <w:rPr>
          <w:color w:val="632423"/>
          <w:w w:val="80"/>
        </w:rPr>
        <w:t>cuidar</w:t>
      </w:r>
      <w:r>
        <w:rPr>
          <w:color w:val="632423"/>
          <w:spacing w:val="-12"/>
          <w:w w:val="80"/>
        </w:rPr>
        <w:t> </w:t>
      </w:r>
      <w:r>
        <w:rPr>
          <w:color w:val="632423"/>
          <w:w w:val="80"/>
        </w:rPr>
        <w:t>de</w:t>
      </w:r>
      <w:r>
        <w:rPr>
          <w:color w:val="632423"/>
          <w:spacing w:val="-12"/>
          <w:w w:val="80"/>
        </w:rPr>
        <w:t> </w:t>
      </w:r>
      <w:r>
        <w:rPr>
          <w:color w:val="632423"/>
          <w:w w:val="80"/>
        </w:rPr>
        <w:t>su</w:t>
      </w:r>
      <w:r>
        <w:rPr>
          <w:color w:val="632423"/>
          <w:spacing w:val="-12"/>
          <w:w w:val="80"/>
        </w:rPr>
        <w:t> </w:t>
      </w:r>
      <w:r>
        <w:rPr>
          <w:color w:val="632423"/>
          <w:w w:val="80"/>
        </w:rPr>
        <w:t>naturaleza</w:t>
      </w:r>
      <w:r>
        <w:rPr>
          <w:color w:val="632423"/>
          <w:spacing w:val="-12"/>
          <w:w w:val="80"/>
        </w:rPr>
        <w:t> </w:t>
      </w:r>
      <w:r>
        <w:rPr>
          <w:color w:val="632423"/>
          <w:w w:val="80"/>
        </w:rPr>
        <w:t>y</w:t>
      </w:r>
      <w:r>
        <w:rPr>
          <w:color w:val="632423"/>
          <w:spacing w:val="-12"/>
          <w:w w:val="80"/>
        </w:rPr>
        <w:t> </w:t>
      </w:r>
      <w:r>
        <w:rPr>
          <w:color w:val="632423"/>
          <w:w w:val="80"/>
        </w:rPr>
        <w:t>a</w:t>
      </w:r>
      <w:r>
        <w:rPr>
          <w:color w:val="632423"/>
          <w:spacing w:val="-12"/>
          <w:w w:val="80"/>
        </w:rPr>
        <w:t> </w:t>
      </w:r>
      <w:r>
        <w:rPr>
          <w:color w:val="632423"/>
          <w:w w:val="80"/>
        </w:rPr>
        <w:t>buscar</w:t>
      </w:r>
      <w:r>
        <w:rPr>
          <w:color w:val="632423"/>
          <w:spacing w:val="-12"/>
          <w:w w:val="80"/>
        </w:rPr>
        <w:t> </w:t>
      </w:r>
      <w:r>
        <w:rPr>
          <w:color w:val="632423"/>
          <w:w w:val="80"/>
        </w:rPr>
        <w:t>el</w:t>
      </w:r>
      <w:r>
        <w:rPr>
          <w:color w:val="632423"/>
          <w:w w:val="77"/>
        </w:rPr>
        <w:t> </w:t>
      </w:r>
      <w:r>
        <w:rPr>
          <w:color w:val="632423"/>
          <w:w w:val="80"/>
        </w:rPr>
        <w:t>desarrollo</w:t>
      </w:r>
      <w:r>
        <w:rPr>
          <w:color w:val="632423"/>
          <w:spacing w:val="-12"/>
          <w:w w:val="80"/>
        </w:rPr>
        <w:t> </w:t>
      </w:r>
      <w:r>
        <w:rPr>
          <w:color w:val="632423"/>
          <w:w w:val="80"/>
        </w:rPr>
        <w:t>sustentable</w:t>
      </w:r>
      <w:r>
        <w:rPr>
          <w:color w:val="632423"/>
          <w:spacing w:val="-12"/>
          <w:w w:val="80"/>
        </w:rPr>
        <w:t> </w:t>
      </w:r>
      <w:r>
        <w:rPr>
          <w:color w:val="632423"/>
          <w:w w:val="80"/>
        </w:rPr>
        <w:t>de</w:t>
      </w:r>
      <w:r>
        <w:rPr>
          <w:color w:val="632423"/>
          <w:spacing w:val="-12"/>
          <w:w w:val="80"/>
        </w:rPr>
        <w:t> </w:t>
      </w:r>
      <w:r>
        <w:rPr>
          <w:color w:val="632423"/>
          <w:w w:val="80"/>
        </w:rPr>
        <w:t>su</w:t>
      </w:r>
      <w:r>
        <w:rPr>
          <w:color w:val="632423"/>
          <w:spacing w:val="-12"/>
          <w:w w:val="80"/>
        </w:rPr>
        <w:t> </w:t>
      </w:r>
      <w:r>
        <w:rPr>
          <w:color w:val="632423"/>
          <w:w w:val="80"/>
        </w:rPr>
        <w:t>entorno</w:t>
      </w:r>
      <w:r>
        <w:rPr>
          <w:color w:val="632423"/>
          <w:spacing w:val="-12"/>
          <w:w w:val="80"/>
        </w:rPr>
        <w:t> </w:t>
      </w:r>
      <w:r>
        <w:rPr>
          <w:color w:val="632423"/>
          <w:w w:val="80"/>
        </w:rPr>
        <w:t>y</w:t>
      </w:r>
      <w:r>
        <w:rPr>
          <w:color w:val="632423"/>
          <w:w w:val="73"/>
        </w:rPr>
        <w:t> </w:t>
      </w:r>
      <w:r>
        <w:rPr>
          <w:color w:val="632423"/>
          <w:w w:val="80"/>
        </w:rPr>
        <w:t>de</w:t>
      </w:r>
      <w:r>
        <w:rPr>
          <w:color w:val="632423"/>
          <w:spacing w:val="-14"/>
          <w:w w:val="80"/>
        </w:rPr>
        <w:t> </w:t>
      </w:r>
      <w:r>
        <w:rPr>
          <w:color w:val="632423"/>
          <w:w w:val="80"/>
        </w:rPr>
        <w:t>todas</w:t>
      </w:r>
      <w:r>
        <w:rPr>
          <w:color w:val="632423"/>
          <w:spacing w:val="-14"/>
          <w:w w:val="80"/>
        </w:rPr>
        <w:t> </w:t>
      </w:r>
      <w:r>
        <w:rPr>
          <w:color w:val="632423"/>
          <w:w w:val="80"/>
        </w:rPr>
        <w:t>las</w:t>
      </w:r>
      <w:r>
        <w:rPr>
          <w:color w:val="632423"/>
          <w:spacing w:val="-14"/>
          <w:w w:val="80"/>
        </w:rPr>
        <w:t> </w:t>
      </w:r>
      <w:r>
        <w:rPr>
          <w:color w:val="632423"/>
          <w:w w:val="80"/>
        </w:rPr>
        <w:t>especies</w:t>
      </w:r>
      <w:r>
        <w:rPr>
          <w:color w:val="632423"/>
          <w:spacing w:val="-14"/>
          <w:w w:val="80"/>
        </w:rPr>
        <w:t> </w:t>
      </w:r>
      <w:r>
        <w:rPr>
          <w:color w:val="632423"/>
          <w:w w:val="80"/>
        </w:rPr>
        <w:t>con</w:t>
      </w:r>
      <w:r>
        <w:rPr>
          <w:color w:val="632423"/>
          <w:spacing w:val="-14"/>
          <w:w w:val="80"/>
        </w:rPr>
        <w:t> </w:t>
      </w:r>
      <w:r>
        <w:rPr>
          <w:color w:val="632423"/>
          <w:w w:val="80"/>
        </w:rPr>
        <w:t>las</w:t>
      </w:r>
      <w:r>
        <w:rPr>
          <w:color w:val="632423"/>
          <w:spacing w:val="-14"/>
          <w:w w:val="80"/>
        </w:rPr>
        <w:t> </w:t>
      </w:r>
      <w:r>
        <w:rPr>
          <w:color w:val="632423"/>
          <w:w w:val="80"/>
        </w:rPr>
        <w:t>que</w:t>
      </w:r>
      <w:r>
        <w:rPr>
          <w:color w:val="632423"/>
          <w:spacing w:val="-14"/>
          <w:w w:val="80"/>
        </w:rPr>
        <w:t> </w:t>
      </w:r>
      <w:r>
        <w:rPr>
          <w:color w:val="632423"/>
          <w:w w:val="80"/>
        </w:rPr>
        <w:t>lo</w:t>
      </w:r>
    </w:p>
    <w:p>
      <w:pPr>
        <w:spacing w:before="4"/>
        <w:ind w:left="0" w:right="266" w:firstLine="0"/>
        <w:jc w:val="right"/>
        <w:rPr>
          <w:sz w:val="27"/>
        </w:rPr>
      </w:pPr>
      <w:r>
        <w:rPr>
          <w:color w:val="632423"/>
          <w:w w:val="80"/>
          <w:sz w:val="27"/>
        </w:rPr>
        <w:t>comparte”.</w:t>
      </w:r>
    </w:p>
    <w:p>
      <w:pPr>
        <w:pStyle w:val="BodyText"/>
        <w:spacing w:before="10"/>
        <w:rPr>
          <w:sz w:val="28"/>
        </w:rPr>
      </w:pPr>
    </w:p>
    <w:p>
      <w:pPr>
        <w:spacing w:before="0"/>
        <w:ind w:left="0" w:right="266" w:firstLine="0"/>
        <w:jc w:val="right"/>
        <w:rPr>
          <w:sz w:val="23"/>
        </w:rPr>
      </w:pPr>
      <w:r>
        <w:rPr>
          <w:color w:val="632423"/>
          <w:w w:val="75"/>
          <w:sz w:val="23"/>
        </w:rPr>
        <w:t>SEMARNAT, 2011</w:t>
      </w:r>
    </w:p>
    <w:p>
      <w:pPr>
        <w:spacing w:after="0"/>
        <w:jc w:val="right"/>
        <w:rPr>
          <w:sz w:val="23"/>
        </w:rPr>
        <w:sectPr>
          <w:type w:val="continuous"/>
          <w:pgSz w:w="12240" w:h="15840"/>
          <w:pgMar w:top="1420" w:bottom="280" w:left="1720" w:right="1260"/>
          <w:cols w:num="2" w:equalWidth="0">
            <w:col w:w="3826" w:space="1114"/>
            <w:col w:w="4320"/>
          </w:cols>
        </w:sectPr>
      </w:pPr>
    </w:p>
    <w:p>
      <w:pPr>
        <w:pStyle w:val="BodyText"/>
        <w:rPr>
          <w:sz w:val="20"/>
        </w:rPr>
      </w:pPr>
    </w:p>
    <w:p>
      <w:pPr>
        <w:pStyle w:val="BodyText"/>
        <w:spacing w:before="1" w:after="1"/>
        <w:rPr>
          <w:sz w:val="21"/>
        </w:rPr>
      </w:pPr>
    </w:p>
    <w:p>
      <w:pPr>
        <w:pStyle w:val="BodyText"/>
        <w:ind w:left="1437"/>
        <w:rPr>
          <w:sz w:val="20"/>
        </w:rPr>
      </w:pPr>
      <w:r>
        <w:rPr>
          <w:sz w:val="20"/>
        </w:rPr>
        <w:pict>
          <v:group style="width:412.35pt;height:209.55pt;mso-position-horizontal-relative:char;mso-position-vertical-relative:line" coordorigin="0,0" coordsize="8247,4191">
            <v:shape style="position:absolute;left:0;top:0;width:8246;height:4190" type="#_x0000_t75" stroked="false">
              <v:imagedata r:id="rId207" o:title=""/>
            </v:shape>
            <v:shape style="position:absolute;left:437;top:5;width:206;height:552" type="#_x0000_t75" stroked="false">
              <v:imagedata r:id="rId9" o:title=""/>
            </v:shape>
            <v:shape style="position:absolute;left:715;top:5;width:206;height:552" type="#_x0000_t75" stroked="false">
              <v:imagedata r:id="rId10" o:title=""/>
            </v:shape>
            <v:shape style="position:absolute;left:0;top:0;width:8247;height:4191" type="#_x0000_t202" filled="false" stroked="false">
              <v:textbox inset="0,0,0,0">
                <w:txbxContent>
                  <w:p>
                    <w:pPr>
                      <w:spacing w:line="240" w:lineRule="auto" w:before="10"/>
                      <w:rPr>
                        <w:sz w:val="46"/>
                      </w:rPr>
                    </w:pPr>
                  </w:p>
                  <w:p>
                    <w:pPr>
                      <w:spacing w:line="237" w:lineRule="auto" w:before="1"/>
                      <w:ind w:left="614" w:right="140" w:firstLine="124"/>
                      <w:jc w:val="right"/>
                      <w:rPr>
                        <w:sz w:val="38"/>
                      </w:rPr>
                    </w:pPr>
                    <w:r>
                      <w:rPr>
                        <w:color w:val="632423"/>
                        <w:w w:val="80"/>
                        <w:sz w:val="38"/>
                      </w:rPr>
                      <w:t>La</w:t>
                    </w:r>
                    <w:r>
                      <w:rPr>
                        <w:color w:val="632423"/>
                        <w:spacing w:val="-48"/>
                        <w:w w:val="80"/>
                        <w:sz w:val="38"/>
                      </w:rPr>
                      <w:t> </w:t>
                    </w:r>
                    <w:r>
                      <w:rPr>
                        <w:color w:val="632423"/>
                        <w:w w:val="80"/>
                        <w:sz w:val="38"/>
                      </w:rPr>
                      <w:t>producción</w:t>
                    </w:r>
                    <w:r>
                      <w:rPr>
                        <w:color w:val="632423"/>
                        <w:spacing w:val="-48"/>
                        <w:w w:val="80"/>
                        <w:sz w:val="38"/>
                      </w:rPr>
                      <w:t> </w:t>
                    </w:r>
                    <w:r>
                      <w:rPr>
                        <w:color w:val="632423"/>
                        <w:w w:val="80"/>
                        <w:sz w:val="38"/>
                      </w:rPr>
                      <w:t>de</w:t>
                    </w:r>
                    <w:r>
                      <w:rPr>
                        <w:color w:val="632423"/>
                        <w:spacing w:val="-48"/>
                        <w:w w:val="80"/>
                        <w:sz w:val="38"/>
                      </w:rPr>
                      <w:t> </w:t>
                    </w:r>
                    <w:r>
                      <w:rPr>
                        <w:color w:val="632423"/>
                        <w:w w:val="80"/>
                        <w:sz w:val="38"/>
                      </w:rPr>
                      <w:t>CH</w:t>
                    </w:r>
                    <w:r>
                      <w:rPr>
                        <w:color w:val="632423"/>
                        <w:w w:val="80"/>
                        <w:position w:val="-3"/>
                        <w:sz w:val="25"/>
                      </w:rPr>
                      <w:t>4</w:t>
                    </w:r>
                    <w:r>
                      <w:rPr>
                        <w:color w:val="632423"/>
                        <w:spacing w:val="-19"/>
                        <w:w w:val="80"/>
                        <w:position w:val="-3"/>
                        <w:sz w:val="25"/>
                      </w:rPr>
                      <w:t> </w:t>
                    </w:r>
                    <w:r>
                      <w:rPr>
                        <w:color w:val="632423"/>
                        <w:w w:val="80"/>
                        <w:sz w:val="38"/>
                      </w:rPr>
                      <w:t>entérico</w:t>
                    </w:r>
                    <w:r>
                      <w:rPr>
                        <w:color w:val="632423"/>
                        <w:spacing w:val="-47"/>
                        <w:w w:val="80"/>
                        <w:sz w:val="38"/>
                      </w:rPr>
                      <w:t> </w:t>
                    </w:r>
                    <w:r>
                      <w:rPr>
                        <w:color w:val="632423"/>
                        <w:w w:val="80"/>
                        <w:sz w:val="38"/>
                      </w:rPr>
                      <w:t>por</w:t>
                    </w:r>
                    <w:r>
                      <w:rPr>
                        <w:color w:val="632423"/>
                        <w:spacing w:val="-48"/>
                        <w:w w:val="80"/>
                        <w:sz w:val="38"/>
                      </w:rPr>
                      <w:t> </w:t>
                    </w:r>
                    <w:r>
                      <w:rPr>
                        <w:color w:val="632423"/>
                        <w:w w:val="80"/>
                        <w:sz w:val="38"/>
                      </w:rPr>
                      <w:t>el</w:t>
                    </w:r>
                    <w:r>
                      <w:rPr>
                        <w:color w:val="632423"/>
                        <w:spacing w:val="-46"/>
                        <w:w w:val="80"/>
                        <w:sz w:val="38"/>
                      </w:rPr>
                      <w:t> </w:t>
                    </w:r>
                    <w:r>
                      <w:rPr>
                        <w:color w:val="632423"/>
                        <w:w w:val="80"/>
                        <w:sz w:val="38"/>
                      </w:rPr>
                      <w:t>ganado</w:t>
                    </w:r>
                    <w:r>
                      <w:rPr>
                        <w:color w:val="632423"/>
                        <w:spacing w:val="-48"/>
                        <w:w w:val="80"/>
                        <w:sz w:val="38"/>
                      </w:rPr>
                      <w:t> </w:t>
                    </w:r>
                    <w:r>
                      <w:rPr>
                        <w:color w:val="632423"/>
                        <w:w w:val="80"/>
                        <w:sz w:val="38"/>
                      </w:rPr>
                      <w:t>lechero</w:t>
                    </w:r>
                    <w:r>
                      <w:rPr>
                        <w:color w:val="632423"/>
                        <w:spacing w:val="-48"/>
                        <w:w w:val="80"/>
                        <w:sz w:val="38"/>
                      </w:rPr>
                      <w:t> </w:t>
                    </w:r>
                    <w:r>
                      <w:rPr>
                        <w:color w:val="632423"/>
                        <w:w w:val="80"/>
                        <w:sz w:val="38"/>
                      </w:rPr>
                      <w:t>y</w:t>
                    </w:r>
                    <w:r>
                      <w:rPr>
                        <w:color w:val="632423"/>
                        <w:spacing w:val="-48"/>
                        <w:w w:val="80"/>
                        <w:sz w:val="38"/>
                      </w:rPr>
                      <w:t> </w:t>
                    </w:r>
                    <w:r>
                      <w:rPr>
                        <w:color w:val="632423"/>
                        <w:w w:val="80"/>
                        <w:sz w:val="38"/>
                      </w:rPr>
                      <w:t>de</w:t>
                    </w:r>
                    <w:r>
                      <w:rPr>
                        <w:color w:val="632423"/>
                        <w:spacing w:val="1"/>
                        <w:w w:val="74"/>
                        <w:sz w:val="38"/>
                      </w:rPr>
                      <w:t> </w:t>
                    </w:r>
                    <w:r>
                      <w:rPr>
                        <w:color w:val="632423"/>
                        <w:w w:val="75"/>
                        <w:sz w:val="38"/>
                      </w:rPr>
                      <w:t>engorda es una de las mayores fuentes</w:t>
                    </w:r>
                    <w:r>
                      <w:rPr>
                        <w:color w:val="632423"/>
                        <w:spacing w:val="32"/>
                        <w:w w:val="75"/>
                        <w:sz w:val="38"/>
                      </w:rPr>
                      <w:t> </w:t>
                    </w:r>
                    <w:r>
                      <w:rPr>
                        <w:color w:val="632423"/>
                        <w:w w:val="75"/>
                        <w:sz w:val="38"/>
                      </w:rPr>
                      <w:t>antropogénicas</w:t>
                    </w:r>
                    <w:r>
                      <w:rPr>
                        <w:color w:val="632423"/>
                        <w:spacing w:val="4"/>
                        <w:w w:val="75"/>
                        <w:sz w:val="38"/>
                      </w:rPr>
                      <w:t> </w:t>
                    </w:r>
                    <w:r>
                      <w:rPr>
                        <w:color w:val="632423"/>
                        <w:w w:val="75"/>
                        <w:sz w:val="38"/>
                      </w:rPr>
                      <w:t>de</w:t>
                    </w:r>
                    <w:r>
                      <w:rPr>
                        <w:color w:val="632423"/>
                        <w:w w:val="72"/>
                        <w:sz w:val="38"/>
                      </w:rPr>
                      <w:t> </w:t>
                    </w:r>
                    <w:r>
                      <w:rPr>
                        <w:color w:val="632423"/>
                        <w:w w:val="80"/>
                        <w:sz w:val="38"/>
                      </w:rPr>
                      <w:t>emisiones</w:t>
                    </w:r>
                    <w:r>
                      <w:rPr>
                        <w:color w:val="632423"/>
                        <w:spacing w:val="-58"/>
                        <w:w w:val="80"/>
                        <w:sz w:val="38"/>
                      </w:rPr>
                      <w:t> </w:t>
                    </w:r>
                    <w:r>
                      <w:rPr>
                        <w:color w:val="632423"/>
                        <w:w w:val="80"/>
                        <w:sz w:val="38"/>
                      </w:rPr>
                      <w:t>de</w:t>
                    </w:r>
                    <w:r>
                      <w:rPr>
                        <w:color w:val="632423"/>
                        <w:spacing w:val="-58"/>
                        <w:w w:val="80"/>
                        <w:sz w:val="38"/>
                      </w:rPr>
                      <w:t> </w:t>
                    </w:r>
                    <w:r>
                      <w:rPr>
                        <w:color w:val="632423"/>
                        <w:w w:val="80"/>
                        <w:sz w:val="38"/>
                      </w:rPr>
                      <w:t>GEI</w:t>
                    </w:r>
                    <w:r>
                      <w:rPr>
                        <w:color w:val="632423"/>
                        <w:spacing w:val="-58"/>
                        <w:w w:val="80"/>
                        <w:sz w:val="38"/>
                      </w:rPr>
                      <w:t> </w:t>
                    </w:r>
                    <w:r>
                      <w:rPr>
                        <w:color w:val="632423"/>
                        <w:w w:val="80"/>
                        <w:sz w:val="38"/>
                      </w:rPr>
                      <w:t>en</w:t>
                    </w:r>
                    <w:r>
                      <w:rPr>
                        <w:color w:val="632423"/>
                        <w:spacing w:val="-58"/>
                        <w:w w:val="80"/>
                        <w:sz w:val="38"/>
                      </w:rPr>
                      <w:t> </w:t>
                    </w:r>
                    <w:r>
                      <w:rPr>
                        <w:color w:val="632423"/>
                        <w:w w:val="80"/>
                        <w:sz w:val="38"/>
                      </w:rPr>
                      <w:t>los</w:t>
                    </w:r>
                    <w:r>
                      <w:rPr>
                        <w:color w:val="632423"/>
                        <w:spacing w:val="-58"/>
                        <w:w w:val="80"/>
                        <w:sz w:val="38"/>
                      </w:rPr>
                      <w:t> </w:t>
                    </w:r>
                    <w:r>
                      <w:rPr>
                        <w:color w:val="632423"/>
                        <w:w w:val="80"/>
                        <w:sz w:val="38"/>
                      </w:rPr>
                      <w:t>Estados</w:t>
                    </w:r>
                    <w:r>
                      <w:rPr>
                        <w:color w:val="632423"/>
                        <w:spacing w:val="-58"/>
                        <w:w w:val="80"/>
                        <w:sz w:val="38"/>
                      </w:rPr>
                      <w:t> </w:t>
                    </w:r>
                    <w:r>
                      <w:rPr>
                        <w:color w:val="632423"/>
                        <w:w w:val="80"/>
                        <w:sz w:val="38"/>
                      </w:rPr>
                      <w:t>Unidos</w:t>
                    </w:r>
                    <w:r>
                      <w:rPr>
                        <w:color w:val="632423"/>
                        <w:spacing w:val="-58"/>
                        <w:w w:val="80"/>
                        <w:sz w:val="38"/>
                      </w:rPr>
                      <w:t> </w:t>
                    </w:r>
                    <w:r>
                      <w:rPr>
                        <w:color w:val="632423"/>
                        <w:w w:val="80"/>
                        <w:sz w:val="38"/>
                      </w:rPr>
                      <w:t>y</w:t>
                    </w:r>
                    <w:r>
                      <w:rPr>
                        <w:color w:val="632423"/>
                        <w:spacing w:val="-58"/>
                        <w:w w:val="80"/>
                        <w:sz w:val="38"/>
                      </w:rPr>
                      <w:t> </w:t>
                    </w:r>
                    <w:r>
                      <w:rPr>
                        <w:color w:val="632423"/>
                        <w:w w:val="80"/>
                        <w:sz w:val="38"/>
                      </w:rPr>
                      <w:t>en</w:t>
                    </w:r>
                    <w:r>
                      <w:rPr>
                        <w:color w:val="632423"/>
                        <w:spacing w:val="-58"/>
                        <w:w w:val="80"/>
                        <w:sz w:val="38"/>
                      </w:rPr>
                      <w:t> </w:t>
                    </w:r>
                    <w:r>
                      <w:rPr>
                        <w:color w:val="632423"/>
                        <w:w w:val="80"/>
                        <w:sz w:val="38"/>
                      </w:rPr>
                      <w:t>el</w:t>
                    </w:r>
                    <w:r>
                      <w:rPr>
                        <w:color w:val="632423"/>
                        <w:spacing w:val="-58"/>
                        <w:w w:val="80"/>
                        <w:sz w:val="38"/>
                      </w:rPr>
                      <w:t> </w:t>
                    </w:r>
                    <w:r>
                      <w:rPr>
                        <w:color w:val="632423"/>
                        <w:w w:val="80"/>
                        <w:sz w:val="38"/>
                      </w:rPr>
                      <w:t>mundo</w:t>
                    </w:r>
                  </w:p>
                  <w:p>
                    <w:pPr>
                      <w:spacing w:before="5"/>
                      <w:ind w:left="0" w:right="143" w:firstLine="0"/>
                      <w:jc w:val="right"/>
                      <w:rPr>
                        <w:sz w:val="38"/>
                      </w:rPr>
                    </w:pPr>
                    <w:r>
                      <w:rPr>
                        <w:color w:val="632423"/>
                        <w:w w:val="80"/>
                        <w:sz w:val="38"/>
                      </w:rPr>
                      <w:t>entero”.</w:t>
                    </w:r>
                  </w:p>
                  <w:p>
                    <w:pPr>
                      <w:spacing w:before="244"/>
                      <w:ind w:left="0" w:right="143" w:firstLine="0"/>
                      <w:jc w:val="right"/>
                      <w:rPr>
                        <w:sz w:val="23"/>
                      </w:rPr>
                    </w:pPr>
                    <w:r>
                      <w:rPr>
                        <w:color w:val="632423"/>
                        <w:w w:val="85"/>
                        <w:sz w:val="23"/>
                      </w:rPr>
                      <w:t>Kebreab </w:t>
                    </w:r>
                    <w:r>
                      <w:rPr>
                        <w:rFonts w:ascii="Calibri"/>
                        <w:i/>
                        <w:color w:val="632423"/>
                        <w:w w:val="85"/>
                        <w:sz w:val="24"/>
                      </w:rPr>
                      <w:t>et al., </w:t>
                    </w:r>
                    <w:r>
                      <w:rPr>
                        <w:color w:val="632423"/>
                        <w:w w:val="85"/>
                        <w:sz w:val="23"/>
                      </w:rPr>
                      <w:t>(2007)</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Heading1"/>
        <w:spacing w:line="244" w:lineRule="auto" w:before="36" w:after="10"/>
        <w:ind w:left="3911"/>
      </w:pPr>
      <w:r>
        <w:rPr/>
        <w:pict>
          <v:group style="position:absolute;margin-left:74.152443pt;margin-top:-76.085327pt;width:181.45pt;height:189.95pt;mso-position-horizontal-relative:page;mso-position-vertical-relative:paragraph;z-index:5776" coordorigin="1483,-1522" coordsize="3629,3799">
            <v:shape style="position:absolute;left:1483;top:-1522;width:3629;height:3091" type="#_x0000_t75" stroked="false">
              <v:imagedata r:id="rId199" o:title=""/>
            </v:shape>
            <v:shape style="position:absolute;left:1483;top:-1522;width:3629;height:3799" type="#_x0000_t202" filled="false" stroked="false">
              <v:textbox inset="0,0,0,0">
                <w:txbxContent>
                  <w:p>
                    <w:pPr>
                      <w:spacing w:before="181"/>
                      <w:ind w:left="143" w:right="0" w:firstLine="0"/>
                      <w:jc w:val="left"/>
                      <w:rPr>
                        <w:sz w:val="300"/>
                      </w:rPr>
                    </w:pPr>
                    <w:r>
                      <w:rPr>
                        <w:color w:val="943634"/>
                        <w:sz w:val="300"/>
                      </w:rPr>
                      <w:t>11</w:t>
                    </w:r>
                  </w:p>
                </w:txbxContent>
              </v:textbox>
              <w10:wrap type="none"/>
            </v:shape>
            <w10:wrap type="none"/>
          </v:group>
        </w:pict>
      </w:r>
      <w:r>
        <w:rPr/>
        <w:t>Referencias bibliográficas</w:t>
      </w:r>
    </w:p>
    <w:p>
      <w:pPr>
        <w:pStyle w:val="BodyText"/>
        <w:spacing w:line="120" w:lineRule="exact"/>
        <w:ind w:left="3880"/>
        <w:rPr>
          <w:sz w:val="12"/>
        </w:rPr>
      </w:pPr>
      <w:r>
        <w:rPr>
          <w:position w:val="-1"/>
          <w:sz w:val="12"/>
        </w:rPr>
        <w:pict>
          <v:group style="width:280.1pt;height:6pt;mso-position-horizontal-relative:char;mso-position-vertical-relative:line" coordorigin="0,0" coordsize="5602,120">
            <v:rect style="position:absolute;left:0;top:0;width:5602;height:120" filled="true" fillcolor="#943634" stroked="false">
              <v:fill type="solid"/>
            </v:rect>
          </v:group>
        </w:pict>
      </w:r>
      <w:r>
        <w:rPr>
          <w:position w:val="-1"/>
          <w:sz w:val="12"/>
        </w:rPr>
      </w:r>
    </w:p>
    <w:p>
      <w:pPr>
        <w:pStyle w:val="BodyText"/>
        <w:rPr>
          <w:b/>
          <w:sz w:val="20"/>
        </w:rPr>
      </w:pPr>
    </w:p>
    <w:p>
      <w:pPr>
        <w:pStyle w:val="BodyText"/>
        <w:rPr>
          <w:b/>
          <w:sz w:val="20"/>
        </w:rPr>
      </w:pPr>
    </w:p>
    <w:p>
      <w:pPr>
        <w:pStyle w:val="BodyText"/>
        <w:spacing w:before="7"/>
        <w:rPr>
          <w:b/>
          <w:sz w:val="26"/>
        </w:rPr>
      </w:pPr>
    </w:p>
    <w:p>
      <w:pPr>
        <w:spacing w:line="360" w:lineRule="auto" w:before="69"/>
        <w:ind w:left="1609" w:right="344" w:hanging="993"/>
        <w:jc w:val="both"/>
        <w:rPr>
          <w:sz w:val="24"/>
        </w:rPr>
      </w:pPr>
      <w:r>
        <w:rPr>
          <w:b/>
          <w:sz w:val="24"/>
        </w:rPr>
        <w:t>Agle, M., Hristov, A.N., Zaman, S., Schneider, C., Ndegwa, P. y Vaddella, V. K. 2010. </w:t>
      </w:r>
      <w:r>
        <w:rPr>
          <w:sz w:val="24"/>
        </w:rPr>
        <w:t>Effects of ruminally degraded protein on rumen fermentation and ammonia losses from manure in dairy cows. J. Dairy Sci. 93: 1625-1637.</w:t>
      </w:r>
    </w:p>
    <w:p>
      <w:pPr>
        <w:spacing w:line="360" w:lineRule="auto" w:before="2"/>
        <w:ind w:left="1609" w:right="344" w:hanging="993"/>
        <w:jc w:val="both"/>
        <w:rPr>
          <w:sz w:val="24"/>
        </w:rPr>
      </w:pPr>
      <w:r>
        <w:rPr>
          <w:b/>
          <w:sz w:val="24"/>
        </w:rPr>
        <w:t>Allaby and M. Allaby, M. 1999. </w:t>
      </w:r>
      <w:r>
        <w:rPr>
          <w:sz w:val="24"/>
        </w:rPr>
        <w:t>A Dictionary of Earth Sciences, Oxford University Press. p. 244.</w:t>
      </w:r>
    </w:p>
    <w:p>
      <w:pPr>
        <w:spacing w:after="0" w:line="360" w:lineRule="auto"/>
        <w:jc w:val="both"/>
        <w:rPr>
          <w:sz w:val="24"/>
        </w:rPr>
        <w:sectPr>
          <w:footerReference w:type="default" r:id="rId206"/>
          <w:pgSz w:w="12240" w:h="15840"/>
          <w:pgMar w:footer="739" w:header="741" w:top="1220" w:bottom="920" w:left="1380" w:right="1060"/>
          <w:pgNumType w:start="151"/>
        </w:sectPr>
      </w:pPr>
    </w:p>
    <w:p>
      <w:pPr>
        <w:pStyle w:val="BodyText"/>
        <w:spacing w:before="4"/>
        <w:rPr>
          <w:sz w:val="11"/>
        </w:rPr>
      </w:pPr>
    </w:p>
    <w:p>
      <w:pPr>
        <w:spacing w:line="360" w:lineRule="auto" w:before="69"/>
        <w:ind w:left="1269" w:right="144" w:hanging="993"/>
        <w:jc w:val="both"/>
        <w:rPr>
          <w:sz w:val="24"/>
        </w:rPr>
      </w:pPr>
      <w:r>
        <w:rPr>
          <w:b/>
          <w:sz w:val="24"/>
        </w:rPr>
        <w:t>Asanuma, N., Iwamoto, M. y Hino, T. 1999. </w:t>
      </w:r>
      <w:r>
        <w:rPr>
          <w:sz w:val="24"/>
        </w:rPr>
        <w:t>Effect of the addition of fumarate on methane production by ruminal microorganisms in vitro. J. Dairy Sci. 82: 780–787.</w:t>
      </w:r>
    </w:p>
    <w:p>
      <w:pPr>
        <w:spacing w:line="360" w:lineRule="auto" w:before="2"/>
        <w:ind w:left="1269" w:right="144" w:hanging="993"/>
        <w:jc w:val="both"/>
        <w:rPr>
          <w:sz w:val="24"/>
        </w:rPr>
      </w:pPr>
      <w:r>
        <w:rPr>
          <w:b/>
          <w:sz w:val="24"/>
        </w:rPr>
        <w:t>Bannink, A., France, J., Lopez, S., Gerrits, W. J. J., Kebreab, E., Tamminga, S. y</w:t>
      </w:r>
      <w:r>
        <w:rPr>
          <w:b/>
          <w:spacing w:val="-16"/>
          <w:sz w:val="24"/>
        </w:rPr>
        <w:t> </w:t>
      </w:r>
      <w:r>
        <w:rPr>
          <w:b/>
          <w:sz w:val="24"/>
        </w:rPr>
        <w:t>Dijkstra,</w:t>
      </w:r>
      <w:r>
        <w:rPr>
          <w:b/>
          <w:spacing w:val="-16"/>
          <w:sz w:val="24"/>
        </w:rPr>
        <w:t> </w:t>
      </w:r>
      <w:r>
        <w:rPr>
          <w:b/>
          <w:sz w:val="24"/>
        </w:rPr>
        <w:t>J.</w:t>
      </w:r>
      <w:r>
        <w:rPr>
          <w:b/>
          <w:spacing w:val="-16"/>
          <w:sz w:val="24"/>
        </w:rPr>
        <w:t> </w:t>
      </w:r>
      <w:r>
        <w:rPr>
          <w:b/>
          <w:sz w:val="24"/>
        </w:rPr>
        <w:t>2008.</w:t>
      </w:r>
      <w:r>
        <w:rPr>
          <w:b/>
          <w:spacing w:val="-16"/>
          <w:sz w:val="24"/>
        </w:rPr>
        <w:t> </w:t>
      </w:r>
      <w:r>
        <w:rPr>
          <w:sz w:val="24"/>
        </w:rPr>
        <w:t>Modelling</w:t>
      </w:r>
      <w:r>
        <w:rPr>
          <w:spacing w:val="-16"/>
          <w:sz w:val="24"/>
        </w:rPr>
        <w:t> </w:t>
      </w:r>
      <w:r>
        <w:rPr>
          <w:sz w:val="24"/>
        </w:rPr>
        <w:t>the</w:t>
      </w:r>
      <w:r>
        <w:rPr>
          <w:spacing w:val="-16"/>
          <w:sz w:val="24"/>
        </w:rPr>
        <w:t> </w:t>
      </w:r>
      <w:r>
        <w:rPr>
          <w:sz w:val="24"/>
        </w:rPr>
        <w:t>implications</w:t>
      </w:r>
      <w:r>
        <w:rPr>
          <w:spacing w:val="-16"/>
          <w:sz w:val="24"/>
        </w:rPr>
        <w:t> </w:t>
      </w:r>
      <w:r>
        <w:rPr>
          <w:sz w:val="24"/>
        </w:rPr>
        <w:t>of</w:t>
      </w:r>
      <w:r>
        <w:rPr>
          <w:spacing w:val="-16"/>
          <w:sz w:val="24"/>
        </w:rPr>
        <w:t> </w:t>
      </w:r>
      <w:r>
        <w:rPr>
          <w:sz w:val="24"/>
        </w:rPr>
        <w:t>feeding</w:t>
      </w:r>
      <w:r>
        <w:rPr>
          <w:spacing w:val="-16"/>
          <w:sz w:val="24"/>
        </w:rPr>
        <w:t> </w:t>
      </w:r>
      <w:r>
        <w:rPr>
          <w:sz w:val="24"/>
        </w:rPr>
        <w:t>strategy</w:t>
      </w:r>
      <w:r>
        <w:rPr>
          <w:spacing w:val="-16"/>
          <w:sz w:val="24"/>
        </w:rPr>
        <w:t> </w:t>
      </w:r>
      <w:r>
        <w:rPr>
          <w:sz w:val="24"/>
        </w:rPr>
        <w:t>on</w:t>
      </w:r>
      <w:r>
        <w:rPr>
          <w:spacing w:val="-16"/>
          <w:sz w:val="24"/>
        </w:rPr>
        <w:t> </w:t>
      </w:r>
      <w:r>
        <w:rPr>
          <w:sz w:val="24"/>
        </w:rPr>
        <w:t>rumen fermentation and functioning of the rumen wall. Anim. Feed Sci. Technol. 143:</w:t>
      </w:r>
      <w:r>
        <w:rPr>
          <w:spacing w:val="-4"/>
          <w:sz w:val="24"/>
        </w:rPr>
        <w:t> </w:t>
      </w:r>
      <w:r>
        <w:rPr>
          <w:sz w:val="24"/>
        </w:rPr>
        <w:t>3–26.</w:t>
      </w:r>
    </w:p>
    <w:p>
      <w:pPr>
        <w:pStyle w:val="BodyText"/>
        <w:spacing w:line="360" w:lineRule="auto" w:before="2"/>
        <w:ind w:left="1269" w:right="144" w:hanging="993"/>
        <w:jc w:val="both"/>
      </w:pPr>
      <w:r>
        <w:rPr>
          <w:b/>
        </w:rPr>
        <w:t>Banco Mundial. 2010. </w:t>
      </w:r>
      <w:r>
        <w:rPr/>
        <w:t>Desarrollo y cambio climático. Panorama general, un</w:t>
      </w:r>
      <w:r>
        <w:rPr>
          <w:spacing w:val="-25"/>
        </w:rPr>
        <w:t> </w:t>
      </w:r>
      <w:r>
        <w:rPr/>
        <w:t>nuevo clima para el desarrollo. Informe sobre el desarrollo mundial 2010. Banco Mundial. Washington, DC. pp. 40.</w:t>
      </w:r>
    </w:p>
    <w:p>
      <w:pPr>
        <w:pStyle w:val="Heading6"/>
        <w:spacing w:line="360" w:lineRule="auto" w:before="2"/>
        <w:ind w:left="1269" w:right="144" w:hanging="993"/>
      </w:pPr>
      <w:r>
        <w:rPr/>
        <w:t>Barker, T.; Bashmakov, I.; Bernstein, L.; Bogner, J. E.; Bosch, P. R.; Dave, R.; Davidson,</w:t>
      </w:r>
      <w:r>
        <w:rPr>
          <w:spacing w:val="-9"/>
        </w:rPr>
        <w:t> </w:t>
      </w:r>
      <w:r>
        <w:rPr/>
        <w:t>O.</w:t>
      </w:r>
      <w:r>
        <w:rPr>
          <w:spacing w:val="-9"/>
        </w:rPr>
        <w:t> </w:t>
      </w:r>
      <w:r>
        <w:rPr/>
        <w:t>R.;</w:t>
      </w:r>
      <w:r>
        <w:rPr>
          <w:spacing w:val="-9"/>
        </w:rPr>
        <w:t> </w:t>
      </w:r>
      <w:r>
        <w:rPr/>
        <w:t>Fisher,</w:t>
      </w:r>
      <w:r>
        <w:rPr>
          <w:spacing w:val="-9"/>
        </w:rPr>
        <w:t> </w:t>
      </w:r>
      <w:r>
        <w:rPr/>
        <w:t>B.</w:t>
      </w:r>
      <w:r>
        <w:rPr>
          <w:spacing w:val="-9"/>
        </w:rPr>
        <w:t> </w:t>
      </w:r>
      <w:r>
        <w:rPr/>
        <w:t>S.;</w:t>
      </w:r>
      <w:r>
        <w:rPr>
          <w:spacing w:val="-9"/>
        </w:rPr>
        <w:t> </w:t>
      </w:r>
      <w:r>
        <w:rPr/>
        <w:t>Gupta,</w:t>
      </w:r>
      <w:r>
        <w:rPr>
          <w:spacing w:val="-9"/>
        </w:rPr>
        <w:t> </w:t>
      </w:r>
      <w:r>
        <w:rPr/>
        <w:t>S.;</w:t>
      </w:r>
      <w:r>
        <w:rPr>
          <w:spacing w:val="-9"/>
        </w:rPr>
        <w:t> </w:t>
      </w:r>
      <w:r>
        <w:rPr/>
        <w:t>Halsnæs,</w:t>
      </w:r>
      <w:r>
        <w:rPr>
          <w:spacing w:val="-9"/>
        </w:rPr>
        <w:t> </w:t>
      </w:r>
      <w:r>
        <w:rPr/>
        <w:t>K.;</w:t>
      </w:r>
      <w:r>
        <w:rPr>
          <w:spacing w:val="-9"/>
        </w:rPr>
        <w:t> </w:t>
      </w:r>
      <w:r>
        <w:rPr/>
        <w:t>Heij,</w:t>
      </w:r>
      <w:r>
        <w:rPr>
          <w:spacing w:val="-9"/>
        </w:rPr>
        <w:t> </w:t>
      </w:r>
      <w:r>
        <w:rPr/>
        <w:t>G.J.;</w:t>
      </w:r>
      <w:r>
        <w:rPr>
          <w:spacing w:val="-9"/>
        </w:rPr>
        <w:t> </w:t>
      </w:r>
      <w:r>
        <w:rPr/>
        <w:t>Kahn Ribeiro, S.; Kobayashi, S.; Levine, M. D.; Martino, D. L.; Masera, O.; Metz,</w:t>
      </w:r>
      <w:r>
        <w:rPr>
          <w:spacing w:val="38"/>
        </w:rPr>
        <w:t> </w:t>
      </w:r>
      <w:r>
        <w:rPr/>
        <w:t>B.;</w:t>
      </w:r>
      <w:r>
        <w:rPr>
          <w:spacing w:val="38"/>
        </w:rPr>
        <w:t> </w:t>
      </w:r>
      <w:r>
        <w:rPr/>
        <w:t>Meyer,</w:t>
      </w:r>
      <w:r>
        <w:rPr>
          <w:spacing w:val="38"/>
        </w:rPr>
        <w:t> </w:t>
      </w:r>
      <w:r>
        <w:rPr/>
        <w:t>L.</w:t>
      </w:r>
      <w:r>
        <w:rPr>
          <w:spacing w:val="38"/>
        </w:rPr>
        <w:t> </w:t>
      </w:r>
      <w:r>
        <w:rPr/>
        <w:t>A.;</w:t>
      </w:r>
      <w:r>
        <w:rPr>
          <w:spacing w:val="38"/>
        </w:rPr>
        <w:t> </w:t>
      </w:r>
      <w:r>
        <w:rPr/>
        <w:t>Nabuurs,</w:t>
      </w:r>
      <w:r>
        <w:rPr>
          <w:spacing w:val="38"/>
        </w:rPr>
        <w:t> </w:t>
      </w:r>
      <w:r>
        <w:rPr/>
        <w:t>G.</w:t>
      </w:r>
      <w:r>
        <w:rPr>
          <w:spacing w:val="38"/>
        </w:rPr>
        <w:t> </w:t>
      </w:r>
      <w:r>
        <w:rPr/>
        <w:t>J.;</w:t>
      </w:r>
      <w:r>
        <w:rPr>
          <w:spacing w:val="38"/>
        </w:rPr>
        <w:t> </w:t>
      </w:r>
      <w:r>
        <w:rPr/>
        <w:t>Najam,</w:t>
      </w:r>
      <w:r>
        <w:rPr>
          <w:spacing w:val="38"/>
        </w:rPr>
        <w:t> </w:t>
      </w:r>
      <w:r>
        <w:rPr/>
        <w:t>A.;</w:t>
      </w:r>
      <w:r>
        <w:rPr>
          <w:spacing w:val="38"/>
        </w:rPr>
        <w:t> </w:t>
      </w:r>
      <w:r>
        <w:rPr/>
        <w:t>Nakicenovic,</w:t>
      </w:r>
      <w:r>
        <w:rPr>
          <w:spacing w:val="38"/>
        </w:rPr>
        <w:t> </w:t>
      </w:r>
      <w:r>
        <w:rPr/>
        <w:t>N.;</w:t>
      </w:r>
    </w:p>
    <w:p>
      <w:pPr>
        <w:spacing w:line="360" w:lineRule="auto" w:before="2"/>
        <w:ind w:left="1269" w:right="145" w:firstLine="0"/>
        <w:jc w:val="both"/>
        <w:rPr>
          <w:sz w:val="24"/>
        </w:rPr>
      </w:pPr>
      <w:r>
        <w:rPr>
          <w:b/>
          <w:sz w:val="24"/>
        </w:rPr>
        <w:t>Rogner,</w:t>
      </w:r>
      <w:r>
        <w:rPr>
          <w:b/>
          <w:spacing w:val="-5"/>
          <w:sz w:val="24"/>
        </w:rPr>
        <w:t> </w:t>
      </w:r>
      <w:r>
        <w:rPr>
          <w:b/>
          <w:sz w:val="24"/>
        </w:rPr>
        <w:t>H.</w:t>
      </w:r>
      <w:r>
        <w:rPr>
          <w:b/>
          <w:spacing w:val="-5"/>
          <w:sz w:val="24"/>
        </w:rPr>
        <w:t> </w:t>
      </w:r>
      <w:r>
        <w:rPr>
          <w:b/>
          <w:sz w:val="24"/>
        </w:rPr>
        <w:t>H.;</w:t>
      </w:r>
      <w:r>
        <w:rPr>
          <w:b/>
          <w:spacing w:val="-5"/>
          <w:sz w:val="24"/>
        </w:rPr>
        <w:t> </w:t>
      </w:r>
      <w:r>
        <w:rPr>
          <w:b/>
          <w:sz w:val="24"/>
        </w:rPr>
        <w:t>Roy,</w:t>
      </w:r>
      <w:r>
        <w:rPr>
          <w:b/>
          <w:spacing w:val="-5"/>
          <w:sz w:val="24"/>
        </w:rPr>
        <w:t> </w:t>
      </w:r>
      <w:r>
        <w:rPr>
          <w:b/>
          <w:sz w:val="24"/>
        </w:rPr>
        <w:t>J.;</w:t>
      </w:r>
      <w:r>
        <w:rPr>
          <w:b/>
          <w:spacing w:val="-5"/>
          <w:sz w:val="24"/>
        </w:rPr>
        <w:t> </w:t>
      </w:r>
      <w:r>
        <w:rPr>
          <w:b/>
          <w:sz w:val="24"/>
        </w:rPr>
        <w:t>Sathaye,</w:t>
      </w:r>
      <w:r>
        <w:rPr>
          <w:b/>
          <w:spacing w:val="-5"/>
          <w:sz w:val="24"/>
        </w:rPr>
        <w:t> </w:t>
      </w:r>
      <w:r>
        <w:rPr>
          <w:b/>
          <w:sz w:val="24"/>
        </w:rPr>
        <w:t>J.;</w:t>
      </w:r>
      <w:r>
        <w:rPr>
          <w:b/>
          <w:spacing w:val="-5"/>
          <w:sz w:val="24"/>
        </w:rPr>
        <w:t> </w:t>
      </w:r>
      <w:r>
        <w:rPr>
          <w:b/>
          <w:sz w:val="24"/>
        </w:rPr>
        <w:t>Schock,</w:t>
      </w:r>
      <w:r>
        <w:rPr>
          <w:b/>
          <w:spacing w:val="-5"/>
          <w:sz w:val="24"/>
        </w:rPr>
        <w:t> </w:t>
      </w:r>
      <w:r>
        <w:rPr>
          <w:b/>
          <w:sz w:val="24"/>
        </w:rPr>
        <w:t>R.;</w:t>
      </w:r>
      <w:r>
        <w:rPr>
          <w:b/>
          <w:spacing w:val="-5"/>
          <w:sz w:val="24"/>
        </w:rPr>
        <w:t> </w:t>
      </w:r>
      <w:r>
        <w:rPr>
          <w:b/>
          <w:sz w:val="24"/>
        </w:rPr>
        <w:t>Shukla,</w:t>
      </w:r>
      <w:r>
        <w:rPr>
          <w:b/>
          <w:spacing w:val="-5"/>
          <w:sz w:val="24"/>
        </w:rPr>
        <w:t> </w:t>
      </w:r>
      <w:r>
        <w:rPr>
          <w:b/>
          <w:sz w:val="24"/>
        </w:rPr>
        <w:t>P.;</w:t>
      </w:r>
      <w:r>
        <w:rPr>
          <w:b/>
          <w:spacing w:val="-5"/>
          <w:sz w:val="24"/>
        </w:rPr>
        <w:t> </w:t>
      </w:r>
      <w:r>
        <w:rPr>
          <w:b/>
          <w:sz w:val="24"/>
        </w:rPr>
        <w:t>Sims,</w:t>
      </w:r>
      <w:r>
        <w:rPr>
          <w:b/>
          <w:spacing w:val="-5"/>
          <w:sz w:val="24"/>
        </w:rPr>
        <w:t> </w:t>
      </w:r>
      <w:r>
        <w:rPr>
          <w:b/>
          <w:sz w:val="24"/>
        </w:rPr>
        <w:t>R.</w:t>
      </w:r>
      <w:r>
        <w:rPr>
          <w:b/>
          <w:spacing w:val="-5"/>
          <w:sz w:val="24"/>
        </w:rPr>
        <w:t> </w:t>
      </w:r>
      <w:r>
        <w:rPr>
          <w:b/>
          <w:sz w:val="24"/>
        </w:rPr>
        <w:t>E. H.;</w:t>
      </w:r>
      <w:r>
        <w:rPr>
          <w:b/>
          <w:spacing w:val="-5"/>
          <w:sz w:val="24"/>
        </w:rPr>
        <w:t> </w:t>
      </w:r>
      <w:r>
        <w:rPr>
          <w:b/>
          <w:sz w:val="24"/>
        </w:rPr>
        <w:t>Smith,</w:t>
      </w:r>
      <w:r>
        <w:rPr>
          <w:b/>
          <w:spacing w:val="-5"/>
          <w:sz w:val="24"/>
        </w:rPr>
        <w:t> </w:t>
      </w:r>
      <w:r>
        <w:rPr>
          <w:b/>
          <w:sz w:val="24"/>
        </w:rPr>
        <w:t>P.;</w:t>
      </w:r>
      <w:r>
        <w:rPr>
          <w:b/>
          <w:spacing w:val="-5"/>
          <w:sz w:val="24"/>
        </w:rPr>
        <w:t> </w:t>
      </w:r>
      <w:r>
        <w:rPr>
          <w:b/>
          <w:sz w:val="24"/>
        </w:rPr>
        <w:t>Tirpak,</w:t>
      </w:r>
      <w:r>
        <w:rPr>
          <w:b/>
          <w:spacing w:val="-5"/>
          <w:sz w:val="24"/>
        </w:rPr>
        <w:t> </w:t>
      </w:r>
      <w:r>
        <w:rPr>
          <w:b/>
          <w:sz w:val="24"/>
        </w:rPr>
        <w:t>D.</w:t>
      </w:r>
      <w:r>
        <w:rPr>
          <w:b/>
          <w:spacing w:val="-5"/>
          <w:sz w:val="24"/>
        </w:rPr>
        <w:t> </w:t>
      </w:r>
      <w:r>
        <w:rPr>
          <w:b/>
          <w:sz w:val="24"/>
        </w:rPr>
        <w:t>A.</w:t>
      </w:r>
      <w:r>
        <w:rPr>
          <w:b/>
          <w:spacing w:val="-4"/>
          <w:sz w:val="24"/>
        </w:rPr>
        <w:t> </w:t>
      </w:r>
      <w:r>
        <w:rPr>
          <w:b/>
          <w:sz w:val="24"/>
        </w:rPr>
        <w:t>Urge-Vorsatz,</w:t>
      </w:r>
      <w:r>
        <w:rPr>
          <w:b/>
          <w:spacing w:val="-5"/>
          <w:sz w:val="24"/>
        </w:rPr>
        <w:t> </w:t>
      </w:r>
      <w:r>
        <w:rPr>
          <w:b/>
          <w:sz w:val="24"/>
        </w:rPr>
        <w:t>D.</w:t>
      </w:r>
      <w:r>
        <w:rPr>
          <w:b/>
          <w:spacing w:val="-5"/>
          <w:sz w:val="24"/>
        </w:rPr>
        <w:t> </w:t>
      </w:r>
      <w:r>
        <w:rPr>
          <w:b/>
          <w:sz w:val="24"/>
        </w:rPr>
        <w:t>y</w:t>
      </w:r>
      <w:r>
        <w:rPr>
          <w:b/>
          <w:spacing w:val="-5"/>
          <w:sz w:val="24"/>
        </w:rPr>
        <w:t> </w:t>
      </w:r>
      <w:r>
        <w:rPr>
          <w:b/>
          <w:sz w:val="24"/>
        </w:rPr>
        <w:t>Zhou,</w:t>
      </w:r>
      <w:r>
        <w:rPr>
          <w:b/>
          <w:spacing w:val="-5"/>
          <w:sz w:val="24"/>
        </w:rPr>
        <w:t> </w:t>
      </w:r>
      <w:r>
        <w:rPr>
          <w:b/>
          <w:sz w:val="24"/>
        </w:rPr>
        <w:t>D.</w:t>
      </w:r>
      <w:r>
        <w:rPr>
          <w:b/>
          <w:spacing w:val="-5"/>
          <w:sz w:val="24"/>
        </w:rPr>
        <w:t> </w:t>
      </w:r>
      <w:r>
        <w:rPr>
          <w:b/>
          <w:sz w:val="24"/>
        </w:rPr>
        <w:t>2007.</w:t>
      </w:r>
      <w:r>
        <w:rPr>
          <w:b/>
          <w:spacing w:val="-5"/>
          <w:sz w:val="24"/>
        </w:rPr>
        <w:t> </w:t>
      </w:r>
      <w:r>
        <w:rPr>
          <w:sz w:val="24"/>
        </w:rPr>
        <w:t>Technical Summary. In: Climate Change 2007: Mitigation. Contribution of working group</w:t>
      </w:r>
      <w:r>
        <w:rPr>
          <w:spacing w:val="-5"/>
          <w:sz w:val="24"/>
        </w:rPr>
        <w:t> </w:t>
      </w:r>
      <w:r>
        <w:rPr>
          <w:sz w:val="24"/>
        </w:rPr>
        <w:t>III</w:t>
      </w:r>
      <w:r>
        <w:rPr>
          <w:spacing w:val="-5"/>
          <w:sz w:val="24"/>
        </w:rPr>
        <w:t> </w:t>
      </w:r>
      <w:r>
        <w:rPr>
          <w:sz w:val="24"/>
        </w:rPr>
        <w:t>to</w:t>
      </w:r>
      <w:r>
        <w:rPr>
          <w:spacing w:val="-5"/>
          <w:sz w:val="24"/>
        </w:rPr>
        <w:t> </w:t>
      </w:r>
      <w:r>
        <w:rPr>
          <w:sz w:val="24"/>
        </w:rPr>
        <w:t>the</w:t>
      </w:r>
      <w:r>
        <w:rPr>
          <w:spacing w:val="-5"/>
          <w:sz w:val="24"/>
        </w:rPr>
        <w:t> </w:t>
      </w:r>
      <w:r>
        <w:rPr>
          <w:sz w:val="24"/>
        </w:rPr>
        <w:t>Fourth</w:t>
      </w:r>
      <w:r>
        <w:rPr>
          <w:spacing w:val="-5"/>
          <w:sz w:val="24"/>
        </w:rPr>
        <w:t> </w:t>
      </w:r>
      <w:r>
        <w:rPr>
          <w:sz w:val="24"/>
        </w:rPr>
        <w:t>Assessment</w:t>
      </w:r>
      <w:r>
        <w:rPr>
          <w:spacing w:val="-5"/>
          <w:sz w:val="24"/>
        </w:rPr>
        <w:t> </w:t>
      </w:r>
      <w:r>
        <w:rPr>
          <w:sz w:val="24"/>
        </w:rPr>
        <w:t>Report</w:t>
      </w:r>
      <w:r>
        <w:rPr>
          <w:spacing w:val="-5"/>
          <w:sz w:val="24"/>
        </w:rPr>
        <w:t> </w:t>
      </w:r>
      <w:r>
        <w:rPr>
          <w:sz w:val="24"/>
        </w:rPr>
        <w:t>of</w:t>
      </w:r>
      <w:r>
        <w:rPr>
          <w:spacing w:val="-5"/>
          <w:sz w:val="24"/>
        </w:rPr>
        <w:t> </w:t>
      </w:r>
      <w:r>
        <w:rPr>
          <w:sz w:val="24"/>
        </w:rPr>
        <w:t>Intergovernamental</w:t>
      </w:r>
      <w:r>
        <w:rPr>
          <w:spacing w:val="-5"/>
          <w:sz w:val="24"/>
        </w:rPr>
        <w:t> </w:t>
      </w:r>
      <w:r>
        <w:rPr>
          <w:sz w:val="24"/>
        </w:rPr>
        <w:t>Panel</w:t>
      </w:r>
      <w:r>
        <w:rPr>
          <w:spacing w:val="-5"/>
          <w:sz w:val="24"/>
        </w:rPr>
        <w:t> </w:t>
      </w:r>
      <w:r>
        <w:rPr>
          <w:sz w:val="24"/>
        </w:rPr>
        <w:t>on Climate Change [Metz B, Davidson OR, Bosch PR, DaveR, Meyer LA, editors]. Cambridge University Press, Cambridge, United Kingdom and New York, NY, USA. P.</w:t>
      </w:r>
      <w:r>
        <w:rPr>
          <w:spacing w:val="-1"/>
          <w:sz w:val="24"/>
        </w:rPr>
        <w:t> </w:t>
      </w:r>
      <w:r>
        <w:rPr>
          <w:sz w:val="24"/>
        </w:rPr>
        <w:t>25-93.</w:t>
      </w:r>
    </w:p>
    <w:p>
      <w:pPr>
        <w:spacing w:line="360" w:lineRule="auto" w:before="7"/>
        <w:ind w:left="1269" w:right="144" w:hanging="993"/>
        <w:jc w:val="both"/>
        <w:rPr>
          <w:sz w:val="24"/>
        </w:rPr>
      </w:pPr>
      <w:r>
        <w:rPr>
          <w:b/>
          <w:sz w:val="24"/>
        </w:rPr>
        <w:t>Beauchemin,</w:t>
      </w:r>
      <w:r>
        <w:rPr>
          <w:b/>
          <w:spacing w:val="-15"/>
          <w:sz w:val="24"/>
        </w:rPr>
        <w:t> </w:t>
      </w:r>
      <w:r>
        <w:rPr>
          <w:b/>
          <w:sz w:val="24"/>
        </w:rPr>
        <w:t>K.</w:t>
      </w:r>
      <w:r>
        <w:rPr>
          <w:b/>
          <w:spacing w:val="-15"/>
          <w:sz w:val="24"/>
        </w:rPr>
        <w:t> </w:t>
      </w:r>
      <w:r>
        <w:rPr>
          <w:b/>
          <w:sz w:val="24"/>
        </w:rPr>
        <w:t>A.</w:t>
      </w:r>
      <w:r>
        <w:rPr>
          <w:b/>
          <w:spacing w:val="-15"/>
          <w:sz w:val="24"/>
        </w:rPr>
        <w:t> </w:t>
      </w:r>
      <w:r>
        <w:rPr>
          <w:b/>
          <w:sz w:val="24"/>
        </w:rPr>
        <w:t>and</w:t>
      </w:r>
      <w:r>
        <w:rPr>
          <w:b/>
          <w:spacing w:val="-15"/>
          <w:sz w:val="24"/>
        </w:rPr>
        <w:t> </w:t>
      </w:r>
      <w:r>
        <w:rPr>
          <w:b/>
          <w:sz w:val="24"/>
        </w:rPr>
        <w:t>McGinn,</w:t>
      </w:r>
      <w:r>
        <w:rPr>
          <w:b/>
          <w:spacing w:val="-15"/>
          <w:sz w:val="24"/>
        </w:rPr>
        <w:t> </w:t>
      </w:r>
      <w:r>
        <w:rPr>
          <w:b/>
          <w:sz w:val="24"/>
        </w:rPr>
        <w:t>S.</w:t>
      </w:r>
      <w:r>
        <w:rPr>
          <w:b/>
          <w:spacing w:val="-15"/>
          <w:sz w:val="24"/>
        </w:rPr>
        <w:t> </w:t>
      </w:r>
      <w:r>
        <w:rPr>
          <w:b/>
          <w:sz w:val="24"/>
        </w:rPr>
        <w:t>M.</w:t>
      </w:r>
      <w:r>
        <w:rPr>
          <w:b/>
          <w:spacing w:val="-15"/>
          <w:sz w:val="24"/>
        </w:rPr>
        <w:t> </w:t>
      </w:r>
      <w:r>
        <w:rPr>
          <w:b/>
          <w:sz w:val="24"/>
        </w:rPr>
        <w:t>2005.</w:t>
      </w:r>
      <w:r>
        <w:rPr>
          <w:b/>
          <w:spacing w:val="-15"/>
          <w:sz w:val="24"/>
        </w:rPr>
        <w:t> </w:t>
      </w:r>
      <w:r>
        <w:rPr>
          <w:sz w:val="24"/>
        </w:rPr>
        <w:t>Methane</w:t>
      </w:r>
      <w:r>
        <w:rPr>
          <w:spacing w:val="-15"/>
          <w:sz w:val="24"/>
        </w:rPr>
        <w:t> </w:t>
      </w:r>
      <w:r>
        <w:rPr>
          <w:sz w:val="24"/>
        </w:rPr>
        <w:t>emissions</w:t>
      </w:r>
      <w:r>
        <w:rPr>
          <w:spacing w:val="-15"/>
          <w:sz w:val="24"/>
        </w:rPr>
        <w:t> </w:t>
      </w:r>
      <w:r>
        <w:rPr>
          <w:sz w:val="24"/>
        </w:rPr>
        <w:t>from</w:t>
      </w:r>
      <w:r>
        <w:rPr>
          <w:spacing w:val="-15"/>
          <w:sz w:val="24"/>
        </w:rPr>
        <w:t> </w:t>
      </w:r>
      <w:r>
        <w:rPr>
          <w:sz w:val="24"/>
        </w:rPr>
        <w:t>feedlot</w:t>
      </w:r>
      <w:r>
        <w:rPr>
          <w:spacing w:val="-15"/>
          <w:sz w:val="24"/>
        </w:rPr>
        <w:t> </w:t>
      </w:r>
      <w:r>
        <w:rPr>
          <w:sz w:val="24"/>
        </w:rPr>
        <w:t>cattle fed barley or corn diets. J. Anim. Sci., 83:</w:t>
      </w:r>
      <w:r>
        <w:rPr>
          <w:spacing w:val="-1"/>
          <w:sz w:val="24"/>
        </w:rPr>
        <w:t> </w:t>
      </w:r>
      <w:r>
        <w:rPr>
          <w:sz w:val="24"/>
        </w:rPr>
        <w:t>653-661.</w:t>
      </w:r>
    </w:p>
    <w:p>
      <w:pPr>
        <w:spacing w:line="360" w:lineRule="auto" w:before="2"/>
        <w:ind w:left="1269" w:right="144" w:hanging="993"/>
        <w:jc w:val="both"/>
        <w:rPr>
          <w:sz w:val="24"/>
        </w:rPr>
      </w:pPr>
      <w:r>
        <w:rPr>
          <w:b/>
          <w:sz w:val="24"/>
        </w:rPr>
        <w:t>Beauchemin, K. A. and McGinn, S. M. 2006. </w:t>
      </w:r>
      <w:r>
        <w:rPr>
          <w:sz w:val="24"/>
        </w:rPr>
        <w:t>Methane emission from beef cattle: effects</w:t>
      </w:r>
      <w:r>
        <w:rPr>
          <w:spacing w:val="-5"/>
          <w:sz w:val="24"/>
        </w:rPr>
        <w:t> </w:t>
      </w:r>
      <w:r>
        <w:rPr>
          <w:sz w:val="24"/>
        </w:rPr>
        <w:t>of</w:t>
      </w:r>
      <w:r>
        <w:rPr>
          <w:spacing w:val="-5"/>
          <w:sz w:val="24"/>
        </w:rPr>
        <w:t> </w:t>
      </w:r>
      <w:r>
        <w:rPr>
          <w:sz w:val="24"/>
        </w:rPr>
        <w:t>fumaric</w:t>
      </w:r>
      <w:r>
        <w:rPr>
          <w:spacing w:val="-5"/>
          <w:sz w:val="24"/>
        </w:rPr>
        <w:t> </w:t>
      </w:r>
      <w:r>
        <w:rPr>
          <w:sz w:val="24"/>
        </w:rPr>
        <w:t>acid,</w:t>
      </w:r>
      <w:r>
        <w:rPr>
          <w:spacing w:val="-5"/>
          <w:sz w:val="24"/>
        </w:rPr>
        <w:t> </w:t>
      </w:r>
      <w:r>
        <w:rPr>
          <w:sz w:val="24"/>
        </w:rPr>
        <w:t>essential</w:t>
      </w:r>
      <w:r>
        <w:rPr>
          <w:spacing w:val="-5"/>
          <w:sz w:val="24"/>
        </w:rPr>
        <w:t> </w:t>
      </w:r>
      <w:r>
        <w:rPr>
          <w:sz w:val="24"/>
        </w:rPr>
        <w:t>oil</w:t>
      </w:r>
      <w:r>
        <w:rPr>
          <w:spacing w:val="-5"/>
          <w:sz w:val="24"/>
        </w:rPr>
        <w:t> </w:t>
      </w:r>
      <w:r>
        <w:rPr>
          <w:sz w:val="24"/>
        </w:rPr>
        <w:t>and</w:t>
      </w:r>
      <w:r>
        <w:rPr>
          <w:spacing w:val="-5"/>
          <w:sz w:val="24"/>
        </w:rPr>
        <w:t> </w:t>
      </w:r>
      <w:r>
        <w:rPr>
          <w:sz w:val="24"/>
        </w:rPr>
        <w:t>canola</w:t>
      </w:r>
      <w:r>
        <w:rPr>
          <w:spacing w:val="-5"/>
          <w:sz w:val="24"/>
        </w:rPr>
        <w:t> </w:t>
      </w:r>
      <w:r>
        <w:rPr>
          <w:sz w:val="24"/>
        </w:rPr>
        <w:t>oil.</w:t>
      </w:r>
      <w:r>
        <w:rPr>
          <w:spacing w:val="-5"/>
          <w:sz w:val="24"/>
        </w:rPr>
        <w:t> </w:t>
      </w:r>
      <w:r>
        <w:rPr>
          <w:sz w:val="24"/>
        </w:rPr>
        <w:t>J.</w:t>
      </w:r>
      <w:r>
        <w:rPr>
          <w:spacing w:val="-5"/>
          <w:sz w:val="24"/>
        </w:rPr>
        <w:t> </w:t>
      </w:r>
      <w:r>
        <w:rPr>
          <w:sz w:val="24"/>
        </w:rPr>
        <w:t>Anim.</w:t>
      </w:r>
      <w:r>
        <w:rPr>
          <w:spacing w:val="-5"/>
          <w:sz w:val="24"/>
        </w:rPr>
        <w:t> </w:t>
      </w:r>
      <w:r>
        <w:rPr>
          <w:sz w:val="24"/>
        </w:rPr>
        <w:t>Sci.,</w:t>
      </w:r>
      <w:r>
        <w:rPr>
          <w:spacing w:val="-5"/>
          <w:sz w:val="24"/>
        </w:rPr>
        <w:t> </w:t>
      </w:r>
      <w:r>
        <w:rPr>
          <w:sz w:val="24"/>
        </w:rPr>
        <w:t>84:</w:t>
      </w:r>
      <w:r>
        <w:rPr>
          <w:spacing w:val="-4"/>
          <w:sz w:val="24"/>
        </w:rPr>
        <w:t> </w:t>
      </w:r>
      <w:r>
        <w:rPr>
          <w:sz w:val="24"/>
        </w:rPr>
        <w:t>1489- 1496.</w:t>
      </w:r>
    </w:p>
    <w:p>
      <w:pPr>
        <w:spacing w:line="360" w:lineRule="auto" w:before="7"/>
        <w:ind w:left="1269" w:right="144" w:hanging="993"/>
        <w:jc w:val="both"/>
        <w:rPr>
          <w:sz w:val="24"/>
        </w:rPr>
      </w:pPr>
      <w:r>
        <w:rPr>
          <w:b/>
          <w:sz w:val="24"/>
        </w:rPr>
        <w:t>Beauchemin,</w:t>
      </w:r>
      <w:r>
        <w:rPr>
          <w:b/>
          <w:spacing w:val="-5"/>
          <w:sz w:val="24"/>
        </w:rPr>
        <w:t> </w:t>
      </w:r>
      <w:r>
        <w:rPr>
          <w:b/>
          <w:sz w:val="24"/>
        </w:rPr>
        <w:t>K.</w:t>
      </w:r>
      <w:r>
        <w:rPr>
          <w:b/>
          <w:spacing w:val="-7"/>
          <w:sz w:val="24"/>
        </w:rPr>
        <w:t> </w:t>
      </w:r>
      <w:r>
        <w:rPr>
          <w:b/>
          <w:sz w:val="24"/>
        </w:rPr>
        <w:t>A.,</w:t>
      </w:r>
      <w:r>
        <w:rPr>
          <w:b/>
          <w:spacing w:val="-6"/>
          <w:sz w:val="24"/>
        </w:rPr>
        <w:t> </w:t>
      </w:r>
      <w:r>
        <w:rPr>
          <w:b/>
          <w:sz w:val="24"/>
        </w:rPr>
        <w:t>Janzen,</w:t>
      </w:r>
      <w:r>
        <w:rPr>
          <w:b/>
          <w:spacing w:val="-6"/>
          <w:sz w:val="24"/>
        </w:rPr>
        <w:t> </w:t>
      </w:r>
      <w:r>
        <w:rPr>
          <w:b/>
          <w:sz w:val="24"/>
        </w:rPr>
        <w:t>H.</w:t>
      </w:r>
      <w:r>
        <w:rPr>
          <w:b/>
          <w:spacing w:val="-6"/>
          <w:sz w:val="24"/>
        </w:rPr>
        <w:t> </w:t>
      </w:r>
      <w:r>
        <w:rPr>
          <w:b/>
          <w:sz w:val="24"/>
        </w:rPr>
        <w:t>H.,</w:t>
      </w:r>
      <w:r>
        <w:rPr>
          <w:b/>
          <w:spacing w:val="-6"/>
          <w:sz w:val="24"/>
        </w:rPr>
        <w:t> </w:t>
      </w:r>
      <w:r>
        <w:rPr>
          <w:b/>
          <w:sz w:val="24"/>
        </w:rPr>
        <w:t>Little,</w:t>
      </w:r>
      <w:r>
        <w:rPr>
          <w:b/>
          <w:spacing w:val="-6"/>
          <w:sz w:val="24"/>
        </w:rPr>
        <w:t> </w:t>
      </w:r>
      <w:r>
        <w:rPr>
          <w:b/>
          <w:sz w:val="24"/>
        </w:rPr>
        <w:t>S.</w:t>
      </w:r>
      <w:r>
        <w:rPr>
          <w:b/>
          <w:spacing w:val="-6"/>
          <w:sz w:val="24"/>
        </w:rPr>
        <w:t> </w:t>
      </w:r>
      <w:r>
        <w:rPr>
          <w:b/>
          <w:sz w:val="24"/>
        </w:rPr>
        <w:t>M.,</w:t>
      </w:r>
      <w:r>
        <w:rPr>
          <w:b/>
          <w:spacing w:val="-6"/>
          <w:sz w:val="24"/>
        </w:rPr>
        <w:t> </w:t>
      </w:r>
      <w:r>
        <w:rPr>
          <w:b/>
          <w:sz w:val="24"/>
        </w:rPr>
        <w:t>McAllister,</w:t>
      </w:r>
      <w:r>
        <w:rPr>
          <w:b/>
          <w:spacing w:val="-6"/>
          <w:sz w:val="24"/>
        </w:rPr>
        <w:t> </w:t>
      </w:r>
      <w:r>
        <w:rPr>
          <w:b/>
          <w:sz w:val="24"/>
        </w:rPr>
        <w:t>T.</w:t>
      </w:r>
      <w:r>
        <w:rPr>
          <w:b/>
          <w:spacing w:val="-6"/>
          <w:sz w:val="24"/>
        </w:rPr>
        <w:t> </w:t>
      </w:r>
      <w:r>
        <w:rPr>
          <w:b/>
          <w:sz w:val="24"/>
        </w:rPr>
        <w:t>A.</w:t>
      </w:r>
      <w:r>
        <w:rPr>
          <w:b/>
          <w:spacing w:val="-6"/>
          <w:sz w:val="24"/>
        </w:rPr>
        <w:t> </w:t>
      </w:r>
      <w:r>
        <w:rPr>
          <w:b/>
          <w:sz w:val="24"/>
        </w:rPr>
        <w:t>y</w:t>
      </w:r>
      <w:r>
        <w:rPr>
          <w:b/>
          <w:spacing w:val="-6"/>
          <w:sz w:val="24"/>
        </w:rPr>
        <w:t> </w:t>
      </w:r>
      <w:r>
        <w:rPr>
          <w:b/>
          <w:sz w:val="24"/>
        </w:rPr>
        <w:t>McGinn,</w:t>
      </w:r>
      <w:r>
        <w:rPr>
          <w:b/>
          <w:spacing w:val="-6"/>
          <w:sz w:val="24"/>
        </w:rPr>
        <w:t> </w:t>
      </w:r>
      <w:r>
        <w:rPr>
          <w:b/>
          <w:sz w:val="24"/>
        </w:rPr>
        <w:t>S.</w:t>
      </w:r>
      <w:r>
        <w:rPr>
          <w:b/>
          <w:spacing w:val="-6"/>
          <w:sz w:val="24"/>
        </w:rPr>
        <w:t> </w:t>
      </w:r>
      <w:r>
        <w:rPr>
          <w:b/>
          <w:sz w:val="24"/>
        </w:rPr>
        <w:t>M. 2011. </w:t>
      </w:r>
      <w:r>
        <w:rPr>
          <w:sz w:val="24"/>
        </w:rPr>
        <w:t>Mitiga- tion of greenhouse gas emissions from beef production in western Canada – Evaluation using farm-based life cycle assessment. Anim. Feed Sci. Technol. 166–167:</w:t>
      </w:r>
      <w:r>
        <w:rPr>
          <w:spacing w:val="-5"/>
          <w:sz w:val="24"/>
        </w:rPr>
        <w:t> </w:t>
      </w:r>
      <w:r>
        <w:rPr>
          <w:sz w:val="24"/>
        </w:rPr>
        <w:t>663–677.</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spacing w:line="360" w:lineRule="auto" w:before="69"/>
        <w:ind w:left="1269" w:right="144" w:hanging="993"/>
        <w:jc w:val="both"/>
        <w:rPr>
          <w:sz w:val="24"/>
        </w:rPr>
      </w:pPr>
      <w:r>
        <w:rPr>
          <w:b/>
          <w:sz w:val="24"/>
        </w:rPr>
        <w:t>Benchaar,</w:t>
      </w:r>
      <w:r>
        <w:rPr>
          <w:b/>
          <w:spacing w:val="-12"/>
          <w:sz w:val="24"/>
        </w:rPr>
        <w:t> </w:t>
      </w:r>
      <w:r>
        <w:rPr>
          <w:b/>
          <w:sz w:val="24"/>
        </w:rPr>
        <w:t>C.,</w:t>
      </w:r>
      <w:r>
        <w:rPr>
          <w:b/>
          <w:spacing w:val="-12"/>
          <w:sz w:val="24"/>
        </w:rPr>
        <w:t> </w:t>
      </w:r>
      <w:r>
        <w:rPr>
          <w:b/>
          <w:sz w:val="24"/>
        </w:rPr>
        <w:t>Rivest,</w:t>
      </w:r>
      <w:r>
        <w:rPr>
          <w:b/>
          <w:spacing w:val="-12"/>
          <w:sz w:val="24"/>
        </w:rPr>
        <w:t> </w:t>
      </w:r>
      <w:r>
        <w:rPr>
          <w:b/>
          <w:sz w:val="24"/>
        </w:rPr>
        <w:t>J.,</w:t>
      </w:r>
      <w:r>
        <w:rPr>
          <w:b/>
          <w:spacing w:val="-12"/>
          <w:sz w:val="24"/>
        </w:rPr>
        <w:t> </w:t>
      </w:r>
      <w:r>
        <w:rPr>
          <w:b/>
          <w:sz w:val="24"/>
        </w:rPr>
        <w:t>Pomar,</w:t>
      </w:r>
      <w:r>
        <w:rPr>
          <w:b/>
          <w:spacing w:val="-12"/>
          <w:sz w:val="24"/>
        </w:rPr>
        <w:t> </w:t>
      </w:r>
      <w:r>
        <w:rPr>
          <w:b/>
          <w:sz w:val="24"/>
        </w:rPr>
        <w:t>C.</w:t>
      </w:r>
      <w:r>
        <w:rPr>
          <w:b/>
          <w:spacing w:val="-12"/>
          <w:sz w:val="24"/>
        </w:rPr>
        <w:t> </w:t>
      </w:r>
      <w:r>
        <w:rPr>
          <w:b/>
          <w:sz w:val="24"/>
        </w:rPr>
        <w:t>and</w:t>
      </w:r>
      <w:r>
        <w:rPr>
          <w:b/>
          <w:spacing w:val="-12"/>
          <w:sz w:val="24"/>
        </w:rPr>
        <w:t> </w:t>
      </w:r>
      <w:r>
        <w:rPr>
          <w:b/>
          <w:sz w:val="24"/>
        </w:rPr>
        <w:t>Chiquette,</w:t>
      </w:r>
      <w:r>
        <w:rPr>
          <w:b/>
          <w:spacing w:val="-12"/>
          <w:sz w:val="24"/>
        </w:rPr>
        <w:t> </w:t>
      </w:r>
      <w:r>
        <w:rPr>
          <w:b/>
          <w:sz w:val="24"/>
        </w:rPr>
        <w:t>J.</w:t>
      </w:r>
      <w:r>
        <w:rPr>
          <w:b/>
          <w:spacing w:val="-12"/>
          <w:sz w:val="24"/>
        </w:rPr>
        <w:t> </w:t>
      </w:r>
      <w:r>
        <w:rPr>
          <w:b/>
          <w:sz w:val="24"/>
        </w:rPr>
        <w:t>1998.</w:t>
      </w:r>
      <w:r>
        <w:rPr>
          <w:b/>
          <w:spacing w:val="-12"/>
          <w:sz w:val="24"/>
        </w:rPr>
        <w:t> </w:t>
      </w:r>
      <w:r>
        <w:rPr>
          <w:sz w:val="24"/>
        </w:rPr>
        <w:t>Prediction</w:t>
      </w:r>
      <w:r>
        <w:rPr>
          <w:spacing w:val="-12"/>
          <w:sz w:val="24"/>
        </w:rPr>
        <w:t> </w:t>
      </w:r>
      <w:r>
        <w:rPr>
          <w:sz w:val="24"/>
        </w:rPr>
        <w:t>of</w:t>
      </w:r>
      <w:r>
        <w:rPr>
          <w:spacing w:val="-12"/>
          <w:sz w:val="24"/>
        </w:rPr>
        <w:t> </w:t>
      </w:r>
      <w:r>
        <w:rPr>
          <w:sz w:val="24"/>
        </w:rPr>
        <w:t>methane production from dairy cows using existing mechanistic models and regression equations. J. Anim. Sci., 76:</w:t>
      </w:r>
      <w:r>
        <w:rPr>
          <w:spacing w:val="-1"/>
          <w:sz w:val="24"/>
        </w:rPr>
        <w:t> </w:t>
      </w:r>
      <w:r>
        <w:rPr>
          <w:sz w:val="24"/>
        </w:rPr>
        <w:t>617-627.</w:t>
      </w:r>
    </w:p>
    <w:p>
      <w:pPr>
        <w:pStyle w:val="BodyText"/>
        <w:tabs>
          <w:tab w:pos="2512" w:val="left" w:leader="none"/>
          <w:tab w:pos="3529" w:val="left" w:leader="none"/>
          <w:tab w:pos="4719" w:val="left" w:leader="none"/>
          <w:tab w:pos="6842" w:val="left" w:leader="none"/>
          <w:tab w:pos="8780" w:val="left" w:leader="none"/>
        </w:tabs>
        <w:spacing w:line="360" w:lineRule="auto" w:before="2"/>
        <w:ind w:left="1269" w:right="144" w:hanging="993"/>
        <w:jc w:val="both"/>
      </w:pPr>
      <w:r>
        <w:rPr>
          <w:b/>
        </w:rPr>
        <w:t>Berra,</w:t>
      </w:r>
      <w:r>
        <w:rPr>
          <w:b/>
          <w:spacing w:val="-11"/>
        </w:rPr>
        <w:t> </w:t>
      </w:r>
      <w:r>
        <w:rPr>
          <w:b/>
        </w:rPr>
        <w:t>G.</w:t>
      </w:r>
      <w:r>
        <w:rPr>
          <w:b/>
          <w:spacing w:val="-11"/>
        </w:rPr>
        <w:t> </w:t>
      </w:r>
      <w:r>
        <w:rPr>
          <w:b/>
        </w:rPr>
        <w:t>y</w:t>
      </w:r>
      <w:r>
        <w:rPr>
          <w:b/>
          <w:spacing w:val="-11"/>
        </w:rPr>
        <w:t> </w:t>
      </w:r>
      <w:r>
        <w:rPr>
          <w:b/>
        </w:rPr>
        <w:t>Finster.</w:t>
      </w:r>
      <w:r>
        <w:rPr>
          <w:b/>
          <w:spacing w:val="-11"/>
        </w:rPr>
        <w:t> </w:t>
      </w:r>
      <w:r>
        <w:rPr>
          <w:b/>
        </w:rPr>
        <w:t>L.</w:t>
      </w:r>
      <w:r>
        <w:rPr>
          <w:b/>
          <w:spacing w:val="-11"/>
        </w:rPr>
        <w:t> </w:t>
      </w:r>
      <w:r>
        <w:rPr>
          <w:b/>
        </w:rPr>
        <w:t>2002.</w:t>
      </w:r>
      <w:r>
        <w:rPr>
          <w:b/>
          <w:spacing w:val="-10"/>
        </w:rPr>
        <w:t> </w:t>
      </w:r>
      <w:r>
        <w:rPr/>
        <w:t>Emisiones</w:t>
      </w:r>
      <w:r>
        <w:rPr>
          <w:spacing w:val="-11"/>
        </w:rPr>
        <w:t> </w:t>
      </w:r>
      <w:r>
        <w:rPr/>
        <w:t>de</w:t>
      </w:r>
      <w:r>
        <w:rPr>
          <w:spacing w:val="-11"/>
        </w:rPr>
        <w:t> </w:t>
      </w:r>
      <w:r>
        <w:rPr/>
        <w:t>Gases</w:t>
      </w:r>
      <w:r>
        <w:rPr>
          <w:spacing w:val="-11"/>
        </w:rPr>
        <w:t> </w:t>
      </w:r>
      <w:r>
        <w:rPr/>
        <w:t>de</w:t>
      </w:r>
      <w:r>
        <w:rPr>
          <w:spacing w:val="-11"/>
        </w:rPr>
        <w:t> </w:t>
      </w:r>
      <w:r>
        <w:rPr/>
        <w:t>Efecto</w:t>
      </w:r>
      <w:r>
        <w:rPr>
          <w:spacing w:val="-11"/>
        </w:rPr>
        <w:t> </w:t>
      </w:r>
      <w:r>
        <w:rPr/>
        <w:t>Invernadero;</w:t>
      </w:r>
      <w:r>
        <w:rPr>
          <w:spacing w:val="-11"/>
        </w:rPr>
        <w:t> </w:t>
      </w:r>
      <w:r>
        <w:rPr/>
        <w:t>Influencia de la ganadería argentina. Cadena de la Carne Vacuna. Revista IDIA</w:t>
      </w:r>
      <w:r>
        <w:rPr>
          <w:spacing w:val="-44"/>
        </w:rPr>
        <w:t> </w:t>
      </w:r>
      <w:r>
        <w:rPr/>
        <w:t>XXI, Año</w:t>
        <w:tab/>
        <w:t>II,</w:t>
        <w:tab/>
        <w:t>No.</w:t>
        <w:tab/>
        <w:t>(2):212-215.</w:t>
        <w:tab/>
        <w:t>Disponible</w:t>
        <w:tab/>
        <w:t>en: </w:t>
      </w:r>
      <w:hyperlink r:id="rId173">
        <w:r>
          <w:rPr>
            <w:color w:val="0000FF"/>
            <w:u w:val="single" w:color="0000FF"/>
          </w:rPr>
          <w:t>http://www.inta.gov.ar/ediciones/idia/carne/IDIA_2.pdf</w:t>
        </w:r>
        <w:r>
          <w:rPr/>
          <w:t>.</w:t>
        </w:r>
      </w:hyperlink>
    </w:p>
    <w:p>
      <w:pPr>
        <w:spacing w:line="360" w:lineRule="auto" w:before="2"/>
        <w:ind w:left="1269" w:right="144" w:hanging="993"/>
        <w:jc w:val="both"/>
        <w:rPr>
          <w:sz w:val="24"/>
        </w:rPr>
      </w:pPr>
      <w:r>
        <w:rPr>
          <w:b/>
          <w:sz w:val="24"/>
        </w:rPr>
        <w:t>Berra, G., Finster, L. y Valtorta, S. E. 2009. </w:t>
      </w:r>
      <w:r>
        <w:rPr>
          <w:sz w:val="24"/>
        </w:rPr>
        <w:t>Una técnica sencilla para la medición de emisiones de metano entérico en vacas. Revista FAVE - Ciencias Veterinarias 8 (1): 49-56.</w:t>
      </w:r>
    </w:p>
    <w:p>
      <w:pPr>
        <w:pStyle w:val="BodyText"/>
        <w:tabs>
          <w:tab w:pos="5271" w:val="left" w:leader="none"/>
          <w:tab w:pos="8780" w:val="left" w:leader="none"/>
        </w:tabs>
        <w:spacing w:line="360" w:lineRule="auto" w:before="2"/>
        <w:ind w:left="1269" w:right="144" w:hanging="993"/>
        <w:jc w:val="both"/>
      </w:pPr>
      <w:r>
        <w:rPr>
          <w:b/>
        </w:rPr>
        <w:t>Berra, G. 2011. </w:t>
      </w:r>
      <w:r>
        <w:rPr/>
        <w:t>Ganadería y efecto invernadero: Mejor producción, menos contaminación.</w:t>
        <w:tab/>
        <w:t>Disponible</w:t>
        <w:tab/>
        <w:t>en: </w:t>
      </w:r>
      <w:hyperlink r:id="rId208">
        <w:r>
          <w:rPr>
            <w:color w:val="0000FF"/>
            <w:u w:val="single" w:color="0000FF"/>
          </w:rPr>
          <w:t>http://www.prensa.argentina.ar/includes/lib/jQuery/jquery.alerts.js</w:t>
        </w:r>
      </w:hyperlink>
    </w:p>
    <w:p>
      <w:pPr>
        <w:pStyle w:val="BodyText"/>
        <w:spacing w:line="360" w:lineRule="auto" w:before="7"/>
        <w:ind w:left="1269" w:right="145" w:hanging="993"/>
        <w:jc w:val="both"/>
      </w:pPr>
      <w:r>
        <w:rPr>
          <w:b/>
        </w:rPr>
        <w:t>Blue, J. 2016. </w:t>
      </w:r>
      <w:r>
        <w:rPr/>
        <w:t>What is the Natural Greenhouse Effect? National Geographic. Consultado el 26 de Marzo de 2016. Disponible en: </w:t>
      </w:r>
      <w:hyperlink r:id="rId209">
        <w:r>
          <w:rPr/>
          <w:t>http://education.nationalgeographic.org/encyclopedia/greenhouse-effect/.</w:t>
        </w:r>
      </w:hyperlink>
    </w:p>
    <w:p>
      <w:pPr>
        <w:spacing w:line="360" w:lineRule="auto" w:before="2"/>
        <w:ind w:left="1269" w:right="144" w:hanging="993"/>
        <w:jc w:val="both"/>
        <w:rPr>
          <w:sz w:val="24"/>
        </w:rPr>
      </w:pPr>
      <w:r>
        <w:rPr>
          <w:b/>
          <w:sz w:val="24"/>
        </w:rPr>
        <w:t>Blanco, J., Álvarez, A. y Morgan, H. O. 2011. </w:t>
      </w:r>
      <w:r>
        <w:rPr>
          <w:sz w:val="24"/>
        </w:rPr>
        <w:t>Contribución de la ganadería a las emisiones de gases de efecto invernadero. Reseña bibliográfica. Ciencia y Tecnología Ganadera Vol. 5 No.1, p. 51-57.</w:t>
      </w:r>
    </w:p>
    <w:p>
      <w:pPr>
        <w:tabs>
          <w:tab w:pos="4938" w:val="left" w:leader="none"/>
          <w:tab w:pos="8780" w:val="left" w:leader="none"/>
        </w:tabs>
        <w:spacing w:line="360" w:lineRule="auto" w:before="2"/>
        <w:ind w:left="1269" w:right="143" w:hanging="993"/>
        <w:jc w:val="both"/>
        <w:rPr>
          <w:rFonts w:ascii="Times New Roman" w:hAnsi="Times New Roman"/>
          <w:sz w:val="24"/>
        </w:rPr>
      </w:pPr>
      <w:r>
        <w:rPr>
          <w:b/>
          <w:sz w:val="24"/>
        </w:rPr>
        <w:t>Blas, C., García-Rebollar, P., Cambra-López, M., Torres, A. G</w:t>
      </w:r>
      <w:r>
        <w:rPr>
          <w:b/>
          <w:i/>
          <w:sz w:val="24"/>
        </w:rPr>
        <w:t>. </w:t>
      </w:r>
      <w:r>
        <w:rPr>
          <w:b/>
          <w:sz w:val="24"/>
        </w:rPr>
        <w:t>2008. </w:t>
      </w:r>
      <w:r>
        <w:rPr>
          <w:sz w:val="24"/>
        </w:rPr>
        <w:t>Contribución de los rumiantes a las emisiones de gases con efecto invernadero. XXIV Curso de especialización FEDNA. Madrid, España. pp. 121-151.</w:t>
        <w:tab/>
        <w:t>Disponible</w:t>
        <w:tab/>
        <w:t>en: </w:t>
      </w:r>
      <w:hyperlink r:id="rId210">
        <w:r>
          <w:rPr>
            <w:rFonts w:ascii="Times New Roman" w:hAnsi="Times New Roman"/>
            <w:color w:val="0000FF"/>
            <w:sz w:val="24"/>
            <w:u w:val="single" w:color="0000FF"/>
          </w:rPr>
          <w:t>http://www.produccionbovina.com.ar/sustentabilidad/89-gases.pdf</w:t>
        </w:r>
        <w:r>
          <w:rPr>
            <w:rFonts w:ascii="Times New Roman" w:hAnsi="Times New Roman"/>
            <w:sz w:val="24"/>
          </w:rPr>
          <w:t>.</w:t>
        </w:r>
      </w:hyperlink>
    </w:p>
    <w:p>
      <w:pPr>
        <w:spacing w:line="360" w:lineRule="auto" w:before="3"/>
        <w:ind w:left="1269" w:right="144" w:hanging="993"/>
        <w:jc w:val="both"/>
        <w:rPr>
          <w:sz w:val="24"/>
        </w:rPr>
      </w:pPr>
      <w:r>
        <w:rPr>
          <w:b/>
          <w:sz w:val="24"/>
        </w:rPr>
        <w:t>Blaxter, K. L. and Clapperton, J. L. 1965. </w:t>
      </w:r>
      <w:r>
        <w:rPr>
          <w:sz w:val="24"/>
        </w:rPr>
        <w:t>Prediction of the amount of methane produced by ruminants. Brit. J. Nutr., 19: 511-522.</w:t>
      </w:r>
    </w:p>
    <w:p>
      <w:pPr>
        <w:pStyle w:val="BodyText"/>
        <w:spacing w:line="360" w:lineRule="auto" w:before="7"/>
        <w:ind w:left="1269" w:right="144" w:hanging="993"/>
        <w:jc w:val="both"/>
      </w:pPr>
      <w:r>
        <w:rPr>
          <w:b/>
        </w:rPr>
        <w:t>Boadi, D. A. y Wittenberg, K. M. 2002. </w:t>
      </w:r>
      <w:r>
        <w:rPr/>
        <w:t>Methane production from dairy and beef heifers fed forages differing in nutrient density using the sulphur hexafluoride (SF6) tracer gas technique. Can. J. Anim. Sci. 82: 201–206.</w:t>
      </w:r>
    </w:p>
    <w:p>
      <w:pPr>
        <w:spacing w:line="362" w:lineRule="auto" w:before="2"/>
        <w:ind w:left="1269" w:right="144" w:hanging="993"/>
        <w:jc w:val="both"/>
        <w:rPr>
          <w:sz w:val="24"/>
        </w:rPr>
      </w:pPr>
      <w:r>
        <w:rPr>
          <w:b/>
          <w:sz w:val="24"/>
        </w:rPr>
        <w:t>Boadi, D. A., Wittenberg, K. M., Scott, S. L., Burton, D., Buckley, K., Small, J. A., and Ominski, K. H. 2004. </w:t>
      </w:r>
      <w:r>
        <w:rPr>
          <w:sz w:val="24"/>
        </w:rPr>
        <w:t>Effect of low and high forage diet on enteric</w:t>
      </w:r>
    </w:p>
    <w:p>
      <w:pPr>
        <w:spacing w:after="0" w:line="362" w:lineRule="auto"/>
        <w:jc w:val="both"/>
        <w:rPr>
          <w:sz w:val="24"/>
        </w:rPr>
        <w:sectPr>
          <w:pgSz w:w="12240" w:h="15840"/>
          <w:pgMar w:header="741" w:footer="739" w:top="1220" w:bottom="920" w:left="1720" w:right="1260"/>
        </w:sectPr>
      </w:pPr>
    </w:p>
    <w:p>
      <w:pPr>
        <w:pStyle w:val="BodyText"/>
        <w:spacing w:before="4"/>
        <w:rPr>
          <w:sz w:val="11"/>
        </w:rPr>
      </w:pPr>
    </w:p>
    <w:p>
      <w:pPr>
        <w:pStyle w:val="BodyText"/>
        <w:tabs>
          <w:tab w:pos="8780" w:val="left" w:leader="none"/>
        </w:tabs>
        <w:spacing w:line="362" w:lineRule="auto" w:before="69"/>
        <w:ind w:left="1269" w:right="144"/>
      </w:pPr>
      <w:r>
        <w:rPr/>
        <w:t>and manure pack greenhouse gas emissions from feedlot. pp. 445-453. Disponible</w:t>
        <w:tab/>
        <w:t>en:</w:t>
      </w:r>
    </w:p>
    <w:p>
      <w:pPr>
        <w:pStyle w:val="BodyText"/>
        <w:spacing w:line="360" w:lineRule="auto"/>
        <w:ind w:left="1269" w:right="286"/>
      </w:pPr>
      <w:hyperlink r:id="rId211">
        <w:r>
          <w:rPr/>
          <w:t>http://www1.foragebeef.ca/$foragebeef/frgebeef.nsf/all/ccf758/$FILE/GH</w:t>
        </w:r>
      </w:hyperlink>
      <w:r>
        <w:rPr/>
        <w:t> Gforagediets.pdf.</w:t>
      </w:r>
    </w:p>
    <w:p>
      <w:pPr>
        <w:spacing w:line="360" w:lineRule="auto" w:before="2"/>
        <w:ind w:left="1269" w:right="143" w:hanging="993"/>
        <w:jc w:val="both"/>
        <w:rPr>
          <w:sz w:val="24"/>
        </w:rPr>
      </w:pPr>
      <w:r>
        <w:rPr>
          <w:b/>
          <w:sz w:val="24"/>
        </w:rPr>
        <w:t>Cambra-López,</w:t>
      </w:r>
      <w:r>
        <w:rPr>
          <w:b/>
          <w:spacing w:val="-18"/>
          <w:sz w:val="24"/>
        </w:rPr>
        <w:t> </w:t>
      </w:r>
      <w:r>
        <w:rPr>
          <w:b/>
          <w:sz w:val="24"/>
        </w:rPr>
        <w:t>M.,</w:t>
      </w:r>
      <w:r>
        <w:rPr>
          <w:b/>
          <w:spacing w:val="-18"/>
          <w:sz w:val="24"/>
        </w:rPr>
        <w:t> </w:t>
      </w:r>
      <w:r>
        <w:rPr>
          <w:b/>
          <w:sz w:val="24"/>
        </w:rPr>
        <w:t>García</w:t>
      </w:r>
      <w:r>
        <w:rPr>
          <w:b/>
          <w:spacing w:val="-18"/>
          <w:sz w:val="24"/>
        </w:rPr>
        <w:t> </w:t>
      </w:r>
      <w:r>
        <w:rPr>
          <w:b/>
          <w:sz w:val="24"/>
        </w:rPr>
        <w:t>Rebollar,</w:t>
      </w:r>
      <w:r>
        <w:rPr>
          <w:b/>
          <w:spacing w:val="-18"/>
          <w:sz w:val="24"/>
        </w:rPr>
        <w:t> </w:t>
      </w:r>
      <w:r>
        <w:rPr>
          <w:b/>
          <w:sz w:val="24"/>
        </w:rPr>
        <w:t>P.,</w:t>
      </w:r>
      <w:r>
        <w:rPr>
          <w:b/>
          <w:spacing w:val="-18"/>
          <w:sz w:val="24"/>
        </w:rPr>
        <w:t> </w:t>
      </w:r>
      <w:r>
        <w:rPr>
          <w:b/>
          <w:sz w:val="24"/>
        </w:rPr>
        <w:t>Estellés,</w:t>
      </w:r>
      <w:r>
        <w:rPr>
          <w:b/>
          <w:spacing w:val="-18"/>
          <w:sz w:val="24"/>
        </w:rPr>
        <w:t> </w:t>
      </w:r>
      <w:r>
        <w:rPr>
          <w:b/>
          <w:sz w:val="24"/>
        </w:rPr>
        <w:t>F.</w:t>
      </w:r>
      <w:r>
        <w:rPr>
          <w:b/>
          <w:spacing w:val="-18"/>
          <w:sz w:val="24"/>
        </w:rPr>
        <w:t> </w:t>
      </w:r>
      <w:r>
        <w:rPr>
          <w:b/>
          <w:sz w:val="24"/>
        </w:rPr>
        <w:t>y</w:t>
      </w:r>
      <w:r>
        <w:rPr>
          <w:b/>
          <w:spacing w:val="-18"/>
          <w:sz w:val="24"/>
        </w:rPr>
        <w:t> </w:t>
      </w:r>
      <w:r>
        <w:rPr>
          <w:b/>
          <w:sz w:val="24"/>
        </w:rPr>
        <w:t>Torres,</w:t>
      </w:r>
      <w:r>
        <w:rPr>
          <w:b/>
          <w:spacing w:val="-18"/>
          <w:sz w:val="24"/>
        </w:rPr>
        <w:t> </w:t>
      </w:r>
      <w:r>
        <w:rPr>
          <w:b/>
          <w:sz w:val="24"/>
        </w:rPr>
        <w:t>A.</w:t>
      </w:r>
      <w:r>
        <w:rPr>
          <w:b/>
          <w:spacing w:val="-18"/>
          <w:sz w:val="24"/>
        </w:rPr>
        <w:t> </w:t>
      </w:r>
      <w:r>
        <w:rPr>
          <w:b/>
          <w:sz w:val="24"/>
        </w:rPr>
        <w:t>2008.</w:t>
      </w:r>
      <w:r>
        <w:rPr>
          <w:b/>
          <w:spacing w:val="-18"/>
          <w:sz w:val="24"/>
        </w:rPr>
        <w:t> </w:t>
      </w:r>
      <w:r>
        <w:rPr>
          <w:sz w:val="24"/>
        </w:rPr>
        <w:t>Estimación de las emisiones de los rumiantes en España: El factor de conversión de metano. España. Arch. Zootec. 57 (R): 89-101.</w:t>
      </w:r>
      <w:r>
        <w:rPr>
          <w:spacing w:val="-4"/>
          <w:sz w:val="24"/>
        </w:rPr>
        <w:t> </w:t>
      </w:r>
      <w:r>
        <w:rPr>
          <w:sz w:val="24"/>
        </w:rPr>
        <w:t>2008.</w:t>
      </w:r>
    </w:p>
    <w:p>
      <w:pPr>
        <w:spacing w:line="360" w:lineRule="auto" w:before="2"/>
        <w:ind w:left="1269" w:right="144" w:hanging="993"/>
        <w:jc w:val="both"/>
        <w:rPr>
          <w:sz w:val="24"/>
        </w:rPr>
      </w:pPr>
      <w:r>
        <w:rPr>
          <w:b/>
          <w:sz w:val="24"/>
        </w:rPr>
        <w:t>Carmona,</w:t>
      </w:r>
      <w:r>
        <w:rPr>
          <w:b/>
          <w:spacing w:val="-16"/>
          <w:sz w:val="24"/>
        </w:rPr>
        <w:t> </w:t>
      </w:r>
      <w:r>
        <w:rPr>
          <w:b/>
          <w:sz w:val="24"/>
        </w:rPr>
        <w:t>C.</w:t>
      </w:r>
      <w:r>
        <w:rPr>
          <w:b/>
          <w:spacing w:val="-16"/>
          <w:sz w:val="24"/>
        </w:rPr>
        <w:t> </w:t>
      </w:r>
      <w:r>
        <w:rPr>
          <w:b/>
          <w:sz w:val="24"/>
        </w:rPr>
        <w:t>J.,</w:t>
      </w:r>
      <w:r>
        <w:rPr>
          <w:b/>
          <w:spacing w:val="-16"/>
          <w:sz w:val="24"/>
        </w:rPr>
        <w:t> </w:t>
      </w:r>
      <w:r>
        <w:rPr>
          <w:b/>
          <w:sz w:val="24"/>
        </w:rPr>
        <w:t>Bolivar,</w:t>
      </w:r>
      <w:r>
        <w:rPr>
          <w:b/>
          <w:spacing w:val="-16"/>
          <w:sz w:val="24"/>
        </w:rPr>
        <w:t> </w:t>
      </w:r>
      <w:r>
        <w:rPr>
          <w:b/>
          <w:sz w:val="24"/>
        </w:rPr>
        <w:t>D.</w:t>
      </w:r>
      <w:r>
        <w:rPr>
          <w:b/>
          <w:spacing w:val="-16"/>
          <w:sz w:val="24"/>
        </w:rPr>
        <w:t> </w:t>
      </w:r>
      <w:r>
        <w:rPr>
          <w:b/>
          <w:sz w:val="24"/>
        </w:rPr>
        <w:t>M.,</w:t>
      </w:r>
      <w:r>
        <w:rPr>
          <w:b/>
          <w:spacing w:val="-16"/>
          <w:sz w:val="24"/>
        </w:rPr>
        <w:t> </w:t>
      </w:r>
      <w:r>
        <w:rPr>
          <w:b/>
          <w:sz w:val="24"/>
        </w:rPr>
        <w:t>Giraldo,</w:t>
      </w:r>
      <w:r>
        <w:rPr>
          <w:b/>
          <w:spacing w:val="-16"/>
          <w:sz w:val="24"/>
        </w:rPr>
        <w:t> </w:t>
      </w:r>
      <w:r>
        <w:rPr>
          <w:b/>
          <w:sz w:val="24"/>
        </w:rPr>
        <w:t>L.</w:t>
      </w:r>
      <w:r>
        <w:rPr>
          <w:b/>
          <w:spacing w:val="-16"/>
          <w:sz w:val="24"/>
        </w:rPr>
        <w:t> </w:t>
      </w:r>
      <w:r>
        <w:rPr>
          <w:b/>
          <w:sz w:val="24"/>
        </w:rPr>
        <w:t>A</w:t>
      </w:r>
      <w:r>
        <w:rPr>
          <w:b/>
          <w:i/>
          <w:sz w:val="24"/>
        </w:rPr>
        <w:t>.</w:t>
      </w:r>
      <w:r>
        <w:rPr>
          <w:b/>
          <w:i/>
          <w:spacing w:val="-16"/>
          <w:sz w:val="24"/>
        </w:rPr>
        <w:t> </w:t>
      </w:r>
      <w:r>
        <w:rPr>
          <w:b/>
          <w:sz w:val="24"/>
        </w:rPr>
        <w:t>2005.</w:t>
      </w:r>
      <w:r>
        <w:rPr>
          <w:b/>
          <w:spacing w:val="-16"/>
          <w:sz w:val="24"/>
        </w:rPr>
        <w:t> </w:t>
      </w:r>
      <w:r>
        <w:rPr>
          <w:sz w:val="24"/>
        </w:rPr>
        <w:t>El</w:t>
      </w:r>
      <w:r>
        <w:rPr>
          <w:spacing w:val="-16"/>
          <w:sz w:val="24"/>
        </w:rPr>
        <w:t> </w:t>
      </w:r>
      <w:r>
        <w:rPr>
          <w:sz w:val="24"/>
        </w:rPr>
        <w:t>gas</w:t>
      </w:r>
      <w:r>
        <w:rPr>
          <w:spacing w:val="-16"/>
          <w:sz w:val="24"/>
        </w:rPr>
        <w:t> </w:t>
      </w:r>
      <w:r>
        <w:rPr>
          <w:sz w:val="24"/>
        </w:rPr>
        <w:t>metano</w:t>
      </w:r>
      <w:r>
        <w:rPr>
          <w:spacing w:val="-16"/>
          <w:sz w:val="24"/>
        </w:rPr>
        <w:t> </w:t>
      </w:r>
      <w:r>
        <w:rPr>
          <w:sz w:val="24"/>
        </w:rPr>
        <w:t>en</w:t>
      </w:r>
      <w:r>
        <w:rPr>
          <w:spacing w:val="-16"/>
          <w:sz w:val="24"/>
        </w:rPr>
        <w:t> </w:t>
      </w:r>
      <w:r>
        <w:rPr>
          <w:sz w:val="24"/>
        </w:rPr>
        <w:t>la</w:t>
      </w:r>
      <w:r>
        <w:rPr>
          <w:spacing w:val="-16"/>
          <w:sz w:val="24"/>
        </w:rPr>
        <w:t> </w:t>
      </w:r>
      <w:r>
        <w:rPr>
          <w:sz w:val="24"/>
        </w:rPr>
        <w:t>producción ganadera y alternativas para medir sus emisiones y aminorar su impacto a nivel ambiental y productivo. Rev. Col. Cienc. Pec. 2005; Vol. 18:1; 49- 63.</w:t>
      </w:r>
    </w:p>
    <w:p>
      <w:pPr>
        <w:spacing w:line="360" w:lineRule="auto" w:before="2"/>
        <w:ind w:left="1269" w:right="144" w:hanging="993"/>
        <w:jc w:val="both"/>
        <w:rPr>
          <w:sz w:val="24"/>
        </w:rPr>
      </w:pPr>
      <w:r>
        <w:rPr>
          <w:b/>
          <w:sz w:val="24"/>
        </w:rPr>
        <w:t>Castelán-Ortega, O. A., Ku-Vera, J. C., Estrada-Flores, J. G. 2014. </w:t>
      </w:r>
      <w:r>
        <w:rPr>
          <w:sz w:val="24"/>
        </w:rPr>
        <w:t>Modeling methane emissions and methane inventories for cattle production</w:t>
      </w:r>
      <w:r>
        <w:rPr>
          <w:spacing w:val="-40"/>
          <w:sz w:val="24"/>
        </w:rPr>
        <w:t> </w:t>
      </w:r>
      <w:r>
        <w:rPr>
          <w:sz w:val="24"/>
        </w:rPr>
        <w:t>systems in Mexico. Atmósfera 27(2),</w:t>
      </w:r>
      <w:r>
        <w:rPr>
          <w:spacing w:val="-2"/>
          <w:sz w:val="24"/>
        </w:rPr>
        <w:t> </w:t>
      </w:r>
      <w:r>
        <w:rPr>
          <w:sz w:val="24"/>
        </w:rPr>
        <w:t>185-191.</w:t>
      </w:r>
    </w:p>
    <w:p>
      <w:pPr>
        <w:spacing w:line="360" w:lineRule="auto" w:before="2"/>
        <w:ind w:left="1269" w:right="144" w:hanging="993"/>
        <w:jc w:val="both"/>
        <w:rPr>
          <w:sz w:val="24"/>
        </w:rPr>
      </w:pPr>
      <w:r>
        <w:rPr>
          <w:b/>
          <w:sz w:val="24"/>
        </w:rPr>
        <w:t>Christie K. M., Gourley C. J. P., Rawnsley R. P., Eckard R. J., Awty I. M. 2012. </w:t>
      </w:r>
      <w:r>
        <w:rPr>
          <w:sz w:val="24"/>
        </w:rPr>
        <w:t>Whole-farm systems analysis of Australian dairy farm greenhouse gas emissions. Animal Production Science 52, 998–1011.</w:t>
      </w:r>
    </w:p>
    <w:p>
      <w:pPr>
        <w:pStyle w:val="BodyText"/>
        <w:spacing w:line="360" w:lineRule="auto" w:before="7"/>
        <w:ind w:left="1269" w:right="144" w:hanging="993"/>
        <w:jc w:val="both"/>
      </w:pPr>
      <w:r>
        <w:rPr>
          <w:b/>
        </w:rPr>
        <w:t>CMNUCC. </w:t>
      </w:r>
      <w:r>
        <w:rPr/>
        <w:t>2007. Unidos por el clima. Guía de la convención sobre el cambio climático y el protocolo de Kyoto. Convención Marco de las Naciones Unidas sobre el Cambio Climático. Pp. 39. Disponible en: </w:t>
      </w:r>
      <w:hyperlink r:id="rId212">
        <w:r>
          <w:rPr/>
          <w:t>http://unfccc.int/resource/docs/publications/unitingonclimate_spa.pdf.</w:t>
        </w:r>
      </w:hyperlink>
    </w:p>
    <w:p>
      <w:pPr>
        <w:spacing w:line="360" w:lineRule="auto" w:before="7"/>
        <w:ind w:left="1269" w:right="144" w:hanging="993"/>
        <w:jc w:val="both"/>
        <w:rPr>
          <w:sz w:val="24"/>
        </w:rPr>
      </w:pPr>
      <w:r>
        <w:rPr>
          <w:b/>
          <w:sz w:val="24"/>
        </w:rPr>
        <w:t>Claussen, C. V. A. and Davis, D. P.. 2001. </w:t>
      </w:r>
      <w:r>
        <w:rPr>
          <w:sz w:val="24"/>
        </w:rPr>
        <w:t>Climate Change: Science, Strategies, &amp; Solutions, University of Michigan. p. 373.</w:t>
      </w:r>
    </w:p>
    <w:p>
      <w:pPr>
        <w:pStyle w:val="BodyText"/>
        <w:spacing w:line="360" w:lineRule="auto" w:before="2"/>
        <w:ind w:left="1269" w:right="145" w:hanging="993"/>
        <w:jc w:val="both"/>
      </w:pPr>
      <w:r>
        <w:rPr>
          <w:b/>
        </w:rPr>
        <w:t>Climate Chanege 1995. </w:t>
      </w:r>
      <w:r>
        <w:rPr/>
        <w:t>The Science of Climate Change: Summary for Policymackers Technical Summary of the Working Group I Report,</w:t>
      </w:r>
      <w:r>
        <w:rPr>
          <w:spacing w:val="-18"/>
        </w:rPr>
        <w:t> </w:t>
      </w:r>
      <w:r>
        <w:rPr/>
        <w:t>página</w:t>
      </w:r>
    </w:p>
    <w:p>
      <w:pPr>
        <w:pStyle w:val="BodyText"/>
        <w:spacing w:before="2"/>
        <w:ind w:left="1269"/>
      </w:pPr>
      <w:r>
        <w:rPr/>
        <w:t>22. Disponible en </w:t>
      </w:r>
      <w:hyperlink r:id="rId29">
        <w:r>
          <w:rPr>
            <w:color w:val="0000FF"/>
            <w:u w:val="single" w:color="0000FF"/>
          </w:rPr>
          <w:t>http://unfccc.int</w:t>
        </w:r>
      </w:hyperlink>
    </w:p>
    <w:p>
      <w:pPr>
        <w:spacing w:line="360" w:lineRule="auto" w:before="141"/>
        <w:ind w:left="1269" w:right="144" w:hanging="993"/>
        <w:jc w:val="both"/>
        <w:rPr>
          <w:sz w:val="24"/>
        </w:rPr>
      </w:pPr>
      <w:r>
        <w:rPr>
          <w:b/>
          <w:sz w:val="24"/>
        </w:rPr>
        <w:t>Condor, R. D., Valli, L., De Rosa, G., Di Francia, A. and De Lauretis, R. 2008. </w:t>
      </w:r>
      <w:r>
        <w:rPr>
          <w:sz w:val="24"/>
        </w:rPr>
        <w:t>Estimation of the methane emission factor for the italian mediterranean buffalo. The Animal Consortium. Animal (2008), 2:8, pp 1247-1253.</w:t>
      </w:r>
    </w:p>
    <w:p>
      <w:pPr>
        <w:spacing w:line="362" w:lineRule="auto" w:before="2"/>
        <w:ind w:left="1269" w:right="144" w:hanging="993"/>
        <w:jc w:val="both"/>
        <w:rPr>
          <w:sz w:val="24"/>
        </w:rPr>
      </w:pPr>
      <w:r>
        <w:rPr>
          <w:b/>
          <w:sz w:val="24"/>
        </w:rPr>
        <w:t>Cottle, D. J., Nolan, J. V. y Wiedemann, S. G. 2011. </w:t>
      </w:r>
      <w:r>
        <w:rPr>
          <w:sz w:val="24"/>
        </w:rPr>
        <w:t>Ruminant enteric methane mitigation: a review. Anim. Prod. Sci. 51: 491–514.</w:t>
      </w:r>
    </w:p>
    <w:p>
      <w:pPr>
        <w:spacing w:after="0" w:line="362" w:lineRule="auto"/>
        <w:jc w:val="both"/>
        <w:rPr>
          <w:sz w:val="24"/>
        </w:rPr>
        <w:sectPr>
          <w:pgSz w:w="12240" w:h="15840"/>
          <w:pgMar w:header="741" w:footer="739" w:top="1220" w:bottom="920" w:left="1720" w:right="1260"/>
        </w:sectPr>
      </w:pPr>
    </w:p>
    <w:p>
      <w:pPr>
        <w:pStyle w:val="BodyText"/>
        <w:spacing w:before="4"/>
        <w:rPr>
          <w:sz w:val="11"/>
        </w:rPr>
      </w:pPr>
    </w:p>
    <w:p>
      <w:pPr>
        <w:spacing w:line="360" w:lineRule="auto" w:before="69"/>
        <w:ind w:left="1269" w:right="143" w:hanging="993"/>
        <w:jc w:val="both"/>
        <w:rPr>
          <w:sz w:val="24"/>
        </w:rPr>
      </w:pPr>
      <w:r>
        <w:rPr>
          <w:b/>
          <w:sz w:val="24"/>
        </w:rPr>
        <w:t>Crutzen, P. J., Aselman, I. and Seiler, W.. 1986. </w:t>
      </w:r>
      <w:r>
        <w:rPr>
          <w:sz w:val="24"/>
        </w:rPr>
        <w:t>Methane production by domestic animals, wild ruminant, other herbivorous fauna, and humans. Tellus, 38 (B): 271-284.</w:t>
      </w:r>
    </w:p>
    <w:p>
      <w:pPr>
        <w:pStyle w:val="BodyText"/>
        <w:spacing w:line="360" w:lineRule="auto" w:before="2"/>
        <w:ind w:left="1269" w:right="144" w:hanging="993"/>
        <w:jc w:val="both"/>
      </w:pPr>
      <w:r>
        <w:rPr>
          <w:b/>
        </w:rPr>
        <w:t>Daniel J. J. 1999. </w:t>
      </w:r>
      <w:r>
        <w:rPr/>
        <w:t>Introduction to Atmospheric Chemistry, Chapter 7, “The Greenhouse Effect”. Ed. Princeton University Press. Disponible en: </w:t>
      </w:r>
      <w:hyperlink r:id="rId213">
        <w:r>
          <w:rPr/>
          <w:t>http://acmg.seas.harvard.edu/people/faculty/djj/book/.</w:t>
        </w:r>
      </w:hyperlink>
    </w:p>
    <w:p>
      <w:pPr>
        <w:spacing w:line="360" w:lineRule="auto" w:before="2"/>
        <w:ind w:left="1269" w:right="144" w:hanging="993"/>
        <w:jc w:val="both"/>
        <w:rPr>
          <w:sz w:val="24"/>
        </w:rPr>
      </w:pPr>
      <w:r>
        <w:rPr>
          <w:b/>
          <w:sz w:val="24"/>
        </w:rPr>
        <w:t>Dijkstra, J., Oenema, O. y Bannink, A. 2011. </w:t>
      </w:r>
      <w:r>
        <w:rPr>
          <w:sz w:val="24"/>
        </w:rPr>
        <w:t>Dietary strategies to reducing N excretion from cattle: implications for methane emissions. Curr. Opin. Environ. Sustainability 3: 414–422.</w:t>
      </w:r>
    </w:p>
    <w:p>
      <w:pPr>
        <w:pStyle w:val="BodyText"/>
        <w:spacing w:line="360" w:lineRule="auto" w:before="7"/>
        <w:ind w:left="1269" w:right="144" w:hanging="993"/>
        <w:jc w:val="both"/>
      </w:pPr>
      <w:r>
        <w:rPr>
          <w:b/>
        </w:rPr>
        <w:t>Dong, H., X. Tao, and He, Q. 2004. </w:t>
      </w:r>
      <w:r>
        <w:rPr/>
        <w:t>Comparision of enteric methane emissions in China for diferent IPCC estimation methods. American Society of Agricultural Engineers. Vol. 47(6): 2051-2057.</w:t>
      </w:r>
    </w:p>
    <w:p>
      <w:pPr>
        <w:spacing w:line="360" w:lineRule="auto" w:before="2"/>
        <w:ind w:left="1269" w:right="143" w:hanging="993"/>
        <w:jc w:val="both"/>
        <w:rPr>
          <w:sz w:val="24"/>
        </w:rPr>
      </w:pPr>
      <w:r>
        <w:rPr>
          <w:b/>
          <w:sz w:val="24"/>
        </w:rPr>
        <w:t>Doreau, M., van der Werf, H. M. G., Micol, D., Dubroeucq, H., Agabriel, J., Rochette, Y. y Martin, C. 2011. </w:t>
      </w:r>
      <w:r>
        <w:rPr>
          <w:sz w:val="24"/>
        </w:rPr>
        <w:t>Enteric methane production and greenhouse gases balance of diets differing in concentrate in the</w:t>
      </w:r>
      <w:r>
        <w:rPr>
          <w:spacing w:val="-20"/>
          <w:sz w:val="24"/>
        </w:rPr>
        <w:t> </w:t>
      </w:r>
      <w:r>
        <w:rPr>
          <w:sz w:val="24"/>
        </w:rPr>
        <w:t>fattening phase of a beef production system. J. Anim. Sci.</w:t>
      </w:r>
      <w:r>
        <w:rPr>
          <w:spacing w:val="-2"/>
          <w:sz w:val="24"/>
        </w:rPr>
        <w:t> </w:t>
      </w:r>
      <w:r>
        <w:rPr>
          <w:sz w:val="24"/>
        </w:rPr>
        <w:t>89:2518–2528.</w:t>
      </w:r>
    </w:p>
    <w:p>
      <w:pPr>
        <w:pStyle w:val="Heading6"/>
        <w:spacing w:before="2"/>
        <w:ind w:right="-12"/>
        <w:jc w:val="left"/>
      </w:pPr>
      <w:r>
        <w:rPr/>
        <w:t>Ellis, J. L., Kebreab, E., Odongo, N. E., McBride, B. W., Okine, E. K. and France,</w:t>
      </w:r>
    </w:p>
    <w:p>
      <w:pPr>
        <w:pStyle w:val="BodyText"/>
        <w:spacing w:line="360" w:lineRule="auto" w:before="141"/>
        <w:ind w:left="1269"/>
      </w:pPr>
      <w:r>
        <w:rPr>
          <w:b/>
        </w:rPr>
        <w:t>J. 2007. </w:t>
      </w:r>
      <w:r>
        <w:rPr/>
        <w:t>Prediction of methane production from dairy and beef cattle. J. Dairy Sci., 90: 3456-3466.</w:t>
      </w:r>
    </w:p>
    <w:p>
      <w:pPr>
        <w:spacing w:line="360" w:lineRule="auto" w:before="2"/>
        <w:ind w:left="1269" w:right="144" w:hanging="993"/>
        <w:jc w:val="both"/>
        <w:rPr>
          <w:sz w:val="24"/>
        </w:rPr>
      </w:pPr>
      <w:r>
        <w:rPr>
          <w:b/>
          <w:sz w:val="24"/>
        </w:rPr>
        <w:t>Ellis,</w:t>
      </w:r>
      <w:r>
        <w:rPr>
          <w:b/>
          <w:spacing w:val="-4"/>
          <w:sz w:val="24"/>
        </w:rPr>
        <w:t> </w:t>
      </w:r>
      <w:r>
        <w:rPr>
          <w:b/>
          <w:sz w:val="24"/>
        </w:rPr>
        <w:t>J.</w:t>
      </w:r>
      <w:r>
        <w:rPr>
          <w:b/>
          <w:spacing w:val="-4"/>
          <w:sz w:val="24"/>
        </w:rPr>
        <w:t> </w:t>
      </w:r>
      <w:r>
        <w:rPr>
          <w:b/>
          <w:sz w:val="24"/>
        </w:rPr>
        <w:t>L.,</w:t>
      </w:r>
      <w:r>
        <w:rPr>
          <w:b/>
          <w:spacing w:val="-4"/>
          <w:sz w:val="24"/>
        </w:rPr>
        <w:t> </w:t>
      </w:r>
      <w:r>
        <w:rPr>
          <w:b/>
          <w:sz w:val="24"/>
        </w:rPr>
        <w:t>Bannink,</w:t>
      </w:r>
      <w:r>
        <w:rPr>
          <w:b/>
          <w:spacing w:val="-3"/>
          <w:sz w:val="24"/>
        </w:rPr>
        <w:t> </w:t>
      </w:r>
      <w:r>
        <w:rPr>
          <w:b/>
          <w:sz w:val="24"/>
        </w:rPr>
        <w:t>A.,</w:t>
      </w:r>
      <w:r>
        <w:rPr>
          <w:b/>
          <w:spacing w:val="-3"/>
          <w:sz w:val="24"/>
        </w:rPr>
        <w:t> </w:t>
      </w:r>
      <w:r>
        <w:rPr>
          <w:b/>
          <w:sz w:val="24"/>
        </w:rPr>
        <w:t>France,</w:t>
      </w:r>
      <w:r>
        <w:rPr>
          <w:b/>
          <w:spacing w:val="-4"/>
          <w:sz w:val="24"/>
        </w:rPr>
        <w:t> </w:t>
      </w:r>
      <w:r>
        <w:rPr>
          <w:b/>
          <w:sz w:val="24"/>
        </w:rPr>
        <w:t>J.,</w:t>
      </w:r>
      <w:r>
        <w:rPr>
          <w:b/>
          <w:spacing w:val="-4"/>
          <w:sz w:val="24"/>
        </w:rPr>
        <w:t> </w:t>
      </w:r>
      <w:r>
        <w:rPr>
          <w:b/>
          <w:sz w:val="24"/>
        </w:rPr>
        <w:t>Kebreab,</w:t>
      </w:r>
      <w:r>
        <w:rPr>
          <w:b/>
          <w:spacing w:val="-4"/>
          <w:sz w:val="24"/>
        </w:rPr>
        <w:t> </w:t>
      </w:r>
      <w:r>
        <w:rPr>
          <w:b/>
          <w:sz w:val="24"/>
        </w:rPr>
        <w:t>E.</w:t>
      </w:r>
      <w:r>
        <w:rPr>
          <w:b/>
          <w:spacing w:val="-4"/>
          <w:sz w:val="24"/>
        </w:rPr>
        <w:t> </w:t>
      </w:r>
      <w:r>
        <w:rPr>
          <w:b/>
          <w:sz w:val="24"/>
        </w:rPr>
        <w:t>y</w:t>
      </w:r>
      <w:r>
        <w:rPr>
          <w:b/>
          <w:spacing w:val="-4"/>
          <w:sz w:val="24"/>
        </w:rPr>
        <w:t> </w:t>
      </w:r>
      <w:r>
        <w:rPr>
          <w:b/>
          <w:sz w:val="24"/>
        </w:rPr>
        <w:t>Dijkstra,</w:t>
      </w:r>
      <w:r>
        <w:rPr>
          <w:b/>
          <w:spacing w:val="-4"/>
          <w:sz w:val="24"/>
        </w:rPr>
        <w:t> </w:t>
      </w:r>
      <w:r>
        <w:rPr>
          <w:b/>
          <w:sz w:val="24"/>
        </w:rPr>
        <w:t>J.</w:t>
      </w:r>
      <w:r>
        <w:rPr>
          <w:b/>
          <w:spacing w:val="-4"/>
          <w:sz w:val="24"/>
        </w:rPr>
        <w:t> </w:t>
      </w:r>
      <w:r>
        <w:rPr>
          <w:b/>
          <w:sz w:val="24"/>
        </w:rPr>
        <w:t>2010.</w:t>
      </w:r>
      <w:r>
        <w:rPr>
          <w:b/>
          <w:spacing w:val="-4"/>
          <w:sz w:val="24"/>
        </w:rPr>
        <w:t> </w:t>
      </w:r>
      <w:r>
        <w:rPr>
          <w:sz w:val="24"/>
        </w:rPr>
        <w:t>Evaluation</w:t>
      </w:r>
      <w:r>
        <w:rPr>
          <w:spacing w:val="-4"/>
          <w:sz w:val="24"/>
        </w:rPr>
        <w:t> </w:t>
      </w:r>
      <w:r>
        <w:rPr>
          <w:sz w:val="24"/>
        </w:rPr>
        <w:t>of enteric methane prediction equations for dairy cows used in whole farm models. Glob. Change Biol. 16:</w:t>
      </w:r>
      <w:r>
        <w:rPr>
          <w:spacing w:val="-4"/>
          <w:sz w:val="24"/>
        </w:rPr>
        <w:t> </w:t>
      </w:r>
      <w:r>
        <w:rPr>
          <w:sz w:val="24"/>
        </w:rPr>
        <w:t>3246–3256.</w:t>
      </w:r>
    </w:p>
    <w:p>
      <w:pPr>
        <w:pStyle w:val="BodyText"/>
        <w:tabs>
          <w:tab w:pos="3337" w:val="left" w:leader="none"/>
          <w:tab w:pos="4844" w:val="left" w:leader="none"/>
          <w:tab w:pos="6418" w:val="left" w:leader="none"/>
          <w:tab w:pos="8780" w:val="left" w:leader="none"/>
        </w:tabs>
        <w:spacing w:line="360" w:lineRule="auto" w:before="2"/>
        <w:ind w:left="1269" w:right="144" w:hanging="993"/>
        <w:jc w:val="both"/>
      </w:pPr>
      <w:r>
        <w:rPr>
          <w:b/>
        </w:rPr>
        <w:t>ENCC. 2013. </w:t>
      </w:r>
      <w:r>
        <w:rPr/>
        <w:t>Estrategia Nacional de Cambio Climático. Visión 10-20-40 Gobierno de la República. Secretaría del Medio Ambiente y Recursos Naturales. México.</w:t>
        <w:tab/>
        <w:t>pp</w:t>
        <w:tab/>
        <w:t>60.</w:t>
        <w:tab/>
        <w:t>Disponible</w:t>
        <w:tab/>
        <w:t>en: </w:t>
      </w:r>
      <w:hyperlink r:id="rId214">
        <w:r>
          <w:rPr>
            <w:color w:val="0000FF"/>
            <w:u w:val="single" w:color="0000FF"/>
          </w:rPr>
          <w:t>http://www.semarnat.gob.mx/archivosanteriores/informacionambiental/Do</w:t>
        </w:r>
      </w:hyperlink>
      <w:r>
        <w:rPr>
          <w:color w:val="0000FF"/>
          <w:u w:val="single" w:color="0000FF"/>
        </w:rPr>
        <w:t> </w:t>
      </w:r>
      <w:r>
        <w:rPr>
          <w:color w:val="0000FF"/>
          <w:u w:val="single" w:color="0000FF"/>
        </w:rPr>
        <w:t>cuments/06_otras/ENCC.pdf</w:t>
      </w:r>
      <w:r>
        <w:rPr/>
        <w:t>.</w:t>
      </w:r>
    </w:p>
    <w:p>
      <w:pPr>
        <w:pStyle w:val="BodyText"/>
        <w:tabs>
          <w:tab w:pos="2363" w:val="left" w:leader="none"/>
        </w:tabs>
        <w:spacing w:line="360" w:lineRule="auto" w:before="2"/>
        <w:ind w:left="1269" w:right="144" w:hanging="993"/>
        <w:jc w:val="both"/>
      </w:pPr>
      <w:r>
        <w:rPr>
          <w:b/>
        </w:rPr>
        <w:t>EPA. 2014. </w:t>
      </w:r>
      <w:r>
        <w:rPr/>
        <w:t>Climate Change Indicators in the Unites States, 2014. United States Environmental</w:t>
      </w:r>
      <w:r>
        <w:rPr>
          <w:spacing w:val="-9"/>
        </w:rPr>
        <w:t> </w:t>
      </w:r>
      <w:r>
        <w:rPr/>
        <w:t>Protection</w:t>
      </w:r>
      <w:r>
        <w:rPr>
          <w:spacing w:val="-9"/>
        </w:rPr>
        <w:t> </w:t>
      </w:r>
      <w:r>
        <w:rPr/>
        <w:t>Agency.</w:t>
      </w:r>
      <w:r>
        <w:rPr>
          <w:spacing w:val="-9"/>
        </w:rPr>
        <w:t> </w:t>
      </w:r>
      <w:r>
        <w:rPr/>
        <w:t>EPA</w:t>
      </w:r>
      <w:r>
        <w:rPr>
          <w:spacing w:val="-9"/>
        </w:rPr>
        <w:t> </w:t>
      </w:r>
      <w:r>
        <w:rPr/>
        <w:t>430-R-14-004.</w:t>
      </w:r>
      <w:r>
        <w:rPr>
          <w:spacing w:val="-9"/>
        </w:rPr>
        <w:t> </w:t>
      </w:r>
      <w:r>
        <w:rPr/>
        <w:t>pp.</w:t>
      </w:r>
      <w:r>
        <w:rPr>
          <w:spacing w:val="-9"/>
        </w:rPr>
        <w:t> </w:t>
      </w:r>
      <w:r>
        <w:rPr/>
        <w:t>107.</w:t>
      </w:r>
      <w:r>
        <w:rPr>
          <w:spacing w:val="-9"/>
        </w:rPr>
        <w:t> </w:t>
      </w:r>
      <w:r>
        <w:rPr/>
        <w:t>Disponible en:</w:t>
        <w:tab/>
      </w:r>
      <w:r>
        <w:rPr>
          <w:color w:val="0000FF"/>
          <w:u w:val="single" w:color="0000FF"/>
        </w:rPr>
        <w:t>https://www3.epa.gov/climatechange/pdfs/climateindicators-full- </w:t>
      </w:r>
      <w:r>
        <w:rPr>
          <w:color w:val="0000FF"/>
          <w:u w:val="single" w:color="0000FF"/>
        </w:rPr>
        <w:t>2014.pdf</w:t>
      </w:r>
      <w:r>
        <w:rPr/>
        <w:t>.</w:t>
      </w:r>
    </w:p>
    <w:p>
      <w:pPr>
        <w:spacing w:after="0" w:line="360" w:lineRule="auto"/>
        <w:jc w:val="both"/>
        <w:sectPr>
          <w:pgSz w:w="12240" w:h="15840"/>
          <w:pgMar w:header="741" w:footer="739" w:top="1220" w:bottom="920" w:left="1720" w:right="1260"/>
        </w:sectPr>
      </w:pPr>
    </w:p>
    <w:p>
      <w:pPr>
        <w:pStyle w:val="BodyText"/>
        <w:spacing w:before="4"/>
        <w:rPr>
          <w:sz w:val="11"/>
        </w:rPr>
      </w:pPr>
    </w:p>
    <w:p>
      <w:pPr>
        <w:spacing w:line="360" w:lineRule="auto" w:before="69"/>
        <w:ind w:left="1269" w:right="144" w:hanging="993"/>
        <w:jc w:val="both"/>
        <w:rPr>
          <w:sz w:val="24"/>
        </w:rPr>
      </w:pPr>
      <w:r>
        <w:rPr>
          <w:b/>
          <w:sz w:val="24"/>
        </w:rPr>
        <w:t>Eugène,</w:t>
      </w:r>
      <w:r>
        <w:rPr>
          <w:b/>
          <w:spacing w:val="-12"/>
          <w:sz w:val="24"/>
        </w:rPr>
        <w:t> </w:t>
      </w:r>
      <w:r>
        <w:rPr>
          <w:b/>
          <w:sz w:val="24"/>
        </w:rPr>
        <w:t>M.,</w:t>
      </w:r>
      <w:r>
        <w:rPr>
          <w:b/>
          <w:spacing w:val="-12"/>
          <w:sz w:val="24"/>
        </w:rPr>
        <w:t> </w:t>
      </w:r>
      <w:r>
        <w:rPr>
          <w:b/>
          <w:sz w:val="24"/>
        </w:rPr>
        <w:t>Martin,</w:t>
      </w:r>
      <w:r>
        <w:rPr>
          <w:b/>
          <w:spacing w:val="-12"/>
          <w:sz w:val="24"/>
        </w:rPr>
        <w:t> </w:t>
      </w:r>
      <w:r>
        <w:rPr>
          <w:b/>
          <w:sz w:val="24"/>
        </w:rPr>
        <w:t>C.,</w:t>
      </w:r>
      <w:r>
        <w:rPr>
          <w:b/>
          <w:spacing w:val="-12"/>
          <w:sz w:val="24"/>
        </w:rPr>
        <w:t> </w:t>
      </w:r>
      <w:r>
        <w:rPr>
          <w:b/>
          <w:sz w:val="24"/>
        </w:rPr>
        <w:t>Mialon,</w:t>
      </w:r>
      <w:r>
        <w:rPr>
          <w:b/>
          <w:spacing w:val="-12"/>
          <w:sz w:val="24"/>
        </w:rPr>
        <w:t> </w:t>
      </w:r>
      <w:r>
        <w:rPr>
          <w:b/>
          <w:sz w:val="24"/>
        </w:rPr>
        <w:t>M.</w:t>
      </w:r>
      <w:r>
        <w:rPr>
          <w:b/>
          <w:spacing w:val="-12"/>
          <w:sz w:val="24"/>
        </w:rPr>
        <w:t> </w:t>
      </w:r>
      <w:r>
        <w:rPr>
          <w:b/>
          <w:sz w:val="24"/>
        </w:rPr>
        <w:t>M.,</w:t>
      </w:r>
      <w:r>
        <w:rPr>
          <w:b/>
          <w:spacing w:val="-12"/>
          <w:sz w:val="24"/>
        </w:rPr>
        <w:t> </w:t>
      </w:r>
      <w:r>
        <w:rPr>
          <w:b/>
          <w:sz w:val="24"/>
        </w:rPr>
        <w:t>Krauss,</w:t>
      </w:r>
      <w:r>
        <w:rPr>
          <w:b/>
          <w:spacing w:val="-12"/>
          <w:sz w:val="24"/>
        </w:rPr>
        <w:t> </w:t>
      </w:r>
      <w:r>
        <w:rPr>
          <w:b/>
          <w:sz w:val="24"/>
        </w:rPr>
        <w:t>D.,</w:t>
      </w:r>
      <w:r>
        <w:rPr>
          <w:b/>
          <w:spacing w:val="-12"/>
          <w:sz w:val="24"/>
        </w:rPr>
        <w:t> </w:t>
      </w:r>
      <w:r>
        <w:rPr>
          <w:b/>
          <w:sz w:val="24"/>
        </w:rPr>
        <w:t>Renand,</w:t>
      </w:r>
      <w:r>
        <w:rPr>
          <w:b/>
          <w:spacing w:val="-12"/>
          <w:sz w:val="24"/>
        </w:rPr>
        <w:t> </w:t>
      </w:r>
      <w:r>
        <w:rPr>
          <w:b/>
          <w:sz w:val="24"/>
        </w:rPr>
        <w:t>G.</w:t>
      </w:r>
      <w:r>
        <w:rPr>
          <w:b/>
          <w:spacing w:val="-12"/>
          <w:sz w:val="24"/>
        </w:rPr>
        <w:t> </w:t>
      </w:r>
      <w:r>
        <w:rPr>
          <w:b/>
          <w:sz w:val="24"/>
        </w:rPr>
        <w:t>y</w:t>
      </w:r>
      <w:r>
        <w:rPr>
          <w:b/>
          <w:spacing w:val="-12"/>
          <w:sz w:val="24"/>
        </w:rPr>
        <w:t> </w:t>
      </w:r>
      <w:r>
        <w:rPr>
          <w:b/>
          <w:sz w:val="24"/>
        </w:rPr>
        <w:t>Doreau,</w:t>
      </w:r>
      <w:r>
        <w:rPr>
          <w:b/>
          <w:spacing w:val="-12"/>
          <w:sz w:val="24"/>
        </w:rPr>
        <w:t> </w:t>
      </w:r>
      <w:r>
        <w:rPr>
          <w:b/>
          <w:sz w:val="24"/>
        </w:rPr>
        <w:t>M.</w:t>
      </w:r>
      <w:r>
        <w:rPr>
          <w:b/>
          <w:spacing w:val="-12"/>
          <w:sz w:val="24"/>
        </w:rPr>
        <w:t> </w:t>
      </w:r>
      <w:r>
        <w:rPr>
          <w:b/>
          <w:sz w:val="24"/>
        </w:rPr>
        <w:t>2011. </w:t>
      </w:r>
      <w:r>
        <w:rPr>
          <w:sz w:val="24"/>
        </w:rPr>
        <w:t>Dietary linseed and starch supplementation decreases methane production</w:t>
      </w:r>
      <w:r>
        <w:rPr>
          <w:spacing w:val="-6"/>
          <w:sz w:val="24"/>
        </w:rPr>
        <w:t> </w:t>
      </w:r>
      <w:r>
        <w:rPr>
          <w:sz w:val="24"/>
        </w:rPr>
        <w:t>of</w:t>
      </w:r>
      <w:r>
        <w:rPr>
          <w:spacing w:val="-6"/>
          <w:sz w:val="24"/>
        </w:rPr>
        <w:t> </w:t>
      </w:r>
      <w:r>
        <w:rPr>
          <w:sz w:val="24"/>
        </w:rPr>
        <w:t>fattening</w:t>
      </w:r>
      <w:r>
        <w:rPr>
          <w:spacing w:val="-6"/>
          <w:sz w:val="24"/>
        </w:rPr>
        <w:t> </w:t>
      </w:r>
      <w:r>
        <w:rPr>
          <w:sz w:val="24"/>
        </w:rPr>
        <w:t>bulls.</w:t>
      </w:r>
      <w:r>
        <w:rPr>
          <w:spacing w:val="-6"/>
          <w:sz w:val="24"/>
        </w:rPr>
        <w:t> </w:t>
      </w:r>
      <w:r>
        <w:rPr>
          <w:sz w:val="24"/>
        </w:rPr>
        <w:t>Anim.</w:t>
      </w:r>
      <w:r>
        <w:rPr>
          <w:spacing w:val="-6"/>
          <w:sz w:val="24"/>
        </w:rPr>
        <w:t> </w:t>
      </w:r>
      <w:r>
        <w:rPr>
          <w:sz w:val="24"/>
        </w:rPr>
        <w:t>Feed</w:t>
      </w:r>
      <w:r>
        <w:rPr>
          <w:spacing w:val="-6"/>
          <w:sz w:val="24"/>
        </w:rPr>
        <w:t> </w:t>
      </w:r>
      <w:r>
        <w:rPr>
          <w:sz w:val="24"/>
        </w:rPr>
        <w:t>Sci.</w:t>
      </w:r>
      <w:r>
        <w:rPr>
          <w:spacing w:val="-6"/>
          <w:sz w:val="24"/>
        </w:rPr>
        <w:t> </w:t>
      </w:r>
      <w:r>
        <w:rPr>
          <w:sz w:val="24"/>
        </w:rPr>
        <w:t>Technol.</w:t>
      </w:r>
      <w:r>
        <w:rPr>
          <w:spacing w:val="-6"/>
          <w:sz w:val="24"/>
        </w:rPr>
        <w:t> </w:t>
      </w:r>
      <w:r>
        <w:rPr>
          <w:sz w:val="24"/>
        </w:rPr>
        <w:t>166–167:</w:t>
      </w:r>
      <w:r>
        <w:rPr>
          <w:spacing w:val="-6"/>
          <w:sz w:val="24"/>
        </w:rPr>
        <w:t> </w:t>
      </w:r>
      <w:r>
        <w:rPr>
          <w:sz w:val="24"/>
        </w:rPr>
        <w:t>330–337.</w:t>
      </w:r>
    </w:p>
    <w:p>
      <w:pPr>
        <w:pStyle w:val="BodyText"/>
        <w:spacing w:line="360" w:lineRule="auto" w:before="2"/>
        <w:ind w:left="1269" w:right="144" w:hanging="993"/>
        <w:jc w:val="both"/>
      </w:pPr>
      <w:r>
        <w:rPr>
          <w:b/>
        </w:rPr>
        <w:t>FAO. 2009. </w:t>
      </w:r>
      <w:r>
        <w:rPr/>
        <w:t>Food Security and Agricultural Mitigation in Developing Countries: Options for Capturing Synergies. Roma, Italia. pp. 84.</w:t>
      </w:r>
    </w:p>
    <w:p>
      <w:pPr>
        <w:pStyle w:val="BodyText"/>
        <w:spacing w:line="360" w:lineRule="auto" w:before="7"/>
        <w:ind w:left="1269" w:right="145" w:hanging="993"/>
        <w:jc w:val="both"/>
      </w:pPr>
      <w:r>
        <w:rPr>
          <w:b/>
        </w:rPr>
        <w:t>FAO. 2009b. </w:t>
      </w:r>
      <w:r>
        <w:rPr/>
        <w:t>La Larga Sombra del Ganado: Problemas ambientales y opciones. Organización</w:t>
      </w:r>
      <w:r>
        <w:rPr>
          <w:spacing w:val="-15"/>
        </w:rPr>
        <w:t> </w:t>
      </w:r>
      <w:r>
        <w:rPr/>
        <w:t>de</w:t>
      </w:r>
      <w:r>
        <w:rPr>
          <w:spacing w:val="-15"/>
        </w:rPr>
        <w:t> </w:t>
      </w:r>
      <w:r>
        <w:rPr/>
        <w:t>las</w:t>
      </w:r>
      <w:r>
        <w:rPr>
          <w:spacing w:val="-15"/>
        </w:rPr>
        <w:t> </w:t>
      </w:r>
      <w:r>
        <w:rPr/>
        <w:t>Naciones</w:t>
      </w:r>
      <w:r>
        <w:rPr>
          <w:spacing w:val="-15"/>
        </w:rPr>
        <w:t> </w:t>
      </w:r>
      <w:r>
        <w:rPr/>
        <w:t>Unidas</w:t>
      </w:r>
      <w:r>
        <w:rPr>
          <w:spacing w:val="-15"/>
        </w:rPr>
        <w:t> </w:t>
      </w:r>
      <w:r>
        <w:rPr/>
        <w:t>Para</w:t>
      </w:r>
      <w:r>
        <w:rPr>
          <w:spacing w:val="-15"/>
        </w:rPr>
        <w:t> </w:t>
      </w:r>
      <w:r>
        <w:rPr/>
        <w:t>la</w:t>
      </w:r>
      <w:r>
        <w:rPr>
          <w:spacing w:val="-15"/>
        </w:rPr>
        <w:t> </w:t>
      </w:r>
      <w:r>
        <w:rPr/>
        <w:t>Agricultura</w:t>
      </w:r>
      <w:r>
        <w:rPr>
          <w:spacing w:val="-15"/>
        </w:rPr>
        <w:t> </w:t>
      </w:r>
      <w:r>
        <w:rPr/>
        <w:t>y</w:t>
      </w:r>
      <w:r>
        <w:rPr>
          <w:spacing w:val="-15"/>
        </w:rPr>
        <w:t> </w:t>
      </w:r>
      <w:r>
        <w:rPr/>
        <w:t>la</w:t>
      </w:r>
      <w:r>
        <w:rPr>
          <w:spacing w:val="-15"/>
        </w:rPr>
        <w:t> </w:t>
      </w:r>
      <w:r>
        <w:rPr/>
        <w:t>Alimentación. Roma, Italia. pp.</w:t>
      </w:r>
      <w:r>
        <w:rPr>
          <w:spacing w:val="-3"/>
        </w:rPr>
        <w:t> </w:t>
      </w:r>
      <w:r>
        <w:rPr/>
        <w:t>464.</w:t>
      </w:r>
    </w:p>
    <w:p>
      <w:pPr>
        <w:pStyle w:val="BodyText"/>
        <w:spacing w:line="360" w:lineRule="auto" w:before="2"/>
        <w:ind w:left="1269" w:right="143" w:hanging="993"/>
        <w:jc w:val="both"/>
      </w:pPr>
      <w:r>
        <w:rPr>
          <w:b/>
        </w:rPr>
        <w:t>FAO. 2009c. </w:t>
      </w:r>
      <w:r>
        <w:rPr/>
        <w:t>El estado mundial de la agricultura y la alimentación. La ganadería a examen. Organización de las Naciones Unidas para la Agricultura y la Alimentación. Roma, Italia. pp. 184.</w:t>
      </w:r>
    </w:p>
    <w:p>
      <w:pPr>
        <w:pStyle w:val="BodyText"/>
        <w:tabs>
          <w:tab w:pos="2451" w:val="left" w:leader="none"/>
          <w:tab w:pos="3553" w:val="left" w:leader="none"/>
          <w:tab w:pos="5122" w:val="left" w:leader="none"/>
          <w:tab w:pos="6744" w:val="left" w:leader="none"/>
          <w:tab w:pos="8780" w:val="left" w:leader="none"/>
        </w:tabs>
        <w:spacing w:line="360" w:lineRule="auto" w:before="2"/>
        <w:ind w:left="1269" w:right="144" w:hanging="993"/>
        <w:jc w:val="both"/>
      </w:pPr>
      <w:r>
        <w:rPr>
          <w:b/>
        </w:rPr>
        <w:t>FAO.</w:t>
      </w:r>
      <w:r>
        <w:rPr>
          <w:b/>
          <w:spacing w:val="-8"/>
        </w:rPr>
        <w:t> </w:t>
      </w:r>
      <w:r>
        <w:rPr>
          <w:b/>
        </w:rPr>
        <w:t>2010.</w:t>
      </w:r>
      <w:r>
        <w:rPr>
          <w:b/>
          <w:spacing w:val="-8"/>
        </w:rPr>
        <w:t> </w:t>
      </w:r>
      <w:r>
        <w:rPr/>
        <w:t>Un</w:t>
      </w:r>
      <w:r>
        <w:rPr>
          <w:spacing w:val="-8"/>
        </w:rPr>
        <w:t> </w:t>
      </w:r>
      <w:r>
        <w:rPr/>
        <w:t>nuevo</w:t>
      </w:r>
      <w:r>
        <w:rPr>
          <w:spacing w:val="-8"/>
        </w:rPr>
        <w:t> </w:t>
      </w:r>
      <w:r>
        <w:rPr/>
        <w:t>informe</w:t>
      </w:r>
      <w:r>
        <w:rPr>
          <w:spacing w:val="-8"/>
        </w:rPr>
        <w:t> </w:t>
      </w:r>
      <w:r>
        <w:rPr/>
        <w:t>evalúa</w:t>
      </w:r>
      <w:r>
        <w:rPr>
          <w:spacing w:val="-8"/>
        </w:rPr>
        <w:t> </w:t>
      </w:r>
      <w:r>
        <w:rPr/>
        <w:t>las</w:t>
      </w:r>
      <w:r>
        <w:rPr>
          <w:spacing w:val="-8"/>
        </w:rPr>
        <w:t> </w:t>
      </w:r>
      <w:r>
        <w:rPr/>
        <w:t>emisiones</w:t>
      </w:r>
      <w:r>
        <w:rPr>
          <w:spacing w:val="-8"/>
        </w:rPr>
        <w:t> </w:t>
      </w:r>
      <w:r>
        <w:rPr/>
        <w:t>de</w:t>
      </w:r>
      <w:r>
        <w:rPr>
          <w:spacing w:val="-8"/>
        </w:rPr>
        <w:t> </w:t>
      </w:r>
      <w:r>
        <w:rPr/>
        <w:t>gases</w:t>
      </w:r>
      <w:r>
        <w:rPr>
          <w:spacing w:val="-8"/>
        </w:rPr>
        <w:t> </w:t>
      </w:r>
      <w:r>
        <w:rPr/>
        <w:t>de</w:t>
      </w:r>
      <w:r>
        <w:rPr>
          <w:spacing w:val="-8"/>
        </w:rPr>
        <w:t> </w:t>
      </w:r>
      <w:r>
        <w:rPr/>
        <w:t>efecto</w:t>
      </w:r>
      <w:r>
        <w:rPr>
          <w:spacing w:val="-8"/>
        </w:rPr>
        <w:t> </w:t>
      </w:r>
      <w:r>
        <w:rPr/>
        <w:t>invernadero en</w:t>
        <w:tab/>
        <w:t>el</w:t>
        <w:tab/>
        <w:t>sector</w:t>
        <w:tab/>
        <w:t>lácteo.</w:t>
        <w:tab/>
        <w:t>Disponible</w:t>
        <w:tab/>
        <w:t>en: </w:t>
      </w:r>
      <w:hyperlink r:id="rId161">
        <w:r>
          <w:rPr>
            <w:color w:val="0000FF"/>
            <w:u w:val="single" w:color="0000FF"/>
          </w:rPr>
          <w:t>http://www.fao.org/news/story/es/item/41353/icode/</w:t>
        </w:r>
        <w:r>
          <w:rPr/>
          <w:t>.</w:t>
        </w:r>
      </w:hyperlink>
    </w:p>
    <w:p>
      <w:pPr>
        <w:pStyle w:val="BodyText"/>
        <w:spacing w:line="360" w:lineRule="auto" w:before="2"/>
        <w:ind w:left="1269" w:right="143" w:hanging="993"/>
        <w:jc w:val="both"/>
      </w:pPr>
      <w:r>
        <w:rPr>
          <w:b/>
        </w:rPr>
        <w:t>FAO. 2013. </w:t>
      </w:r>
      <w:r>
        <w:rPr/>
        <w:t>Enfrentando el cambio climático a través de la ganadería. Una evaluación global de las emisiones y oportunidades de mitigación. Organización</w:t>
      </w:r>
      <w:r>
        <w:rPr>
          <w:spacing w:val="-13"/>
        </w:rPr>
        <w:t> </w:t>
      </w:r>
      <w:r>
        <w:rPr/>
        <w:t>de</w:t>
      </w:r>
      <w:r>
        <w:rPr>
          <w:spacing w:val="-13"/>
        </w:rPr>
        <w:t> </w:t>
      </w:r>
      <w:r>
        <w:rPr/>
        <w:t>las</w:t>
      </w:r>
      <w:r>
        <w:rPr>
          <w:spacing w:val="-13"/>
        </w:rPr>
        <w:t> </w:t>
      </w:r>
      <w:r>
        <w:rPr/>
        <w:t>Naciones</w:t>
      </w:r>
      <w:r>
        <w:rPr>
          <w:spacing w:val="-13"/>
        </w:rPr>
        <w:t> </w:t>
      </w:r>
      <w:r>
        <w:rPr/>
        <w:t>Unidas</w:t>
      </w:r>
      <w:r>
        <w:rPr>
          <w:spacing w:val="-13"/>
        </w:rPr>
        <w:t> </w:t>
      </w:r>
      <w:r>
        <w:rPr/>
        <w:t>para</w:t>
      </w:r>
      <w:r>
        <w:rPr>
          <w:spacing w:val="-13"/>
        </w:rPr>
        <w:t> </w:t>
      </w:r>
      <w:r>
        <w:rPr/>
        <w:t>la</w:t>
      </w:r>
      <w:r>
        <w:rPr>
          <w:spacing w:val="-13"/>
        </w:rPr>
        <w:t> </w:t>
      </w:r>
      <w:r>
        <w:rPr/>
        <w:t>Agricultura</w:t>
      </w:r>
      <w:r>
        <w:rPr>
          <w:spacing w:val="-13"/>
        </w:rPr>
        <w:t> </w:t>
      </w:r>
      <w:r>
        <w:rPr/>
        <w:t>y</w:t>
      </w:r>
      <w:r>
        <w:rPr>
          <w:spacing w:val="-13"/>
        </w:rPr>
        <w:t> </w:t>
      </w:r>
      <w:r>
        <w:rPr/>
        <w:t>la</w:t>
      </w:r>
      <w:r>
        <w:rPr>
          <w:spacing w:val="-13"/>
        </w:rPr>
        <w:t> </w:t>
      </w:r>
      <w:r>
        <w:rPr/>
        <w:t>Alimentación. Roma. Disponible en:</w:t>
      </w:r>
      <w:r>
        <w:rPr>
          <w:spacing w:val="-3"/>
        </w:rPr>
        <w:t> </w:t>
      </w:r>
      <w:hyperlink r:id="rId215">
        <w:r>
          <w:rPr>
            <w:color w:val="0000FF"/>
            <w:u w:val="single" w:color="0000FF"/>
          </w:rPr>
          <w:t>http://www.fao.org/3/i3437s.pdf</w:t>
        </w:r>
        <w:r>
          <w:rPr/>
          <w:t>.</w:t>
        </w:r>
      </w:hyperlink>
    </w:p>
    <w:p>
      <w:pPr>
        <w:spacing w:line="360" w:lineRule="auto" w:before="2"/>
        <w:ind w:left="1269" w:right="144" w:hanging="993"/>
        <w:jc w:val="both"/>
        <w:rPr>
          <w:sz w:val="24"/>
        </w:rPr>
      </w:pPr>
      <w:r>
        <w:rPr>
          <w:b/>
          <w:sz w:val="24"/>
        </w:rPr>
        <w:t>Fox,</w:t>
      </w:r>
      <w:r>
        <w:rPr>
          <w:b/>
          <w:spacing w:val="-5"/>
          <w:sz w:val="24"/>
        </w:rPr>
        <w:t> </w:t>
      </w:r>
      <w:r>
        <w:rPr>
          <w:b/>
          <w:sz w:val="24"/>
        </w:rPr>
        <w:t>D.</w:t>
      </w:r>
      <w:r>
        <w:rPr>
          <w:b/>
          <w:spacing w:val="-5"/>
          <w:sz w:val="24"/>
        </w:rPr>
        <w:t> </w:t>
      </w:r>
      <w:r>
        <w:rPr>
          <w:b/>
          <w:sz w:val="24"/>
        </w:rPr>
        <w:t>G.,</w:t>
      </w:r>
      <w:r>
        <w:rPr>
          <w:b/>
          <w:spacing w:val="-5"/>
          <w:sz w:val="24"/>
        </w:rPr>
        <w:t> </w:t>
      </w:r>
      <w:r>
        <w:rPr>
          <w:b/>
          <w:sz w:val="24"/>
        </w:rPr>
        <w:t>Tylutki,</w:t>
      </w:r>
      <w:r>
        <w:rPr>
          <w:b/>
          <w:spacing w:val="-5"/>
          <w:sz w:val="24"/>
        </w:rPr>
        <w:t> </w:t>
      </w:r>
      <w:r>
        <w:rPr>
          <w:b/>
          <w:sz w:val="24"/>
        </w:rPr>
        <w:t>P.,</w:t>
      </w:r>
      <w:r>
        <w:rPr>
          <w:b/>
          <w:spacing w:val="-5"/>
          <w:sz w:val="24"/>
        </w:rPr>
        <w:t> </w:t>
      </w:r>
      <w:r>
        <w:rPr>
          <w:b/>
          <w:sz w:val="24"/>
        </w:rPr>
        <w:t>Tedeschi,</w:t>
      </w:r>
      <w:r>
        <w:rPr>
          <w:b/>
          <w:spacing w:val="-5"/>
          <w:sz w:val="24"/>
        </w:rPr>
        <w:t> </w:t>
      </w:r>
      <w:r>
        <w:rPr>
          <w:b/>
          <w:sz w:val="24"/>
        </w:rPr>
        <w:t>L.</w:t>
      </w:r>
      <w:r>
        <w:rPr>
          <w:b/>
          <w:spacing w:val="-5"/>
          <w:sz w:val="24"/>
        </w:rPr>
        <w:t> </w:t>
      </w:r>
      <w:r>
        <w:rPr>
          <w:b/>
          <w:sz w:val="24"/>
        </w:rPr>
        <w:t>O.,</w:t>
      </w:r>
      <w:r>
        <w:rPr>
          <w:b/>
          <w:spacing w:val="-5"/>
          <w:sz w:val="24"/>
        </w:rPr>
        <w:t> </w:t>
      </w:r>
      <w:r>
        <w:rPr>
          <w:b/>
          <w:sz w:val="24"/>
        </w:rPr>
        <w:t>Van</w:t>
      </w:r>
      <w:r>
        <w:rPr>
          <w:b/>
          <w:spacing w:val="-5"/>
          <w:sz w:val="24"/>
        </w:rPr>
        <w:t> </w:t>
      </w:r>
      <w:r>
        <w:rPr>
          <w:b/>
          <w:sz w:val="24"/>
        </w:rPr>
        <w:t>Amburg,</w:t>
      </w:r>
      <w:r>
        <w:rPr>
          <w:b/>
          <w:spacing w:val="-5"/>
          <w:sz w:val="24"/>
        </w:rPr>
        <w:t> </w:t>
      </w:r>
      <w:r>
        <w:rPr>
          <w:b/>
          <w:sz w:val="24"/>
        </w:rPr>
        <w:t>M.</w:t>
      </w:r>
      <w:r>
        <w:rPr>
          <w:b/>
          <w:spacing w:val="-5"/>
          <w:sz w:val="24"/>
        </w:rPr>
        <w:t> </w:t>
      </w:r>
      <w:r>
        <w:rPr>
          <w:b/>
          <w:sz w:val="24"/>
        </w:rPr>
        <w:t>E.,</w:t>
      </w:r>
      <w:r>
        <w:rPr>
          <w:b/>
          <w:spacing w:val="-5"/>
          <w:sz w:val="24"/>
        </w:rPr>
        <w:t> </w:t>
      </w:r>
      <w:r>
        <w:rPr>
          <w:b/>
          <w:sz w:val="24"/>
        </w:rPr>
        <w:t>Chase,</w:t>
      </w:r>
      <w:r>
        <w:rPr>
          <w:b/>
          <w:spacing w:val="-5"/>
          <w:sz w:val="24"/>
        </w:rPr>
        <w:t> </w:t>
      </w:r>
      <w:r>
        <w:rPr>
          <w:b/>
          <w:sz w:val="24"/>
        </w:rPr>
        <w:t>L.</w:t>
      </w:r>
      <w:r>
        <w:rPr>
          <w:b/>
          <w:spacing w:val="-5"/>
          <w:sz w:val="24"/>
        </w:rPr>
        <w:t> </w:t>
      </w:r>
      <w:r>
        <w:rPr>
          <w:b/>
          <w:sz w:val="24"/>
        </w:rPr>
        <w:t>E.,</w:t>
      </w:r>
      <w:r>
        <w:rPr>
          <w:b/>
          <w:spacing w:val="-5"/>
          <w:sz w:val="24"/>
        </w:rPr>
        <w:t> </w:t>
      </w:r>
      <w:r>
        <w:rPr>
          <w:b/>
          <w:sz w:val="24"/>
        </w:rPr>
        <w:t>Pell,</w:t>
      </w:r>
      <w:r>
        <w:rPr>
          <w:b/>
          <w:spacing w:val="-5"/>
          <w:sz w:val="24"/>
        </w:rPr>
        <w:t> </w:t>
      </w:r>
      <w:r>
        <w:rPr>
          <w:b/>
          <w:sz w:val="24"/>
        </w:rPr>
        <w:t>A. N.,</w:t>
      </w:r>
      <w:r>
        <w:rPr>
          <w:b/>
          <w:spacing w:val="-16"/>
          <w:sz w:val="24"/>
        </w:rPr>
        <w:t> </w:t>
      </w:r>
      <w:r>
        <w:rPr>
          <w:b/>
          <w:sz w:val="24"/>
        </w:rPr>
        <w:t>Overton,</w:t>
      </w:r>
      <w:r>
        <w:rPr>
          <w:b/>
          <w:spacing w:val="-16"/>
          <w:sz w:val="24"/>
        </w:rPr>
        <w:t> </w:t>
      </w:r>
      <w:r>
        <w:rPr>
          <w:b/>
          <w:sz w:val="24"/>
        </w:rPr>
        <w:t>T.</w:t>
      </w:r>
      <w:r>
        <w:rPr>
          <w:b/>
          <w:spacing w:val="-16"/>
          <w:sz w:val="24"/>
        </w:rPr>
        <w:t> </w:t>
      </w:r>
      <w:r>
        <w:rPr>
          <w:b/>
          <w:sz w:val="24"/>
        </w:rPr>
        <w:t>R.</w:t>
      </w:r>
      <w:r>
        <w:rPr>
          <w:b/>
          <w:spacing w:val="-16"/>
          <w:sz w:val="24"/>
        </w:rPr>
        <w:t> </w:t>
      </w:r>
      <w:r>
        <w:rPr>
          <w:b/>
          <w:sz w:val="24"/>
        </w:rPr>
        <w:t>y</w:t>
      </w:r>
      <w:r>
        <w:rPr>
          <w:b/>
          <w:spacing w:val="-16"/>
          <w:sz w:val="24"/>
        </w:rPr>
        <w:t> </w:t>
      </w:r>
      <w:r>
        <w:rPr>
          <w:b/>
          <w:sz w:val="24"/>
        </w:rPr>
        <w:t>Russel,</w:t>
      </w:r>
      <w:r>
        <w:rPr>
          <w:b/>
          <w:spacing w:val="-16"/>
          <w:sz w:val="24"/>
        </w:rPr>
        <w:t> </w:t>
      </w:r>
      <w:r>
        <w:rPr>
          <w:b/>
          <w:sz w:val="24"/>
        </w:rPr>
        <w:t>J.</w:t>
      </w:r>
      <w:r>
        <w:rPr>
          <w:b/>
          <w:spacing w:val="-16"/>
          <w:sz w:val="24"/>
        </w:rPr>
        <w:t> </w:t>
      </w:r>
      <w:r>
        <w:rPr>
          <w:b/>
          <w:sz w:val="24"/>
        </w:rPr>
        <w:t>B.</w:t>
      </w:r>
      <w:r>
        <w:rPr>
          <w:b/>
          <w:spacing w:val="-16"/>
          <w:sz w:val="24"/>
        </w:rPr>
        <w:t> </w:t>
      </w:r>
      <w:r>
        <w:rPr>
          <w:b/>
          <w:sz w:val="24"/>
        </w:rPr>
        <w:t>2003.</w:t>
      </w:r>
      <w:r>
        <w:rPr>
          <w:b/>
          <w:spacing w:val="-16"/>
          <w:sz w:val="24"/>
        </w:rPr>
        <w:t> </w:t>
      </w:r>
      <w:r>
        <w:rPr>
          <w:sz w:val="24"/>
        </w:rPr>
        <w:t>The</w:t>
      </w:r>
      <w:r>
        <w:rPr>
          <w:spacing w:val="-16"/>
          <w:sz w:val="24"/>
        </w:rPr>
        <w:t> </w:t>
      </w:r>
      <w:r>
        <w:rPr>
          <w:sz w:val="24"/>
        </w:rPr>
        <w:t>Net</w:t>
      </w:r>
      <w:r>
        <w:rPr>
          <w:spacing w:val="-16"/>
          <w:sz w:val="24"/>
        </w:rPr>
        <w:t> </w:t>
      </w:r>
      <w:r>
        <w:rPr>
          <w:sz w:val="24"/>
        </w:rPr>
        <w:t>Carbohydrate</w:t>
      </w:r>
      <w:r>
        <w:rPr>
          <w:spacing w:val="-16"/>
          <w:sz w:val="24"/>
        </w:rPr>
        <w:t> </w:t>
      </w:r>
      <w:r>
        <w:rPr>
          <w:sz w:val="24"/>
        </w:rPr>
        <w:t>and</w:t>
      </w:r>
      <w:r>
        <w:rPr>
          <w:spacing w:val="-16"/>
          <w:sz w:val="24"/>
        </w:rPr>
        <w:t> </w:t>
      </w:r>
      <w:r>
        <w:rPr>
          <w:sz w:val="24"/>
        </w:rPr>
        <w:t>Protein System for evaluating herd nutri- tion and nutrient excretion. Version 5.0. Animal Science Department Mimeo 213. Cornell University, Ithaca,</w:t>
      </w:r>
      <w:r>
        <w:rPr>
          <w:spacing w:val="-1"/>
          <w:sz w:val="24"/>
        </w:rPr>
        <w:t> </w:t>
      </w:r>
      <w:r>
        <w:rPr>
          <w:sz w:val="24"/>
        </w:rPr>
        <w:t>NY.</w:t>
      </w:r>
    </w:p>
    <w:p>
      <w:pPr>
        <w:spacing w:line="360" w:lineRule="auto" w:before="2"/>
        <w:ind w:left="1269" w:right="144" w:hanging="993"/>
        <w:jc w:val="both"/>
        <w:rPr>
          <w:sz w:val="24"/>
        </w:rPr>
      </w:pPr>
      <w:r>
        <w:rPr>
          <w:b/>
          <w:sz w:val="24"/>
        </w:rPr>
        <w:t>Galindo, J., Marrero, Y., González, N., Sosa, A., Miranda, A. L., Aldana, A. I., Moreira,</w:t>
      </w:r>
      <w:r>
        <w:rPr>
          <w:b/>
          <w:spacing w:val="-6"/>
          <w:sz w:val="24"/>
        </w:rPr>
        <w:t> </w:t>
      </w:r>
      <w:r>
        <w:rPr>
          <w:b/>
          <w:sz w:val="24"/>
        </w:rPr>
        <w:t>O.,</w:t>
      </w:r>
      <w:r>
        <w:rPr>
          <w:b/>
          <w:spacing w:val="-6"/>
          <w:sz w:val="24"/>
        </w:rPr>
        <w:t> </w:t>
      </w:r>
      <w:r>
        <w:rPr>
          <w:b/>
          <w:sz w:val="24"/>
        </w:rPr>
        <w:t>Bocourt,</w:t>
      </w:r>
      <w:r>
        <w:rPr>
          <w:b/>
          <w:spacing w:val="-6"/>
          <w:sz w:val="24"/>
        </w:rPr>
        <w:t> </w:t>
      </w:r>
      <w:r>
        <w:rPr>
          <w:b/>
          <w:sz w:val="24"/>
        </w:rPr>
        <w:t>R.,</w:t>
      </w:r>
      <w:r>
        <w:rPr>
          <w:b/>
          <w:spacing w:val="-6"/>
          <w:sz w:val="24"/>
        </w:rPr>
        <w:t> </w:t>
      </w:r>
      <w:r>
        <w:rPr>
          <w:b/>
          <w:sz w:val="24"/>
        </w:rPr>
        <w:t>Delgado,</w:t>
      </w:r>
      <w:r>
        <w:rPr>
          <w:b/>
          <w:spacing w:val="-6"/>
          <w:sz w:val="24"/>
        </w:rPr>
        <w:t> </w:t>
      </w:r>
      <w:r>
        <w:rPr>
          <w:b/>
          <w:sz w:val="24"/>
        </w:rPr>
        <w:t>D.,</w:t>
      </w:r>
      <w:r>
        <w:rPr>
          <w:b/>
          <w:spacing w:val="-6"/>
          <w:sz w:val="24"/>
        </w:rPr>
        <w:t> </w:t>
      </w:r>
      <w:r>
        <w:rPr>
          <w:b/>
          <w:sz w:val="24"/>
        </w:rPr>
        <w:t>Torres,</w:t>
      </w:r>
      <w:r>
        <w:rPr>
          <w:b/>
          <w:spacing w:val="-6"/>
          <w:sz w:val="24"/>
        </w:rPr>
        <w:t> </w:t>
      </w:r>
      <w:r>
        <w:rPr>
          <w:b/>
          <w:sz w:val="24"/>
        </w:rPr>
        <w:t>V.,</w:t>
      </w:r>
      <w:r>
        <w:rPr>
          <w:b/>
          <w:spacing w:val="-6"/>
          <w:sz w:val="24"/>
        </w:rPr>
        <w:t> </w:t>
      </w:r>
      <w:r>
        <w:rPr>
          <w:b/>
          <w:sz w:val="24"/>
        </w:rPr>
        <w:t>Sarduy,</w:t>
      </w:r>
      <w:r>
        <w:rPr>
          <w:b/>
          <w:spacing w:val="-6"/>
          <w:sz w:val="24"/>
        </w:rPr>
        <w:t> </w:t>
      </w:r>
      <w:r>
        <w:rPr>
          <w:b/>
          <w:sz w:val="24"/>
        </w:rPr>
        <w:t>L.</w:t>
      </w:r>
      <w:r>
        <w:rPr>
          <w:b/>
          <w:spacing w:val="-6"/>
          <w:sz w:val="24"/>
        </w:rPr>
        <w:t> </w:t>
      </w:r>
      <w:r>
        <w:rPr>
          <w:b/>
          <w:sz w:val="24"/>
        </w:rPr>
        <w:t>y</w:t>
      </w:r>
      <w:r>
        <w:rPr>
          <w:b/>
          <w:spacing w:val="-6"/>
          <w:sz w:val="24"/>
        </w:rPr>
        <w:t> </w:t>
      </w:r>
      <w:r>
        <w:rPr>
          <w:b/>
          <w:sz w:val="24"/>
        </w:rPr>
        <w:t>Noda,</w:t>
      </w:r>
      <w:r>
        <w:rPr>
          <w:b/>
          <w:spacing w:val="-6"/>
          <w:sz w:val="24"/>
        </w:rPr>
        <w:t> </w:t>
      </w:r>
      <w:r>
        <w:rPr>
          <w:b/>
          <w:sz w:val="24"/>
        </w:rPr>
        <w:t>A. 2010. </w:t>
      </w:r>
      <w:r>
        <w:rPr>
          <w:sz w:val="24"/>
        </w:rPr>
        <w:t>Efecto de preparados con levaduras Saccharomyces cerevisiae y LEVICA-25 viables en los metanógenos y metanogénesis ruminal in vitro. Revista Cubana de Ciencia Agrícola. 44 (3): 273</w:t>
      </w:r>
      <w:r>
        <w:rPr>
          <w:spacing w:val="-1"/>
          <w:sz w:val="24"/>
        </w:rPr>
        <w:t> </w:t>
      </w:r>
      <w:r>
        <w:rPr>
          <w:sz w:val="24"/>
        </w:rPr>
        <w:t>-279.</w:t>
      </w:r>
    </w:p>
    <w:p>
      <w:pPr>
        <w:pStyle w:val="BodyText"/>
        <w:spacing w:line="360" w:lineRule="auto" w:before="2"/>
        <w:ind w:left="1269" w:right="144" w:hanging="993"/>
        <w:jc w:val="both"/>
      </w:pPr>
      <w:r>
        <w:rPr>
          <w:b/>
        </w:rPr>
        <w:t>García, E. 1988. </w:t>
      </w:r>
      <w:r>
        <w:rPr/>
        <w:t>Modificaciones al sistema de clasificación climática de Köppen (para</w:t>
      </w:r>
      <w:r>
        <w:rPr>
          <w:spacing w:val="-9"/>
        </w:rPr>
        <w:t> </w:t>
      </w:r>
      <w:r>
        <w:rPr/>
        <w:t>adaptarlo</w:t>
      </w:r>
      <w:r>
        <w:rPr>
          <w:spacing w:val="-9"/>
        </w:rPr>
        <w:t> </w:t>
      </w:r>
      <w:r>
        <w:rPr/>
        <w:t>a</w:t>
      </w:r>
      <w:r>
        <w:rPr>
          <w:spacing w:val="-9"/>
        </w:rPr>
        <w:t> </w:t>
      </w:r>
      <w:r>
        <w:rPr/>
        <w:t>las</w:t>
      </w:r>
      <w:r>
        <w:rPr>
          <w:spacing w:val="-10"/>
        </w:rPr>
        <w:t> </w:t>
      </w:r>
      <w:r>
        <w:rPr/>
        <w:t>condiciones</w:t>
      </w:r>
      <w:r>
        <w:rPr>
          <w:spacing w:val="-10"/>
        </w:rPr>
        <w:t> </w:t>
      </w:r>
      <w:r>
        <w:rPr/>
        <w:t>de</w:t>
      </w:r>
      <w:r>
        <w:rPr>
          <w:spacing w:val="-9"/>
        </w:rPr>
        <w:t> </w:t>
      </w:r>
      <w:r>
        <w:rPr/>
        <w:t>la</w:t>
      </w:r>
      <w:r>
        <w:rPr>
          <w:spacing w:val="-9"/>
        </w:rPr>
        <w:t> </w:t>
      </w:r>
      <w:r>
        <w:rPr/>
        <w:t>República</w:t>
      </w:r>
      <w:r>
        <w:rPr>
          <w:spacing w:val="-9"/>
        </w:rPr>
        <w:t> </w:t>
      </w:r>
      <w:r>
        <w:rPr/>
        <w:t>Mexicana).</w:t>
      </w:r>
      <w:r>
        <w:rPr>
          <w:spacing w:val="-10"/>
        </w:rPr>
        <w:t> </w:t>
      </w:r>
      <w:r>
        <w:rPr/>
        <w:t>Offset</w:t>
      </w:r>
      <w:r>
        <w:rPr>
          <w:spacing w:val="-10"/>
        </w:rPr>
        <w:t> </w:t>
      </w:r>
      <w:r>
        <w:rPr/>
        <w:t>Larios</w:t>
      </w:r>
    </w:p>
    <w:p>
      <w:pPr>
        <w:pStyle w:val="BodyText"/>
        <w:spacing w:before="2"/>
        <w:ind w:left="1269"/>
      </w:pPr>
      <w:r>
        <w:rPr/>
        <w:t>S.A. México D.F. p. 46-52.</w:t>
      </w:r>
    </w:p>
    <w:p>
      <w:pPr>
        <w:spacing w:after="0"/>
        <w:sectPr>
          <w:pgSz w:w="12240" w:h="15840"/>
          <w:pgMar w:header="741" w:footer="739" w:top="1220" w:bottom="920" w:left="1720" w:right="1260"/>
        </w:sectPr>
      </w:pPr>
    </w:p>
    <w:p>
      <w:pPr>
        <w:pStyle w:val="BodyText"/>
        <w:spacing w:before="4"/>
        <w:rPr>
          <w:sz w:val="11"/>
        </w:rPr>
      </w:pPr>
    </w:p>
    <w:p>
      <w:pPr>
        <w:pStyle w:val="BodyText"/>
        <w:spacing w:line="360" w:lineRule="auto" w:before="69"/>
        <w:ind w:left="1269" w:right="144" w:hanging="993"/>
        <w:jc w:val="both"/>
      </w:pPr>
      <w:r>
        <w:rPr>
          <w:b/>
        </w:rPr>
        <w:t>GEM. 2013. </w:t>
      </w:r>
      <w:r>
        <w:rPr/>
        <w:t>Programa Estatal de Acción Ante el Cambio Climático (PEACC). Secretaria del Medio Ambiente del Estado de México. Instituto Estatal de Energía y Cambio Climático (IEECC). PRONATURA, A. C. PNUMA. Centro Mario Molina. México. pp. 288. Disponible en: </w:t>
      </w:r>
      <w:hyperlink r:id="rId216">
        <w:r>
          <w:rPr/>
          <w:t>http://ieecc.edomex.gob.mx/sites/ieecc.edomex.gob.mx/files/files/PEACC/</w:t>
        </w:r>
      </w:hyperlink>
      <w:r>
        <w:rPr/>
        <w:t> PEACC_EDOMEX.pdf</w:t>
      </w:r>
    </w:p>
    <w:p>
      <w:pPr>
        <w:pStyle w:val="BodyText"/>
        <w:spacing w:line="360" w:lineRule="auto" w:before="2"/>
        <w:ind w:left="1269" w:right="144" w:hanging="993"/>
        <w:jc w:val="both"/>
      </w:pPr>
      <w:r>
        <w:rPr>
          <w:b/>
        </w:rPr>
        <w:t>GEM-PRONATURA. 2013. </w:t>
      </w:r>
      <w:r>
        <w:rPr/>
        <w:t>Inventario Estatal de Gases de Efecto Invernader. Gobierno</w:t>
      </w:r>
      <w:r>
        <w:rPr>
          <w:spacing w:val="-13"/>
        </w:rPr>
        <w:t> </w:t>
      </w:r>
      <w:r>
        <w:rPr/>
        <w:t>del</w:t>
      </w:r>
      <w:r>
        <w:rPr>
          <w:spacing w:val="-13"/>
        </w:rPr>
        <w:t> </w:t>
      </w:r>
      <w:r>
        <w:rPr/>
        <w:t>Estado</w:t>
      </w:r>
      <w:r>
        <w:rPr>
          <w:spacing w:val="-13"/>
        </w:rPr>
        <w:t> </w:t>
      </w:r>
      <w:r>
        <w:rPr/>
        <w:t>de</w:t>
      </w:r>
      <w:r>
        <w:rPr>
          <w:spacing w:val="-13"/>
        </w:rPr>
        <w:t> </w:t>
      </w:r>
      <w:r>
        <w:rPr/>
        <w:t>México.</w:t>
      </w:r>
      <w:r>
        <w:rPr>
          <w:spacing w:val="-13"/>
        </w:rPr>
        <w:t> </w:t>
      </w:r>
      <w:r>
        <w:rPr/>
        <w:t>Secretaria</w:t>
      </w:r>
      <w:r>
        <w:rPr>
          <w:spacing w:val="-13"/>
        </w:rPr>
        <w:t> </w:t>
      </w:r>
      <w:r>
        <w:rPr/>
        <w:t>del</w:t>
      </w:r>
      <w:r>
        <w:rPr>
          <w:spacing w:val="-13"/>
        </w:rPr>
        <w:t> </w:t>
      </w:r>
      <w:r>
        <w:rPr/>
        <w:t>Medio</w:t>
      </w:r>
      <w:r>
        <w:rPr>
          <w:spacing w:val="-13"/>
        </w:rPr>
        <w:t> </w:t>
      </w:r>
      <w:r>
        <w:rPr/>
        <w:t>Ambiente</w:t>
      </w:r>
      <w:r>
        <w:rPr>
          <w:spacing w:val="-13"/>
        </w:rPr>
        <w:t> </w:t>
      </w:r>
      <w:r>
        <w:rPr/>
        <w:t>del</w:t>
      </w:r>
      <w:r>
        <w:rPr>
          <w:spacing w:val="-13"/>
        </w:rPr>
        <w:t> </w:t>
      </w:r>
      <w:r>
        <w:rPr/>
        <w:t>Estado de México. Instituto Estatal de Energía y Cambio Climático (IEECC). PRONATURA, A. C. México. pp. 204. Disponible en: </w:t>
      </w:r>
      <w:hyperlink r:id="rId217">
        <w:r>
          <w:rPr/>
          <w:t>http://ieecc.edomex.gob.mx/sites/ieecc.edomex.gob.mx/files/files/Inventar</w:t>
        </w:r>
      </w:hyperlink>
      <w:r>
        <w:rPr/>
        <w:t> io%20de%20gases%20efecto%20invernadero/sma_pdf_iegei_2013.pdf.</w:t>
      </w:r>
    </w:p>
    <w:p>
      <w:pPr>
        <w:spacing w:line="360" w:lineRule="auto" w:before="2"/>
        <w:ind w:left="1269" w:right="143" w:hanging="993"/>
        <w:jc w:val="both"/>
        <w:rPr>
          <w:sz w:val="24"/>
        </w:rPr>
      </w:pPr>
      <w:r>
        <w:rPr>
          <w:b/>
          <w:sz w:val="24"/>
        </w:rPr>
        <w:t>Gerber, P. J., Steinfeld, H., Henderson, B., Mottet, A., Opio, C., Dijkman, J., Falcucci, A. and Tempio, G. 2013. </w:t>
      </w:r>
      <w:r>
        <w:rPr>
          <w:sz w:val="24"/>
        </w:rPr>
        <w:t>Tackling climate change through livestock – A global assessment of emissions and mitigation</w:t>
      </w:r>
      <w:r>
        <w:rPr>
          <w:spacing w:val="-27"/>
          <w:sz w:val="24"/>
        </w:rPr>
        <w:t> </w:t>
      </w:r>
      <w:r>
        <w:rPr>
          <w:sz w:val="24"/>
        </w:rPr>
        <w:t>opportunities. Food</w:t>
      </w:r>
      <w:r>
        <w:rPr>
          <w:spacing w:val="-9"/>
          <w:sz w:val="24"/>
        </w:rPr>
        <w:t> </w:t>
      </w:r>
      <w:r>
        <w:rPr>
          <w:sz w:val="24"/>
        </w:rPr>
        <w:t>and</w:t>
      </w:r>
      <w:r>
        <w:rPr>
          <w:spacing w:val="-9"/>
          <w:sz w:val="24"/>
        </w:rPr>
        <w:t> </w:t>
      </w:r>
      <w:r>
        <w:rPr>
          <w:sz w:val="24"/>
        </w:rPr>
        <w:t>Agriculture</w:t>
      </w:r>
      <w:r>
        <w:rPr>
          <w:spacing w:val="-9"/>
          <w:sz w:val="24"/>
        </w:rPr>
        <w:t> </w:t>
      </w:r>
      <w:r>
        <w:rPr>
          <w:sz w:val="24"/>
        </w:rPr>
        <w:t>Organization</w:t>
      </w:r>
      <w:r>
        <w:rPr>
          <w:spacing w:val="-9"/>
          <w:sz w:val="24"/>
        </w:rPr>
        <w:t> </w:t>
      </w:r>
      <w:r>
        <w:rPr>
          <w:sz w:val="24"/>
        </w:rPr>
        <w:t>of</w:t>
      </w:r>
      <w:r>
        <w:rPr>
          <w:spacing w:val="-9"/>
          <w:sz w:val="24"/>
        </w:rPr>
        <w:t> </w:t>
      </w:r>
      <w:r>
        <w:rPr>
          <w:sz w:val="24"/>
        </w:rPr>
        <w:t>the</w:t>
      </w:r>
      <w:r>
        <w:rPr>
          <w:spacing w:val="-9"/>
          <w:sz w:val="24"/>
        </w:rPr>
        <w:t> </w:t>
      </w:r>
      <w:r>
        <w:rPr>
          <w:sz w:val="24"/>
        </w:rPr>
        <w:t>United</w:t>
      </w:r>
      <w:r>
        <w:rPr>
          <w:spacing w:val="-9"/>
          <w:sz w:val="24"/>
        </w:rPr>
        <w:t> </w:t>
      </w:r>
      <w:r>
        <w:rPr>
          <w:sz w:val="24"/>
        </w:rPr>
        <w:t>Nations</w:t>
      </w:r>
      <w:r>
        <w:rPr>
          <w:spacing w:val="-9"/>
          <w:sz w:val="24"/>
        </w:rPr>
        <w:t> </w:t>
      </w:r>
      <w:r>
        <w:rPr>
          <w:sz w:val="24"/>
        </w:rPr>
        <w:t>(FAO),</w:t>
      </w:r>
      <w:r>
        <w:rPr>
          <w:spacing w:val="-9"/>
          <w:sz w:val="24"/>
        </w:rPr>
        <w:t> </w:t>
      </w:r>
      <w:r>
        <w:rPr>
          <w:sz w:val="24"/>
        </w:rPr>
        <w:t>Rome.</w:t>
      </w:r>
      <w:r>
        <w:rPr>
          <w:spacing w:val="-10"/>
          <w:sz w:val="24"/>
        </w:rPr>
        <w:t> </w:t>
      </w:r>
      <w:r>
        <w:rPr>
          <w:sz w:val="24"/>
        </w:rPr>
        <w:t>pp. 115.</w:t>
      </w:r>
    </w:p>
    <w:p>
      <w:pPr>
        <w:spacing w:line="360" w:lineRule="auto" w:before="7"/>
        <w:ind w:left="1269" w:right="144" w:hanging="993"/>
        <w:jc w:val="both"/>
        <w:rPr>
          <w:sz w:val="24"/>
        </w:rPr>
      </w:pPr>
      <w:r>
        <w:rPr>
          <w:b/>
          <w:sz w:val="24"/>
        </w:rPr>
        <w:t>Gerber,</w:t>
      </w:r>
      <w:r>
        <w:rPr>
          <w:b/>
          <w:spacing w:val="-16"/>
          <w:sz w:val="24"/>
        </w:rPr>
        <w:t> </w:t>
      </w:r>
      <w:r>
        <w:rPr>
          <w:b/>
          <w:sz w:val="24"/>
        </w:rPr>
        <w:t>P.</w:t>
      </w:r>
      <w:r>
        <w:rPr>
          <w:b/>
          <w:spacing w:val="-16"/>
          <w:sz w:val="24"/>
        </w:rPr>
        <w:t> </w:t>
      </w:r>
      <w:r>
        <w:rPr>
          <w:b/>
          <w:sz w:val="24"/>
        </w:rPr>
        <w:t>J.,</w:t>
      </w:r>
      <w:r>
        <w:rPr>
          <w:b/>
          <w:spacing w:val="-16"/>
          <w:sz w:val="24"/>
        </w:rPr>
        <w:t> </w:t>
      </w:r>
      <w:r>
        <w:rPr>
          <w:b/>
          <w:sz w:val="24"/>
        </w:rPr>
        <w:t>Henderson</w:t>
      </w:r>
      <w:r>
        <w:rPr>
          <w:b/>
          <w:spacing w:val="-16"/>
          <w:sz w:val="24"/>
        </w:rPr>
        <w:t> </w:t>
      </w:r>
      <w:r>
        <w:rPr>
          <w:b/>
          <w:sz w:val="24"/>
        </w:rPr>
        <w:t>B.,</w:t>
      </w:r>
      <w:r>
        <w:rPr>
          <w:b/>
          <w:spacing w:val="-16"/>
          <w:sz w:val="24"/>
        </w:rPr>
        <w:t> </w:t>
      </w:r>
      <w:r>
        <w:rPr>
          <w:b/>
          <w:sz w:val="24"/>
        </w:rPr>
        <w:t>and</w:t>
      </w:r>
      <w:r>
        <w:rPr>
          <w:b/>
          <w:spacing w:val="-16"/>
          <w:sz w:val="24"/>
        </w:rPr>
        <w:t> </w:t>
      </w:r>
      <w:r>
        <w:rPr>
          <w:b/>
          <w:sz w:val="24"/>
        </w:rPr>
        <w:t>Makkar</w:t>
      </w:r>
      <w:r>
        <w:rPr>
          <w:b/>
          <w:spacing w:val="-16"/>
          <w:sz w:val="24"/>
        </w:rPr>
        <w:t> </w:t>
      </w:r>
      <w:r>
        <w:rPr>
          <w:b/>
          <w:sz w:val="24"/>
        </w:rPr>
        <w:t>H.</w:t>
      </w:r>
      <w:r>
        <w:rPr>
          <w:b/>
          <w:spacing w:val="-16"/>
          <w:sz w:val="24"/>
        </w:rPr>
        <w:t> </w:t>
      </w:r>
      <w:r>
        <w:rPr>
          <w:b/>
          <w:sz w:val="24"/>
        </w:rPr>
        <w:t>P.</w:t>
      </w:r>
      <w:r>
        <w:rPr>
          <w:b/>
          <w:spacing w:val="-16"/>
          <w:sz w:val="24"/>
        </w:rPr>
        <w:t> </w:t>
      </w:r>
      <w:r>
        <w:rPr>
          <w:b/>
          <w:sz w:val="24"/>
        </w:rPr>
        <w:t>S..</w:t>
      </w:r>
      <w:r>
        <w:rPr>
          <w:b/>
          <w:spacing w:val="-16"/>
          <w:sz w:val="24"/>
        </w:rPr>
        <w:t> </w:t>
      </w:r>
      <w:r>
        <w:rPr>
          <w:b/>
          <w:sz w:val="24"/>
        </w:rPr>
        <w:t>2013b.</w:t>
      </w:r>
      <w:r>
        <w:rPr>
          <w:b/>
          <w:spacing w:val="-16"/>
          <w:sz w:val="24"/>
        </w:rPr>
        <w:t> </w:t>
      </w:r>
      <w:r>
        <w:rPr>
          <w:sz w:val="24"/>
        </w:rPr>
        <w:t>Mitigation</w:t>
      </w:r>
      <w:r>
        <w:rPr>
          <w:spacing w:val="-16"/>
          <w:sz w:val="24"/>
        </w:rPr>
        <w:t> </w:t>
      </w:r>
      <w:r>
        <w:rPr>
          <w:sz w:val="24"/>
        </w:rPr>
        <w:t>of</w:t>
      </w:r>
      <w:r>
        <w:rPr>
          <w:spacing w:val="-16"/>
          <w:sz w:val="24"/>
        </w:rPr>
        <w:t> </w:t>
      </w:r>
      <w:r>
        <w:rPr>
          <w:sz w:val="24"/>
        </w:rPr>
        <w:t>greenhouse gas</w:t>
      </w:r>
      <w:r>
        <w:rPr>
          <w:spacing w:val="-17"/>
          <w:sz w:val="24"/>
        </w:rPr>
        <w:t> </w:t>
      </w:r>
      <w:r>
        <w:rPr>
          <w:sz w:val="24"/>
        </w:rPr>
        <w:t>emissions</w:t>
      </w:r>
      <w:r>
        <w:rPr>
          <w:spacing w:val="-17"/>
          <w:sz w:val="24"/>
        </w:rPr>
        <w:t> </w:t>
      </w:r>
      <w:r>
        <w:rPr>
          <w:sz w:val="24"/>
        </w:rPr>
        <w:t>in</w:t>
      </w:r>
      <w:r>
        <w:rPr>
          <w:spacing w:val="-17"/>
          <w:sz w:val="24"/>
        </w:rPr>
        <w:t> </w:t>
      </w:r>
      <w:r>
        <w:rPr>
          <w:sz w:val="24"/>
        </w:rPr>
        <w:t>livestock</w:t>
      </w:r>
      <w:r>
        <w:rPr>
          <w:spacing w:val="-17"/>
          <w:sz w:val="24"/>
        </w:rPr>
        <w:t> </w:t>
      </w:r>
      <w:r>
        <w:rPr>
          <w:sz w:val="24"/>
        </w:rPr>
        <w:t>production.</w:t>
      </w:r>
      <w:r>
        <w:rPr>
          <w:spacing w:val="-17"/>
          <w:sz w:val="24"/>
        </w:rPr>
        <w:t> </w:t>
      </w:r>
      <w:r>
        <w:rPr>
          <w:sz w:val="24"/>
        </w:rPr>
        <w:t>A</w:t>
      </w:r>
      <w:r>
        <w:rPr>
          <w:spacing w:val="-17"/>
          <w:sz w:val="24"/>
        </w:rPr>
        <w:t> </w:t>
      </w:r>
      <w:r>
        <w:rPr>
          <w:sz w:val="24"/>
        </w:rPr>
        <w:t>review</w:t>
      </w:r>
      <w:r>
        <w:rPr>
          <w:spacing w:val="-17"/>
          <w:sz w:val="24"/>
        </w:rPr>
        <w:t> </w:t>
      </w:r>
      <w:r>
        <w:rPr>
          <w:sz w:val="24"/>
        </w:rPr>
        <w:t>of</w:t>
      </w:r>
      <w:r>
        <w:rPr>
          <w:spacing w:val="-17"/>
          <w:sz w:val="24"/>
        </w:rPr>
        <w:t> </w:t>
      </w:r>
      <w:r>
        <w:rPr>
          <w:sz w:val="24"/>
        </w:rPr>
        <w:t>technical</w:t>
      </w:r>
      <w:r>
        <w:rPr>
          <w:spacing w:val="-17"/>
          <w:sz w:val="24"/>
        </w:rPr>
        <w:t> </w:t>
      </w:r>
      <w:r>
        <w:rPr>
          <w:sz w:val="24"/>
        </w:rPr>
        <w:t>options</w:t>
      </w:r>
      <w:r>
        <w:rPr>
          <w:spacing w:val="-17"/>
          <w:sz w:val="24"/>
        </w:rPr>
        <w:t> </w:t>
      </w:r>
      <w:r>
        <w:rPr>
          <w:sz w:val="24"/>
        </w:rPr>
        <w:t>for</w:t>
      </w:r>
      <w:r>
        <w:rPr>
          <w:spacing w:val="-17"/>
          <w:sz w:val="24"/>
        </w:rPr>
        <w:t> </w:t>
      </w:r>
      <w:r>
        <w:rPr>
          <w:sz w:val="24"/>
        </w:rPr>
        <w:t>non- CO2 emissions. FAO. Animal Production and Health Food and</w:t>
      </w:r>
      <w:r>
        <w:rPr>
          <w:spacing w:val="-19"/>
          <w:sz w:val="24"/>
        </w:rPr>
        <w:t> </w:t>
      </w:r>
      <w:r>
        <w:rPr>
          <w:sz w:val="24"/>
        </w:rPr>
        <w:t>Agriculture Organization of The United Nations. Rome. pp. 231.</w:t>
      </w:r>
    </w:p>
    <w:p>
      <w:pPr>
        <w:spacing w:line="360" w:lineRule="auto" w:before="7"/>
        <w:ind w:left="1269" w:right="144" w:hanging="993"/>
        <w:jc w:val="both"/>
        <w:rPr>
          <w:sz w:val="24"/>
        </w:rPr>
      </w:pPr>
      <w:r>
        <w:rPr>
          <w:b/>
          <w:sz w:val="24"/>
        </w:rPr>
        <w:t>Giger-Reverdin, S. y Sauvant, D. 2000. </w:t>
      </w:r>
      <w:r>
        <w:rPr>
          <w:sz w:val="24"/>
        </w:rPr>
        <w:t>Methane production in sheep in relation</w:t>
      </w:r>
      <w:r>
        <w:rPr>
          <w:spacing w:val="-36"/>
          <w:sz w:val="24"/>
        </w:rPr>
        <w:t> </w:t>
      </w:r>
      <w:r>
        <w:rPr>
          <w:sz w:val="24"/>
        </w:rPr>
        <w:t>to concen- trate feed composition from bibliographic data. Cahiers Options Méditerranéennes 52:</w:t>
      </w:r>
      <w:r>
        <w:rPr>
          <w:spacing w:val="-2"/>
          <w:sz w:val="24"/>
        </w:rPr>
        <w:t> </w:t>
      </w:r>
      <w:r>
        <w:rPr>
          <w:sz w:val="24"/>
        </w:rPr>
        <w:t>43–46.</w:t>
      </w:r>
    </w:p>
    <w:p>
      <w:pPr>
        <w:pStyle w:val="BodyText"/>
        <w:tabs>
          <w:tab w:pos="4764" w:val="left" w:leader="none"/>
          <w:tab w:pos="8780" w:val="left" w:leader="none"/>
        </w:tabs>
        <w:spacing w:line="360" w:lineRule="auto" w:before="2"/>
        <w:ind w:left="1269" w:right="144" w:hanging="993"/>
      </w:pPr>
      <w:r>
        <w:rPr>
          <w:b/>
        </w:rPr>
        <w:t>Gillis, J. 2016. </w:t>
      </w:r>
      <w:r>
        <w:rPr/>
        <w:t>«Short Answers to Hard Questions About Climate Change» . The New</w:t>
      </w:r>
      <w:r>
        <w:rPr>
          <w:spacing w:val="-9"/>
        </w:rPr>
        <w:t> </w:t>
      </w:r>
      <w:r>
        <w:rPr/>
        <w:t>York</w:t>
      </w:r>
      <w:r>
        <w:rPr>
          <w:spacing w:val="-9"/>
        </w:rPr>
        <w:t> </w:t>
      </w:r>
      <w:r>
        <w:rPr/>
        <w:t>Times.</w:t>
      </w:r>
      <w:r>
        <w:rPr>
          <w:spacing w:val="-9"/>
        </w:rPr>
        <w:t> </w:t>
      </w:r>
      <w:r>
        <w:rPr/>
        <w:t>28</w:t>
      </w:r>
      <w:r>
        <w:rPr>
          <w:spacing w:val="-9"/>
        </w:rPr>
        <w:t> </w:t>
      </w:r>
      <w:r>
        <w:rPr/>
        <w:t>de</w:t>
      </w:r>
      <w:r>
        <w:rPr>
          <w:spacing w:val="-9"/>
        </w:rPr>
        <w:t> </w:t>
      </w:r>
      <w:r>
        <w:rPr/>
        <w:t>noviembre</w:t>
      </w:r>
      <w:r>
        <w:rPr>
          <w:spacing w:val="-9"/>
        </w:rPr>
        <w:t> </w:t>
      </w:r>
      <w:r>
        <w:rPr/>
        <w:t>de</w:t>
      </w:r>
      <w:r>
        <w:rPr>
          <w:spacing w:val="-9"/>
        </w:rPr>
        <w:t> </w:t>
      </w:r>
      <w:r>
        <w:rPr/>
        <w:t>2015.</w:t>
      </w:r>
      <w:r>
        <w:rPr>
          <w:spacing w:val="-9"/>
        </w:rPr>
        <w:t> </w:t>
      </w:r>
      <w:r>
        <w:rPr/>
        <w:t>Consultado</w:t>
      </w:r>
      <w:r>
        <w:rPr>
          <w:spacing w:val="-9"/>
        </w:rPr>
        <w:t> </w:t>
      </w:r>
      <w:r>
        <w:rPr/>
        <w:t>el</w:t>
      </w:r>
      <w:r>
        <w:rPr>
          <w:spacing w:val="-9"/>
        </w:rPr>
        <w:t> </w:t>
      </w:r>
      <w:r>
        <w:rPr/>
        <w:t>26</w:t>
      </w:r>
      <w:r>
        <w:rPr>
          <w:spacing w:val="-9"/>
        </w:rPr>
        <w:t> </w:t>
      </w:r>
      <w:r>
        <w:rPr/>
        <w:t>de</w:t>
      </w:r>
      <w:r>
        <w:rPr>
          <w:spacing w:val="-9"/>
        </w:rPr>
        <w:t> </w:t>
      </w:r>
      <w:r>
        <w:rPr/>
        <w:t>marzo</w:t>
      </w:r>
      <w:r>
        <w:rPr>
          <w:spacing w:val="-9"/>
        </w:rPr>
        <w:t> </w:t>
      </w:r>
      <w:r>
        <w:rPr/>
        <w:t>de 2016.</w:t>
        <w:tab/>
        <w:t>Disponible</w:t>
        <w:tab/>
        <w:t>en: </w:t>
      </w:r>
      <w:hyperlink r:id="rId218">
        <w:r>
          <w:rPr/>
          <w:t>http://www.nytimes.com/interactive/2015/11/28/science/what-is-climate-</w:t>
        </w:r>
      </w:hyperlink>
      <w:r>
        <w:rPr/>
        <w:t> change.html.</w:t>
      </w:r>
    </w:p>
    <w:p>
      <w:pPr>
        <w:spacing w:line="362" w:lineRule="auto" w:before="2"/>
        <w:ind w:left="1269" w:right="143" w:hanging="993"/>
        <w:jc w:val="both"/>
        <w:rPr>
          <w:sz w:val="24"/>
        </w:rPr>
      </w:pPr>
      <w:r>
        <w:rPr>
          <w:b/>
          <w:sz w:val="24"/>
        </w:rPr>
        <w:t>González, A. D. and A. Carlsson-Kanyama. 2007. </w:t>
      </w:r>
      <w:r>
        <w:rPr>
          <w:sz w:val="24"/>
        </w:rPr>
        <w:t>Emisiones de gases de efecto invernadero   con   alto   potencial   de   calentamiento   global:   el</w:t>
      </w:r>
      <w:r>
        <w:rPr>
          <w:spacing w:val="61"/>
          <w:sz w:val="24"/>
        </w:rPr>
        <w:t> </w:t>
      </w:r>
      <w:r>
        <w:rPr>
          <w:sz w:val="24"/>
        </w:rPr>
        <w:t>sector</w:t>
      </w:r>
    </w:p>
    <w:p>
      <w:pPr>
        <w:spacing w:after="0" w:line="362" w:lineRule="auto"/>
        <w:jc w:val="both"/>
        <w:rPr>
          <w:sz w:val="24"/>
        </w:rPr>
        <w:sectPr>
          <w:pgSz w:w="12240" w:h="15840"/>
          <w:pgMar w:header="741" w:footer="739" w:top="1220" w:bottom="920" w:left="1720" w:right="1260"/>
        </w:sectPr>
      </w:pPr>
    </w:p>
    <w:p>
      <w:pPr>
        <w:pStyle w:val="BodyText"/>
        <w:spacing w:before="4"/>
        <w:rPr>
          <w:sz w:val="11"/>
        </w:rPr>
      </w:pPr>
    </w:p>
    <w:p>
      <w:pPr>
        <w:pStyle w:val="BodyText"/>
        <w:spacing w:line="362" w:lineRule="auto" w:before="69"/>
        <w:ind w:left="1269" w:right="144"/>
        <w:jc w:val="both"/>
      </w:pPr>
      <w:r>
        <w:rPr/>
        <w:t>agropecuario. Avances en Energías Renovables y Medio Ambiente. Vol. II: (7-14)</w:t>
      </w:r>
    </w:p>
    <w:p>
      <w:pPr>
        <w:spacing w:line="360" w:lineRule="auto" w:before="0"/>
        <w:ind w:left="1269" w:right="144" w:hanging="993"/>
        <w:jc w:val="both"/>
        <w:rPr>
          <w:sz w:val="24"/>
        </w:rPr>
      </w:pPr>
      <w:r>
        <w:rPr>
          <w:b/>
          <w:sz w:val="24"/>
        </w:rPr>
        <w:t>González Ávalos E., and Ruiz-Suarez, L. G. 2001. </w:t>
      </w:r>
      <w:r>
        <w:rPr>
          <w:sz w:val="24"/>
        </w:rPr>
        <w:t>Methane emissions from</w:t>
      </w:r>
      <w:r>
        <w:rPr>
          <w:spacing w:val="-25"/>
          <w:sz w:val="24"/>
        </w:rPr>
        <w:t> </w:t>
      </w:r>
      <w:r>
        <w:rPr>
          <w:sz w:val="24"/>
        </w:rPr>
        <w:t>cattle manure in Mexico. Bioresource Technology.</w:t>
      </w:r>
      <w:r>
        <w:rPr>
          <w:spacing w:val="-2"/>
          <w:sz w:val="24"/>
        </w:rPr>
        <w:t> </w:t>
      </w:r>
      <w:r>
        <w:rPr>
          <w:sz w:val="24"/>
        </w:rPr>
        <w:t>80:63-71.</w:t>
      </w:r>
    </w:p>
    <w:p>
      <w:pPr>
        <w:spacing w:line="362" w:lineRule="auto" w:before="2"/>
        <w:ind w:left="1269" w:right="144" w:hanging="993"/>
        <w:jc w:val="both"/>
        <w:rPr>
          <w:sz w:val="24"/>
        </w:rPr>
      </w:pPr>
      <w:r>
        <w:rPr>
          <w:b/>
          <w:sz w:val="24"/>
        </w:rPr>
        <w:t>González-Ávalos, E. and Ruiz-Suárez L. G. 2007. </w:t>
      </w:r>
      <w:r>
        <w:rPr>
          <w:sz w:val="24"/>
        </w:rPr>
        <w:t>Methane Conversion Factors from Cattle Manure in Mexico. México. Atmósfera 20(1), 83-92 (2007).</w:t>
      </w:r>
    </w:p>
    <w:p>
      <w:pPr>
        <w:pStyle w:val="Heading6"/>
        <w:spacing w:line="360" w:lineRule="auto"/>
        <w:ind w:left="1269" w:right="143" w:hanging="993"/>
      </w:pPr>
      <w:r>
        <w:rPr/>
        <w:t>Hartmann, D. L., Klein Tank A. M. G., Rusticucci M., Alexander L. V., Brönnimann S., Charabi Y., Dentener F. J., Dlugokencky E. J., Easterling</w:t>
      </w:r>
      <w:r>
        <w:rPr>
          <w:spacing w:val="-15"/>
        </w:rPr>
        <w:t> </w:t>
      </w:r>
      <w:r>
        <w:rPr/>
        <w:t>D.</w:t>
      </w:r>
      <w:r>
        <w:rPr>
          <w:spacing w:val="-15"/>
        </w:rPr>
        <w:t> </w:t>
      </w:r>
      <w:r>
        <w:rPr/>
        <w:t>R.,</w:t>
      </w:r>
      <w:r>
        <w:rPr>
          <w:spacing w:val="-15"/>
        </w:rPr>
        <w:t> </w:t>
      </w:r>
      <w:r>
        <w:rPr/>
        <w:t>Kaplan</w:t>
      </w:r>
      <w:r>
        <w:rPr>
          <w:spacing w:val="-15"/>
        </w:rPr>
        <w:t> </w:t>
      </w:r>
      <w:r>
        <w:rPr/>
        <w:t>A.,</w:t>
      </w:r>
      <w:r>
        <w:rPr>
          <w:spacing w:val="-15"/>
        </w:rPr>
        <w:t> </w:t>
      </w:r>
      <w:r>
        <w:rPr/>
        <w:t>Soden</w:t>
      </w:r>
      <w:r>
        <w:rPr>
          <w:spacing w:val="-15"/>
        </w:rPr>
        <w:t> </w:t>
      </w:r>
      <w:r>
        <w:rPr/>
        <w:t>B.</w:t>
      </w:r>
      <w:r>
        <w:rPr>
          <w:spacing w:val="-14"/>
        </w:rPr>
        <w:t> </w:t>
      </w:r>
      <w:r>
        <w:rPr/>
        <w:t>J.,</w:t>
      </w:r>
      <w:r>
        <w:rPr>
          <w:spacing w:val="-15"/>
        </w:rPr>
        <w:t> </w:t>
      </w:r>
      <w:r>
        <w:rPr/>
        <w:t>Thorne</w:t>
      </w:r>
      <w:r>
        <w:rPr>
          <w:spacing w:val="-15"/>
        </w:rPr>
        <w:t> </w:t>
      </w:r>
      <w:r>
        <w:rPr/>
        <w:t>P.W.,</w:t>
      </w:r>
      <w:r>
        <w:rPr>
          <w:spacing w:val="-15"/>
        </w:rPr>
        <w:t> </w:t>
      </w:r>
      <w:r>
        <w:rPr/>
        <w:t>Wild</w:t>
      </w:r>
      <w:r>
        <w:rPr>
          <w:spacing w:val="-15"/>
        </w:rPr>
        <w:t> </w:t>
      </w:r>
      <w:r>
        <w:rPr/>
        <w:t>M.</w:t>
      </w:r>
      <w:r>
        <w:rPr>
          <w:spacing w:val="-14"/>
        </w:rPr>
        <w:t> </w:t>
      </w:r>
      <w:r>
        <w:rPr/>
        <w:t>and</w:t>
      </w:r>
      <w:r>
        <w:rPr>
          <w:spacing w:val="-14"/>
        </w:rPr>
        <w:t> </w:t>
      </w:r>
      <w:r>
        <w:rPr/>
        <w:t>Zhai</w:t>
      </w:r>
    </w:p>
    <w:p>
      <w:pPr>
        <w:pStyle w:val="BodyText"/>
        <w:tabs>
          <w:tab w:pos="3323" w:val="left" w:leader="none"/>
          <w:tab w:pos="5965" w:val="left" w:leader="none"/>
          <w:tab w:pos="8780" w:val="left" w:leader="none"/>
        </w:tabs>
        <w:spacing w:line="360" w:lineRule="auto" w:before="7"/>
        <w:ind w:left="1269" w:right="145"/>
        <w:jc w:val="both"/>
      </w:pPr>
      <w:r>
        <w:rPr>
          <w:b/>
        </w:rPr>
        <w:t>P. M. 2013. </w:t>
      </w:r>
      <w:r>
        <w:rPr/>
        <w:t>Observations: Atmosphere and Surface. In: Climate Change 2013: The Physical Science Basis. Contribution of Working Group I to the Fifth Assessment Report of the Intergovernmental Panel on Climate Change [Stocker, T.F., D. Qin, G.-K. Plattner, M. Tignor, S.K. Allen, J. Boschung, A. Nauels, Y. Xia, V. Bex and P.M. Midgley (eds.)]. Cambridge University Press, Cambridge, United Kingdom and New York, NY, USA. Pp.</w:t>
        <w:tab/>
        <w:t>159-254.</w:t>
        <w:tab/>
        <w:t>Disponible</w:t>
        <w:tab/>
        <w:t>en:</w:t>
      </w:r>
      <w:hyperlink r:id="rId219">
        <w:r>
          <w:rPr/>
          <w:t> http://www.climatechange2013.org/images/report/WG1AR5_Chapter02_F</w:t>
        </w:r>
      </w:hyperlink>
      <w:r>
        <w:rPr/>
        <w:t> INAL.pdf</w:t>
      </w:r>
    </w:p>
    <w:p>
      <w:pPr>
        <w:spacing w:line="360" w:lineRule="auto" w:before="2"/>
        <w:ind w:left="1269" w:right="144" w:hanging="993"/>
        <w:jc w:val="both"/>
        <w:rPr>
          <w:sz w:val="24"/>
        </w:rPr>
      </w:pPr>
      <w:r>
        <w:rPr>
          <w:b/>
          <w:sz w:val="24"/>
        </w:rPr>
        <w:t>Hernández, S. R., C. Fernández Collado, M. del P. Baptista Lucio. </w:t>
      </w:r>
      <w:r>
        <w:rPr>
          <w:sz w:val="24"/>
        </w:rPr>
        <w:t>Metodología de la Investigación. Quinta Edición. Ed. Mc. Graw Hill. México. pp. 613.</w:t>
      </w:r>
    </w:p>
    <w:p>
      <w:pPr>
        <w:pStyle w:val="Heading6"/>
        <w:spacing w:before="2"/>
        <w:jc w:val="left"/>
      </w:pPr>
      <w:r>
        <w:rPr/>
        <w:t>Hristov, A. N., Oh, J., Lee, C., Meinen, R., Montes, F., Ott, T., Firkins, J.,   Rotz,</w:t>
      </w:r>
    </w:p>
    <w:p>
      <w:pPr>
        <w:spacing w:line="357" w:lineRule="auto" w:before="141"/>
        <w:ind w:left="1269" w:right="143" w:firstLine="0"/>
        <w:jc w:val="both"/>
        <w:rPr>
          <w:sz w:val="24"/>
        </w:rPr>
      </w:pPr>
      <w:r>
        <w:rPr>
          <w:b/>
          <w:sz w:val="24"/>
        </w:rPr>
        <w:t>A., Dell, C., Adesogan, A., Yang, W., Tricarico, J., Kebreab, E., Waghorn, G., Dijkstra, J. and Oosting, S. 2013. </w:t>
      </w:r>
      <w:r>
        <w:rPr>
          <w:sz w:val="24"/>
        </w:rPr>
        <w:t>Mitigación de las emisiones de gases de efecto invernadero en la producción ganadera – Una revisión de las opciones técnicas para la reducción de las emisiones de gases diferentes al CO</w:t>
      </w:r>
      <w:r>
        <w:rPr>
          <w:position w:val="-2"/>
          <w:sz w:val="16"/>
        </w:rPr>
        <w:t>2</w:t>
      </w:r>
      <w:r>
        <w:rPr>
          <w:sz w:val="24"/>
        </w:rPr>
        <w:t>. Editado por Pierre J. Gerber, Benjamin Henderson y Harinder P.S. Makkar. Producción y Sanidad Animal FAO Documento No. 177. FAO, Roma, Italia. pp. 231.</w:t>
      </w:r>
    </w:p>
    <w:p>
      <w:pPr>
        <w:spacing w:line="360" w:lineRule="auto" w:before="5"/>
        <w:ind w:left="1269" w:right="144" w:hanging="993"/>
        <w:jc w:val="both"/>
        <w:rPr>
          <w:sz w:val="24"/>
        </w:rPr>
      </w:pPr>
      <w:r>
        <w:rPr>
          <w:b/>
          <w:sz w:val="24"/>
        </w:rPr>
        <w:t>Huhtanen, P., Rinne, M. y Nousiainen, J. 2009. </w:t>
      </w:r>
      <w:r>
        <w:rPr>
          <w:sz w:val="24"/>
        </w:rPr>
        <w:t>A meta-analysis of feed digestion in dairy cows. 2. The effects of feeding level and diet composition on digestibility. J. Dairy Sci. 92: 5031–5042.</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pStyle w:val="BodyText"/>
        <w:tabs>
          <w:tab w:pos="3457" w:val="left" w:leader="none"/>
          <w:tab w:pos="6165" w:val="left" w:leader="none"/>
          <w:tab w:pos="8780" w:val="left" w:leader="none"/>
        </w:tabs>
        <w:spacing w:line="360" w:lineRule="auto" w:before="69"/>
        <w:ind w:left="1269" w:right="144" w:hanging="993"/>
        <w:jc w:val="both"/>
      </w:pPr>
      <w:r>
        <w:rPr>
          <w:b/>
        </w:rPr>
        <w:t>INE. 2005. </w:t>
      </w:r>
      <w:r>
        <w:rPr/>
        <w:t>Inventario Nacional de Gases de Efecto Invernadero 2005. Parte 4; Sector</w:t>
        <w:tab/>
        <w:t>Agricultura.</w:t>
        <w:tab/>
        <w:t>Disponible</w:t>
        <w:tab/>
        <w:t>en: </w:t>
      </w:r>
      <w:hyperlink r:id="rId162">
        <w:r>
          <w:rPr>
            <w:color w:val="0000FF"/>
            <w:u w:val="single" w:color="0000FF"/>
          </w:rPr>
          <w:t>http://www.ine.gob.mx/descargas/cclimatico/inegei_2002_agricultura.pdf</w:t>
        </w:r>
        <w:r>
          <w:rPr/>
          <w:t>.</w:t>
        </w:r>
      </w:hyperlink>
    </w:p>
    <w:p>
      <w:pPr>
        <w:pStyle w:val="BodyText"/>
        <w:tabs>
          <w:tab w:pos="2461" w:val="left" w:leader="none"/>
          <w:tab w:pos="3279" w:val="left" w:leader="none"/>
          <w:tab w:pos="4591" w:val="left" w:leader="none"/>
          <w:tab w:pos="7041" w:val="left" w:leader="none"/>
          <w:tab w:pos="8780" w:val="left" w:leader="none"/>
        </w:tabs>
        <w:spacing w:line="360" w:lineRule="auto" w:before="2"/>
        <w:ind w:left="1269" w:right="144" w:hanging="993"/>
      </w:pPr>
      <w:r>
        <w:rPr>
          <w:b/>
        </w:rPr>
        <w:t>INE-SEMARNAT.</w:t>
      </w:r>
      <w:r>
        <w:rPr>
          <w:b/>
          <w:spacing w:val="-7"/>
        </w:rPr>
        <w:t> </w:t>
      </w:r>
      <w:r>
        <w:rPr>
          <w:b/>
        </w:rPr>
        <w:t>2009.</w:t>
      </w:r>
      <w:r>
        <w:rPr>
          <w:b/>
          <w:spacing w:val="-6"/>
        </w:rPr>
        <w:t> </w:t>
      </w:r>
      <w:r>
        <w:rPr/>
        <w:t>Inventario</w:t>
      </w:r>
      <w:r>
        <w:rPr>
          <w:spacing w:val="-7"/>
        </w:rPr>
        <w:t> </w:t>
      </w:r>
      <w:r>
        <w:rPr/>
        <w:t>Nacional</w:t>
      </w:r>
      <w:r>
        <w:rPr>
          <w:spacing w:val="-7"/>
        </w:rPr>
        <w:t> </w:t>
      </w:r>
      <w:r>
        <w:rPr/>
        <w:t>de</w:t>
      </w:r>
      <w:r>
        <w:rPr>
          <w:spacing w:val="-7"/>
        </w:rPr>
        <w:t> </w:t>
      </w:r>
      <w:r>
        <w:rPr/>
        <w:t>Gases</w:t>
      </w:r>
      <w:r>
        <w:rPr>
          <w:spacing w:val="-7"/>
        </w:rPr>
        <w:t> </w:t>
      </w:r>
      <w:r>
        <w:rPr/>
        <w:t>de</w:t>
      </w:r>
      <w:r>
        <w:rPr>
          <w:spacing w:val="-7"/>
        </w:rPr>
        <w:t> </w:t>
      </w:r>
      <w:r>
        <w:rPr/>
        <w:t>Efecto</w:t>
      </w:r>
      <w:r>
        <w:rPr>
          <w:spacing w:val="-7"/>
        </w:rPr>
        <w:t> </w:t>
      </w:r>
      <w:r>
        <w:rPr/>
        <w:t>Invernadero</w:t>
      </w:r>
      <w:r>
        <w:rPr>
          <w:spacing w:val="-7"/>
        </w:rPr>
        <w:t> </w:t>
      </w:r>
      <w:r>
        <w:rPr/>
        <w:t>2009. Parte</w:t>
        <w:tab/>
        <w:t>4;</w:t>
        <w:tab/>
        <w:t>Sector</w:t>
        <w:tab/>
        <w:t>Agricultura.</w:t>
        <w:tab/>
        <w:t>Disponible</w:t>
        <w:tab/>
        <w:t>en: </w:t>
      </w:r>
      <w:hyperlink r:id="rId220">
        <w:r>
          <w:rPr>
            <w:color w:val="0000FF"/>
            <w:u w:val="single" w:color="0000FF"/>
          </w:rPr>
          <w:t>http://www.ine.gob.mx/descargas/cclimatico/inf_inegei_agricultura_2006.</w:t>
        </w:r>
      </w:hyperlink>
      <w:r>
        <w:rPr>
          <w:color w:val="0000FF"/>
          <w:u w:val="single" w:color="0000FF"/>
        </w:rPr>
        <w:t> </w:t>
      </w:r>
      <w:r>
        <w:rPr>
          <w:color w:val="0000FF"/>
          <w:u w:val="single" w:color="0000FF"/>
        </w:rPr>
        <w:t>pdf</w:t>
      </w:r>
    </w:p>
    <w:p>
      <w:pPr>
        <w:pStyle w:val="BodyText"/>
        <w:spacing w:line="360" w:lineRule="auto" w:before="2"/>
        <w:ind w:left="1269" w:right="144" w:hanging="993"/>
        <w:jc w:val="both"/>
      </w:pPr>
      <w:r>
        <w:rPr>
          <w:b/>
        </w:rPr>
        <w:t>INE-SEMARNAT. 2006. </w:t>
      </w:r>
      <w:r>
        <w:rPr/>
        <w:t>Inventario Nacional de Emisiones de Gases de Efecto Invernadero 1990-2002. S y G Editores, S. A. de C. V. México, D. F. pp. 258.</w:t>
      </w:r>
    </w:p>
    <w:p>
      <w:pPr>
        <w:pStyle w:val="BodyText"/>
        <w:spacing w:line="360" w:lineRule="auto" w:before="2"/>
        <w:ind w:left="1269" w:right="144" w:hanging="993"/>
        <w:jc w:val="both"/>
      </w:pPr>
      <w:r>
        <w:rPr>
          <w:b/>
        </w:rPr>
        <w:t>INE-SEMARNAT. 2009. </w:t>
      </w:r>
      <w:r>
        <w:rPr/>
        <w:t>Guía para la elaboración de Programas Estatales de Acción ante el Cambio Climático (PEACC). Instituto Nacional de</w:t>
      </w:r>
      <w:r>
        <w:rPr>
          <w:spacing w:val="-45"/>
        </w:rPr>
        <w:t> </w:t>
      </w:r>
      <w:r>
        <w:rPr/>
        <w:t>Ecología, Universidad Veracruzana y Centro de Ciencias de la Atmósfera- UNAM. pp.</w:t>
      </w:r>
      <w:r>
        <w:rPr>
          <w:spacing w:val="-2"/>
        </w:rPr>
        <w:t> </w:t>
      </w:r>
      <w:r>
        <w:rPr/>
        <w:t>90.</w:t>
      </w:r>
    </w:p>
    <w:p>
      <w:pPr>
        <w:pStyle w:val="BodyText"/>
        <w:spacing w:line="360" w:lineRule="auto" w:before="2"/>
        <w:ind w:left="1269" w:hanging="993"/>
      </w:pPr>
      <w:r>
        <w:rPr>
          <w:b/>
        </w:rPr>
        <w:t>INE-SEMARNAT. 2010. </w:t>
      </w:r>
      <w:r>
        <w:rPr/>
        <w:t>Potencial de mitigación de gases de efecto invernadero en México al 2020 en el contexto de la cooperación internacional. Disponible en: </w:t>
      </w:r>
      <w:hyperlink r:id="rId221">
        <w:r>
          <w:rPr>
            <w:color w:val="0000FF"/>
            <w:u w:val="single" w:color="0000FF"/>
          </w:rPr>
          <w:t>http://www2.ine.gob.mx/descargas/cclimatico/Potencial_mitigacion_GEI_</w:t>
        </w:r>
      </w:hyperlink>
      <w:r>
        <w:rPr>
          <w:color w:val="0000FF"/>
          <w:u w:val="single" w:color="0000FF"/>
        </w:rPr>
        <w:t> Mexico_2020_COP.pdf</w:t>
      </w:r>
      <w:r>
        <w:rPr/>
        <w:t>.</w:t>
      </w:r>
    </w:p>
    <w:p>
      <w:pPr>
        <w:pStyle w:val="BodyText"/>
        <w:tabs>
          <w:tab w:pos="3654" w:val="left" w:leader="none"/>
          <w:tab w:pos="5225" w:val="left" w:leader="none"/>
          <w:tab w:pos="6889" w:val="left" w:leader="none"/>
          <w:tab w:pos="8846" w:val="left" w:leader="none"/>
        </w:tabs>
        <w:spacing w:line="360" w:lineRule="auto" w:before="2"/>
        <w:ind w:left="1269" w:right="145" w:hanging="993"/>
      </w:pPr>
      <w:r>
        <w:rPr>
          <w:b/>
        </w:rPr>
        <w:t>INEGI,</w:t>
      </w:r>
      <w:r>
        <w:rPr>
          <w:b/>
          <w:spacing w:val="-9"/>
        </w:rPr>
        <w:t> </w:t>
      </w:r>
      <w:r>
        <w:rPr>
          <w:b/>
        </w:rPr>
        <w:t>2009.</w:t>
      </w:r>
      <w:r>
        <w:rPr>
          <w:b/>
          <w:spacing w:val="-9"/>
        </w:rPr>
        <w:t> </w:t>
      </w:r>
      <w:r>
        <w:rPr/>
        <w:t>Prontuario</w:t>
      </w:r>
      <w:r>
        <w:rPr>
          <w:spacing w:val="-9"/>
        </w:rPr>
        <w:t> </w:t>
      </w:r>
      <w:r>
        <w:rPr/>
        <w:t>de</w:t>
      </w:r>
      <w:r>
        <w:rPr>
          <w:spacing w:val="-9"/>
        </w:rPr>
        <w:t> </w:t>
      </w:r>
      <w:r>
        <w:rPr/>
        <w:t>información</w:t>
      </w:r>
      <w:r>
        <w:rPr>
          <w:spacing w:val="-9"/>
        </w:rPr>
        <w:t> </w:t>
      </w:r>
      <w:r>
        <w:rPr/>
        <w:t>geográfica</w:t>
      </w:r>
      <w:r>
        <w:rPr>
          <w:spacing w:val="-9"/>
        </w:rPr>
        <w:t> </w:t>
      </w:r>
      <w:r>
        <w:rPr/>
        <w:t>municipal</w:t>
      </w:r>
      <w:r>
        <w:rPr>
          <w:spacing w:val="-9"/>
        </w:rPr>
        <w:t> </w:t>
      </w:r>
      <w:r>
        <w:rPr/>
        <w:t>de</w:t>
      </w:r>
      <w:r>
        <w:rPr>
          <w:spacing w:val="-9"/>
        </w:rPr>
        <w:t> </w:t>
      </w:r>
      <w:r>
        <w:rPr/>
        <w:t>los</w:t>
      </w:r>
      <w:r>
        <w:rPr>
          <w:spacing w:val="-9"/>
        </w:rPr>
        <w:t> </w:t>
      </w:r>
      <w:r>
        <w:rPr/>
        <w:t>Estados</w:t>
      </w:r>
      <w:r>
        <w:rPr>
          <w:spacing w:val="-9"/>
        </w:rPr>
        <w:t> </w:t>
      </w:r>
      <w:r>
        <w:rPr/>
        <w:t>Unidos Mexicanos. Amecameca, clave geoestadística 15009 y Ayapango, clave geoestadística</w:t>
        <w:tab/>
        <w:t>15017.</w:t>
        <w:tab/>
        <w:t>México:</w:t>
        <w:tab/>
        <w:t>Disponible</w:t>
        <w:tab/>
        <w:t>en </w:t>
      </w:r>
      <w:hyperlink r:id="rId222">
        <w:r>
          <w:rPr/>
          <w:t>http://www.inegi.org.mx/sistemas/mexicocifras/default.aspx?ent=15</w:t>
        </w:r>
      </w:hyperlink>
      <w:r>
        <w:rPr/>
        <w:t> [06/05/2013]</w:t>
      </w:r>
    </w:p>
    <w:p>
      <w:pPr>
        <w:pStyle w:val="BodyText"/>
        <w:spacing w:line="360" w:lineRule="auto" w:before="2"/>
        <w:ind w:left="1269" w:right="144" w:hanging="993"/>
        <w:jc w:val="both"/>
      </w:pPr>
      <w:r>
        <w:rPr>
          <w:b/>
        </w:rPr>
        <w:t>IPCC, 1996. </w:t>
      </w:r>
      <w:r>
        <w:rPr/>
        <w:t>IPCC Guidelines for National Greenhouse Gas Inventories Intergovernamental Panel on Climate Change. Paris. pp 140. Disponible en: </w:t>
      </w:r>
      <w:hyperlink r:id="rId223">
        <w:r>
          <w:rPr>
            <w:color w:val="0000FF"/>
            <w:u w:val="single" w:color="0000FF"/>
          </w:rPr>
          <w:t>http://www.ipcc-nggip.iges.or.jp/public/2006gl/index.htm</w:t>
        </w:r>
        <w:r>
          <w:rPr/>
          <w:t>.</w:t>
        </w:r>
      </w:hyperlink>
    </w:p>
    <w:p>
      <w:pPr>
        <w:pStyle w:val="BodyText"/>
        <w:spacing w:line="360" w:lineRule="auto" w:before="2"/>
        <w:ind w:left="1269" w:right="144" w:hanging="993"/>
        <w:jc w:val="both"/>
      </w:pPr>
      <w:r>
        <w:rPr>
          <w:b/>
        </w:rPr>
        <w:t>IPCC, 1997. </w:t>
      </w:r>
      <w:r>
        <w:rPr/>
        <w:t>Revised 1996 IPCC Guidelines for National Greenhouse Gas Inventories, J.T. Houghton </w:t>
      </w:r>
      <w:r>
        <w:rPr>
          <w:i/>
        </w:rPr>
        <w:t>et al</w:t>
      </w:r>
      <w:r>
        <w:rPr/>
        <w:t>., IPCC/OECD/IEA, Paris, France. Disponible en: </w:t>
      </w:r>
      <w:hyperlink r:id="rId164">
        <w:r>
          <w:rPr>
            <w:color w:val="0000FF"/>
            <w:u w:val="single" w:color="0000FF"/>
          </w:rPr>
          <w:t>http://www.ipcc-nggip.iges.or.jp/public/gl/invs1.html</w:t>
        </w:r>
        <w:r>
          <w:rPr/>
          <w:t>.</w:t>
        </w:r>
      </w:hyperlink>
    </w:p>
    <w:p>
      <w:pPr>
        <w:spacing w:after="0" w:line="360" w:lineRule="auto"/>
        <w:jc w:val="both"/>
        <w:sectPr>
          <w:pgSz w:w="12240" w:h="15840"/>
          <w:pgMar w:header="741" w:footer="739" w:top="1220" w:bottom="920" w:left="1720" w:right="1260"/>
        </w:sectPr>
      </w:pPr>
    </w:p>
    <w:p>
      <w:pPr>
        <w:pStyle w:val="BodyText"/>
        <w:spacing w:before="4"/>
        <w:rPr>
          <w:sz w:val="11"/>
        </w:rPr>
      </w:pPr>
    </w:p>
    <w:p>
      <w:pPr>
        <w:pStyle w:val="BodyText"/>
        <w:spacing w:line="360" w:lineRule="auto" w:before="69"/>
        <w:ind w:left="1269" w:right="145" w:hanging="993"/>
        <w:jc w:val="both"/>
      </w:pPr>
      <w:r>
        <w:rPr>
          <w:b/>
        </w:rPr>
        <w:t>IPCC, 2000. </w:t>
      </w:r>
      <w:r>
        <w:rPr/>
        <w:t>Orientación del IPCC sobre las buenas prácticas y la gestión de la incertidumbre en los inventarios nacionales de gases de efecto invernadero. Capítulo 4 Agricultura. Disponible en: </w:t>
      </w:r>
      <w:r>
        <w:rPr>
          <w:color w:val="0000FF"/>
          <w:u w:val="single" w:color="0000FF"/>
        </w:rPr>
        <w:t>http://www.ipcc- nggip.iges.or.jp/public/gp/spanish/gpgaum_es.html</w:t>
      </w:r>
      <w:r>
        <w:rPr/>
        <w:t>.</w:t>
      </w:r>
    </w:p>
    <w:p>
      <w:pPr>
        <w:pStyle w:val="BodyText"/>
        <w:spacing w:line="362" w:lineRule="auto" w:before="2"/>
        <w:ind w:left="1269" w:right="144" w:hanging="993"/>
        <w:jc w:val="both"/>
      </w:pPr>
      <w:r>
        <w:rPr>
          <w:b/>
        </w:rPr>
        <w:t>IPCC, 2001. </w:t>
      </w:r>
      <w:r>
        <w:rPr/>
        <w:t>Cambio Climático 2001: Informe de síntesis. Resumen para Responsables de Políticas. Tercer informe de evaluación.</w:t>
      </w:r>
    </w:p>
    <w:p>
      <w:pPr>
        <w:pStyle w:val="BodyText"/>
        <w:ind w:left="276" w:right="-2"/>
      </w:pPr>
      <w:r>
        <w:rPr>
          <w:b/>
        </w:rPr>
        <w:t>IPCC, 2006. </w:t>
      </w:r>
      <w:r>
        <w:rPr/>
        <w:t>Emisiones resultantes de la gestión del ganado y del estiércol. Capítulo</w:t>
      </w:r>
    </w:p>
    <w:p>
      <w:pPr>
        <w:pStyle w:val="BodyText"/>
        <w:spacing w:line="360" w:lineRule="auto" w:before="137"/>
        <w:ind w:left="1269" w:right="143"/>
        <w:jc w:val="both"/>
      </w:pPr>
      <w:r>
        <w:rPr/>
        <w:t>10. En Directrices del IPCC de 2006 para los inventarios nacionales de gases de efecto invernadero. Volúmen 4: Agricultura, silvicultura y otros usos de la tierra, pp. 10.1–10.87. </w:t>
      </w:r>
      <w:r>
        <w:rPr>
          <w:color w:val="0000FF"/>
          <w:u w:val="single" w:color="0000FF"/>
        </w:rPr>
        <w:t>http://www.ipcc- nggip.iges.or.jp/public/2006gl/index.html</w:t>
      </w:r>
      <w:r>
        <w:rPr/>
        <w:t>.</w:t>
      </w:r>
    </w:p>
    <w:p>
      <w:pPr>
        <w:pStyle w:val="BodyText"/>
        <w:spacing w:line="360" w:lineRule="auto" w:before="2"/>
        <w:ind w:left="1269" w:right="145" w:hanging="993"/>
        <w:jc w:val="both"/>
      </w:pPr>
      <w:r>
        <w:rPr>
          <w:b/>
        </w:rPr>
        <w:t>IPCC, 2007. </w:t>
      </w:r>
      <w:r>
        <w:rPr/>
        <w:t>Climate Change. The Physical Science Basis. Summary for Policymakers. Contribution of Working Group I, II y III to the Fourth Assessment Report of the Intergovernmental Panel on Climate Change. WMO. UNEP. IPCC, Geneve, Switzerland. pp. 104. Disponible en: </w:t>
      </w:r>
      <w:hyperlink r:id="rId225">
        <w:r>
          <w:rPr/>
          <w:t>http://www.ipcc.ch/pdf/assessment-report/ar4/syr/ar4_syr_full_report.pdf.</w:t>
        </w:r>
      </w:hyperlink>
    </w:p>
    <w:p>
      <w:pPr>
        <w:pStyle w:val="BodyText"/>
        <w:spacing w:line="360" w:lineRule="auto" w:before="2"/>
        <w:ind w:left="1269" w:right="143" w:hanging="993"/>
        <w:jc w:val="both"/>
      </w:pPr>
      <w:r>
        <w:rPr>
          <w:b/>
        </w:rPr>
        <w:t>IPCC, 2013. </w:t>
      </w:r>
      <w:r>
        <w:rPr/>
        <w:t>Climate Change 2013: The Physical Science Basis. Contribution of Working Group I to the Fifth Assessment Report of the Intergovernmental Panel on Climate Change [Stocker, T.F., D. Qin, G.-K. Plattner, M.</w:t>
      </w:r>
      <w:r>
        <w:rPr>
          <w:spacing w:val="-22"/>
        </w:rPr>
        <w:t> </w:t>
      </w:r>
      <w:r>
        <w:rPr/>
        <w:t>Tignor,</w:t>
      </w:r>
    </w:p>
    <w:p>
      <w:pPr>
        <w:pStyle w:val="BodyText"/>
        <w:tabs>
          <w:tab w:pos="2568" w:val="left" w:leader="none"/>
          <w:tab w:pos="4027" w:val="left" w:leader="none"/>
          <w:tab w:pos="5260" w:val="left" w:leader="none"/>
          <w:tab w:pos="6760" w:val="left" w:leader="none"/>
          <w:tab w:pos="8780" w:val="left" w:leader="none"/>
        </w:tabs>
        <w:spacing w:line="360" w:lineRule="auto" w:before="2"/>
        <w:ind w:left="1269" w:right="144"/>
      </w:pPr>
      <w:r>
        <w:rPr/>
        <w:t>S.K.</w:t>
      </w:r>
      <w:r>
        <w:rPr>
          <w:spacing w:val="-15"/>
        </w:rPr>
        <w:t> </w:t>
      </w:r>
      <w:r>
        <w:rPr/>
        <w:t>Allen,</w:t>
      </w:r>
      <w:r>
        <w:rPr>
          <w:spacing w:val="-15"/>
        </w:rPr>
        <w:t> </w:t>
      </w:r>
      <w:r>
        <w:rPr/>
        <w:t>J.</w:t>
      </w:r>
      <w:r>
        <w:rPr>
          <w:spacing w:val="-15"/>
        </w:rPr>
        <w:t> </w:t>
      </w:r>
      <w:r>
        <w:rPr/>
        <w:t>Boschung,</w:t>
      </w:r>
      <w:r>
        <w:rPr>
          <w:spacing w:val="-15"/>
        </w:rPr>
        <w:t> </w:t>
      </w:r>
      <w:r>
        <w:rPr/>
        <w:t>A.</w:t>
      </w:r>
      <w:r>
        <w:rPr>
          <w:spacing w:val="-15"/>
        </w:rPr>
        <w:t> </w:t>
      </w:r>
      <w:r>
        <w:rPr/>
        <w:t>Nauels,</w:t>
      </w:r>
      <w:r>
        <w:rPr>
          <w:spacing w:val="-15"/>
        </w:rPr>
        <w:t> </w:t>
      </w:r>
      <w:r>
        <w:rPr/>
        <w:t>Y.</w:t>
      </w:r>
      <w:r>
        <w:rPr>
          <w:spacing w:val="-15"/>
        </w:rPr>
        <w:t> </w:t>
      </w:r>
      <w:r>
        <w:rPr/>
        <w:t>Xia,</w:t>
      </w:r>
      <w:r>
        <w:rPr>
          <w:spacing w:val="-15"/>
        </w:rPr>
        <w:t> </w:t>
      </w:r>
      <w:r>
        <w:rPr/>
        <w:t>V.</w:t>
      </w:r>
      <w:r>
        <w:rPr>
          <w:spacing w:val="-15"/>
        </w:rPr>
        <w:t> </w:t>
      </w:r>
      <w:r>
        <w:rPr/>
        <w:t>Bex</w:t>
      </w:r>
      <w:r>
        <w:rPr>
          <w:spacing w:val="-15"/>
        </w:rPr>
        <w:t> </w:t>
      </w:r>
      <w:r>
        <w:rPr/>
        <w:t>and</w:t>
      </w:r>
      <w:r>
        <w:rPr>
          <w:spacing w:val="-15"/>
        </w:rPr>
        <w:t> </w:t>
      </w:r>
      <w:r>
        <w:rPr/>
        <w:t>P.M.</w:t>
      </w:r>
      <w:r>
        <w:rPr>
          <w:spacing w:val="-15"/>
        </w:rPr>
        <w:t> </w:t>
      </w:r>
      <w:r>
        <w:rPr/>
        <w:t>Midgley</w:t>
      </w:r>
      <w:r>
        <w:rPr>
          <w:spacing w:val="-15"/>
        </w:rPr>
        <w:t> </w:t>
      </w:r>
      <w:r>
        <w:rPr/>
        <w:t>(eds.)]. Cambridge University Press, Cambridge, United Kingdom and New York, NY,</w:t>
        <w:tab/>
        <w:t>USA.</w:t>
        <w:tab/>
        <w:t>pp.</w:t>
        <w:tab/>
        <w:t>1535.</w:t>
        <w:tab/>
        <w:t>Disponible</w:t>
        <w:tab/>
        <w:t>en: </w:t>
      </w:r>
      <w:hyperlink r:id="rId226">
        <w:r>
          <w:rPr/>
          <w:t>http://www.climatechange2013.org/images/report/WG1AR5_ALL_FINAL.</w:t>
        </w:r>
      </w:hyperlink>
      <w:r>
        <w:rPr/>
        <w:t> pdf.</w:t>
      </w:r>
    </w:p>
    <w:p>
      <w:pPr>
        <w:pStyle w:val="BodyText"/>
        <w:spacing w:line="360" w:lineRule="auto" w:before="2"/>
        <w:ind w:left="1269" w:right="144" w:hanging="993"/>
        <w:jc w:val="both"/>
      </w:pPr>
      <w:r>
        <w:rPr>
          <w:b/>
        </w:rPr>
        <w:t>IPCC, 2014. </w:t>
      </w:r>
      <w:r>
        <w:rPr/>
        <w:t>Climate Change 2014. Synthesis Report. Summary for Policymakers. pp. 31. Disponible en: </w:t>
      </w:r>
      <w:hyperlink r:id="rId227">
        <w:r>
          <w:rPr>
            <w:color w:val="0000FF"/>
            <w:u w:val="single" w:color="0000FF"/>
          </w:rPr>
          <w:t>http://www.ipcc.ch/pdf/assessment-</w:t>
        </w:r>
      </w:hyperlink>
      <w:r>
        <w:rPr>
          <w:color w:val="0000FF"/>
          <w:u w:val="single" w:color="0000FF"/>
        </w:rPr>
        <w:t> report/ar5/syr/AR5_SYR_FINAL_SPM.pdf</w:t>
      </w:r>
      <w:r>
        <w:rPr/>
        <w:t>.</w:t>
      </w:r>
    </w:p>
    <w:p>
      <w:pPr>
        <w:pStyle w:val="BodyText"/>
        <w:spacing w:line="360" w:lineRule="auto" w:before="2"/>
        <w:ind w:left="1269" w:right="145" w:hanging="993"/>
        <w:jc w:val="both"/>
      </w:pPr>
      <w:r>
        <w:rPr>
          <w:b/>
        </w:rPr>
        <w:t>IPCC, 2016a. </w:t>
      </w:r>
      <w:r>
        <w:rPr/>
        <w:t>Annex II Glossary. Intergovernmental Panel on Climate Change. Consultado el 15 de octubre de 2010. Disponible en: </w:t>
      </w:r>
      <w:hyperlink r:id="rId228">
        <w:r>
          <w:rPr>
            <w:color w:val="0000FF"/>
            <w:u w:val="single" w:color="0000FF"/>
          </w:rPr>
          <w:t>http://www.ipcc.ch/publications_and_data/ar4/syr/en/annexessglossary -</w:t>
        </w:r>
      </w:hyperlink>
      <w:r>
        <w:rPr>
          <w:color w:val="0000FF"/>
          <w:u w:val="single" w:color="0000FF"/>
        </w:rPr>
        <w:t> e-i.html</w:t>
      </w:r>
      <w:r>
        <w:rPr/>
        <w:t>.</w:t>
      </w:r>
    </w:p>
    <w:p>
      <w:pPr>
        <w:spacing w:after="0" w:line="360" w:lineRule="auto"/>
        <w:jc w:val="both"/>
        <w:sectPr>
          <w:footerReference w:type="default" r:id="rId224"/>
          <w:pgSz w:w="12240" w:h="15840"/>
          <w:pgMar w:footer="739" w:header="741" w:top="1220" w:bottom="920" w:left="1720" w:right="1260"/>
        </w:sectPr>
      </w:pPr>
    </w:p>
    <w:p>
      <w:pPr>
        <w:pStyle w:val="BodyText"/>
        <w:spacing w:before="4"/>
        <w:rPr>
          <w:sz w:val="11"/>
        </w:rPr>
      </w:pPr>
    </w:p>
    <w:p>
      <w:pPr>
        <w:pStyle w:val="BodyText"/>
        <w:tabs>
          <w:tab w:pos="4791" w:val="left" w:leader="none"/>
          <w:tab w:pos="8780" w:val="left" w:leader="none"/>
        </w:tabs>
        <w:spacing w:line="360" w:lineRule="auto" w:before="69"/>
        <w:ind w:left="1269" w:right="144" w:hanging="993"/>
        <w:jc w:val="both"/>
      </w:pPr>
      <w:r>
        <w:rPr>
          <w:b/>
        </w:rPr>
        <w:t>IPCC, 2016b. </w:t>
      </w:r>
      <w:r>
        <w:rPr/>
        <w:t>What is the Greenhouse Effect. Intergovernmental Panel on Climate Change Climate Change 2007: Working Group I: The Physical Science Basis.</w:t>
        <w:tab/>
        <w:t>Disponible</w:t>
        <w:tab/>
        <w:t>en: </w:t>
      </w:r>
      <w:hyperlink r:id="rId230">
        <w:r>
          <w:rPr>
            <w:color w:val="0000FF"/>
            <w:u w:val="single" w:color="0000FF"/>
          </w:rPr>
          <w:t>http://www.ipcc.ch/publications_and_data/ar4/wg1/en/faq-1-3.html</w:t>
        </w:r>
        <w:r>
          <w:rPr/>
          <w:t>.</w:t>
        </w:r>
      </w:hyperlink>
    </w:p>
    <w:p>
      <w:pPr>
        <w:spacing w:line="360" w:lineRule="auto" w:before="2"/>
        <w:ind w:left="1269" w:right="143" w:hanging="993"/>
        <w:jc w:val="both"/>
        <w:rPr>
          <w:sz w:val="24"/>
        </w:rPr>
      </w:pPr>
      <w:r>
        <w:rPr>
          <w:b/>
          <w:sz w:val="24"/>
        </w:rPr>
        <w:t>Islam, M., Abe, H., Terada, F., Iwasaki, K. y Tano, R. 2000. </w:t>
      </w:r>
      <w:r>
        <w:rPr>
          <w:sz w:val="24"/>
        </w:rPr>
        <w:t>Effects of levels of feed intake and inclusion of corn on rumen environment, nutrient digestibility, methane emission and energy and protein utilization by goats fed alfalfa pellets. Asian-Aust. J. Anim. Sci. 13: 948–956.</w:t>
      </w:r>
    </w:p>
    <w:p>
      <w:pPr>
        <w:pStyle w:val="BodyText"/>
        <w:spacing w:line="360" w:lineRule="auto" w:before="2"/>
        <w:ind w:left="1269" w:right="144" w:hanging="993"/>
        <w:jc w:val="both"/>
      </w:pPr>
      <w:r>
        <w:rPr>
          <w:b/>
        </w:rPr>
        <w:t>Janssen, P. H. 2010. </w:t>
      </w:r>
      <w:r>
        <w:rPr/>
        <w:t>Influence of hydrogen on rumen methane formation and fermentation balances through microbial growth kinetics and fermentation thermodynamics. Anim. Feed Sci. Technol. 160: 1–22.</w:t>
      </w:r>
    </w:p>
    <w:p>
      <w:pPr>
        <w:spacing w:line="355" w:lineRule="auto" w:before="2"/>
        <w:ind w:left="1269" w:right="144" w:hanging="993"/>
        <w:jc w:val="both"/>
        <w:rPr>
          <w:sz w:val="24"/>
        </w:rPr>
      </w:pPr>
      <w:r>
        <w:rPr>
          <w:b/>
          <w:sz w:val="24"/>
        </w:rPr>
        <w:t>Johnson, K., Huyler, M., Westberg, H., Lamb, B. and Zimmerman, P. 1994. </w:t>
      </w:r>
      <w:r>
        <w:rPr>
          <w:sz w:val="24"/>
        </w:rPr>
        <w:t>Measurement of methane emissions from ruminant livestock using a SF</w:t>
      </w:r>
      <w:r>
        <w:rPr>
          <w:position w:val="-2"/>
          <w:sz w:val="16"/>
        </w:rPr>
        <w:t>6 </w:t>
      </w:r>
      <w:r>
        <w:rPr>
          <w:sz w:val="24"/>
        </w:rPr>
        <w:t>tracer technique. Environmental. Sci. Tech., 28: 359-362.</w:t>
      </w:r>
    </w:p>
    <w:p>
      <w:pPr>
        <w:spacing w:line="360" w:lineRule="auto" w:before="8"/>
        <w:ind w:left="1269" w:right="144" w:hanging="993"/>
        <w:jc w:val="both"/>
        <w:rPr>
          <w:sz w:val="24"/>
        </w:rPr>
      </w:pPr>
      <w:r>
        <w:rPr>
          <w:b/>
          <w:sz w:val="24"/>
        </w:rPr>
        <w:t>Johnson, K. A., Johnson D. E. 1995. </w:t>
      </w:r>
      <w:r>
        <w:rPr>
          <w:sz w:val="24"/>
        </w:rPr>
        <w:t>Methane emissions from cattle. J Anim Sci, 1995; 73: 2483-2492.</w:t>
      </w:r>
    </w:p>
    <w:p>
      <w:pPr>
        <w:spacing w:before="2"/>
        <w:ind w:left="276" w:right="0" w:firstLine="0"/>
        <w:jc w:val="left"/>
        <w:rPr>
          <w:sz w:val="24"/>
        </w:rPr>
      </w:pPr>
      <w:r>
        <w:rPr>
          <w:b/>
          <w:sz w:val="24"/>
        </w:rPr>
        <w:t>Johnson, D. E. and Ward, G. M. 1995. </w:t>
      </w:r>
      <w:r>
        <w:rPr>
          <w:sz w:val="24"/>
        </w:rPr>
        <w:t>Estimates of animal methane emissions.</w:t>
      </w:r>
    </w:p>
    <w:p>
      <w:pPr>
        <w:pStyle w:val="BodyText"/>
        <w:spacing w:before="141"/>
        <w:ind w:left="1269"/>
      </w:pPr>
      <w:r>
        <w:rPr/>
        <w:t>Environ. Monit. Assess., 42: 133-141.</w:t>
      </w:r>
    </w:p>
    <w:p>
      <w:pPr>
        <w:spacing w:line="360" w:lineRule="auto" w:before="137"/>
        <w:ind w:left="1269" w:right="144" w:hanging="993"/>
        <w:jc w:val="both"/>
        <w:rPr>
          <w:sz w:val="24"/>
        </w:rPr>
      </w:pPr>
      <w:r>
        <w:rPr>
          <w:b/>
          <w:sz w:val="24"/>
        </w:rPr>
        <w:t>Johnson,</w:t>
      </w:r>
      <w:r>
        <w:rPr>
          <w:b/>
          <w:spacing w:val="-10"/>
          <w:sz w:val="24"/>
        </w:rPr>
        <w:t> </w:t>
      </w:r>
      <w:r>
        <w:rPr>
          <w:b/>
          <w:sz w:val="24"/>
        </w:rPr>
        <w:t>D.</w:t>
      </w:r>
      <w:r>
        <w:rPr>
          <w:b/>
          <w:spacing w:val="-10"/>
          <w:sz w:val="24"/>
        </w:rPr>
        <w:t> </w:t>
      </w:r>
      <w:r>
        <w:rPr>
          <w:b/>
          <w:sz w:val="24"/>
        </w:rPr>
        <w:t>E.,</w:t>
      </w:r>
      <w:r>
        <w:rPr>
          <w:b/>
          <w:spacing w:val="-10"/>
          <w:sz w:val="24"/>
        </w:rPr>
        <w:t> </w:t>
      </w:r>
      <w:r>
        <w:rPr>
          <w:b/>
          <w:sz w:val="24"/>
        </w:rPr>
        <w:t>Johnson,</w:t>
      </w:r>
      <w:r>
        <w:rPr>
          <w:b/>
          <w:spacing w:val="-10"/>
          <w:sz w:val="24"/>
        </w:rPr>
        <w:t> </w:t>
      </w:r>
      <w:r>
        <w:rPr>
          <w:b/>
          <w:sz w:val="24"/>
        </w:rPr>
        <w:t>K.</w:t>
      </w:r>
      <w:r>
        <w:rPr>
          <w:b/>
          <w:spacing w:val="-10"/>
          <w:sz w:val="24"/>
        </w:rPr>
        <w:t> </w:t>
      </w:r>
      <w:r>
        <w:rPr>
          <w:b/>
          <w:sz w:val="24"/>
        </w:rPr>
        <w:t>A.;</w:t>
      </w:r>
      <w:r>
        <w:rPr>
          <w:b/>
          <w:spacing w:val="-10"/>
          <w:sz w:val="24"/>
        </w:rPr>
        <w:t> </w:t>
      </w:r>
      <w:r>
        <w:rPr>
          <w:b/>
          <w:sz w:val="24"/>
        </w:rPr>
        <w:t>Ward,</w:t>
      </w:r>
      <w:r>
        <w:rPr>
          <w:b/>
          <w:spacing w:val="-10"/>
          <w:sz w:val="24"/>
        </w:rPr>
        <w:t> </w:t>
      </w:r>
      <w:r>
        <w:rPr>
          <w:b/>
          <w:sz w:val="24"/>
        </w:rPr>
        <w:t>G.</w:t>
      </w:r>
      <w:r>
        <w:rPr>
          <w:b/>
          <w:spacing w:val="-10"/>
          <w:sz w:val="24"/>
        </w:rPr>
        <w:t> </w:t>
      </w:r>
      <w:r>
        <w:rPr>
          <w:b/>
          <w:sz w:val="24"/>
        </w:rPr>
        <w:t>M.</w:t>
      </w:r>
      <w:r>
        <w:rPr>
          <w:b/>
          <w:spacing w:val="-10"/>
          <w:sz w:val="24"/>
        </w:rPr>
        <w:t> </w:t>
      </w:r>
      <w:r>
        <w:rPr>
          <w:b/>
          <w:sz w:val="24"/>
        </w:rPr>
        <w:t>and</w:t>
      </w:r>
      <w:r>
        <w:rPr>
          <w:b/>
          <w:spacing w:val="-10"/>
          <w:sz w:val="24"/>
        </w:rPr>
        <w:t> </w:t>
      </w:r>
      <w:r>
        <w:rPr>
          <w:b/>
          <w:sz w:val="24"/>
        </w:rPr>
        <w:t>Branine,</w:t>
      </w:r>
      <w:r>
        <w:rPr>
          <w:b/>
          <w:spacing w:val="-10"/>
          <w:sz w:val="24"/>
        </w:rPr>
        <w:t> </w:t>
      </w:r>
      <w:r>
        <w:rPr>
          <w:b/>
          <w:sz w:val="24"/>
        </w:rPr>
        <w:t>M.</w:t>
      </w:r>
      <w:r>
        <w:rPr>
          <w:b/>
          <w:spacing w:val="-10"/>
          <w:sz w:val="24"/>
        </w:rPr>
        <w:t> </w:t>
      </w:r>
      <w:r>
        <w:rPr>
          <w:b/>
          <w:sz w:val="24"/>
        </w:rPr>
        <w:t>E.</w:t>
      </w:r>
      <w:r>
        <w:rPr>
          <w:b/>
          <w:spacing w:val="-10"/>
          <w:sz w:val="24"/>
        </w:rPr>
        <w:t> </w:t>
      </w:r>
      <w:r>
        <w:rPr>
          <w:b/>
          <w:sz w:val="24"/>
        </w:rPr>
        <w:t>2000.</w:t>
      </w:r>
      <w:r>
        <w:rPr>
          <w:b/>
          <w:spacing w:val="-10"/>
          <w:sz w:val="24"/>
        </w:rPr>
        <w:t> </w:t>
      </w:r>
      <w:r>
        <w:rPr>
          <w:sz w:val="24"/>
        </w:rPr>
        <w:t>Ruminants and</w:t>
      </w:r>
      <w:r>
        <w:rPr>
          <w:spacing w:val="-14"/>
          <w:sz w:val="24"/>
        </w:rPr>
        <w:t> </w:t>
      </w:r>
      <w:r>
        <w:rPr>
          <w:sz w:val="24"/>
        </w:rPr>
        <w:t>other</w:t>
      </w:r>
      <w:r>
        <w:rPr>
          <w:spacing w:val="-14"/>
          <w:sz w:val="24"/>
        </w:rPr>
        <w:t> </w:t>
      </w:r>
      <w:r>
        <w:rPr>
          <w:sz w:val="24"/>
        </w:rPr>
        <w:t>animals.</w:t>
      </w:r>
      <w:r>
        <w:rPr>
          <w:spacing w:val="-14"/>
          <w:sz w:val="24"/>
        </w:rPr>
        <w:t> </w:t>
      </w:r>
      <w:r>
        <w:rPr>
          <w:sz w:val="24"/>
        </w:rPr>
        <w:t>En:</w:t>
      </w:r>
      <w:r>
        <w:rPr>
          <w:spacing w:val="-14"/>
          <w:sz w:val="24"/>
        </w:rPr>
        <w:t> </w:t>
      </w:r>
      <w:r>
        <w:rPr>
          <w:sz w:val="24"/>
        </w:rPr>
        <w:t>Khalil,</w:t>
      </w:r>
      <w:r>
        <w:rPr>
          <w:spacing w:val="-14"/>
          <w:sz w:val="24"/>
        </w:rPr>
        <w:t> </w:t>
      </w:r>
      <w:r>
        <w:rPr>
          <w:sz w:val="24"/>
        </w:rPr>
        <w:t>M.</w:t>
      </w:r>
      <w:r>
        <w:rPr>
          <w:spacing w:val="-14"/>
          <w:sz w:val="24"/>
        </w:rPr>
        <w:t> </w:t>
      </w:r>
      <w:r>
        <w:rPr>
          <w:sz w:val="24"/>
        </w:rPr>
        <w:t>A.</w:t>
      </w:r>
      <w:r>
        <w:rPr>
          <w:spacing w:val="-14"/>
          <w:sz w:val="24"/>
        </w:rPr>
        <w:t> </w:t>
      </w:r>
      <w:r>
        <w:rPr>
          <w:sz w:val="24"/>
        </w:rPr>
        <w:t>K.</w:t>
      </w:r>
      <w:r>
        <w:rPr>
          <w:spacing w:val="-14"/>
          <w:sz w:val="24"/>
        </w:rPr>
        <w:t> </w:t>
      </w:r>
      <w:r>
        <w:rPr>
          <w:sz w:val="24"/>
        </w:rPr>
        <w:t>(ed.)</w:t>
      </w:r>
      <w:r>
        <w:rPr>
          <w:spacing w:val="-14"/>
          <w:sz w:val="24"/>
        </w:rPr>
        <w:t> </w:t>
      </w:r>
      <w:r>
        <w:rPr>
          <w:sz w:val="24"/>
        </w:rPr>
        <w:t>Atmospheric</w:t>
      </w:r>
      <w:r>
        <w:rPr>
          <w:spacing w:val="-14"/>
          <w:sz w:val="24"/>
        </w:rPr>
        <w:t> </w:t>
      </w:r>
      <w:r>
        <w:rPr>
          <w:sz w:val="24"/>
        </w:rPr>
        <w:t>Methane:</w:t>
      </w:r>
      <w:r>
        <w:rPr>
          <w:spacing w:val="-14"/>
          <w:sz w:val="24"/>
        </w:rPr>
        <w:t> </w:t>
      </w:r>
      <w:r>
        <w:rPr>
          <w:sz w:val="24"/>
        </w:rPr>
        <w:t>It’s</w:t>
      </w:r>
      <w:r>
        <w:rPr>
          <w:spacing w:val="-14"/>
          <w:sz w:val="24"/>
        </w:rPr>
        <w:t> </w:t>
      </w:r>
      <w:r>
        <w:rPr>
          <w:sz w:val="24"/>
        </w:rPr>
        <w:t>Role in the Global Environment. Springer – Verlag. Berlín,</w:t>
      </w:r>
      <w:r>
        <w:rPr>
          <w:spacing w:val="-2"/>
          <w:sz w:val="24"/>
        </w:rPr>
        <w:t> </w:t>
      </w:r>
      <w:r>
        <w:rPr>
          <w:sz w:val="24"/>
        </w:rPr>
        <w:t>Alemania.</w:t>
      </w:r>
    </w:p>
    <w:p>
      <w:pPr>
        <w:pStyle w:val="BodyText"/>
        <w:spacing w:line="360" w:lineRule="auto" w:before="7"/>
        <w:ind w:left="1269" w:right="144" w:hanging="993"/>
        <w:jc w:val="both"/>
      </w:pPr>
      <w:r>
        <w:rPr>
          <w:b/>
        </w:rPr>
        <w:t>Karnati, S. K. R., Yu, Z. y Firkins, J. L. 2009. </w:t>
      </w:r>
      <w:r>
        <w:rPr/>
        <w:t>Investigating unsaturated fat, monensin or bro- moethanesulfonate in continuous cultures retaining ruminal protozoa. II. Interaction of treatment and presence of protozoa on prokaryotic communities. J. Dairy Sci. 92:3861–3873.</w:t>
      </w:r>
    </w:p>
    <w:p>
      <w:pPr>
        <w:pStyle w:val="BodyText"/>
        <w:spacing w:line="360" w:lineRule="auto" w:before="2"/>
        <w:ind w:left="1269" w:right="144" w:hanging="993"/>
        <w:jc w:val="both"/>
      </w:pPr>
      <w:r>
        <w:rPr>
          <w:b/>
        </w:rPr>
        <w:t>Khalil, K. R. 2000. </w:t>
      </w:r>
      <w:r>
        <w:rPr/>
        <w:t>Atmospheric methane: An introduction. In: M. A. K. Khalil (Ed.) Atmospheric methane, its role in the global environment. Springer-Verlag. Berlin. p. 1-8.</w:t>
      </w:r>
    </w:p>
    <w:p>
      <w:pPr>
        <w:spacing w:line="360" w:lineRule="auto" w:before="2"/>
        <w:ind w:left="1269" w:right="144" w:hanging="993"/>
        <w:jc w:val="both"/>
        <w:rPr>
          <w:sz w:val="24"/>
        </w:rPr>
      </w:pPr>
      <w:r>
        <w:rPr>
          <w:b/>
          <w:sz w:val="24"/>
        </w:rPr>
        <w:t>Kongmun, P., Wanapat, M., Pakdee, P., Navanukraw, C. and Yu, Z. 2011</w:t>
      </w:r>
      <w:r>
        <w:rPr>
          <w:sz w:val="24"/>
        </w:rPr>
        <w:t>. Manipulation</w:t>
      </w:r>
      <w:r>
        <w:rPr>
          <w:spacing w:val="55"/>
          <w:sz w:val="24"/>
        </w:rPr>
        <w:t> </w:t>
      </w:r>
      <w:r>
        <w:rPr>
          <w:sz w:val="24"/>
        </w:rPr>
        <w:t>of</w:t>
      </w:r>
      <w:r>
        <w:rPr>
          <w:spacing w:val="55"/>
          <w:sz w:val="24"/>
        </w:rPr>
        <w:t> </w:t>
      </w:r>
      <w:r>
        <w:rPr>
          <w:sz w:val="24"/>
        </w:rPr>
        <w:t>rumen</w:t>
      </w:r>
      <w:r>
        <w:rPr>
          <w:spacing w:val="55"/>
          <w:sz w:val="24"/>
        </w:rPr>
        <w:t> </w:t>
      </w:r>
      <w:r>
        <w:rPr>
          <w:sz w:val="24"/>
        </w:rPr>
        <w:t>fermentation</w:t>
      </w:r>
      <w:r>
        <w:rPr>
          <w:spacing w:val="55"/>
          <w:sz w:val="24"/>
        </w:rPr>
        <w:t> </w:t>
      </w:r>
      <w:r>
        <w:rPr>
          <w:sz w:val="24"/>
        </w:rPr>
        <w:t>and</w:t>
      </w:r>
      <w:r>
        <w:rPr>
          <w:spacing w:val="55"/>
          <w:sz w:val="24"/>
        </w:rPr>
        <w:t> </w:t>
      </w:r>
      <w:r>
        <w:rPr>
          <w:sz w:val="24"/>
        </w:rPr>
        <w:t>ecology</w:t>
      </w:r>
      <w:r>
        <w:rPr>
          <w:spacing w:val="55"/>
          <w:sz w:val="24"/>
        </w:rPr>
        <w:t> </w:t>
      </w:r>
      <w:r>
        <w:rPr>
          <w:sz w:val="24"/>
        </w:rPr>
        <w:t>of</w:t>
      </w:r>
      <w:r>
        <w:rPr>
          <w:spacing w:val="55"/>
          <w:sz w:val="24"/>
        </w:rPr>
        <w:t> </w:t>
      </w:r>
      <w:r>
        <w:rPr>
          <w:sz w:val="24"/>
        </w:rPr>
        <w:t>swamp</w:t>
      </w:r>
      <w:r>
        <w:rPr>
          <w:spacing w:val="55"/>
          <w:sz w:val="24"/>
        </w:rPr>
        <w:t> </w:t>
      </w:r>
      <w:r>
        <w:rPr>
          <w:sz w:val="24"/>
        </w:rPr>
        <w:t>buffalo</w:t>
      </w:r>
      <w:r>
        <w:rPr>
          <w:spacing w:val="55"/>
          <w:sz w:val="24"/>
        </w:rPr>
        <w:t> </w:t>
      </w:r>
      <w:r>
        <w:rPr>
          <w:sz w:val="24"/>
        </w:rPr>
        <w:t>by</w:t>
      </w:r>
    </w:p>
    <w:p>
      <w:pPr>
        <w:spacing w:after="0" w:line="360" w:lineRule="auto"/>
        <w:jc w:val="both"/>
        <w:rPr>
          <w:sz w:val="24"/>
        </w:rPr>
        <w:sectPr>
          <w:footerReference w:type="default" r:id="rId229"/>
          <w:pgSz w:w="12240" w:h="15840"/>
          <w:pgMar w:footer="739" w:header="741" w:top="1220" w:bottom="920" w:left="1720" w:right="1260"/>
          <w:pgNumType w:start="161"/>
        </w:sectPr>
      </w:pPr>
    </w:p>
    <w:p>
      <w:pPr>
        <w:pStyle w:val="BodyText"/>
        <w:spacing w:before="4"/>
        <w:rPr>
          <w:sz w:val="11"/>
        </w:rPr>
      </w:pPr>
    </w:p>
    <w:p>
      <w:pPr>
        <w:pStyle w:val="BodyText"/>
        <w:spacing w:line="362" w:lineRule="auto" w:before="69"/>
        <w:ind w:left="1269" w:right="144"/>
      </w:pPr>
      <w:r>
        <w:rPr/>
        <w:t>coconut oil and garlic powder supplementation. Livestock Science. 135: 84-92.</w:t>
      </w:r>
    </w:p>
    <w:p>
      <w:pPr>
        <w:spacing w:line="360" w:lineRule="auto" w:before="0"/>
        <w:ind w:left="1269" w:right="144" w:hanging="993"/>
        <w:jc w:val="both"/>
        <w:rPr>
          <w:sz w:val="24"/>
        </w:rPr>
      </w:pPr>
      <w:r>
        <w:rPr>
          <w:b/>
          <w:sz w:val="24"/>
        </w:rPr>
        <w:t>Kebreab, E., Johnson, K. A., Archibeque, S. L., Pape, D. and Wirth, T. 2008. </w:t>
      </w:r>
      <w:r>
        <w:rPr>
          <w:sz w:val="24"/>
        </w:rPr>
        <w:t>Model for estimating enteric methane emissions from United States dairy and feedlot cattle. J Anim Sci 2008.86:2738-2748.</w:t>
      </w:r>
    </w:p>
    <w:p>
      <w:pPr>
        <w:spacing w:line="360" w:lineRule="auto" w:before="7"/>
        <w:ind w:left="1269" w:right="144" w:hanging="993"/>
        <w:jc w:val="both"/>
        <w:rPr>
          <w:sz w:val="24"/>
        </w:rPr>
      </w:pPr>
      <w:r>
        <w:rPr>
          <w:b/>
          <w:sz w:val="24"/>
        </w:rPr>
        <w:t>Kennedy, P. M. y Charmley, E. 2012. </w:t>
      </w:r>
      <w:r>
        <w:rPr>
          <w:sz w:val="24"/>
        </w:rPr>
        <w:t>Methane yields from Brahman cattle fed tropical grasses and legumes. Anim. Prod. Sci. 52: 225–239.</w:t>
      </w:r>
    </w:p>
    <w:p>
      <w:pPr>
        <w:spacing w:line="360" w:lineRule="auto" w:before="2"/>
        <w:ind w:left="1269" w:right="144" w:hanging="993"/>
        <w:jc w:val="both"/>
        <w:rPr>
          <w:sz w:val="24"/>
        </w:rPr>
      </w:pPr>
      <w:r>
        <w:rPr>
          <w:b/>
          <w:sz w:val="24"/>
        </w:rPr>
        <w:t>Kiehl,</w:t>
      </w:r>
      <w:r>
        <w:rPr>
          <w:b/>
          <w:spacing w:val="-13"/>
          <w:sz w:val="24"/>
        </w:rPr>
        <w:t> </w:t>
      </w:r>
      <w:r>
        <w:rPr>
          <w:b/>
          <w:sz w:val="24"/>
        </w:rPr>
        <w:t>J.</w:t>
      </w:r>
      <w:r>
        <w:rPr>
          <w:b/>
          <w:spacing w:val="-13"/>
          <w:sz w:val="24"/>
        </w:rPr>
        <w:t> </w:t>
      </w:r>
      <w:r>
        <w:rPr>
          <w:b/>
          <w:sz w:val="24"/>
        </w:rPr>
        <w:t>T.</w:t>
      </w:r>
      <w:r>
        <w:rPr>
          <w:b/>
          <w:spacing w:val="-14"/>
          <w:sz w:val="24"/>
        </w:rPr>
        <w:t> </w:t>
      </w:r>
      <w:r>
        <w:rPr>
          <w:b/>
          <w:sz w:val="24"/>
        </w:rPr>
        <w:t>and</w:t>
      </w:r>
      <w:r>
        <w:rPr>
          <w:b/>
          <w:spacing w:val="-13"/>
          <w:sz w:val="24"/>
        </w:rPr>
        <w:t> </w:t>
      </w:r>
      <w:r>
        <w:rPr>
          <w:b/>
          <w:sz w:val="24"/>
        </w:rPr>
        <w:t>Trenberth,</w:t>
      </w:r>
      <w:r>
        <w:rPr>
          <w:b/>
          <w:spacing w:val="-13"/>
          <w:sz w:val="24"/>
        </w:rPr>
        <w:t> </w:t>
      </w:r>
      <w:r>
        <w:rPr>
          <w:b/>
          <w:sz w:val="24"/>
        </w:rPr>
        <w:t>K.</w:t>
      </w:r>
      <w:r>
        <w:rPr>
          <w:b/>
          <w:spacing w:val="-13"/>
          <w:sz w:val="24"/>
        </w:rPr>
        <w:t> </w:t>
      </w:r>
      <w:r>
        <w:rPr>
          <w:b/>
          <w:sz w:val="24"/>
        </w:rPr>
        <w:t>E.</w:t>
      </w:r>
      <w:r>
        <w:rPr>
          <w:b/>
          <w:spacing w:val="-13"/>
          <w:sz w:val="24"/>
        </w:rPr>
        <w:t> </w:t>
      </w:r>
      <w:r>
        <w:rPr>
          <w:b/>
          <w:sz w:val="24"/>
        </w:rPr>
        <w:t>1977.</w:t>
      </w:r>
      <w:r>
        <w:rPr>
          <w:b/>
          <w:spacing w:val="-13"/>
          <w:sz w:val="24"/>
        </w:rPr>
        <w:t> </w:t>
      </w:r>
      <w:r>
        <w:rPr>
          <w:sz w:val="24"/>
        </w:rPr>
        <w:t>Earth’s</w:t>
      </w:r>
      <w:r>
        <w:rPr>
          <w:spacing w:val="-13"/>
          <w:sz w:val="24"/>
        </w:rPr>
        <w:t> </w:t>
      </w:r>
      <w:r>
        <w:rPr>
          <w:sz w:val="24"/>
        </w:rPr>
        <w:t>Annual</w:t>
      </w:r>
      <w:r>
        <w:rPr>
          <w:spacing w:val="-13"/>
          <w:sz w:val="24"/>
        </w:rPr>
        <w:t> </w:t>
      </w:r>
      <w:r>
        <w:rPr>
          <w:sz w:val="24"/>
        </w:rPr>
        <w:t>Global</w:t>
      </w:r>
      <w:r>
        <w:rPr>
          <w:spacing w:val="-13"/>
          <w:sz w:val="24"/>
        </w:rPr>
        <w:t> </w:t>
      </w:r>
      <w:r>
        <w:rPr>
          <w:sz w:val="24"/>
        </w:rPr>
        <w:t>Mean</w:t>
      </w:r>
      <w:r>
        <w:rPr>
          <w:spacing w:val="-13"/>
          <w:sz w:val="24"/>
        </w:rPr>
        <w:t> </w:t>
      </w:r>
      <w:r>
        <w:rPr>
          <w:sz w:val="24"/>
        </w:rPr>
        <w:t>Energy</w:t>
      </w:r>
      <w:r>
        <w:rPr>
          <w:spacing w:val="-13"/>
          <w:sz w:val="24"/>
        </w:rPr>
        <w:t> </w:t>
      </w:r>
      <w:r>
        <w:rPr>
          <w:sz w:val="24"/>
        </w:rPr>
        <w:t>Budget. National</w:t>
      </w:r>
      <w:r>
        <w:rPr>
          <w:spacing w:val="-15"/>
          <w:sz w:val="24"/>
        </w:rPr>
        <w:t> </w:t>
      </w:r>
      <w:r>
        <w:rPr>
          <w:sz w:val="24"/>
        </w:rPr>
        <w:t>Center</w:t>
      </w:r>
      <w:r>
        <w:rPr>
          <w:spacing w:val="-16"/>
          <w:sz w:val="24"/>
        </w:rPr>
        <w:t> </w:t>
      </w:r>
      <w:r>
        <w:rPr>
          <w:sz w:val="24"/>
        </w:rPr>
        <w:t>for</w:t>
      </w:r>
      <w:r>
        <w:rPr>
          <w:spacing w:val="-16"/>
          <w:sz w:val="24"/>
        </w:rPr>
        <w:t> </w:t>
      </w:r>
      <w:r>
        <w:rPr>
          <w:sz w:val="24"/>
        </w:rPr>
        <w:t>Atmospheric</w:t>
      </w:r>
      <w:r>
        <w:rPr>
          <w:spacing w:val="-16"/>
          <w:sz w:val="24"/>
        </w:rPr>
        <w:t> </w:t>
      </w:r>
      <w:r>
        <w:rPr>
          <w:sz w:val="24"/>
        </w:rPr>
        <w:t>Research,</w:t>
      </w:r>
      <w:r>
        <w:rPr>
          <w:spacing w:val="-16"/>
          <w:sz w:val="24"/>
        </w:rPr>
        <w:t> </w:t>
      </w:r>
      <w:r>
        <w:rPr>
          <w:sz w:val="24"/>
        </w:rPr>
        <w:t>Boulder,</w:t>
      </w:r>
      <w:r>
        <w:rPr>
          <w:spacing w:val="-16"/>
          <w:sz w:val="24"/>
        </w:rPr>
        <w:t> </w:t>
      </w:r>
      <w:r>
        <w:rPr>
          <w:sz w:val="24"/>
        </w:rPr>
        <w:t>Colorado.</w:t>
      </w:r>
      <w:r>
        <w:rPr>
          <w:spacing w:val="-16"/>
          <w:sz w:val="24"/>
        </w:rPr>
        <w:t> </w:t>
      </w:r>
      <w:r>
        <w:rPr>
          <w:sz w:val="24"/>
        </w:rPr>
        <w:t>Vol.</w:t>
      </w:r>
      <w:r>
        <w:rPr>
          <w:spacing w:val="-16"/>
          <w:sz w:val="24"/>
        </w:rPr>
        <w:t> </w:t>
      </w:r>
      <w:r>
        <w:rPr>
          <w:sz w:val="24"/>
        </w:rPr>
        <w:t>78,</w:t>
      </w:r>
      <w:r>
        <w:rPr>
          <w:spacing w:val="-16"/>
          <w:sz w:val="24"/>
        </w:rPr>
        <w:t> </w:t>
      </w:r>
      <w:r>
        <w:rPr>
          <w:sz w:val="24"/>
        </w:rPr>
        <w:t>No. 2, Februry 1977</w:t>
      </w:r>
      <w:r>
        <w:rPr>
          <w:spacing w:val="-1"/>
          <w:sz w:val="24"/>
        </w:rPr>
        <w:t> </w:t>
      </w:r>
      <w:r>
        <w:rPr>
          <w:sz w:val="24"/>
        </w:rPr>
        <w:t>(197-208).</w:t>
      </w:r>
    </w:p>
    <w:p>
      <w:pPr>
        <w:spacing w:line="360" w:lineRule="auto" w:before="2"/>
        <w:ind w:left="1269" w:right="144" w:hanging="993"/>
        <w:jc w:val="both"/>
        <w:rPr>
          <w:sz w:val="24"/>
        </w:rPr>
      </w:pPr>
      <w:r>
        <w:rPr>
          <w:b/>
          <w:sz w:val="24"/>
        </w:rPr>
        <w:t>Kurihara, M., Magner, T., Hunter, R. A. and McCrabb, G. J. 1999. </w:t>
      </w:r>
      <w:r>
        <w:rPr>
          <w:sz w:val="24"/>
        </w:rPr>
        <w:t>Methane production and energy partition of cattle in the tropics. British Journal of Nutrition, 81. pp. 227-234.</w:t>
      </w:r>
    </w:p>
    <w:p>
      <w:pPr>
        <w:spacing w:line="360" w:lineRule="auto" w:before="7"/>
        <w:ind w:left="1269" w:right="144" w:hanging="993"/>
        <w:jc w:val="both"/>
        <w:rPr>
          <w:sz w:val="24"/>
        </w:rPr>
      </w:pPr>
      <w:r>
        <w:rPr>
          <w:b/>
          <w:sz w:val="24"/>
        </w:rPr>
        <w:t>Lassey, K. R., Ulyatt, M.J., Martin, R.J., Walker, C.F.and Shelton, I.D. 1997. </w:t>
      </w:r>
      <w:r>
        <w:rPr>
          <w:sz w:val="24"/>
        </w:rPr>
        <w:t>Methane emissions measured directly from grazing livestock in New Zealand. Atmos. Environ., 31: 2905-2914.</w:t>
      </w:r>
    </w:p>
    <w:p>
      <w:pPr>
        <w:pStyle w:val="BodyText"/>
        <w:spacing w:line="360" w:lineRule="auto" w:before="2"/>
        <w:ind w:left="1269" w:right="145" w:hanging="993"/>
        <w:jc w:val="both"/>
      </w:pPr>
      <w:r>
        <w:rPr>
          <w:b/>
        </w:rPr>
        <w:t>Lassey,</w:t>
      </w:r>
      <w:r>
        <w:rPr>
          <w:b/>
          <w:spacing w:val="-12"/>
        </w:rPr>
        <w:t> </w:t>
      </w:r>
      <w:r>
        <w:rPr>
          <w:b/>
        </w:rPr>
        <w:t>K.</w:t>
      </w:r>
      <w:r>
        <w:rPr>
          <w:b/>
          <w:spacing w:val="-11"/>
        </w:rPr>
        <w:t> </w:t>
      </w:r>
      <w:r>
        <w:rPr>
          <w:b/>
        </w:rPr>
        <w:t>R.</w:t>
      </w:r>
      <w:r>
        <w:rPr>
          <w:b/>
          <w:spacing w:val="-12"/>
        </w:rPr>
        <w:t> </w:t>
      </w:r>
      <w:r>
        <w:rPr>
          <w:b/>
        </w:rPr>
        <w:t>2007.</w:t>
      </w:r>
      <w:r>
        <w:rPr>
          <w:b/>
          <w:spacing w:val="-12"/>
        </w:rPr>
        <w:t> </w:t>
      </w:r>
      <w:r>
        <w:rPr/>
        <w:t>Livestock</w:t>
      </w:r>
      <w:r>
        <w:rPr>
          <w:spacing w:val="-12"/>
        </w:rPr>
        <w:t> </w:t>
      </w:r>
      <w:r>
        <w:rPr/>
        <w:t>methane</w:t>
      </w:r>
      <w:r>
        <w:rPr>
          <w:spacing w:val="-12"/>
        </w:rPr>
        <w:t> </w:t>
      </w:r>
      <w:r>
        <w:rPr/>
        <w:t>emission:</w:t>
      </w:r>
      <w:r>
        <w:rPr>
          <w:spacing w:val="-12"/>
        </w:rPr>
        <w:t> </w:t>
      </w:r>
      <w:r>
        <w:rPr/>
        <w:t>from</w:t>
      </w:r>
      <w:r>
        <w:rPr>
          <w:spacing w:val="-12"/>
        </w:rPr>
        <w:t> </w:t>
      </w:r>
      <w:r>
        <w:rPr/>
        <w:t>the</w:t>
      </w:r>
      <w:r>
        <w:rPr>
          <w:spacing w:val="-12"/>
        </w:rPr>
        <w:t> </w:t>
      </w:r>
      <w:r>
        <w:rPr/>
        <w:t>individual</w:t>
      </w:r>
      <w:r>
        <w:rPr>
          <w:spacing w:val="-12"/>
        </w:rPr>
        <w:t> </w:t>
      </w:r>
      <w:r>
        <w:rPr/>
        <w:t>grazing</w:t>
      </w:r>
      <w:r>
        <w:rPr>
          <w:spacing w:val="-12"/>
        </w:rPr>
        <w:t> </w:t>
      </w:r>
      <w:r>
        <w:rPr/>
        <w:t>animal through national inventories to the global methane cycle. Agric. For. Meteorol. Volume 142, Issues 2–4:</w:t>
      </w:r>
      <w:r>
        <w:rPr>
          <w:spacing w:val="-5"/>
        </w:rPr>
        <w:t> </w:t>
      </w:r>
      <w:r>
        <w:rPr/>
        <w:t>120–132.</w:t>
      </w:r>
    </w:p>
    <w:p>
      <w:pPr>
        <w:pStyle w:val="BodyText"/>
        <w:spacing w:line="360" w:lineRule="auto" w:before="2"/>
        <w:ind w:left="1269" w:right="144" w:hanging="993"/>
        <w:jc w:val="both"/>
      </w:pPr>
      <w:r>
        <w:rPr>
          <w:b/>
        </w:rPr>
        <w:t>Le Treut, H., R. Somerville, U. Cubasch, Y. Ding, C. Mauritzen, A. Mokssit, T. Peterson and M. Prather. 2007. </w:t>
      </w:r>
      <w:r>
        <w:rPr/>
        <w:t>Historical Overview of Climate Change. In: Climate Change 2007: The Physical Science Basis. Contribution of Working</w:t>
      </w:r>
      <w:r>
        <w:rPr>
          <w:spacing w:val="-16"/>
        </w:rPr>
        <w:t> </w:t>
      </w:r>
      <w:r>
        <w:rPr/>
        <w:t>Group</w:t>
      </w:r>
      <w:r>
        <w:rPr>
          <w:spacing w:val="-16"/>
        </w:rPr>
        <w:t> </w:t>
      </w:r>
      <w:r>
        <w:rPr/>
        <w:t>I</w:t>
      </w:r>
      <w:r>
        <w:rPr>
          <w:spacing w:val="-16"/>
        </w:rPr>
        <w:t> </w:t>
      </w:r>
      <w:r>
        <w:rPr/>
        <w:t>to</w:t>
      </w:r>
      <w:r>
        <w:rPr>
          <w:spacing w:val="-16"/>
        </w:rPr>
        <w:t> </w:t>
      </w:r>
      <w:r>
        <w:rPr/>
        <w:t>the</w:t>
      </w:r>
      <w:r>
        <w:rPr>
          <w:spacing w:val="-16"/>
        </w:rPr>
        <w:t> </w:t>
      </w:r>
      <w:r>
        <w:rPr/>
        <w:t>Fourth</w:t>
      </w:r>
      <w:r>
        <w:rPr>
          <w:spacing w:val="-16"/>
        </w:rPr>
        <w:t> </w:t>
      </w:r>
      <w:r>
        <w:rPr/>
        <w:t>Assessment</w:t>
      </w:r>
      <w:r>
        <w:rPr>
          <w:spacing w:val="-16"/>
        </w:rPr>
        <w:t> </w:t>
      </w:r>
      <w:r>
        <w:rPr/>
        <w:t>Report</w:t>
      </w:r>
      <w:r>
        <w:rPr>
          <w:spacing w:val="-16"/>
        </w:rPr>
        <w:t> </w:t>
      </w:r>
      <w:r>
        <w:rPr/>
        <w:t>of</w:t>
      </w:r>
      <w:r>
        <w:rPr>
          <w:spacing w:val="-16"/>
        </w:rPr>
        <w:t> </w:t>
      </w:r>
      <w:r>
        <w:rPr/>
        <w:t>the</w:t>
      </w:r>
      <w:r>
        <w:rPr>
          <w:spacing w:val="-16"/>
        </w:rPr>
        <w:t> </w:t>
      </w:r>
      <w:r>
        <w:rPr/>
        <w:t>Intergovernmental Panel on Climate Change [Solomon, S., D. Qin, M. Manning, Z. Chen, M. Marquis, K.B. Averyt, M. Tignor and H.L. Miller (eds.)]. Cambridge University Press, Cambridge, United Kingdom and New York, NY, USA. Disponible en: </w:t>
      </w:r>
      <w:hyperlink r:id="rId231">
        <w:r>
          <w:rPr>
            <w:color w:val="0000FF"/>
            <w:u w:val="single" w:color="0000FF"/>
          </w:rPr>
          <w:t>http://www.ipcc.ch/pdf/assessment-report/ar4/wg1/ar4-</w:t>
        </w:r>
      </w:hyperlink>
      <w:r>
        <w:rPr>
          <w:color w:val="0000FF"/>
          <w:u w:val="single" w:color="0000FF"/>
        </w:rPr>
        <w:t> wg1-chapter1.pdf</w:t>
      </w:r>
      <w:r>
        <w:rPr/>
        <w:t>.</w:t>
      </w:r>
    </w:p>
    <w:p>
      <w:pPr>
        <w:spacing w:line="360" w:lineRule="auto" w:before="2"/>
        <w:ind w:left="1269" w:right="144" w:hanging="993"/>
        <w:jc w:val="both"/>
        <w:rPr>
          <w:sz w:val="24"/>
        </w:rPr>
      </w:pPr>
      <w:r>
        <w:rPr>
          <w:b/>
          <w:sz w:val="24"/>
        </w:rPr>
        <w:t>McCaughey, W. P., Wittenberg, K. and Corrigan, D. 1999. </w:t>
      </w:r>
      <w:r>
        <w:rPr>
          <w:sz w:val="24"/>
        </w:rPr>
        <w:t>Impact of pasture</w:t>
      </w:r>
      <w:r>
        <w:rPr>
          <w:spacing w:val="-44"/>
          <w:sz w:val="24"/>
        </w:rPr>
        <w:t> </w:t>
      </w:r>
      <w:r>
        <w:rPr>
          <w:sz w:val="24"/>
        </w:rPr>
        <w:t>type on</w:t>
      </w:r>
      <w:r>
        <w:rPr>
          <w:spacing w:val="-9"/>
          <w:sz w:val="24"/>
        </w:rPr>
        <w:t> </w:t>
      </w:r>
      <w:r>
        <w:rPr>
          <w:sz w:val="24"/>
        </w:rPr>
        <w:t>methane</w:t>
      </w:r>
      <w:r>
        <w:rPr>
          <w:spacing w:val="-9"/>
          <w:sz w:val="24"/>
        </w:rPr>
        <w:t> </w:t>
      </w:r>
      <w:r>
        <w:rPr>
          <w:sz w:val="24"/>
        </w:rPr>
        <w:t>production</w:t>
      </w:r>
      <w:r>
        <w:rPr>
          <w:spacing w:val="-9"/>
          <w:sz w:val="24"/>
        </w:rPr>
        <w:t> </w:t>
      </w:r>
      <w:r>
        <w:rPr>
          <w:sz w:val="24"/>
        </w:rPr>
        <w:t>by</w:t>
      </w:r>
      <w:r>
        <w:rPr>
          <w:spacing w:val="-9"/>
          <w:sz w:val="24"/>
        </w:rPr>
        <w:t> </w:t>
      </w:r>
      <w:r>
        <w:rPr>
          <w:sz w:val="24"/>
        </w:rPr>
        <w:t>lactating</w:t>
      </w:r>
      <w:r>
        <w:rPr>
          <w:spacing w:val="-9"/>
          <w:sz w:val="24"/>
        </w:rPr>
        <w:t> </w:t>
      </w:r>
      <w:r>
        <w:rPr>
          <w:sz w:val="24"/>
        </w:rPr>
        <w:t>beef</w:t>
      </w:r>
      <w:r>
        <w:rPr>
          <w:spacing w:val="-9"/>
          <w:sz w:val="24"/>
        </w:rPr>
        <w:t> </w:t>
      </w:r>
      <w:r>
        <w:rPr>
          <w:sz w:val="24"/>
        </w:rPr>
        <w:t>cows.</w:t>
      </w:r>
      <w:r>
        <w:rPr>
          <w:spacing w:val="-9"/>
          <w:sz w:val="24"/>
        </w:rPr>
        <w:t> </w:t>
      </w:r>
      <w:r>
        <w:rPr>
          <w:sz w:val="24"/>
        </w:rPr>
        <w:t>Can.</w:t>
      </w:r>
      <w:r>
        <w:rPr>
          <w:spacing w:val="-9"/>
          <w:sz w:val="24"/>
        </w:rPr>
        <w:t> </w:t>
      </w:r>
      <w:r>
        <w:rPr>
          <w:sz w:val="24"/>
        </w:rPr>
        <w:t>J.</w:t>
      </w:r>
      <w:r>
        <w:rPr>
          <w:spacing w:val="-9"/>
          <w:sz w:val="24"/>
        </w:rPr>
        <w:t> </w:t>
      </w:r>
      <w:r>
        <w:rPr>
          <w:sz w:val="24"/>
        </w:rPr>
        <w:t>Anim.</w:t>
      </w:r>
      <w:r>
        <w:rPr>
          <w:spacing w:val="-9"/>
          <w:sz w:val="24"/>
        </w:rPr>
        <w:t> </w:t>
      </w:r>
      <w:r>
        <w:rPr>
          <w:sz w:val="24"/>
        </w:rPr>
        <w:t>Sci.,</w:t>
      </w:r>
      <w:r>
        <w:rPr>
          <w:spacing w:val="-9"/>
          <w:sz w:val="24"/>
        </w:rPr>
        <w:t> </w:t>
      </w:r>
      <w:r>
        <w:rPr>
          <w:sz w:val="24"/>
        </w:rPr>
        <w:t>79:</w:t>
      </w:r>
      <w:r>
        <w:rPr>
          <w:spacing w:val="-9"/>
          <w:sz w:val="24"/>
        </w:rPr>
        <w:t> </w:t>
      </w:r>
      <w:r>
        <w:rPr>
          <w:sz w:val="24"/>
        </w:rPr>
        <w:t>221- 226.</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spacing w:line="360" w:lineRule="auto" w:before="69"/>
        <w:ind w:left="1269" w:right="144" w:hanging="993"/>
        <w:jc w:val="both"/>
        <w:rPr>
          <w:sz w:val="24"/>
        </w:rPr>
      </w:pPr>
      <w:r>
        <w:rPr>
          <w:b/>
          <w:sz w:val="24"/>
        </w:rPr>
        <w:t>McGinn,</w:t>
      </w:r>
      <w:r>
        <w:rPr>
          <w:b/>
          <w:spacing w:val="-11"/>
          <w:sz w:val="24"/>
        </w:rPr>
        <w:t> </w:t>
      </w:r>
      <w:r>
        <w:rPr>
          <w:b/>
          <w:sz w:val="24"/>
        </w:rPr>
        <w:t>S.</w:t>
      </w:r>
      <w:r>
        <w:rPr>
          <w:b/>
          <w:spacing w:val="-11"/>
          <w:sz w:val="24"/>
        </w:rPr>
        <w:t> </w:t>
      </w:r>
      <w:r>
        <w:rPr>
          <w:b/>
          <w:sz w:val="24"/>
        </w:rPr>
        <w:t>M.,</w:t>
      </w:r>
      <w:r>
        <w:rPr>
          <w:b/>
          <w:spacing w:val="-11"/>
          <w:sz w:val="24"/>
        </w:rPr>
        <w:t> </w:t>
      </w:r>
      <w:r>
        <w:rPr>
          <w:b/>
          <w:sz w:val="24"/>
        </w:rPr>
        <w:t>Beauchemin,</w:t>
      </w:r>
      <w:r>
        <w:rPr>
          <w:b/>
          <w:spacing w:val="-11"/>
          <w:sz w:val="24"/>
        </w:rPr>
        <w:t> </w:t>
      </w:r>
      <w:r>
        <w:rPr>
          <w:b/>
          <w:sz w:val="24"/>
        </w:rPr>
        <w:t>K.</w:t>
      </w:r>
      <w:r>
        <w:rPr>
          <w:b/>
          <w:spacing w:val="-11"/>
          <w:sz w:val="24"/>
        </w:rPr>
        <w:t> </w:t>
      </w:r>
      <w:r>
        <w:rPr>
          <w:b/>
          <w:sz w:val="24"/>
        </w:rPr>
        <w:t>A.,</w:t>
      </w:r>
      <w:r>
        <w:rPr>
          <w:b/>
          <w:spacing w:val="-11"/>
          <w:sz w:val="24"/>
        </w:rPr>
        <w:t> </w:t>
      </w:r>
      <w:r>
        <w:rPr>
          <w:b/>
          <w:sz w:val="24"/>
        </w:rPr>
        <w:t>Coates,</w:t>
      </w:r>
      <w:r>
        <w:rPr>
          <w:b/>
          <w:spacing w:val="-11"/>
          <w:sz w:val="24"/>
        </w:rPr>
        <w:t> </w:t>
      </w:r>
      <w:r>
        <w:rPr>
          <w:b/>
          <w:sz w:val="24"/>
        </w:rPr>
        <w:t>T.</w:t>
      </w:r>
      <w:r>
        <w:rPr>
          <w:b/>
          <w:spacing w:val="-11"/>
          <w:sz w:val="24"/>
        </w:rPr>
        <w:t> </w:t>
      </w:r>
      <w:r>
        <w:rPr>
          <w:b/>
          <w:sz w:val="24"/>
        </w:rPr>
        <w:t>and</w:t>
      </w:r>
      <w:r>
        <w:rPr>
          <w:b/>
          <w:spacing w:val="-11"/>
          <w:sz w:val="24"/>
        </w:rPr>
        <w:t> </w:t>
      </w:r>
      <w:r>
        <w:rPr>
          <w:b/>
          <w:sz w:val="24"/>
        </w:rPr>
        <w:t>Colombatto</w:t>
      </w:r>
      <w:r>
        <w:rPr>
          <w:b/>
          <w:spacing w:val="-11"/>
          <w:sz w:val="24"/>
        </w:rPr>
        <w:t> </w:t>
      </w:r>
      <w:r>
        <w:rPr>
          <w:b/>
          <w:sz w:val="24"/>
        </w:rPr>
        <w:t>D.</w:t>
      </w:r>
      <w:r>
        <w:rPr>
          <w:b/>
          <w:spacing w:val="-11"/>
          <w:sz w:val="24"/>
        </w:rPr>
        <w:t> </w:t>
      </w:r>
      <w:r>
        <w:rPr>
          <w:b/>
          <w:sz w:val="24"/>
        </w:rPr>
        <w:t>2004.</w:t>
      </w:r>
      <w:r>
        <w:rPr>
          <w:b/>
          <w:spacing w:val="-11"/>
          <w:sz w:val="24"/>
        </w:rPr>
        <w:t> </w:t>
      </w:r>
      <w:r>
        <w:rPr>
          <w:sz w:val="24"/>
        </w:rPr>
        <w:t>Methane emissions from beef cattle: Effects of monensin, sunflower oil, enzYmes, yeast, and fumaric acid. J. Anim. Sci., 82:</w:t>
      </w:r>
      <w:r>
        <w:rPr>
          <w:spacing w:val="-1"/>
          <w:sz w:val="24"/>
        </w:rPr>
        <w:t> </w:t>
      </w:r>
      <w:r>
        <w:rPr>
          <w:sz w:val="24"/>
        </w:rPr>
        <w:t>3346-3356.</w:t>
      </w:r>
    </w:p>
    <w:p>
      <w:pPr>
        <w:spacing w:line="357" w:lineRule="auto" w:before="2"/>
        <w:ind w:left="1269" w:right="144" w:hanging="993"/>
        <w:jc w:val="both"/>
        <w:rPr>
          <w:sz w:val="24"/>
        </w:rPr>
      </w:pPr>
      <w:r>
        <w:rPr>
          <w:b/>
          <w:sz w:val="24"/>
        </w:rPr>
        <w:t>McGinn, S.M., Beauchemin, K.A., Iwaasa, A.D. y McAllister, T.A. 2006. </w:t>
      </w:r>
      <w:r>
        <w:rPr>
          <w:sz w:val="24"/>
        </w:rPr>
        <w:t>Assessment of the sulphur hexafluoride (SF</w:t>
      </w:r>
      <w:r>
        <w:rPr>
          <w:position w:val="-2"/>
          <w:sz w:val="16"/>
        </w:rPr>
        <w:t>6</w:t>
      </w:r>
      <w:r>
        <w:rPr>
          <w:sz w:val="24"/>
        </w:rPr>
        <w:t>) tracer technique for measuring enteric methane emissions from cattle. J. Environ. Qual. 35: 1686–1691.</w:t>
      </w:r>
    </w:p>
    <w:p>
      <w:pPr>
        <w:tabs>
          <w:tab w:pos="3446" w:val="left" w:leader="none"/>
          <w:tab w:pos="4476" w:val="left" w:leader="none"/>
          <w:tab w:pos="5532" w:val="left" w:leader="none"/>
          <w:tab w:pos="6896" w:val="left" w:leader="none"/>
          <w:tab w:pos="8780" w:val="left" w:leader="none"/>
        </w:tabs>
        <w:spacing w:line="360" w:lineRule="auto" w:before="5"/>
        <w:ind w:left="1269" w:right="144" w:hanging="993"/>
        <w:jc w:val="both"/>
        <w:rPr>
          <w:sz w:val="24"/>
        </w:rPr>
      </w:pPr>
      <w:r>
        <w:rPr>
          <w:b/>
          <w:sz w:val="24"/>
        </w:rPr>
        <w:t>Méndez y Cazarín, M. D., Tzintzun Rascó, R.y Val Arreola, D. 2000. </w:t>
      </w:r>
      <w:r>
        <w:rPr>
          <w:sz w:val="24"/>
        </w:rPr>
        <w:t>Evaluación productiva, de efecto ambiental y de problemas relevantes en explotaciones lecheras de pequeña escala. Livestock Research Development</w:t>
        <w:tab/>
        <w:t>12</w:t>
        <w:tab/>
        <w:t>(1)</w:t>
        <w:tab/>
        <w:t>2000.</w:t>
        <w:tab/>
        <w:t>Disponible</w:t>
        <w:tab/>
        <w:t>en: </w:t>
      </w:r>
      <w:hyperlink r:id="rId232">
        <w:r>
          <w:rPr>
            <w:sz w:val="24"/>
          </w:rPr>
          <w:t>http://www.fao.org/ag/aga/agap/frg/lrrd/lrrd12/1/manu121.htm.</w:t>
        </w:r>
      </w:hyperlink>
    </w:p>
    <w:p>
      <w:pPr>
        <w:pStyle w:val="Heading6"/>
        <w:spacing w:before="2"/>
        <w:jc w:val="left"/>
      </w:pPr>
      <w:r>
        <w:rPr/>
        <w:t>Mills, J. A. N., Dijkstra, J., Bannink, A., Cammell, S. B., Kebreab, E. and France,</w:t>
      </w:r>
    </w:p>
    <w:p>
      <w:pPr>
        <w:pStyle w:val="BodyText"/>
        <w:spacing w:line="360" w:lineRule="auto" w:before="141"/>
        <w:ind w:left="1269" w:right="143"/>
        <w:jc w:val="both"/>
      </w:pPr>
      <w:r>
        <w:rPr>
          <w:b/>
        </w:rPr>
        <w:t>J. 2001. </w:t>
      </w:r>
      <w:r>
        <w:rPr/>
        <w:t>A mechanistic model of whole-tract digestion and methano- genesis in the lactating dairy cow: Model development, evaluation, and application. J. Anim. Sci., 79: 1584-1597.</w:t>
      </w:r>
    </w:p>
    <w:p>
      <w:pPr>
        <w:spacing w:line="362" w:lineRule="auto" w:before="2"/>
        <w:ind w:left="1269" w:right="144" w:hanging="993"/>
        <w:jc w:val="both"/>
        <w:rPr>
          <w:sz w:val="24"/>
        </w:rPr>
      </w:pPr>
      <w:r>
        <w:rPr>
          <w:b/>
          <w:sz w:val="24"/>
        </w:rPr>
        <w:t>Moe,</w:t>
      </w:r>
      <w:r>
        <w:rPr>
          <w:b/>
          <w:spacing w:val="-10"/>
          <w:sz w:val="24"/>
        </w:rPr>
        <w:t> </w:t>
      </w:r>
      <w:r>
        <w:rPr>
          <w:b/>
          <w:sz w:val="24"/>
        </w:rPr>
        <w:t>P.</w:t>
      </w:r>
      <w:r>
        <w:rPr>
          <w:b/>
          <w:spacing w:val="-10"/>
          <w:sz w:val="24"/>
        </w:rPr>
        <w:t> </w:t>
      </w:r>
      <w:r>
        <w:rPr>
          <w:b/>
          <w:sz w:val="24"/>
        </w:rPr>
        <w:t>W.</w:t>
      </w:r>
      <w:r>
        <w:rPr>
          <w:b/>
          <w:spacing w:val="-10"/>
          <w:sz w:val="24"/>
        </w:rPr>
        <w:t> </w:t>
      </w:r>
      <w:r>
        <w:rPr>
          <w:b/>
          <w:sz w:val="24"/>
        </w:rPr>
        <w:t>and</w:t>
      </w:r>
      <w:r>
        <w:rPr>
          <w:b/>
          <w:spacing w:val="-9"/>
          <w:sz w:val="24"/>
        </w:rPr>
        <w:t> </w:t>
      </w:r>
      <w:r>
        <w:rPr>
          <w:b/>
          <w:sz w:val="24"/>
        </w:rPr>
        <w:t>Tyrrell,</w:t>
      </w:r>
      <w:r>
        <w:rPr>
          <w:b/>
          <w:spacing w:val="-9"/>
          <w:sz w:val="24"/>
        </w:rPr>
        <w:t> </w:t>
      </w:r>
      <w:r>
        <w:rPr>
          <w:b/>
          <w:sz w:val="24"/>
        </w:rPr>
        <w:t>H.</w:t>
      </w:r>
      <w:r>
        <w:rPr>
          <w:b/>
          <w:spacing w:val="-10"/>
          <w:sz w:val="24"/>
        </w:rPr>
        <w:t> </w:t>
      </w:r>
      <w:r>
        <w:rPr>
          <w:b/>
          <w:sz w:val="24"/>
        </w:rPr>
        <w:t>F.</w:t>
      </w:r>
      <w:r>
        <w:rPr>
          <w:b/>
          <w:spacing w:val="-10"/>
          <w:sz w:val="24"/>
        </w:rPr>
        <w:t> </w:t>
      </w:r>
      <w:r>
        <w:rPr>
          <w:b/>
          <w:sz w:val="24"/>
        </w:rPr>
        <w:t>1979.</w:t>
      </w:r>
      <w:r>
        <w:rPr>
          <w:b/>
          <w:spacing w:val="-9"/>
          <w:sz w:val="24"/>
        </w:rPr>
        <w:t> </w:t>
      </w:r>
      <w:r>
        <w:rPr>
          <w:sz w:val="24"/>
        </w:rPr>
        <w:t>Methane</w:t>
      </w:r>
      <w:r>
        <w:rPr>
          <w:spacing w:val="-10"/>
          <w:sz w:val="24"/>
        </w:rPr>
        <w:t> </w:t>
      </w:r>
      <w:r>
        <w:rPr>
          <w:sz w:val="24"/>
        </w:rPr>
        <w:t>production</w:t>
      </w:r>
      <w:r>
        <w:rPr>
          <w:spacing w:val="-10"/>
          <w:sz w:val="24"/>
        </w:rPr>
        <w:t> </w:t>
      </w:r>
      <w:r>
        <w:rPr>
          <w:sz w:val="24"/>
        </w:rPr>
        <w:t>in</w:t>
      </w:r>
      <w:r>
        <w:rPr>
          <w:spacing w:val="-10"/>
          <w:sz w:val="24"/>
        </w:rPr>
        <w:t> </w:t>
      </w:r>
      <w:r>
        <w:rPr>
          <w:sz w:val="24"/>
        </w:rPr>
        <w:t>dairy-cows.</w:t>
      </w:r>
      <w:r>
        <w:rPr>
          <w:spacing w:val="-10"/>
          <w:sz w:val="24"/>
        </w:rPr>
        <w:t> </w:t>
      </w:r>
      <w:r>
        <w:rPr>
          <w:sz w:val="24"/>
        </w:rPr>
        <w:t>J.</w:t>
      </w:r>
      <w:r>
        <w:rPr>
          <w:spacing w:val="-10"/>
          <w:sz w:val="24"/>
        </w:rPr>
        <w:t> </w:t>
      </w:r>
      <w:r>
        <w:rPr>
          <w:sz w:val="24"/>
        </w:rPr>
        <w:t>Dairy</w:t>
      </w:r>
      <w:r>
        <w:rPr>
          <w:spacing w:val="-10"/>
          <w:sz w:val="24"/>
        </w:rPr>
        <w:t> </w:t>
      </w:r>
      <w:r>
        <w:rPr>
          <w:sz w:val="24"/>
        </w:rPr>
        <w:t>Sci., 62:</w:t>
      </w:r>
      <w:r>
        <w:rPr>
          <w:spacing w:val="-3"/>
          <w:sz w:val="24"/>
        </w:rPr>
        <w:t> </w:t>
      </w:r>
      <w:r>
        <w:rPr>
          <w:sz w:val="24"/>
        </w:rPr>
        <w:t>1583-1586.</w:t>
      </w:r>
    </w:p>
    <w:p>
      <w:pPr>
        <w:pStyle w:val="BodyText"/>
        <w:spacing w:line="360" w:lineRule="auto"/>
        <w:ind w:left="1269" w:right="143" w:hanging="993"/>
        <w:jc w:val="both"/>
      </w:pPr>
      <w:r>
        <w:rPr>
          <w:b/>
        </w:rPr>
        <w:t>Montenegro J., y Abarca S. 2002. </w:t>
      </w:r>
      <w:r>
        <w:rPr/>
        <w:t>Fijación de Carbono, Emisión de Metano y de Óxido Nitroso en Sistemas de Producción Bovina en Costa Rica. Intensificación de la Ganadería en Centroamérica: Beneficios</w:t>
      </w:r>
      <w:r>
        <w:rPr>
          <w:spacing w:val="-28"/>
        </w:rPr>
        <w:t> </w:t>
      </w:r>
      <w:r>
        <w:rPr/>
        <w:t>económicos y ambientales. FAO, Departamento de Agricultura. Disponible en: </w:t>
      </w:r>
      <w:hyperlink r:id="rId165">
        <w:r>
          <w:rPr>
            <w:color w:val="0000FF"/>
            <w:u w:val="single" w:color="0000FF"/>
          </w:rPr>
          <w:t>http://www.fao.org/WAIRDOCS/LEAD/x6366s/x6366s10.htm#P0_0</w:t>
        </w:r>
        <w:r>
          <w:rPr/>
          <w:t>.</w:t>
        </w:r>
      </w:hyperlink>
    </w:p>
    <w:p>
      <w:pPr>
        <w:pStyle w:val="BodyText"/>
        <w:spacing w:line="360" w:lineRule="auto" w:before="2"/>
        <w:ind w:left="1269" w:right="144" w:hanging="993"/>
        <w:jc w:val="both"/>
      </w:pPr>
      <w:r>
        <w:rPr>
          <w:b/>
        </w:rPr>
        <w:t>Montenegro</w:t>
      </w:r>
      <w:r>
        <w:rPr>
          <w:b/>
          <w:spacing w:val="-11"/>
        </w:rPr>
        <w:t> </w:t>
      </w:r>
      <w:r>
        <w:rPr>
          <w:b/>
        </w:rPr>
        <w:t>J.,</w:t>
      </w:r>
      <w:r>
        <w:rPr>
          <w:b/>
          <w:spacing w:val="-11"/>
        </w:rPr>
        <w:t> </w:t>
      </w:r>
      <w:r>
        <w:rPr>
          <w:b/>
        </w:rPr>
        <w:t>y</w:t>
      </w:r>
      <w:r>
        <w:rPr>
          <w:b/>
          <w:spacing w:val="-11"/>
        </w:rPr>
        <w:t> </w:t>
      </w:r>
      <w:r>
        <w:rPr>
          <w:b/>
        </w:rPr>
        <w:t>Abarca</w:t>
      </w:r>
      <w:r>
        <w:rPr>
          <w:b/>
          <w:spacing w:val="-11"/>
        </w:rPr>
        <w:t> </w:t>
      </w:r>
      <w:r>
        <w:rPr>
          <w:b/>
        </w:rPr>
        <w:t>S.</w:t>
      </w:r>
      <w:r>
        <w:rPr>
          <w:b/>
          <w:spacing w:val="-11"/>
        </w:rPr>
        <w:t> </w:t>
      </w:r>
      <w:r>
        <w:rPr>
          <w:b/>
        </w:rPr>
        <w:t>2002b.</w:t>
      </w:r>
      <w:r>
        <w:rPr>
          <w:b/>
          <w:spacing w:val="-11"/>
        </w:rPr>
        <w:t> </w:t>
      </w:r>
      <w:r>
        <w:rPr/>
        <w:t>Los</w:t>
      </w:r>
      <w:r>
        <w:rPr>
          <w:spacing w:val="-11"/>
        </w:rPr>
        <w:t> </w:t>
      </w:r>
      <w:r>
        <w:rPr/>
        <w:t>sistemas</w:t>
      </w:r>
      <w:r>
        <w:rPr>
          <w:spacing w:val="-11"/>
        </w:rPr>
        <w:t> </w:t>
      </w:r>
      <w:r>
        <w:rPr/>
        <w:t>silvopastoriles</w:t>
      </w:r>
      <w:r>
        <w:rPr>
          <w:spacing w:val="-11"/>
        </w:rPr>
        <w:t> </w:t>
      </w:r>
      <w:r>
        <w:rPr/>
        <w:t>y</w:t>
      </w:r>
      <w:r>
        <w:rPr>
          <w:spacing w:val="-11"/>
        </w:rPr>
        <w:t> </w:t>
      </w:r>
      <w:r>
        <w:rPr/>
        <w:t>el</w:t>
      </w:r>
      <w:r>
        <w:rPr>
          <w:spacing w:val="-11"/>
        </w:rPr>
        <w:t> </w:t>
      </w:r>
      <w:r>
        <w:rPr/>
        <w:t>calentamiento global: un balance de emisiones. Agronomía Costarricense, enero-junio, año/vol</w:t>
      </w:r>
      <w:r>
        <w:rPr>
          <w:spacing w:val="-15"/>
        </w:rPr>
        <w:t> </w:t>
      </w:r>
      <w:r>
        <w:rPr/>
        <w:t>26,</w:t>
      </w:r>
      <w:r>
        <w:rPr>
          <w:spacing w:val="-15"/>
        </w:rPr>
        <w:t> </w:t>
      </w:r>
      <w:r>
        <w:rPr/>
        <w:t>número</w:t>
      </w:r>
      <w:r>
        <w:rPr>
          <w:spacing w:val="-15"/>
        </w:rPr>
        <w:t> </w:t>
      </w:r>
      <w:r>
        <w:rPr/>
        <w:t>001.</w:t>
      </w:r>
      <w:r>
        <w:rPr>
          <w:spacing w:val="-15"/>
        </w:rPr>
        <w:t> </w:t>
      </w:r>
      <w:r>
        <w:rPr/>
        <w:t>Universidad</w:t>
      </w:r>
      <w:r>
        <w:rPr>
          <w:spacing w:val="-15"/>
        </w:rPr>
        <w:t> </w:t>
      </w:r>
      <w:r>
        <w:rPr/>
        <w:t>de</w:t>
      </w:r>
      <w:r>
        <w:rPr>
          <w:spacing w:val="-15"/>
        </w:rPr>
        <w:t> </w:t>
      </w:r>
      <w:r>
        <w:rPr/>
        <w:t>Costa</w:t>
      </w:r>
      <w:r>
        <w:rPr>
          <w:spacing w:val="-15"/>
        </w:rPr>
        <w:t> </w:t>
      </w:r>
      <w:r>
        <w:rPr/>
        <w:t>Rica.</w:t>
      </w:r>
      <w:r>
        <w:rPr>
          <w:spacing w:val="-15"/>
        </w:rPr>
        <w:t> </w:t>
      </w:r>
      <w:r>
        <w:rPr/>
        <w:t>San</w:t>
      </w:r>
      <w:r>
        <w:rPr>
          <w:spacing w:val="-15"/>
        </w:rPr>
        <w:t> </w:t>
      </w:r>
      <w:r>
        <w:rPr/>
        <w:t>José,</w:t>
      </w:r>
      <w:r>
        <w:rPr>
          <w:spacing w:val="-15"/>
        </w:rPr>
        <w:t> </w:t>
      </w:r>
      <w:r>
        <w:rPr/>
        <w:t>Costa</w:t>
      </w:r>
      <w:r>
        <w:rPr>
          <w:spacing w:val="-15"/>
        </w:rPr>
        <w:t> </w:t>
      </w:r>
      <w:r>
        <w:rPr/>
        <w:t>Rica. pp.</w:t>
      </w:r>
      <w:r>
        <w:rPr>
          <w:spacing w:val="-3"/>
        </w:rPr>
        <w:t> </w:t>
      </w:r>
      <w:r>
        <w:rPr/>
        <w:t>17-24.</w:t>
      </w:r>
    </w:p>
    <w:p>
      <w:pPr>
        <w:spacing w:line="360" w:lineRule="auto" w:before="2"/>
        <w:ind w:left="1269" w:right="144" w:hanging="993"/>
        <w:jc w:val="both"/>
        <w:rPr>
          <w:sz w:val="24"/>
        </w:rPr>
      </w:pPr>
      <w:r>
        <w:rPr>
          <w:b/>
          <w:sz w:val="24"/>
        </w:rPr>
        <w:t>Monteny, G. J., Groenestein, C. M. and Hilhorst, M. A. 2001. </w:t>
      </w:r>
      <w:r>
        <w:rPr>
          <w:sz w:val="24"/>
        </w:rPr>
        <w:t>Interactions and coupling between emissions of methane and nitrous oxide from animal husbandry. Nut. Cycl. Agroecosys. 60: 123 – 132.</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spacing w:line="360" w:lineRule="auto" w:before="69"/>
        <w:ind w:left="1269" w:right="143" w:hanging="993"/>
        <w:jc w:val="both"/>
        <w:rPr>
          <w:sz w:val="24"/>
        </w:rPr>
      </w:pPr>
      <w:r>
        <w:rPr>
          <w:b/>
          <w:sz w:val="24"/>
        </w:rPr>
        <w:t>Moss, A. R., Givens, D. I. and Garnsworthy, P. C. 1995. </w:t>
      </w:r>
      <w:r>
        <w:rPr>
          <w:sz w:val="24"/>
        </w:rPr>
        <w:t>The effect of supplementing grass-silage with barley on digestibility, in-sacco degradability,</w:t>
      </w:r>
      <w:r>
        <w:rPr>
          <w:spacing w:val="-8"/>
          <w:sz w:val="24"/>
        </w:rPr>
        <w:t> </w:t>
      </w:r>
      <w:r>
        <w:rPr>
          <w:sz w:val="24"/>
        </w:rPr>
        <w:t>rumen</w:t>
      </w:r>
      <w:r>
        <w:rPr>
          <w:spacing w:val="-8"/>
          <w:sz w:val="24"/>
        </w:rPr>
        <w:t> </w:t>
      </w:r>
      <w:r>
        <w:rPr>
          <w:sz w:val="24"/>
        </w:rPr>
        <w:t>fermentation</w:t>
      </w:r>
      <w:r>
        <w:rPr>
          <w:spacing w:val="-8"/>
          <w:sz w:val="24"/>
        </w:rPr>
        <w:t> </w:t>
      </w:r>
      <w:r>
        <w:rPr>
          <w:sz w:val="24"/>
        </w:rPr>
        <w:t>and</w:t>
      </w:r>
      <w:r>
        <w:rPr>
          <w:spacing w:val="-8"/>
          <w:sz w:val="24"/>
        </w:rPr>
        <w:t> </w:t>
      </w:r>
      <w:r>
        <w:rPr>
          <w:sz w:val="24"/>
        </w:rPr>
        <w:t>methane</w:t>
      </w:r>
      <w:r>
        <w:rPr>
          <w:spacing w:val="-8"/>
          <w:sz w:val="24"/>
        </w:rPr>
        <w:t> </w:t>
      </w:r>
      <w:r>
        <w:rPr>
          <w:sz w:val="24"/>
        </w:rPr>
        <w:t>production</w:t>
      </w:r>
      <w:r>
        <w:rPr>
          <w:spacing w:val="-8"/>
          <w:sz w:val="24"/>
        </w:rPr>
        <w:t> </w:t>
      </w:r>
      <w:r>
        <w:rPr>
          <w:sz w:val="24"/>
        </w:rPr>
        <w:t>in</w:t>
      </w:r>
      <w:r>
        <w:rPr>
          <w:spacing w:val="-8"/>
          <w:sz w:val="24"/>
        </w:rPr>
        <w:t> </w:t>
      </w:r>
      <w:r>
        <w:rPr>
          <w:sz w:val="24"/>
        </w:rPr>
        <w:t>sheep</w:t>
      </w:r>
      <w:r>
        <w:rPr>
          <w:spacing w:val="-8"/>
          <w:sz w:val="24"/>
        </w:rPr>
        <w:t> </w:t>
      </w:r>
      <w:r>
        <w:rPr>
          <w:sz w:val="24"/>
        </w:rPr>
        <w:t>at</w:t>
      </w:r>
      <w:r>
        <w:rPr>
          <w:spacing w:val="-8"/>
          <w:sz w:val="24"/>
        </w:rPr>
        <w:t> </w:t>
      </w:r>
      <w:r>
        <w:rPr>
          <w:sz w:val="24"/>
        </w:rPr>
        <w:t>tow levels intake. Anim. Feed Sci. Tech., 55:</w:t>
      </w:r>
      <w:r>
        <w:rPr>
          <w:spacing w:val="-1"/>
          <w:sz w:val="24"/>
        </w:rPr>
        <w:t> </w:t>
      </w:r>
      <w:r>
        <w:rPr>
          <w:sz w:val="24"/>
        </w:rPr>
        <w:t>9-33.</w:t>
      </w:r>
    </w:p>
    <w:p>
      <w:pPr>
        <w:spacing w:line="362" w:lineRule="auto" w:before="2"/>
        <w:ind w:left="1269" w:right="144" w:hanging="993"/>
        <w:jc w:val="both"/>
        <w:rPr>
          <w:sz w:val="24"/>
        </w:rPr>
      </w:pPr>
      <w:r>
        <w:rPr>
          <w:b/>
          <w:sz w:val="24"/>
        </w:rPr>
        <w:t>Moss, A. R., Jouany, J. P. and Newbold, C. J. 2000. </w:t>
      </w:r>
      <w:r>
        <w:rPr>
          <w:sz w:val="24"/>
        </w:rPr>
        <w:t>Methane production by ruminants: Its contribution to global warming. Ann. Zootech. 43: 231-253.</w:t>
      </w:r>
    </w:p>
    <w:p>
      <w:pPr>
        <w:spacing w:line="360" w:lineRule="auto" w:before="0"/>
        <w:ind w:left="1269" w:right="145" w:hanging="993"/>
        <w:jc w:val="both"/>
        <w:rPr>
          <w:sz w:val="24"/>
        </w:rPr>
      </w:pPr>
      <w:r>
        <w:rPr>
          <w:b/>
          <w:sz w:val="24"/>
        </w:rPr>
        <w:t>Muñoz,</w:t>
      </w:r>
      <w:r>
        <w:rPr>
          <w:b/>
          <w:spacing w:val="-4"/>
          <w:sz w:val="24"/>
        </w:rPr>
        <w:t> </w:t>
      </w:r>
      <w:r>
        <w:rPr>
          <w:b/>
          <w:sz w:val="24"/>
        </w:rPr>
        <w:t>C.,</w:t>
      </w:r>
      <w:r>
        <w:rPr>
          <w:b/>
          <w:spacing w:val="-4"/>
          <w:sz w:val="24"/>
        </w:rPr>
        <w:t> </w:t>
      </w:r>
      <w:r>
        <w:rPr>
          <w:b/>
          <w:sz w:val="24"/>
        </w:rPr>
        <w:t>Yan,</w:t>
      </w:r>
      <w:r>
        <w:rPr>
          <w:b/>
          <w:spacing w:val="-4"/>
          <w:sz w:val="24"/>
        </w:rPr>
        <w:t> </w:t>
      </w:r>
      <w:r>
        <w:rPr>
          <w:b/>
          <w:sz w:val="24"/>
        </w:rPr>
        <w:t>T.,</w:t>
      </w:r>
      <w:r>
        <w:rPr>
          <w:b/>
          <w:spacing w:val="-4"/>
          <w:sz w:val="24"/>
        </w:rPr>
        <w:t> </w:t>
      </w:r>
      <w:r>
        <w:rPr>
          <w:b/>
          <w:sz w:val="24"/>
        </w:rPr>
        <w:t>Wills,</w:t>
      </w:r>
      <w:r>
        <w:rPr>
          <w:b/>
          <w:spacing w:val="-4"/>
          <w:sz w:val="24"/>
        </w:rPr>
        <w:t> </w:t>
      </w:r>
      <w:r>
        <w:rPr>
          <w:b/>
          <w:sz w:val="24"/>
        </w:rPr>
        <w:t>D.</w:t>
      </w:r>
      <w:r>
        <w:rPr>
          <w:b/>
          <w:spacing w:val="-4"/>
          <w:sz w:val="24"/>
        </w:rPr>
        <w:t> </w:t>
      </w:r>
      <w:r>
        <w:rPr>
          <w:b/>
          <w:sz w:val="24"/>
        </w:rPr>
        <w:t>A.,</w:t>
      </w:r>
      <w:r>
        <w:rPr>
          <w:b/>
          <w:spacing w:val="-4"/>
          <w:sz w:val="24"/>
        </w:rPr>
        <w:t> </w:t>
      </w:r>
      <w:r>
        <w:rPr>
          <w:b/>
          <w:sz w:val="24"/>
        </w:rPr>
        <w:t>Murray,</w:t>
      </w:r>
      <w:r>
        <w:rPr>
          <w:b/>
          <w:spacing w:val="-4"/>
          <w:sz w:val="24"/>
        </w:rPr>
        <w:t> </w:t>
      </w:r>
      <w:r>
        <w:rPr>
          <w:b/>
          <w:sz w:val="24"/>
        </w:rPr>
        <w:t>S.</w:t>
      </w:r>
      <w:r>
        <w:rPr>
          <w:b/>
          <w:spacing w:val="-4"/>
          <w:sz w:val="24"/>
        </w:rPr>
        <w:t> </w:t>
      </w:r>
      <w:r>
        <w:rPr>
          <w:b/>
          <w:sz w:val="24"/>
        </w:rPr>
        <w:t>y</w:t>
      </w:r>
      <w:r>
        <w:rPr>
          <w:b/>
          <w:spacing w:val="-4"/>
          <w:sz w:val="24"/>
        </w:rPr>
        <w:t> </w:t>
      </w:r>
      <w:r>
        <w:rPr>
          <w:b/>
          <w:sz w:val="24"/>
        </w:rPr>
        <w:t>Gordon,</w:t>
      </w:r>
      <w:r>
        <w:rPr>
          <w:b/>
          <w:spacing w:val="-4"/>
          <w:sz w:val="24"/>
        </w:rPr>
        <w:t> </w:t>
      </w:r>
      <w:r>
        <w:rPr>
          <w:b/>
          <w:sz w:val="24"/>
        </w:rPr>
        <w:t>A.</w:t>
      </w:r>
      <w:r>
        <w:rPr>
          <w:b/>
          <w:spacing w:val="-4"/>
          <w:sz w:val="24"/>
        </w:rPr>
        <w:t> </w:t>
      </w:r>
      <w:r>
        <w:rPr>
          <w:b/>
          <w:sz w:val="24"/>
        </w:rPr>
        <w:t>W.</w:t>
      </w:r>
      <w:r>
        <w:rPr>
          <w:b/>
          <w:spacing w:val="-4"/>
          <w:sz w:val="24"/>
        </w:rPr>
        <w:t> </w:t>
      </w:r>
      <w:r>
        <w:rPr>
          <w:b/>
          <w:sz w:val="24"/>
        </w:rPr>
        <w:t>2012.</w:t>
      </w:r>
      <w:r>
        <w:rPr>
          <w:b/>
          <w:spacing w:val="-4"/>
          <w:sz w:val="24"/>
        </w:rPr>
        <w:t> </w:t>
      </w:r>
      <w:r>
        <w:rPr>
          <w:sz w:val="24"/>
        </w:rPr>
        <w:t>Comparison</w:t>
      </w:r>
      <w:r>
        <w:rPr>
          <w:spacing w:val="-4"/>
          <w:sz w:val="24"/>
        </w:rPr>
        <w:t> </w:t>
      </w:r>
      <w:r>
        <w:rPr>
          <w:sz w:val="24"/>
        </w:rPr>
        <w:t>of the sulphur hexafluoride tracer and respiration chamber techniques for estimating methane emissions and correction for rectum methane output from dairy cows. J. Dairy Sci. 95:</w:t>
      </w:r>
      <w:r>
        <w:rPr>
          <w:spacing w:val="-1"/>
          <w:sz w:val="24"/>
        </w:rPr>
        <w:t> </w:t>
      </w:r>
      <w:r>
        <w:rPr>
          <w:sz w:val="24"/>
        </w:rPr>
        <w:t>3139–3148.</w:t>
      </w:r>
    </w:p>
    <w:p>
      <w:pPr>
        <w:spacing w:line="360" w:lineRule="auto" w:before="2"/>
        <w:ind w:left="1269" w:right="144" w:hanging="993"/>
        <w:jc w:val="both"/>
        <w:rPr>
          <w:sz w:val="24"/>
        </w:rPr>
      </w:pPr>
      <w:r>
        <w:rPr>
          <w:b/>
          <w:sz w:val="24"/>
        </w:rPr>
        <w:t>Morgavi, D.P., Forano, E., Martin, C. y Newbold, C.J. 2010. </w:t>
      </w:r>
      <w:r>
        <w:rPr>
          <w:sz w:val="24"/>
        </w:rPr>
        <w:t>Microbial ecosystem and methanogenesis in ruminants. Animal 4: 1024–1036.</w:t>
      </w:r>
    </w:p>
    <w:p>
      <w:pPr>
        <w:spacing w:line="362" w:lineRule="auto" w:before="2"/>
        <w:ind w:left="1269" w:right="144" w:hanging="993"/>
        <w:jc w:val="both"/>
        <w:rPr>
          <w:sz w:val="24"/>
        </w:rPr>
      </w:pPr>
      <w:r>
        <w:rPr>
          <w:b/>
          <w:sz w:val="24"/>
        </w:rPr>
        <w:t>Murray, R. M., Bryant, A. M. y Leng, R. A. 1976. </w:t>
      </w:r>
      <w:r>
        <w:rPr>
          <w:sz w:val="24"/>
        </w:rPr>
        <w:t>Rates of production of methane in the rumen and large intestine of sheep. Br. J. Nutr. 36: 1–14.</w:t>
      </w:r>
    </w:p>
    <w:p>
      <w:pPr>
        <w:pStyle w:val="BodyText"/>
        <w:spacing w:line="360" w:lineRule="auto"/>
        <w:ind w:left="1269" w:right="144" w:hanging="993"/>
        <w:jc w:val="both"/>
      </w:pPr>
      <w:r>
        <w:rPr>
          <w:b/>
        </w:rPr>
        <w:t>NASA, 2015. </w:t>
      </w:r>
      <w:r>
        <w:rPr/>
        <w:t>Earth Fact Sheet. Nssdc.gsfc.nasa.gov. Disponible en: </w:t>
      </w:r>
      <w:hyperlink r:id="rId233">
        <w:r>
          <w:rPr/>
          <w:t>http://nssdc.gsfc.nasa.gov/planetary/factsheet/earthfact.html.</w:t>
        </w:r>
      </w:hyperlink>
      <w:r>
        <w:rPr/>
        <w:t> Consultado el 10 de octubre de 2015.</w:t>
      </w:r>
    </w:p>
    <w:p>
      <w:pPr>
        <w:pStyle w:val="BodyText"/>
        <w:spacing w:line="360" w:lineRule="auto" w:before="7"/>
        <w:ind w:left="1269" w:right="144" w:hanging="993"/>
        <w:jc w:val="both"/>
      </w:pPr>
      <w:r>
        <w:rPr>
          <w:b/>
        </w:rPr>
        <w:t>NASA,</w:t>
      </w:r>
      <w:r>
        <w:rPr>
          <w:b/>
          <w:spacing w:val="-7"/>
        </w:rPr>
        <w:t> </w:t>
      </w:r>
      <w:r>
        <w:rPr>
          <w:b/>
        </w:rPr>
        <w:t>2015.</w:t>
      </w:r>
      <w:r>
        <w:rPr>
          <w:b/>
          <w:spacing w:val="-7"/>
        </w:rPr>
        <w:t> </w:t>
      </w:r>
      <w:r>
        <w:rPr/>
        <w:t>Carbon</w:t>
      </w:r>
      <w:r>
        <w:rPr>
          <w:spacing w:val="-7"/>
        </w:rPr>
        <w:t> </w:t>
      </w:r>
      <w:r>
        <w:rPr/>
        <w:t>and</w:t>
      </w:r>
      <w:r>
        <w:rPr>
          <w:spacing w:val="-7"/>
        </w:rPr>
        <w:t> </w:t>
      </w:r>
      <w:r>
        <w:rPr/>
        <w:t>Climate.</w:t>
      </w:r>
      <w:r>
        <w:rPr>
          <w:spacing w:val="-7"/>
        </w:rPr>
        <w:t> </w:t>
      </w:r>
      <w:r>
        <w:rPr/>
        <w:t>Frontiers</w:t>
      </w:r>
      <w:r>
        <w:rPr>
          <w:spacing w:val="-7"/>
        </w:rPr>
        <w:t> </w:t>
      </w:r>
      <w:r>
        <w:rPr/>
        <w:t>of</w:t>
      </w:r>
      <w:r>
        <w:rPr>
          <w:spacing w:val="-7"/>
        </w:rPr>
        <w:t> </w:t>
      </w:r>
      <w:r>
        <w:rPr/>
        <w:t>climate</w:t>
      </w:r>
      <w:r>
        <w:rPr>
          <w:spacing w:val="-7"/>
        </w:rPr>
        <w:t> </w:t>
      </w:r>
      <w:r>
        <w:rPr/>
        <w:t>Science.</w:t>
      </w:r>
      <w:r>
        <w:rPr>
          <w:spacing w:val="-7"/>
        </w:rPr>
        <w:t> </w:t>
      </w:r>
      <w:r>
        <w:rPr/>
        <w:t>A</w:t>
      </w:r>
      <w:r>
        <w:rPr>
          <w:spacing w:val="-7"/>
        </w:rPr>
        <w:t> </w:t>
      </w:r>
      <w:r>
        <w:rPr/>
        <w:t>Breathing</w:t>
      </w:r>
      <w:r>
        <w:rPr>
          <w:spacing w:val="-7"/>
        </w:rPr>
        <w:t> </w:t>
      </w:r>
      <w:r>
        <w:rPr/>
        <w:t>Planet, Off Balance. News, November 12, 2015. Disponible en: </w:t>
      </w:r>
      <w:hyperlink r:id="rId234">
        <w:r>
          <w:rPr>
            <w:color w:val="0000FF"/>
            <w:u w:val="single" w:color="0000FF"/>
          </w:rPr>
          <w:t>http://www.jpl.nasa.gov/news/news.php?feature=4769</w:t>
        </w:r>
        <w:r>
          <w:rPr/>
          <w:t>.</w:t>
        </w:r>
      </w:hyperlink>
    </w:p>
    <w:p>
      <w:pPr>
        <w:pStyle w:val="BodyText"/>
        <w:spacing w:line="362" w:lineRule="auto" w:before="2"/>
        <w:ind w:left="1269" w:right="144" w:hanging="993"/>
        <w:jc w:val="both"/>
      </w:pPr>
      <w:r>
        <w:rPr>
          <w:b/>
        </w:rPr>
        <w:t>NRC, 2001. </w:t>
      </w:r>
      <w:r>
        <w:rPr/>
        <w:t>Nutrient Requirements of Dairy Cattle. 7th Ed., Nat. Acad. Press, Washington, D. C. pp. 381.</w:t>
      </w:r>
    </w:p>
    <w:p>
      <w:pPr>
        <w:spacing w:line="360" w:lineRule="auto" w:before="0"/>
        <w:ind w:left="1269" w:right="144" w:hanging="993"/>
        <w:jc w:val="both"/>
        <w:rPr>
          <w:sz w:val="24"/>
        </w:rPr>
      </w:pPr>
      <w:r>
        <w:rPr>
          <w:b/>
          <w:sz w:val="24"/>
        </w:rPr>
        <w:t>Noziere, P., Glasser, F. and Sauvant, D. 2010. </w:t>
      </w:r>
      <w:r>
        <w:rPr>
          <w:sz w:val="24"/>
        </w:rPr>
        <w:t>In vivo production and molar percentages</w:t>
      </w:r>
      <w:r>
        <w:rPr>
          <w:spacing w:val="-7"/>
          <w:sz w:val="24"/>
        </w:rPr>
        <w:t> </w:t>
      </w:r>
      <w:r>
        <w:rPr>
          <w:sz w:val="24"/>
        </w:rPr>
        <w:t>of</w:t>
      </w:r>
      <w:r>
        <w:rPr>
          <w:spacing w:val="-7"/>
          <w:sz w:val="24"/>
        </w:rPr>
        <w:t> </w:t>
      </w:r>
      <w:r>
        <w:rPr>
          <w:sz w:val="24"/>
        </w:rPr>
        <w:t>volatile</w:t>
      </w:r>
      <w:r>
        <w:rPr>
          <w:spacing w:val="-7"/>
          <w:sz w:val="24"/>
        </w:rPr>
        <w:t> </w:t>
      </w:r>
      <w:r>
        <w:rPr>
          <w:sz w:val="24"/>
        </w:rPr>
        <w:t>fatty</w:t>
      </w:r>
      <w:r>
        <w:rPr>
          <w:spacing w:val="-7"/>
          <w:sz w:val="24"/>
        </w:rPr>
        <w:t> </w:t>
      </w:r>
      <w:r>
        <w:rPr>
          <w:sz w:val="24"/>
        </w:rPr>
        <w:t>acids</w:t>
      </w:r>
      <w:r>
        <w:rPr>
          <w:spacing w:val="-7"/>
          <w:sz w:val="24"/>
        </w:rPr>
        <w:t> </w:t>
      </w:r>
      <w:r>
        <w:rPr>
          <w:sz w:val="24"/>
        </w:rPr>
        <w:t>in</w:t>
      </w:r>
      <w:r>
        <w:rPr>
          <w:spacing w:val="-7"/>
          <w:sz w:val="24"/>
        </w:rPr>
        <w:t> </w:t>
      </w:r>
      <w:r>
        <w:rPr>
          <w:sz w:val="24"/>
        </w:rPr>
        <w:t>the</w:t>
      </w:r>
      <w:r>
        <w:rPr>
          <w:spacing w:val="-7"/>
          <w:sz w:val="24"/>
        </w:rPr>
        <w:t> </w:t>
      </w:r>
      <w:r>
        <w:rPr>
          <w:sz w:val="24"/>
        </w:rPr>
        <w:t>rumen:</w:t>
      </w:r>
      <w:r>
        <w:rPr>
          <w:spacing w:val="-7"/>
          <w:sz w:val="24"/>
        </w:rPr>
        <w:t> </w:t>
      </w:r>
      <w:r>
        <w:rPr>
          <w:sz w:val="24"/>
        </w:rPr>
        <w:t>a</w:t>
      </w:r>
      <w:r>
        <w:rPr>
          <w:spacing w:val="-7"/>
          <w:sz w:val="24"/>
        </w:rPr>
        <w:t> </w:t>
      </w:r>
      <w:r>
        <w:rPr>
          <w:sz w:val="24"/>
        </w:rPr>
        <w:t>quantitative</w:t>
      </w:r>
      <w:r>
        <w:rPr>
          <w:spacing w:val="-7"/>
          <w:sz w:val="24"/>
        </w:rPr>
        <w:t> </w:t>
      </w:r>
      <w:r>
        <w:rPr>
          <w:sz w:val="24"/>
        </w:rPr>
        <w:t>review</w:t>
      </w:r>
      <w:r>
        <w:rPr>
          <w:spacing w:val="-7"/>
          <w:sz w:val="24"/>
        </w:rPr>
        <w:t> </w:t>
      </w:r>
      <w:r>
        <w:rPr>
          <w:sz w:val="24"/>
        </w:rPr>
        <w:t>by</w:t>
      </w:r>
      <w:r>
        <w:rPr>
          <w:spacing w:val="-7"/>
          <w:sz w:val="24"/>
        </w:rPr>
        <w:t> </w:t>
      </w:r>
      <w:r>
        <w:rPr>
          <w:sz w:val="24"/>
        </w:rPr>
        <w:t>an empirical approach. Animal</w:t>
      </w:r>
      <w:r>
        <w:rPr>
          <w:spacing w:val="-1"/>
          <w:sz w:val="24"/>
        </w:rPr>
        <w:t> </w:t>
      </w:r>
      <w:r>
        <w:rPr>
          <w:sz w:val="24"/>
        </w:rPr>
        <w:t>5:403–414.</w:t>
      </w:r>
    </w:p>
    <w:p>
      <w:pPr>
        <w:pStyle w:val="Heading6"/>
        <w:spacing w:before="2"/>
        <w:jc w:val="left"/>
      </w:pPr>
      <w:r>
        <w:rPr/>
        <w:t>Ominski, K. H., Boadi, D. A., Wittemberg, K. M., Fulawka, D. L. and Basarab, J.</w:t>
      </w:r>
    </w:p>
    <w:p>
      <w:pPr>
        <w:pStyle w:val="BodyText"/>
        <w:spacing w:line="360" w:lineRule="auto" w:before="141"/>
        <w:ind w:left="1269" w:right="144"/>
        <w:jc w:val="both"/>
      </w:pPr>
      <w:r>
        <w:rPr>
          <w:b/>
        </w:rPr>
        <w:t>A. 2007. </w:t>
      </w:r>
      <w:r>
        <w:rPr/>
        <w:t>Estimates of enteric methane emissions from cattle in Canada using the IPCC Tier-2 methodology. Canadian Journal of Animal Science, 2007, 87(3): 459-467, 10.4141/CJAS06034.</w:t>
      </w:r>
    </w:p>
    <w:p>
      <w:pPr>
        <w:spacing w:line="362" w:lineRule="auto" w:before="2"/>
        <w:ind w:left="1269" w:right="145" w:hanging="993"/>
        <w:jc w:val="both"/>
        <w:rPr>
          <w:sz w:val="24"/>
        </w:rPr>
      </w:pPr>
      <w:r>
        <w:rPr>
          <w:b/>
          <w:sz w:val="24"/>
        </w:rPr>
        <w:t>Ordoñez-Díaz,</w:t>
      </w:r>
      <w:r>
        <w:rPr>
          <w:b/>
          <w:spacing w:val="-11"/>
          <w:sz w:val="24"/>
        </w:rPr>
        <w:t> </w:t>
      </w:r>
      <w:r>
        <w:rPr>
          <w:b/>
          <w:sz w:val="24"/>
        </w:rPr>
        <w:t>J.</w:t>
      </w:r>
      <w:r>
        <w:rPr>
          <w:b/>
          <w:spacing w:val="-11"/>
          <w:sz w:val="24"/>
        </w:rPr>
        <w:t> </w:t>
      </w:r>
      <w:r>
        <w:rPr>
          <w:b/>
          <w:sz w:val="24"/>
        </w:rPr>
        <w:t>A.,</w:t>
      </w:r>
      <w:r>
        <w:rPr>
          <w:b/>
          <w:spacing w:val="-11"/>
          <w:sz w:val="24"/>
        </w:rPr>
        <w:t> </w:t>
      </w:r>
      <w:r>
        <w:rPr>
          <w:b/>
          <w:sz w:val="24"/>
        </w:rPr>
        <w:t>y</w:t>
      </w:r>
      <w:r>
        <w:rPr>
          <w:b/>
          <w:spacing w:val="-11"/>
          <w:sz w:val="24"/>
        </w:rPr>
        <w:t> </w:t>
      </w:r>
      <w:r>
        <w:rPr>
          <w:b/>
          <w:sz w:val="24"/>
        </w:rPr>
        <w:t>Hernández</w:t>
      </w:r>
      <w:r>
        <w:rPr>
          <w:b/>
          <w:spacing w:val="-11"/>
          <w:sz w:val="24"/>
        </w:rPr>
        <w:t> </w:t>
      </w:r>
      <w:r>
        <w:rPr>
          <w:b/>
          <w:sz w:val="24"/>
        </w:rPr>
        <w:t>–Tejeda,</w:t>
      </w:r>
      <w:r>
        <w:rPr>
          <w:b/>
          <w:spacing w:val="-11"/>
          <w:sz w:val="24"/>
        </w:rPr>
        <w:t> </w:t>
      </w:r>
      <w:r>
        <w:rPr>
          <w:b/>
          <w:sz w:val="24"/>
        </w:rPr>
        <w:t>T.</w:t>
      </w:r>
      <w:r>
        <w:rPr>
          <w:b/>
          <w:spacing w:val="-11"/>
          <w:sz w:val="24"/>
        </w:rPr>
        <w:t> </w:t>
      </w:r>
      <w:r>
        <w:rPr>
          <w:b/>
          <w:sz w:val="24"/>
        </w:rPr>
        <w:t>2005.</w:t>
      </w:r>
      <w:r>
        <w:rPr>
          <w:b/>
          <w:spacing w:val="-10"/>
          <w:sz w:val="24"/>
        </w:rPr>
        <w:t> </w:t>
      </w:r>
      <w:r>
        <w:rPr>
          <w:sz w:val="24"/>
        </w:rPr>
        <w:t>Inventario</w:t>
      </w:r>
      <w:r>
        <w:rPr>
          <w:spacing w:val="-11"/>
          <w:sz w:val="24"/>
        </w:rPr>
        <w:t> </w:t>
      </w:r>
      <w:r>
        <w:rPr>
          <w:sz w:val="24"/>
        </w:rPr>
        <w:t>Nacional</w:t>
      </w:r>
      <w:r>
        <w:rPr>
          <w:spacing w:val="-11"/>
          <w:sz w:val="24"/>
        </w:rPr>
        <w:t> </w:t>
      </w:r>
      <w:r>
        <w:rPr>
          <w:sz w:val="24"/>
        </w:rPr>
        <w:t>de</w:t>
      </w:r>
      <w:r>
        <w:rPr>
          <w:spacing w:val="-11"/>
          <w:sz w:val="24"/>
        </w:rPr>
        <w:t> </w:t>
      </w:r>
      <w:r>
        <w:rPr>
          <w:sz w:val="24"/>
        </w:rPr>
        <w:t>Gases de Efecto Invernadero 2005. Parte 4. Sector Agricultura. Preparado </w:t>
      </w:r>
      <w:r>
        <w:rPr>
          <w:spacing w:val="59"/>
          <w:sz w:val="24"/>
        </w:rPr>
        <w:t> </w:t>
      </w:r>
      <w:r>
        <w:rPr>
          <w:sz w:val="24"/>
        </w:rPr>
        <w:t>para</w:t>
      </w:r>
    </w:p>
    <w:p>
      <w:pPr>
        <w:spacing w:after="0" w:line="362" w:lineRule="auto"/>
        <w:jc w:val="both"/>
        <w:rPr>
          <w:sz w:val="24"/>
        </w:rPr>
        <w:sectPr>
          <w:pgSz w:w="12240" w:h="15840"/>
          <w:pgMar w:header="741" w:footer="739" w:top="1220" w:bottom="920" w:left="1720" w:right="1260"/>
        </w:sectPr>
      </w:pPr>
    </w:p>
    <w:p>
      <w:pPr>
        <w:pStyle w:val="BodyText"/>
        <w:spacing w:before="4"/>
        <w:rPr>
          <w:sz w:val="11"/>
        </w:rPr>
      </w:pPr>
    </w:p>
    <w:p>
      <w:pPr>
        <w:pStyle w:val="BodyText"/>
        <w:spacing w:line="360" w:lineRule="auto" w:before="69"/>
        <w:ind w:left="1269" w:right="144"/>
        <w:jc w:val="both"/>
      </w:pPr>
      <w:r>
        <w:rPr/>
        <w:t>el Instituto Nacional de Ecología. México: disponible en: </w:t>
      </w:r>
      <w:hyperlink r:id="rId235">
        <w:r>
          <w:rPr/>
          <w:t>[http://www.inecc.gob.mx/descargas/cclimatico/inf_inegei_agricultura_200</w:t>
        </w:r>
      </w:hyperlink>
      <w:r>
        <w:rPr/>
        <w:t> 6.pdf [07/12/2015].</w:t>
      </w:r>
    </w:p>
    <w:p>
      <w:pPr>
        <w:pStyle w:val="BodyText"/>
        <w:tabs>
          <w:tab w:pos="5277" w:val="left" w:leader="none"/>
          <w:tab w:pos="8780" w:val="left" w:leader="none"/>
        </w:tabs>
        <w:spacing w:line="360" w:lineRule="auto" w:before="2"/>
        <w:ind w:left="1269" w:right="143" w:hanging="993"/>
        <w:jc w:val="both"/>
      </w:pPr>
      <w:r>
        <w:rPr>
          <w:b/>
        </w:rPr>
        <w:t>Ordoñez Díaz, J. A. B. y Hernández-Tejeda, T. 2006. </w:t>
      </w:r>
      <w:r>
        <w:rPr/>
        <w:t>Obtención de Factores de Emisión nacionales en el Sector Agrícola para disminuir incertidumbre en el</w:t>
      </w:r>
      <w:r>
        <w:rPr>
          <w:spacing w:val="-12"/>
        </w:rPr>
        <w:t> </w:t>
      </w:r>
      <w:r>
        <w:rPr/>
        <w:t>Inventario</w:t>
      </w:r>
      <w:r>
        <w:rPr>
          <w:spacing w:val="-12"/>
        </w:rPr>
        <w:t> </w:t>
      </w:r>
      <w:r>
        <w:rPr/>
        <w:t>Nacional</w:t>
      </w:r>
      <w:r>
        <w:rPr>
          <w:spacing w:val="-12"/>
        </w:rPr>
        <w:t> </w:t>
      </w:r>
      <w:r>
        <w:rPr/>
        <w:t>de</w:t>
      </w:r>
      <w:r>
        <w:rPr>
          <w:spacing w:val="-12"/>
        </w:rPr>
        <w:t> </w:t>
      </w:r>
      <w:r>
        <w:rPr/>
        <w:t>Emisiones</w:t>
      </w:r>
      <w:r>
        <w:rPr>
          <w:spacing w:val="-12"/>
        </w:rPr>
        <w:t> </w:t>
      </w:r>
      <w:r>
        <w:rPr/>
        <w:t>de</w:t>
      </w:r>
      <w:r>
        <w:rPr>
          <w:spacing w:val="-12"/>
        </w:rPr>
        <w:t> </w:t>
      </w:r>
      <w:r>
        <w:rPr/>
        <w:t>Gases</w:t>
      </w:r>
      <w:r>
        <w:rPr>
          <w:spacing w:val="-12"/>
        </w:rPr>
        <w:t> </w:t>
      </w:r>
      <w:r>
        <w:rPr/>
        <w:t>de</w:t>
      </w:r>
      <w:r>
        <w:rPr>
          <w:spacing w:val="-12"/>
        </w:rPr>
        <w:t> </w:t>
      </w:r>
      <w:r>
        <w:rPr/>
        <w:t>Efecto</w:t>
      </w:r>
      <w:r>
        <w:rPr>
          <w:spacing w:val="-12"/>
        </w:rPr>
        <w:t> </w:t>
      </w:r>
      <w:r>
        <w:rPr/>
        <w:t>Invernadero.</w:t>
      </w:r>
      <w:r>
        <w:rPr>
          <w:spacing w:val="-12"/>
        </w:rPr>
        <w:t> </w:t>
      </w:r>
      <w:r>
        <w:rPr/>
        <w:t>INE- UNAM-INIFAP.</w:t>
        <w:tab/>
        <w:t>Disponible</w:t>
        <w:tab/>
        <w:t>en: </w:t>
      </w:r>
      <w:hyperlink r:id="rId236">
        <w:r>
          <w:rPr>
            <w:color w:val="0000FF"/>
            <w:u w:val="single" w:color="0000FF"/>
          </w:rPr>
          <w:t>http://www.ine.gob.mx/descargas/cclimatico/e2006m.pdf</w:t>
        </w:r>
        <w:r>
          <w:rPr/>
          <w:t>.</w:t>
        </w:r>
      </w:hyperlink>
    </w:p>
    <w:p>
      <w:pPr>
        <w:pStyle w:val="BodyText"/>
        <w:spacing w:line="360" w:lineRule="auto" w:before="2"/>
        <w:ind w:left="1269" w:right="144" w:hanging="993"/>
        <w:jc w:val="both"/>
      </w:pPr>
      <w:r>
        <w:rPr>
          <w:b/>
        </w:rPr>
        <w:t>Peralta,</w:t>
      </w:r>
      <w:r>
        <w:rPr>
          <w:b/>
          <w:spacing w:val="-18"/>
        </w:rPr>
        <w:t> </w:t>
      </w:r>
      <w:r>
        <w:rPr>
          <w:b/>
        </w:rPr>
        <w:t>O.</w:t>
      </w:r>
      <w:r>
        <w:rPr>
          <w:b/>
          <w:spacing w:val="-18"/>
        </w:rPr>
        <w:t> </w:t>
      </w:r>
      <w:r>
        <w:rPr>
          <w:b/>
        </w:rPr>
        <w:t>2008.</w:t>
      </w:r>
      <w:r>
        <w:rPr>
          <w:b/>
          <w:spacing w:val="-18"/>
        </w:rPr>
        <w:t> </w:t>
      </w:r>
      <w:r>
        <w:rPr/>
        <w:t>Cambio</w:t>
      </w:r>
      <w:r>
        <w:rPr>
          <w:spacing w:val="-18"/>
        </w:rPr>
        <w:t> </w:t>
      </w:r>
      <w:r>
        <w:rPr/>
        <w:t>Climático</w:t>
      </w:r>
      <w:r>
        <w:rPr>
          <w:spacing w:val="-18"/>
        </w:rPr>
        <w:t> </w:t>
      </w:r>
      <w:r>
        <w:rPr/>
        <w:t>y</w:t>
      </w:r>
      <w:r>
        <w:rPr>
          <w:spacing w:val="-18"/>
        </w:rPr>
        <w:t> </w:t>
      </w:r>
      <w:r>
        <w:rPr/>
        <w:t>Seguridad</w:t>
      </w:r>
      <w:r>
        <w:rPr>
          <w:spacing w:val="-18"/>
        </w:rPr>
        <w:t> </w:t>
      </w:r>
      <w:r>
        <w:rPr/>
        <w:t>Nacional.</w:t>
      </w:r>
      <w:r>
        <w:rPr>
          <w:spacing w:val="-18"/>
        </w:rPr>
        <w:t> </w:t>
      </w:r>
      <w:r>
        <w:rPr/>
        <w:t>Centro</w:t>
      </w:r>
      <w:r>
        <w:rPr>
          <w:spacing w:val="-18"/>
        </w:rPr>
        <w:t> </w:t>
      </w:r>
      <w:r>
        <w:rPr/>
        <w:t>Mario</w:t>
      </w:r>
      <w:r>
        <w:rPr>
          <w:spacing w:val="-18"/>
        </w:rPr>
        <w:t> </w:t>
      </w:r>
      <w:r>
        <w:rPr/>
        <w:t>Molina</w:t>
      </w:r>
      <w:r>
        <w:rPr>
          <w:spacing w:val="-18"/>
        </w:rPr>
        <w:t> </w:t>
      </w:r>
      <w:r>
        <w:rPr/>
        <w:t>Para Estudios Estratégicos Sobre Energía y Medio Ambiente. Ediciones Fabricio Brodziak. México, D. F. pp. 12. Disponible en: </w:t>
      </w:r>
      <w:hyperlink r:id="rId237">
        <w:r>
          <w:rPr>
            <w:color w:val="0000FF"/>
            <w:u w:val="single" w:color="0000FF"/>
          </w:rPr>
          <w:t>http://www.cambioclimaticoyseguridadnacional.org/documentos/Cambio</w:t>
        </w:r>
      </w:hyperlink>
    </w:p>
    <w:p>
      <w:pPr>
        <w:pStyle w:val="BodyText"/>
        <w:spacing w:before="2"/>
        <w:ind w:left="1269"/>
        <w:jc w:val="both"/>
      </w:pPr>
      <w:r>
        <w:rPr>
          <w:color w:val="0000FF"/>
          <w:u w:val="single" w:color="0000FF"/>
        </w:rPr>
        <w:t>%20Climatico%20final.pdf</w:t>
      </w:r>
    </w:p>
    <w:p>
      <w:pPr>
        <w:spacing w:line="360" w:lineRule="auto" w:before="141"/>
        <w:ind w:left="1269" w:right="144" w:hanging="993"/>
        <w:jc w:val="both"/>
        <w:rPr>
          <w:sz w:val="24"/>
        </w:rPr>
      </w:pPr>
      <w:r>
        <w:rPr>
          <w:b/>
          <w:sz w:val="24"/>
        </w:rPr>
        <w:t>Pinares-Patino, C. S., Baumont, R. and Martin, C. 2003. </w:t>
      </w:r>
      <w:r>
        <w:rPr>
          <w:sz w:val="24"/>
        </w:rPr>
        <w:t>Methane emissions by Charolais</w:t>
      </w:r>
      <w:r>
        <w:rPr>
          <w:spacing w:val="-7"/>
          <w:sz w:val="24"/>
        </w:rPr>
        <w:t> </w:t>
      </w:r>
      <w:r>
        <w:rPr>
          <w:sz w:val="24"/>
        </w:rPr>
        <w:t>cows</w:t>
      </w:r>
      <w:r>
        <w:rPr>
          <w:spacing w:val="-7"/>
          <w:sz w:val="24"/>
        </w:rPr>
        <w:t> </w:t>
      </w:r>
      <w:r>
        <w:rPr>
          <w:sz w:val="24"/>
        </w:rPr>
        <w:t>grazing</w:t>
      </w:r>
      <w:r>
        <w:rPr>
          <w:spacing w:val="-7"/>
          <w:sz w:val="24"/>
        </w:rPr>
        <w:t> </w:t>
      </w:r>
      <w:r>
        <w:rPr>
          <w:sz w:val="24"/>
        </w:rPr>
        <w:t>a</w:t>
      </w:r>
      <w:r>
        <w:rPr>
          <w:spacing w:val="-7"/>
          <w:sz w:val="24"/>
        </w:rPr>
        <w:t> </w:t>
      </w:r>
      <w:r>
        <w:rPr>
          <w:sz w:val="24"/>
        </w:rPr>
        <w:t>monospecific</w:t>
      </w:r>
      <w:r>
        <w:rPr>
          <w:spacing w:val="-7"/>
          <w:sz w:val="24"/>
        </w:rPr>
        <w:t> </w:t>
      </w:r>
      <w:r>
        <w:rPr>
          <w:sz w:val="24"/>
        </w:rPr>
        <w:t>pasture</w:t>
      </w:r>
      <w:r>
        <w:rPr>
          <w:spacing w:val="-7"/>
          <w:sz w:val="24"/>
        </w:rPr>
        <w:t> </w:t>
      </w:r>
      <w:r>
        <w:rPr>
          <w:sz w:val="24"/>
        </w:rPr>
        <w:t>of</w:t>
      </w:r>
      <w:r>
        <w:rPr>
          <w:spacing w:val="-7"/>
          <w:sz w:val="24"/>
        </w:rPr>
        <w:t> </w:t>
      </w:r>
      <w:r>
        <w:rPr>
          <w:sz w:val="24"/>
        </w:rPr>
        <w:t>timothy</w:t>
      </w:r>
      <w:r>
        <w:rPr>
          <w:spacing w:val="-7"/>
          <w:sz w:val="24"/>
        </w:rPr>
        <w:t> </w:t>
      </w:r>
      <w:r>
        <w:rPr>
          <w:sz w:val="24"/>
        </w:rPr>
        <w:t>at</w:t>
      </w:r>
      <w:r>
        <w:rPr>
          <w:spacing w:val="-7"/>
          <w:sz w:val="24"/>
        </w:rPr>
        <w:t> </w:t>
      </w:r>
      <w:r>
        <w:rPr>
          <w:sz w:val="24"/>
        </w:rPr>
        <w:t>four</w:t>
      </w:r>
      <w:r>
        <w:rPr>
          <w:spacing w:val="-7"/>
          <w:sz w:val="24"/>
        </w:rPr>
        <w:t> </w:t>
      </w:r>
      <w:r>
        <w:rPr>
          <w:sz w:val="24"/>
        </w:rPr>
        <w:t>stages</w:t>
      </w:r>
      <w:r>
        <w:rPr>
          <w:spacing w:val="-7"/>
          <w:sz w:val="24"/>
        </w:rPr>
        <w:t> </w:t>
      </w:r>
      <w:r>
        <w:rPr>
          <w:sz w:val="24"/>
        </w:rPr>
        <w:t>of maturity. Can. J. Anim. Sci., 83: 769-777.</w:t>
      </w:r>
    </w:p>
    <w:p>
      <w:pPr>
        <w:spacing w:line="360" w:lineRule="auto" w:before="2"/>
        <w:ind w:left="1269" w:right="144" w:hanging="993"/>
        <w:jc w:val="both"/>
        <w:rPr>
          <w:sz w:val="24"/>
        </w:rPr>
      </w:pPr>
      <w:r>
        <w:rPr>
          <w:b/>
          <w:sz w:val="24"/>
        </w:rPr>
        <w:t>Popova, M., Martin, C., Eugène, M., Mialon, M. M., Doreau, M. y Morgavi, D. P. 2011. </w:t>
      </w:r>
      <w:r>
        <w:rPr>
          <w:sz w:val="24"/>
        </w:rPr>
        <w:t>Effect of fibre- and starch-rich finishing diets on methanogenic Archaea</w:t>
      </w:r>
      <w:r>
        <w:rPr>
          <w:spacing w:val="-9"/>
          <w:sz w:val="24"/>
        </w:rPr>
        <w:t> </w:t>
      </w:r>
      <w:r>
        <w:rPr>
          <w:sz w:val="24"/>
        </w:rPr>
        <w:t>diversity</w:t>
      </w:r>
      <w:r>
        <w:rPr>
          <w:spacing w:val="-9"/>
          <w:sz w:val="24"/>
        </w:rPr>
        <w:t> </w:t>
      </w:r>
      <w:r>
        <w:rPr>
          <w:sz w:val="24"/>
        </w:rPr>
        <w:t>and</w:t>
      </w:r>
      <w:r>
        <w:rPr>
          <w:spacing w:val="-9"/>
          <w:sz w:val="24"/>
        </w:rPr>
        <w:t> </w:t>
      </w:r>
      <w:r>
        <w:rPr>
          <w:sz w:val="24"/>
        </w:rPr>
        <w:t>activity</w:t>
      </w:r>
      <w:r>
        <w:rPr>
          <w:spacing w:val="-9"/>
          <w:sz w:val="24"/>
        </w:rPr>
        <w:t> </w:t>
      </w:r>
      <w:r>
        <w:rPr>
          <w:sz w:val="24"/>
        </w:rPr>
        <w:t>in</w:t>
      </w:r>
      <w:r>
        <w:rPr>
          <w:spacing w:val="-9"/>
          <w:sz w:val="24"/>
        </w:rPr>
        <w:t> </w:t>
      </w:r>
      <w:r>
        <w:rPr>
          <w:sz w:val="24"/>
        </w:rPr>
        <w:t>the</w:t>
      </w:r>
      <w:r>
        <w:rPr>
          <w:spacing w:val="-9"/>
          <w:sz w:val="24"/>
        </w:rPr>
        <w:t> </w:t>
      </w:r>
      <w:r>
        <w:rPr>
          <w:sz w:val="24"/>
        </w:rPr>
        <w:t>rumen</w:t>
      </w:r>
      <w:r>
        <w:rPr>
          <w:spacing w:val="-9"/>
          <w:sz w:val="24"/>
        </w:rPr>
        <w:t> </w:t>
      </w:r>
      <w:r>
        <w:rPr>
          <w:sz w:val="24"/>
        </w:rPr>
        <w:t>of</w:t>
      </w:r>
      <w:r>
        <w:rPr>
          <w:spacing w:val="-9"/>
          <w:sz w:val="24"/>
        </w:rPr>
        <w:t> </w:t>
      </w:r>
      <w:r>
        <w:rPr>
          <w:sz w:val="24"/>
        </w:rPr>
        <w:t>feedlot</w:t>
      </w:r>
      <w:r>
        <w:rPr>
          <w:spacing w:val="-9"/>
          <w:sz w:val="24"/>
        </w:rPr>
        <w:t> </w:t>
      </w:r>
      <w:r>
        <w:rPr>
          <w:sz w:val="24"/>
        </w:rPr>
        <w:t>bulls.</w:t>
      </w:r>
      <w:r>
        <w:rPr>
          <w:spacing w:val="-9"/>
          <w:sz w:val="24"/>
        </w:rPr>
        <w:t> </w:t>
      </w:r>
      <w:r>
        <w:rPr>
          <w:sz w:val="24"/>
        </w:rPr>
        <w:t>Anim.</w:t>
      </w:r>
      <w:r>
        <w:rPr>
          <w:spacing w:val="-9"/>
          <w:sz w:val="24"/>
        </w:rPr>
        <w:t> </w:t>
      </w:r>
      <w:r>
        <w:rPr>
          <w:sz w:val="24"/>
        </w:rPr>
        <w:t>Feed</w:t>
      </w:r>
      <w:r>
        <w:rPr>
          <w:spacing w:val="-9"/>
          <w:sz w:val="24"/>
        </w:rPr>
        <w:t> </w:t>
      </w:r>
      <w:r>
        <w:rPr>
          <w:sz w:val="24"/>
        </w:rPr>
        <w:t>Sci. Technol. 166:</w:t>
      </w:r>
      <w:r>
        <w:rPr>
          <w:spacing w:val="-1"/>
          <w:sz w:val="24"/>
        </w:rPr>
        <w:t> </w:t>
      </w:r>
      <w:r>
        <w:rPr>
          <w:sz w:val="24"/>
        </w:rPr>
        <w:t>113–121.</w:t>
      </w:r>
    </w:p>
    <w:p>
      <w:pPr>
        <w:pStyle w:val="BodyText"/>
        <w:spacing w:line="360" w:lineRule="auto" w:before="2"/>
        <w:ind w:left="1269" w:right="144" w:hanging="993"/>
        <w:jc w:val="both"/>
      </w:pPr>
      <w:r>
        <w:rPr>
          <w:b/>
        </w:rPr>
        <w:t>Pordomingo, A. J. 2002. </w:t>
      </w:r>
      <w:r>
        <w:rPr/>
        <w:t>Efectos Ambientales de la Intensificación Ganadera. Revista IDIA XXI, Año II, No. (2):208-211. Disponible en: </w:t>
      </w:r>
      <w:hyperlink r:id="rId173">
        <w:r>
          <w:rPr>
            <w:color w:val="0000FF"/>
            <w:u w:val="single" w:color="0000FF"/>
          </w:rPr>
          <w:t>http://www.inta.gov.ar/ediciones/idia/carne/IDIA_2.pdf</w:t>
        </w:r>
        <w:r>
          <w:rPr/>
          <w:t>.</w:t>
        </w:r>
      </w:hyperlink>
    </w:p>
    <w:p>
      <w:pPr>
        <w:pStyle w:val="BodyText"/>
        <w:spacing w:line="360" w:lineRule="auto" w:before="2"/>
        <w:ind w:left="1269" w:right="144" w:hanging="993"/>
        <w:jc w:val="both"/>
      </w:pPr>
      <w:r>
        <w:rPr>
          <w:b/>
        </w:rPr>
        <w:t>Preston, T. R. and Leng, R. A. 1987</w:t>
      </w:r>
      <w:r>
        <w:rPr/>
        <w:t>. Matching ruminant production systems with available resources in the tropics and sub-tropics. Technical Centre for Agricultural and Rural Cooperation, ACP-EEC. Wageningen, Holanda.</w:t>
      </w:r>
      <w:r>
        <w:rPr>
          <w:spacing w:val="-16"/>
        </w:rPr>
        <w:t> </w:t>
      </w:r>
      <w:r>
        <w:rPr/>
        <w:t>pp. 62.</w:t>
      </w:r>
    </w:p>
    <w:p>
      <w:pPr>
        <w:spacing w:line="360" w:lineRule="auto" w:before="2"/>
        <w:ind w:left="1269" w:right="144" w:hanging="993"/>
        <w:jc w:val="both"/>
        <w:rPr>
          <w:sz w:val="24"/>
        </w:rPr>
      </w:pPr>
      <w:r>
        <w:rPr>
          <w:b/>
          <w:sz w:val="24"/>
        </w:rPr>
        <w:t>Raghavendra, B., Osamu, E. and Mitsunori K. 2007. </w:t>
      </w:r>
      <w:r>
        <w:rPr>
          <w:sz w:val="24"/>
        </w:rPr>
        <w:t>Measurement of Methane Production from Ruminants. Asian-Aust. J. Animal.Sci. Vol. 20, No. 8: 1305-1318.</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spacing w:line="360" w:lineRule="auto" w:before="69"/>
        <w:ind w:left="1269" w:right="144" w:hanging="993"/>
        <w:jc w:val="both"/>
        <w:rPr>
          <w:sz w:val="24"/>
        </w:rPr>
      </w:pPr>
      <w:r>
        <w:rPr>
          <w:b/>
          <w:sz w:val="24"/>
        </w:rPr>
        <w:t>Rodríguez,</w:t>
      </w:r>
      <w:r>
        <w:rPr>
          <w:b/>
          <w:spacing w:val="-15"/>
          <w:sz w:val="24"/>
        </w:rPr>
        <w:t> </w:t>
      </w:r>
      <w:r>
        <w:rPr>
          <w:b/>
          <w:sz w:val="24"/>
        </w:rPr>
        <w:t>B.</w:t>
      </w:r>
      <w:r>
        <w:rPr>
          <w:b/>
          <w:spacing w:val="-15"/>
          <w:sz w:val="24"/>
        </w:rPr>
        <w:t> </w:t>
      </w:r>
      <w:r>
        <w:rPr>
          <w:b/>
          <w:sz w:val="24"/>
        </w:rPr>
        <w:t>M.,</w:t>
      </w:r>
      <w:r>
        <w:rPr>
          <w:b/>
          <w:spacing w:val="-15"/>
          <w:sz w:val="24"/>
        </w:rPr>
        <w:t> </w:t>
      </w:r>
      <w:r>
        <w:rPr>
          <w:b/>
          <w:sz w:val="24"/>
        </w:rPr>
        <w:t>Mance,</w:t>
      </w:r>
      <w:r>
        <w:rPr>
          <w:b/>
          <w:spacing w:val="-15"/>
          <w:sz w:val="24"/>
        </w:rPr>
        <w:t> </w:t>
      </w:r>
      <w:r>
        <w:rPr>
          <w:b/>
          <w:sz w:val="24"/>
        </w:rPr>
        <w:t>H.,</w:t>
      </w:r>
      <w:r>
        <w:rPr>
          <w:b/>
          <w:spacing w:val="-15"/>
          <w:sz w:val="24"/>
        </w:rPr>
        <w:t> </w:t>
      </w:r>
      <w:r>
        <w:rPr>
          <w:b/>
          <w:sz w:val="24"/>
        </w:rPr>
        <w:t>Barrera,</w:t>
      </w:r>
      <w:r>
        <w:rPr>
          <w:b/>
          <w:spacing w:val="-15"/>
          <w:sz w:val="24"/>
        </w:rPr>
        <w:t> </w:t>
      </w:r>
      <w:r>
        <w:rPr>
          <w:b/>
          <w:sz w:val="24"/>
        </w:rPr>
        <w:t>R.</w:t>
      </w:r>
      <w:r>
        <w:rPr>
          <w:b/>
          <w:spacing w:val="-15"/>
          <w:sz w:val="24"/>
        </w:rPr>
        <w:t> </w:t>
      </w:r>
      <w:r>
        <w:rPr>
          <w:b/>
          <w:sz w:val="24"/>
        </w:rPr>
        <w:t>X.,</w:t>
      </w:r>
      <w:r>
        <w:rPr>
          <w:b/>
          <w:spacing w:val="-15"/>
          <w:sz w:val="24"/>
        </w:rPr>
        <w:t> </w:t>
      </w:r>
      <w:r>
        <w:rPr>
          <w:b/>
          <w:sz w:val="24"/>
        </w:rPr>
        <w:t>García,</w:t>
      </w:r>
      <w:r>
        <w:rPr>
          <w:b/>
          <w:spacing w:val="-15"/>
          <w:sz w:val="24"/>
        </w:rPr>
        <w:t> </w:t>
      </w:r>
      <w:r>
        <w:rPr>
          <w:b/>
          <w:sz w:val="24"/>
        </w:rPr>
        <w:t>A.</w:t>
      </w:r>
      <w:r>
        <w:rPr>
          <w:b/>
          <w:spacing w:val="-15"/>
          <w:sz w:val="24"/>
        </w:rPr>
        <w:t> </w:t>
      </w:r>
      <w:r>
        <w:rPr>
          <w:b/>
          <w:sz w:val="24"/>
        </w:rPr>
        <w:t>C.</w:t>
      </w:r>
      <w:r>
        <w:rPr>
          <w:b/>
          <w:spacing w:val="-15"/>
          <w:sz w:val="24"/>
        </w:rPr>
        <w:t> </w:t>
      </w:r>
      <w:r>
        <w:rPr>
          <w:b/>
          <w:sz w:val="24"/>
        </w:rPr>
        <w:t>2015.</w:t>
      </w:r>
      <w:r>
        <w:rPr>
          <w:b/>
          <w:spacing w:val="-15"/>
          <w:sz w:val="24"/>
        </w:rPr>
        <w:t> </w:t>
      </w:r>
      <w:r>
        <w:rPr>
          <w:sz w:val="24"/>
        </w:rPr>
        <w:t>Cambio</w:t>
      </w:r>
      <w:r>
        <w:rPr>
          <w:spacing w:val="-15"/>
          <w:sz w:val="24"/>
        </w:rPr>
        <w:t> </w:t>
      </w:r>
      <w:r>
        <w:rPr>
          <w:sz w:val="24"/>
        </w:rPr>
        <w:t>Climático: lo que esta en juego. Universidad de los Andes; Friedrich Ebert Stiftung; WWF y el foro nacional ambiental. pp. 98. Disponible en: </w:t>
      </w:r>
      <w:hyperlink r:id="rId238">
        <w:r>
          <w:rPr>
            <w:sz w:val="24"/>
          </w:rPr>
          <w:t>http://library.fes.de/pdf-files/bueros/kolumbien/12047.pdf</w:t>
        </w:r>
      </w:hyperlink>
    </w:p>
    <w:p>
      <w:pPr>
        <w:pStyle w:val="BodyText"/>
        <w:spacing w:line="360" w:lineRule="auto" w:before="2"/>
        <w:ind w:left="1269" w:right="144" w:hanging="993"/>
        <w:jc w:val="both"/>
      </w:pPr>
      <w:r>
        <w:rPr>
          <w:b/>
        </w:rPr>
        <w:t>Ruíz, R. y Álvarez, A. 2007. </w:t>
      </w:r>
      <w:r>
        <w:rPr/>
        <w:t>Análisis nutricional de sistemas sostenibles para bovinos en el trópico. En: III Simposio Internacional sobre Ganadería Agroecológica. Memorias. Instituto de Investigaciones de Pastos y Forrajes, La Habana. pp. 33-40.</w:t>
      </w:r>
    </w:p>
    <w:p>
      <w:pPr>
        <w:spacing w:line="362" w:lineRule="auto" w:before="2"/>
        <w:ind w:left="1269" w:right="144" w:hanging="993"/>
        <w:jc w:val="both"/>
        <w:rPr>
          <w:sz w:val="24"/>
        </w:rPr>
      </w:pPr>
      <w:r>
        <w:rPr>
          <w:b/>
          <w:sz w:val="24"/>
        </w:rPr>
        <w:t>Ruíz-Suarez, L. G., and González Ávalos E. 1997. </w:t>
      </w:r>
      <w:r>
        <w:rPr>
          <w:sz w:val="24"/>
        </w:rPr>
        <w:t>Modeling methane emissions from</w:t>
      </w:r>
      <w:r>
        <w:rPr>
          <w:spacing w:val="-7"/>
          <w:sz w:val="24"/>
        </w:rPr>
        <w:t> </w:t>
      </w:r>
      <w:r>
        <w:rPr>
          <w:sz w:val="24"/>
        </w:rPr>
        <w:t>cattle</w:t>
      </w:r>
      <w:r>
        <w:rPr>
          <w:spacing w:val="-7"/>
          <w:sz w:val="24"/>
        </w:rPr>
        <w:t> </w:t>
      </w:r>
      <w:r>
        <w:rPr>
          <w:sz w:val="24"/>
        </w:rPr>
        <w:t>in</w:t>
      </w:r>
      <w:r>
        <w:rPr>
          <w:spacing w:val="-7"/>
          <w:sz w:val="24"/>
        </w:rPr>
        <w:t> </w:t>
      </w:r>
      <w:r>
        <w:rPr>
          <w:sz w:val="24"/>
        </w:rPr>
        <w:t>México.</w:t>
      </w:r>
      <w:r>
        <w:rPr>
          <w:spacing w:val="-7"/>
          <w:sz w:val="24"/>
        </w:rPr>
        <w:t> </w:t>
      </w:r>
      <w:r>
        <w:rPr>
          <w:sz w:val="24"/>
        </w:rPr>
        <w:t>The</w:t>
      </w:r>
      <w:r>
        <w:rPr>
          <w:spacing w:val="-7"/>
          <w:sz w:val="24"/>
        </w:rPr>
        <w:t> </w:t>
      </w:r>
      <w:r>
        <w:rPr>
          <w:sz w:val="24"/>
        </w:rPr>
        <w:t>Science</w:t>
      </w:r>
      <w:r>
        <w:rPr>
          <w:spacing w:val="-7"/>
          <w:sz w:val="24"/>
        </w:rPr>
        <w:t> </w:t>
      </w:r>
      <w:r>
        <w:rPr>
          <w:sz w:val="24"/>
        </w:rPr>
        <w:t>of</w:t>
      </w:r>
      <w:r>
        <w:rPr>
          <w:spacing w:val="-7"/>
          <w:sz w:val="24"/>
        </w:rPr>
        <w:t> </w:t>
      </w:r>
      <w:r>
        <w:rPr>
          <w:sz w:val="24"/>
        </w:rPr>
        <w:t>the</w:t>
      </w:r>
      <w:r>
        <w:rPr>
          <w:spacing w:val="-7"/>
          <w:sz w:val="24"/>
        </w:rPr>
        <w:t> </w:t>
      </w:r>
      <w:r>
        <w:rPr>
          <w:sz w:val="24"/>
        </w:rPr>
        <w:t>Total</w:t>
      </w:r>
      <w:r>
        <w:rPr>
          <w:spacing w:val="-7"/>
          <w:sz w:val="24"/>
        </w:rPr>
        <w:t> </w:t>
      </w:r>
      <w:r>
        <w:rPr>
          <w:sz w:val="24"/>
        </w:rPr>
        <w:t>Environment.</w:t>
      </w:r>
      <w:r>
        <w:rPr>
          <w:spacing w:val="-7"/>
          <w:sz w:val="24"/>
        </w:rPr>
        <w:t> </w:t>
      </w:r>
      <w:r>
        <w:rPr>
          <w:sz w:val="24"/>
        </w:rPr>
        <w:t>206:177-186.</w:t>
      </w:r>
    </w:p>
    <w:p>
      <w:pPr>
        <w:pStyle w:val="BodyText"/>
        <w:spacing w:line="360" w:lineRule="auto"/>
        <w:ind w:left="1269" w:right="144" w:hanging="993"/>
        <w:jc w:val="both"/>
      </w:pPr>
      <w:r>
        <w:rPr>
          <w:b/>
        </w:rPr>
        <w:t>Ruíz Suárez, L. G., E. González Ávalos y E. Báez Pedrajo. 1999. </w:t>
      </w:r>
      <w:r>
        <w:rPr/>
        <w:t>Factores de Emisión de Gases de Efecto Invernadero por Sistemas Vivos en el</w:t>
      </w:r>
      <w:r>
        <w:rPr>
          <w:spacing w:val="-33"/>
        </w:rPr>
        <w:t> </w:t>
      </w:r>
      <w:r>
        <w:rPr/>
        <w:t>Centro de México; Factores de emisión de metano para bovinos del Centro de México: Proyecto MEX/95/G31/NIG/99. México D. F. Instituto Nacional de Ecología y Programa de las Naciones Unidas para el Desarrollo. pp.</w:t>
      </w:r>
      <w:r>
        <w:rPr>
          <w:spacing w:val="-3"/>
        </w:rPr>
        <w:t> </w:t>
      </w:r>
      <w:r>
        <w:rPr/>
        <w:t>222.</w:t>
      </w:r>
    </w:p>
    <w:p>
      <w:pPr>
        <w:pStyle w:val="BodyText"/>
        <w:spacing w:line="360" w:lineRule="auto" w:before="2"/>
        <w:ind w:left="1269" w:right="144" w:hanging="993"/>
        <w:jc w:val="both"/>
      </w:pPr>
      <w:r>
        <w:rPr>
          <w:b/>
        </w:rPr>
        <w:t>Russell, J. B. y Wallace, R. J. 1997. </w:t>
      </w:r>
      <w:r>
        <w:rPr/>
        <w:t>Energy-yielding and energy-consuming reactions. En P.N. Hobson and C.S. Stewart, eds. The Rumen Microbial Ecosystem, pp. 246–282. Londres, Reino Unido, Blackie Academic y Professional.</w:t>
      </w:r>
    </w:p>
    <w:p>
      <w:pPr>
        <w:pStyle w:val="BodyText"/>
        <w:spacing w:line="360" w:lineRule="auto" w:before="2"/>
        <w:ind w:left="1269" w:right="144" w:hanging="993"/>
        <w:jc w:val="both"/>
      </w:pPr>
      <w:r>
        <w:rPr>
          <w:b/>
        </w:rPr>
        <w:t>Sanjur, P. C. 2006. </w:t>
      </w:r>
      <w:r>
        <w:rPr/>
        <w:t>Evaluación Temática, Cambio Climático. Proyecto: IMIS: GFL/2328-2740-4775-PMS: GEF/3010-04-08 “Autoevaluación de las Capacidades Nacionales, para la Administración del Medio Ambiente Mundial”. Panamá. pp. 100.</w:t>
      </w:r>
    </w:p>
    <w:p>
      <w:pPr>
        <w:spacing w:line="360" w:lineRule="auto" w:before="2"/>
        <w:ind w:left="1269" w:right="144" w:hanging="993"/>
        <w:jc w:val="both"/>
        <w:rPr>
          <w:sz w:val="24"/>
        </w:rPr>
      </w:pPr>
      <w:r>
        <w:rPr>
          <w:b/>
          <w:sz w:val="24"/>
        </w:rPr>
        <w:t>Sauvant,</w:t>
      </w:r>
      <w:r>
        <w:rPr>
          <w:b/>
          <w:spacing w:val="-8"/>
          <w:sz w:val="24"/>
        </w:rPr>
        <w:t> </w:t>
      </w:r>
      <w:r>
        <w:rPr>
          <w:b/>
          <w:sz w:val="24"/>
        </w:rPr>
        <w:t>D.</w:t>
      </w:r>
      <w:r>
        <w:rPr>
          <w:b/>
          <w:spacing w:val="-8"/>
          <w:sz w:val="24"/>
        </w:rPr>
        <w:t> </w:t>
      </w:r>
      <w:r>
        <w:rPr>
          <w:b/>
          <w:sz w:val="24"/>
        </w:rPr>
        <w:t>y</w:t>
      </w:r>
      <w:r>
        <w:rPr>
          <w:b/>
          <w:spacing w:val="-8"/>
          <w:sz w:val="24"/>
        </w:rPr>
        <w:t> </w:t>
      </w:r>
      <w:r>
        <w:rPr>
          <w:b/>
          <w:sz w:val="24"/>
        </w:rPr>
        <w:t>Giger-Reverdin,</w:t>
      </w:r>
      <w:r>
        <w:rPr>
          <w:b/>
          <w:spacing w:val="-8"/>
          <w:sz w:val="24"/>
        </w:rPr>
        <w:t> </w:t>
      </w:r>
      <w:r>
        <w:rPr>
          <w:b/>
          <w:sz w:val="24"/>
        </w:rPr>
        <w:t>S.</w:t>
      </w:r>
      <w:r>
        <w:rPr>
          <w:b/>
          <w:spacing w:val="-8"/>
          <w:sz w:val="24"/>
        </w:rPr>
        <w:t> </w:t>
      </w:r>
      <w:r>
        <w:rPr>
          <w:b/>
          <w:sz w:val="24"/>
        </w:rPr>
        <w:t>2009.</w:t>
      </w:r>
      <w:r>
        <w:rPr>
          <w:b/>
          <w:spacing w:val="-8"/>
          <w:sz w:val="24"/>
        </w:rPr>
        <w:t> </w:t>
      </w:r>
      <w:r>
        <w:rPr>
          <w:sz w:val="24"/>
        </w:rPr>
        <w:t>Modélisation</w:t>
      </w:r>
      <w:r>
        <w:rPr>
          <w:spacing w:val="-8"/>
          <w:sz w:val="24"/>
        </w:rPr>
        <w:t> </w:t>
      </w:r>
      <w:r>
        <w:rPr>
          <w:sz w:val="24"/>
        </w:rPr>
        <w:t>des</w:t>
      </w:r>
      <w:r>
        <w:rPr>
          <w:spacing w:val="-8"/>
          <w:sz w:val="24"/>
        </w:rPr>
        <w:t> </w:t>
      </w:r>
      <w:r>
        <w:rPr>
          <w:sz w:val="24"/>
        </w:rPr>
        <w:t>interactions</w:t>
      </w:r>
      <w:r>
        <w:rPr>
          <w:spacing w:val="-8"/>
          <w:sz w:val="24"/>
        </w:rPr>
        <w:t> </w:t>
      </w:r>
      <w:r>
        <w:rPr>
          <w:sz w:val="24"/>
        </w:rPr>
        <w:t>digestives</w:t>
      </w:r>
      <w:r>
        <w:rPr>
          <w:spacing w:val="-8"/>
          <w:sz w:val="24"/>
        </w:rPr>
        <w:t> </w:t>
      </w:r>
      <w:r>
        <w:rPr>
          <w:sz w:val="24"/>
        </w:rPr>
        <w:t>et de la production de méthane chez les ruminants. INRA Prod. Anim. 22: 375–384.</w:t>
      </w:r>
    </w:p>
    <w:p>
      <w:pPr>
        <w:spacing w:line="360" w:lineRule="auto" w:before="7"/>
        <w:ind w:left="1269" w:right="143" w:hanging="993"/>
        <w:jc w:val="both"/>
        <w:rPr>
          <w:sz w:val="24"/>
        </w:rPr>
      </w:pPr>
      <w:r>
        <w:rPr>
          <w:b/>
          <w:sz w:val="24"/>
        </w:rPr>
        <w:t>Sauvant, D., Giger-Reverdin, S., Serment, A. y Broudiscou, I. 2011. </w:t>
      </w:r>
      <w:r>
        <w:rPr>
          <w:sz w:val="24"/>
        </w:rPr>
        <w:t>Influences des régimes et de leur fermentation dans le rumen sur la production de méthane par les ruminants. In M. Doreau, R. Baumont y J.M. Perez, eds. Gaz à effet de serre en élevage bovin: le méthane. Dossier, INRA Prod. Anim. 24: 433–446.</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pStyle w:val="BodyText"/>
        <w:spacing w:line="362" w:lineRule="auto" w:before="69"/>
        <w:ind w:left="1269" w:right="144" w:hanging="993"/>
        <w:jc w:val="both"/>
      </w:pPr>
      <w:r>
        <w:rPr>
          <w:b/>
        </w:rPr>
        <w:t>Schmidt, G. 2005. </w:t>
      </w:r>
      <w:r>
        <w:rPr/>
        <w:t>Water vapour: feedback or forcing? Disponible en: </w:t>
      </w:r>
      <w:hyperlink r:id="rId239">
        <w:r>
          <w:rPr/>
          <w:t>http://www.realclimate.org/index.php?p=142.</w:t>
        </w:r>
      </w:hyperlink>
    </w:p>
    <w:p>
      <w:pPr>
        <w:spacing w:line="360" w:lineRule="auto" w:before="0"/>
        <w:ind w:left="1269" w:right="144" w:hanging="993"/>
        <w:jc w:val="both"/>
        <w:rPr>
          <w:sz w:val="24"/>
        </w:rPr>
      </w:pPr>
      <w:r>
        <w:rPr>
          <w:b/>
          <w:sz w:val="24"/>
        </w:rPr>
        <w:t>Seinfeld, J. H. and S. N. Pandis. 1998. </w:t>
      </w:r>
      <w:r>
        <w:rPr>
          <w:sz w:val="24"/>
        </w:rPr>
        <w:t>Atmospheric chemistry and physics of air pollution. John Wiley &amp; Sons. New York. 1326 p.</w:t>
      </w:r>
    </w:p>
    <w:p>
      <w:pPr>
        <w:spacing w:line="360" w:lineRule="auto" w:before="2"/>
        <w:ind w:left="1269" w:right="143" w:hanging="993"/>
        <w:jc w:val="both"/>
        <w:rPr>
          <w:sz w:val="24"/>
        </w:rPr>
      </w:pPr>
      <w:r>
        <w:rPr>
          <w:b/>
          <w:sz w:val="24"/>
        </w:rPr>
        <w:t>Steinfeld, H., Gerber, P., Wassenaar, T., Castel, V., Rosales, M., de Haan, C. 2009. </w:t>
      </w:r>
      <w:r>
        <w:rPr>
          <w:sz w:val="24"/>
        </w:rPr>
        <w:t>La Larga Sombra del Ganado: Problemas ambientales y opciones. FAO. Roma. pp. 464.</w:t>
      </w:r>
    </w:p>
    <w:p>
      <w:pPr>
        <w:pStyle w:val="BodyText"/>
        <w:spacing w:line="360" w:lineRule="auto" w:before="2"/>
        <w:ind w:left="1269" w:right="144" w:hanging="993"/>
        <w:jc w:val="both"/>
      </w:pPr>
      <w:r>
        <w:rPr>
          <w:b/>
        </w:rPr>
        <w:t>SEMARNAT-INE. 2002. </w:t>
      </w:r>
      <w:r>
        <w:rPr/>
        <w:t>Inventario Nacional de Emisión de Gases de Efecto Invernadero 1990-2002. Secretaría de Medio Ambiente y Recursos Naturales. Instituto Nacional de Ecología. Comité Intersecretarial Sobre Cambio Climático. pp. 258.</w:t>
      </w:r>
    </w:p>
    <w:p>
      <w:pPr>
        <w:pStyle w:val="BodyText"/>
        <w:spacing w:line="360" w:lineRule="auto" w:before="2"/>
        <w:ind w:left="1269" w:right="144" w:hanging="993"/>
        <w:jc w:val="both"/>
      </w:pPr>
      <w:r>
        <w:rPr>
          <w:b/>
        </w:rPr>
        <w:t>SEMARNAT. 2008. </w:t>
      </w:r>
      <w:r>
        <w:rPr/>
        <w:t>Informe de la Situación del Medio Ambiente en México. Compendio de Estadísticas Ambientales. Compendio de estadísticas ambientales. Gobierno Federal. México, D. F. pp. 358.</w:t>
      </w:r>
    </w:p>
    <w:p>
      <w:pPr>
        <w:pStyle w:val="BodyText"/>
        <w:spacing w:line="360" w:lineRule="auto" w:before="2"/>
        <w:ind w:left="1269" w:right="145" w:hanging="993"/>
        <w:jc w:val="both"/>
      </w:pPr>
      <w:r>
        <w:rPr>
          <w:b/>
        </w:rPr>
        <w:t>SEMARNAT. 2009. </w:t>
      </w:r>
      <w:r>
        <w:rPr/>
        <w:t>Cambio Climático. Ciencia, evidencia y acciones. Serie ¿Y el medio ambiente?. Secretaria del Medio Ambiente y Recursos Naturales. México. pp. 80.</w:t>
      </w:r>
    </w:p>
    <w:p>
      <w:pPr>
        <w:pStyle w:val="BodyText"/>
        <w:spacing w:line="360" w:lineRule="auto" w:before="7"/>
        <w:ind w:left="1269" w:right="143" w:hanging="993"/>
        <w:jc w:val="both"/>
      </w:pPr>
      <w:r>
        <w:rPr>
          <w:b/>
        </w:rPr>
        <w:t>SEMARNAT. 2009. </w:t>
      </w:r>
      <w:r>
        <w:rPr/>
        <w:t>México Cuarta Comunicación Nacional ante la Convención Marco de las Naciones Unidas sobre el Cambio Climático. Secretaría de Medio Ambiente y Recursos Naturales. Instituto Nacional de Ecología. Comité Intersecretarial Sobre Cambio Climático. pp. 276.</w:t>
      </w:r>
    </w:p>
    <w:p>
      <w:pPr>
        <w:pStyle w:val="BodyText"/>
        <w:spacing w:line="360" w:lineRule="auto" w:before="7"/>
        <w:ind w:left="1269" w:right="143" w:hanging="993"/>
        <w:jc w:val="both"/>
      </w:pPr>
      <w:r>
        <w:rPr>
          <w:b/>
        </w:rPr>
        <w:t>SEMARNAT. 2012. </w:t>
      </w:r>
      <w:r>
        <w:rPr/>
        <w:t>México Cuarta Comunicación Nacional ante la Convención Marco de las Naciones Unidas sobre el Cambio Climático. Secretaría de Medio Ambiente y Recursos Naturales. Instituto Nacional de Ecología. Comité Intersecretarial Sobre Cambio Climático. pp. 399.</w:t>
      </w:r>
    </w:p>
    <w:p>
      <w:pPr>
        <w:pStyle w:val="BodyText"/>
        <w:spacing w:line="360" w:lineRule="auto" w:before="2"/>
        <w:ind w:left="1269" w:right="144" w:hanging="993"/>
        <w:jc w:val="both"/>
      </w:pPr>
      <w:r>
        <w:rPr>
          <w:b/>
        </w:rPr>
        <w:t>SEMARNAT-INECC. 2012. </w:t>
      </w:r>
      <w:r>
        <w:rPr/>
        <w:t>Ley General de Cambio Climático. Diario Oficial de la Federación el 6 de junio de 2012. México. pp. 49. Disponible en: </w:t>
      </w:r>
      <w:hyperlink r:id="rId240">
        <w:r>
          <w:rPr/>
          <w:t>http://www.profepa.gob.mx/innovaportal/file/6583/1/ley_general_de_camb</w:t>
        </w:r>
      </w:hyperlink>
      <w:r>
        <w:rPr/>
        <w:t> io_climatico.pdf.</w:t>
      </w:r>
    </w:p>
    <w:p>
      <w:pPr>
        <w:pStyle w:val="BodyText"/>
        <w:spacing w:line="362" w:lineRule="auto" w:before="2"/>
        <w:ind w:left="1269" w:right="144" w:hanging="993"/>
        <w:jc w:val="both"/>
      </w:pPr>
      <w:r>
        <w:rPr>
          <w:b/>
        </w:rPr>
        <w:t>SEMARNAT. 2013. </w:t>
      </w:r>
      <w:r>
        <w:rPr/>
        <w:t>Inventario Nacional de Emisiones de Gases de Efecto Invernadero  1990-2010.  Secretaría  de  Medio  Ambiente  y     Recursos</w:t>
      </w:r>
    </w:p>
    <w:p>
      <w:pPr>
        <w:spacing w:after="0" w:line="362" w:lineRule="auto"/>
        <w:jc w:val="both"/>
        <w:sectPr>
          <w:pgSz w:w="12240" w:h="15840"/>
          <w:pgMar w:header="741" w:footer="739" w:top="1220" w:bottom="920" w:left="1720" w:right="1260"/>
        </w:sectPr>
      </w:pPr>
    </w:p>
    <w:p>
      <w:pPr>
        <w:pStyle w:val="BodyText"/>
        <w:spacing w:before="4"/>
        <w:rPr>
          <w:sz w:val="11"/>
        </w:rPr>
      </w:pPr>
    </w:p>
    <w:p>
      <w:pPr>
        <w:pStyle w:val="BodyText"/>
        <w:tabs>
          <w:tab w:pos="3097" w:val="left" w:leader="none"/>
          <w:tab w:pos="4657" w:val="left" w:leader="none"/>
          <w:tab w:pos="5724" w:val="left" w:leader="none"/>
          <w:tab w:pos="6925" w:val="left" w:leader="none"/>
          <w:tab w:pos="8780" w:val="left" w:leader="none"/>
        </w:tabs>
        <w:spacing w:line="362" w:lineRule="auto" w:before="69"/>
        <w:ind w:left="1269" w:right="144"/>
      </w:pPr>
      <w:r>
        <w:rPr/>
        <w:t>Naturales.</w:t>
        <w:tab/>
        <w:t>México.</w:t>
        <w:tab/>
        <w:t>pp.</w:t>
        <w:tab/>
        <w:t>384.</w:t>
        <w:tab/>
        <w:t>Disponible</w:t>
        <w:tab/>
        <w:t>en: </w:t>
      </w:r>
      <w:hyperlink r:id="rId241">
        <w:r>
          <w:rPr>
            <w:color w:val="0000FF"/>
            <w:u w:val="single" w:color="0000FF"/>
          </w:rPr>
          <w:t>http://www.inecc.gob.mx/descargas/cclimatico/inf_inegei_public_2010.pdf</w:t>
        </w:r>
      </w:hyperlink>
    </w:p>
    <w:p>
      <w:pPr>
        <w:spacing w:line="360" w:lineRule="auto" w:before="0"/>
        <w:ind w:left="1269" w:right="144" w:hanging="993"/>
        <w:jc w:val="both"/>
        <w:rPr>
          <w:sz w:val="24"/>
        </w:rPr>
      </w:pPr>
      <w:r>
        <w:rPr>
          <w:b/>
          <w:sz w:val="24"/>
        </w:rPr>
        <w:t>Steele, L. P., Duglokencky, E. J., Lang, P. M., Tans, P. P., Martin, R. C. and Massarie, K. A.. 1992. </w:t>
      </w:r>
      <w:r>
        <w:rPr>
          <w:sz w:val="24"/>
        </w:rPr>
        <w:t>Slowing down of the global accumulation of atmospheric methane during 1980s. nature, 358: 313-316.</w:t>
      </w:r>
    </w:p>
    <w:p>
      <w:pPr>
        <w:spacing w:line="360" w:lineRule="auto" w:before="7"/>
        <w:ind w:left="1269" w:right="143" w:hanging="993"/>
        <w:jc w:val="both"/>
        <w:rPr>
          <w:sz w:val="24"/>
        </w:rPr>
      </w:pPr>
      <w:r>
        <w:rPr>
          <w:b/>
          <w:sz w:val="24"/>
        </w:rPr>
        <w:t>Steinfeld, H., Gerber, P., Wassenaar, T., Castel, V., Rosales, M., de Haan, C. 2009. </w:t>
      </w:r>
      <w:r>
        <w:rPr>
          <w:sz w:val="24"/>
        </w:rPr>
        <w:t>La Larga Sombra del Ganado: Problemas ambientales y opciones. FAO. Roma. pp. 464. Disponible en: </w:t>
      </w:r>
      <w:hyperlink r:id="rId242">
        <w:r>
          <w:rPr>
            <w:color w:val="0000FF"/>
            <w:sz w:val="24"/>
            <w:u w:val="single" w:color="0000FF"/>
          </w:rPr>
          <w:t>http://www.fao.org/3/a-a0701s.pdf</w:t>
        </w:r>
        <w:r>
          <w:rPr>
            <w:sz w:val="24"/>
          </w:rPr>
          <w:t>.</w:t>
        </w:r>
      </w:hyperlink>
    </w:p>
    <w:p>
      <w:pPr>
        <w:pStyle w:val="BodyText"/>
        <w:spacing w:line="360" w:lineRule="auto" w:before="2"/>
        <w:ind w:left="1269" w:right="144" w:hanging="993"/>
        <w:jc w:val="both"/>
      </w:pPr>
      <w:r>
        <w:rPr>
          <w:b/>
        </w:rPr>
        <w:t>Stephen H. S., 2001. </w:t>
      </w:r>
      <w:r>
        <w:rPr/>
        <w:t>Geosphere-biosphere Interactions and Climate, Lennart O. Bengtsson</w:t>
      </w:r>
      <w:r>
        <w:rPr>
          <w:spacing w:val="-16"/>
        </w:rPr>
        <w:t> </w:t>
      </w:r>
      <w:r>
        <w:rPr/>
        <w:t>and</w:t>
      </w:r>
      <w:r>
        <w:rPr>
          <w:spacing w:val="-16"/>
        </w:rPr>
        <w:t> </w:t>
      </w:r>
      <w:r>
        <w:rPr/>
        <w:t>Claus</w:t>
      </w:r>
      <w:r>
        <w:rPr>
          <w:spacing w:val="-16"/>
        </w:rPr>
        <w:t> </w:t>
      </w:r>
      <w:r>
        <w:rPr/>
        <w:t>U.</w:t>
      </w:r>
      <w:r>
        <w:rPr>
          <w:spacing w:val="-16"/>
        </w:rPr>
        <w:t> </w:t>
      </w:r>
      <w:r>
        <w:rPr/>
        <w:t>Hammer.</w:t>
      </w:r>
      <w:r>
        <w:rPr>
          <w:spacing w:val="-16"/>
        </w:rPr>
        <w:t> </w:t>
      </w:r>
      <w:r>
        <w:rPr/>
        <w:t>Ed.</w:t>
      </w:r>
      <w:r>
        <w:rPr>
          <w:spacing w:val="-16"/>
        </w:rPr>
        <w:t> </w:t>
      </w:r>
      <w:r>
        <w:rPr/>
        <w:t>Cambridge</w:t>
      </w:r>
      <w:r>
        <w:rPr>
          <w:spacing w:val="-16"/>
        </w:rPr>
        <w:t> </w:t>
      </w:r>
      <w:r>
        <w:rPr/>
        <w:t>University</w:t>
      </w:r>
      <w:r>
        <w:rPr>
          <w:spacing w:val="-16"/>
        </w:rPr>
        <w:t> </w:t>
      </w:r>
      <w:r>
        <w:rPr/>
        <w:t>Press.</w:t>
      </w:r>
      <w:r>
        <w:rPr>
          <w:spacing w:val="-16"/>
        </w:rPr>
        <w:t> </w:t>
      </w:r>
      <w:r>
        <w:rPr/>
        <w:t>pp.</w:t>
      </w:r>
      <w:r>
        <w:rPr>
          <w:spacing w:val="-16"/>
        </w:rPr>
        <w:t> </w:t>
      </w:r>
      <w:r>
        <w:rPr/>
        <w:t>90- 91.</w:t>
      </w:r>
    </w:p>
    <w:p>
      <w:pPr>
        <w:spacing w:line="360" w:lineRule="auto" w:before="2"/>
        <w:ind w:left="1269" w:right="144" w:hanging="993"/>
        <w:jc w:val="both"/>
        <w:rPr>
          <w:sz w:val="24"/>
        </w:rPr>
      </w:pPr>
      <w:r>
        <w:rPr>
          <w:b/>
          <w:sz w:val="24"/>
        </w:rPr>
        <w:t>Su, J. J., Liu, B. J. and Chang, Y. C. 2003. </w:t>
      </w:r>
      <w:r>
        <w:rPr>
          <w:sz w:val="24"/>
        </w:rPr>
        <w:t>Emission of greenhouse gas from livestock waste and wastewater treatment in Taiwan. Agriculture, Ecosystem and Environment. 95: 253.</w:t>
      </w:r>
    </w:p>
    <w:p>
      <w:pPr>
        <w:pStyle w:val="BodyText"/>
        <w:spacing w:line="360" w:lineRule="auto" w:before="2"/>
        <w:ind w:left="1269" w:right="143" w:hanging="993"/>
        <w:jc w:val="both"/>
      </w:pPr>
      <w:r>
        <w:rPr>
          <w:b/>
        </w:rPr>
        <w:t>Suharyono, P., Yeni, W. and Winugroho, M. 2010. </w:t>
      </w:r>
      <w:r>
        <w:rPr/>
        <w:t>Effects of multi-nutrient feed supplement in beef cattle on methane production, manure quality and rice yield.</w:t>
      </w:r>
      <w:r>
        <w:rPr>
          <w:spacing w:val="-7"/>
        </w:rPr>
        <w:t> </w:t>
      </w:r>
      <w:r>
        <w:rPr/>
        <w:t>In:</w:t>
      </w:r>
      <w:r>
        <w:rPr>
          <w:spacing w:val="-7"/>
        </w:rPr>
        <w:t> </w:t>
      </w:r>
      <w:r>
        <w:rPr/>
        <w:t>Improving</w:t>
      </w:r>
      <w:r>
        <w:rPr>
          <w:spacing w:val="-7"/>
        </w:rPr>
        <w:t> </w:t>
      </w:r>
      <w:r>
        <w:rPr/>
        <w:t>Livestock</w:t>
      </w:r>
      <w:r>
        <w:rPr>
          <w:spacing w:val="-7"/>
        </w:rPr>
        <w:t> </w:t>
      </w:r>
      <w:r>
        <w:rPr/>
        <w:t>Production</w:t>
      </w:r>
      <w:r>
        <w:rPr>
          <w:spacing w:val="-7"/>
        </w:rPr>
        <w:t> </w:t>
      </w:r>
      <w:r>
        <w:rPr/>
        <w:t>Using</w:t>
      </w:r>
      <w:r>
        <w:rPr>
          <w:spacing w:val="-7"/>
        </w:rPr>
        <w:t> </w:t>
      </w:r>
      <w:r>
        <w:rPr/>
        <w:t>Indigenous</w:t>
      </w:r>
      <w:r>
        <w:rPr>
          <w:spacing w:val="-7"/>
        </w:rPr>
        <w:t> </w:t>
      </w:r>
      <w:r>
        <w:rPr/>
        <w:t>Resources</w:t>
      </w:r>
      <w:r>
        <w:rPr>
          <w:spacing w:val="-7"/>
        </w:rPr>
        <w:t> </w:t>
      </w:r>
      <w:r>
        <w:rPr/>
        <w:t>and Conserving the Environment. IAEA-TECDOC-1640. Animal Production and Health Section. International Atomic Energy Agency, Vienna International Centre. Austria. pp.</w:t>
      </w:r>
      <w:r>
        <w:rPr>
          <w:spacing w:val="-1"/>
        </w:rPr>
        <w:t> </w:t>
      </w:r>
      <w:r>
        <w:rPr/>
        <w:t>71-86.</w:t>
      </w:r>
    </w:p>
    <w:p>
      <w:pPr>
        <w:spacing w:line="360" w:lineRule="auto" w:before="2"/>
        <w:ind w:left="1269" w:right="143" w:hanging="993"/>
        <w:jc w:val="both"/>
        <w:rPr>
          <w:sz w:val="24"/>
        </w:rPr>
      </w:pPr>
      <w:r>
        <w:rPr>
          <w:b/>
          <w:sz w:val="24"/>
        </w:rPr>
        <w:t>Tekippe, J. A., Hristov, A. N., Heyler, K. S., Cassidy, T.W., Zheljazkov, V. D., Ferreira,</w:t>
      </w:r>
      <w:r>
        <w:rPr>
          <w:b/>
          <w:spacing w:val="-11"/>
          <w:sz w:val="24"/>
        </w:rPr>
        <w:t> </w:t>
      </w:r>
      <w:r>
        <w:rPr>
          <w:b/>
          <w:sz w:val="24"/>
        </w:rPr>
        <w:t>J.</w:t>
      </w:r>
      <w:r>
        <w:rPr>
          <w:b/>
          <w:spacing w:val="-10"/>
          <w:sz w:val="24"/>
        </w:rPr>
        <w:t> </w:t>
      </w:r>
      <w:r>
        <w:rPr>
          <w:b/>
          <w:sz w:val="24"/>
        </w:rPr>
        <w:t>F.</w:t>
      </w:r>
      <w:r>
        <w:rPr>
          <w:b/>
          <w:spacing w:val="-11"/>
          <w:sz w:val="24"/>
        </w:rPr>
        <w:t> </w:t>
      </w:r>
      <w:r>
        <w:rPr>
          <w:b/>
          <w:sz w:val="24"/>
        </w:rPr>
        <w:t>S.,</w:t>
      </w:r>
      <w:r>
        <w:rPr>
          <w:b/>
          <w:spacing w:val="-11"/>
          <w:sz w:val="24"/>
        </w:rPr>
        <w:t> </w:t>
      </w:r>
      <w:r>
        <w:rPr>
          <w:b/>
          <w:sz w:val="24"/>
        </w:rPr>
        <w:t>Karnati,</w:t>
      </w:r>
      <w:r>
        <w:rPr>
          <w:b/>
          <w:spacing w:val="-11"/>
          <w:sz w:val="24"/>
        </w:rPr>
        <w:t> </w:t>
      </w:r>
      <w:r>
        <w:rPr>
          <w:b/>
          <w:sz w:val="24"/>
        </w:rPr>
        <w:t>S.</w:t>
      </w:r>
      <w:r>
        <w:rPr>
          <w:b/>
          <w:spacing w:val="-11"/>
          <w:sz w:val="24"/>
        </w:rPr>
        <w:t> </w:t>
      </w:r>
      <w:r>
        <w:rPr>
          <w:b/>
          <w:sz w:val="24"/>
        </w:rPr>
        <w:t>K.</w:t>
      </w:r>
      <w:r>
        <w:rPr>
          <w:b/>
          <w:spacing w:val="-11"/>
          <w:sz w:val="24"/>
        </w:rPr>
        <w:t> </w:t>
      </w:r>
      <w:r>
        <w:rPr>
          <w:b/>
          <w:sz w:val="24"/>
        </w:rPr>
        <w:t>y</w:t>
      </w:r>
      <w:r>
        <w:rPr>
          <w:b/>
          <w:spacing w:val="-11"/>
          <w:sz w:val="24"/>
        </w:rPr>
        <w:t> </w:t>
      </w:r>
      <w:r>
        <w:rPr>
          <w:b/>
          <w:sz w:val="24"/>
        </w:rPr>
        <w:t>Varga,</w:t>
      </w:r>
      <w:r>
        <w:rPr>
          <w:b/>
          <w:spacing w:val="-11"/>
          <w:sz w:val="24"/>
        </w:rPr>
        <w:t> </w:t>
      </w:r>
      <w:r>
        <w:rPr>
          <w:b/>
          <w:sz w:val="24"/>
        </w:rPr>
        <w:t>G.</w:t>
      </w:r>
      <w:r>
        <w:rPr>
          <w:b/>
          <w:spacing w:val="-11"/>
          <w:sz w:val="24"/>
        </w:rPr>
        <w:t> </w:t>
      </w:r>
      <w:r>
        <w:rPr>
          <w:b/>
          <w:sz w:val="24"/>
        </w:rPr>
        <w:t>A.</w:t>
      </w:r>
      <w:r>
        <w:rPr>
          <w:b/>
          <w:spacing w:val="-11"/>
          <w:sz w:val="24"/>
        </w:rPr>
        <w:t> </w:t>
      </w:r>
      <w:r>
        <w:rPr>
          <w:b/>
          <w:sz w:val="24"/>
        </w:rPr>
        <w:t>2011.</w:t>
      </w:r>
      <w:r>
        <w:rPr>
          <w:b/>
          <w:spacing w:val="-11"/>
          <w:sz w:val="24"/>
        </w:rPr>
        <w:t> </w:t>
      </w:r>
      <w:r>
        <w:rPr>
          <w:sz w:val="24"/>
        </w:rPr>
        <w:t>Rumen</w:t>
      </w:r>
      <w:r>
        <w:rPr>
          <w:spacing w:val="-11"/>
          <w:sz w:val="24"/>
        </w:rPr>
        <w:t> </w:t>
      </w:r>
      <w:r>
        <w:rPr>
          <w:sz w:val="24"/>
        </w:rPr>
        <w:t>fermentation and production effects of Origanum vulgare L. leaves in lactating dairy cows. J. Dairy Sci. 94:</w:t>
      </w:r>
      <w:r>
        <w:rPr>
          <w:spacing w:val="-1"/>
          <w:sz w:val="24"/>
        </w:rPr>
        <w:t> </w:t>
      </w:r>
      <w:r>
        <w:rPr>
          <w:sz w:val="24"/>
        </w:rPr>
        <w:t>5065–5079.</w:t>
      </w:r>
    </w:p>
    <w:p>
      <w:pPr>
        <w:spacing w:line="360" w:lineRule="auto" w:before="2"/>
        <w:ind w:left="1269" w:right="144" w:hanging="993"/>
        <w:jc w:val="both"/>
        <w:rPr>
          <w:sz w:val="24"/>
        </w:rPr>
      </w:pPr>
      <w:r>
        <w:rPr>
          <w:b/>
          <w:sz w:val="24"/>
        </w:rPr>
        <w:t>Tilley, J. M. A., and Terry, R. A. 1963. </w:t>
      </w:r>
      <w:r>
        <w:rPr>
          <w:sz w:val="24"/>
        </w:rPr>
        <w:t>A two-stage technique for the in vitro digestion</w:t>
      </w:r>
      <w:r>
        <w:rPr>
          <w:spacing w:val="-7"/>
          <w:sz w:val="24"/>
        </w:rPr>
        <w:t> </w:t>
      </w:r>
      <w:r>
        <w:rPr>
          <w:sz w:val="24"/>
        </w:rPr>
        <w:t>of</w:t>
      </w:r>
      <w:r>
        <w:rPr>
          <w:spacing w:val="-7"/>
          <w:sz w:val="24"/>
        </w:rPr>
        <w:t> </w:t>
      </w:r>
      <w:r>
        <w:rPr>
          <w:sz w:val="24"/>
        </w:rPr>
        <w:t>forage</w:t>
      </w:r>
      <w:r>
        <w:rPr>
          <w:spacing w:val="-7"/>
          <w:sz w:val="24"/>
        </w:rPr>
        <w:t> </w:t>
      </w:r>
      <w:r>
        <w:rPr>
          <w:sz w:val="24"/>
        </w:rPr>
        <w:t>crops.</w:t>
      </w:r>
      <w:r>
        <w:rPr>
          <w:spacing w:val="-7"/>
          <w:sz w:val="24"/>
        </w:rPr>
        <w:t> </w:t>
      </w:r>
      <w:r>
        <w:rPr>
          <w:sz w:val="24"/>
        </w:rPr>
        <w:t>J.</w:t>
      </w:r>
      <w:r>
        <w:rPr>
          <w:spacing w:val="-7"/>
          <w:sz w:val="24"/>
        </w:rPr>
        <w:t> </w:t>
      </w:r>
      <w:r>
        <w:rPr>
          <w:sz w:val="24"/>
        </w:rPr>
        <w:t>Brit.</w:t>
      </w:r>
      <w:r>
        <w:rPr>
          <w:spacing w:val="-7"/>
          <w:sz w:val="24"/>
        </w:rPr>
        <w:t> </w:t>
      </w:r>
      <w:r>
        <w:rPr>
          <w:sz w:val="24"/>
        </w:rPr>
        <w:t>The</w:t>
      </w:r>
      <w:r>
        <w:rPr>
          <w:spacing w:val="-7"/>
          <w:sz w:val="24"/>
        </w:rPr>
        <w:t> </w:t>
      </w:r>
      <w:r>
        <w:rPr>
          <w:sz w:val="24"/>
        </w:rPr>
        <w:t>Grassland</w:t>
      </w:r>
      <w:r>
        <w:rPr>
          <w:spacing w:val="-7"/>
          <w:sz w:val="24"/>
        </w:rPr>
        <w:t> </w:t>
      </w:r>
      <w:r>
        <w:rPr>
          <w:sz w:val="24"/>
        </w:rPr>
        <w:t>Research</w:t>
      </w:r>
      <w:r>
        <w:rPr>
          <w:spacing w:val="-7"/>
          <w:sz w:val="24"/>
        </w:rPr>
        <w:t> </w:t>
      </w:r>
      <w:r>
        <w:rPr>
          <w:sz w:val="24"/>
        </w:rPr>
        <w:t>Institute,</w:t>
      </w:r>
      <w:r>
        <w:rPr>
          <w:spacing w:val="-7"/>
          <w:sz w:val="24"/>
        </w:rPr>
        <w:t> </w:t>
      </w:r>
      <w:r>
        <w:rPr>
          <w:sz w:val="24"/>
        </w:rPr>
        <w:t>Hurley Berks. 18:104-111,</w:t>
      </w:r>
      <w:r>
        <w:rPr>
          <w:spacing w:val="-4"/>
          <w:sz w:val="24"/>
        </w:rPr>
        <w:t> </w:t>
      </w:r>
      <w:r>
        <w:rPr>
          <w:sz w:val="24"/>
        </w:rPr>
        <w:t>1963.</w:t>
      </w:r>
    </w:p>
    <w:p>
      <w:pPr>
        <w:spacing w:line="360" w:lineRule="auto" w:before="2"/>
        <w:ind w:left="1269" w:right="144" w:hanging="993"/>
        <w:jc w:val="both"/>
        <w:rPr>
          <w:sz w:val="24"/>
        </w:rPr>
      </w:pPr>
      <w:r>
        <w:rPr>
          <w:b/>
          <w:sz w:val="24"/>
        </w:rPr>
        <w:t>Tubiello, F. N., Cóndor-Golec, R. D., Salvatore, M., Piersante, A., Sandro, F., Ferrara, A., Rossi, S., Flammini, A., Cardenas, P., Biancalani, R., Jacobs, H., Prasula P. y Prosperi P. 2015. </w:t>
      </w:r>
      <w:r>
        <w:rPr>
          <w:sz w:val="24"/>
        </w:rPr>
        <w:t>Estimación de emisiones de gases</w:t>
      </w:r>
      <w:r>
        <w:rPr>
          <w:spacing w:val="-8"/>
          <w:sz w:val="24"/>
        </w:rPr>
        <w:t> </w:t>
      </w:r>
      <w:r>
        <w:rPr>
          <w:sz w:val="24"/>
        </w:rPr>
        <w:t>de</w:t>
      </w:r>
      <w:r>
        <w:rPr>
          <w:spacing w:val="-8"/>
          <w:sz w:val="24"/>
        </w:rPr>
        <w:t> </w:t>
      </w:r>
      <w:r>
        <w:rPr>
          <w:sz w:val="24"/>
        </w:rPr>
        <w:t>efecto</w:t>
      </w:r>
      <w:r>
        <w:rPr>
          <w:spacing w:val="-8"/>
          <w:sz w:val="24"/>
        </w:rPr>
        <w:t> </w:t>
      </w:r>
      <w:r>
        <w:rPr>
          <w:sz w:val="24"/>
        </w:rPr>
        <w:t>invernadero</w:t>
      </w:r>
      <w:r>
        <w:rPr>
          <w:spacing w:val="-8"/>
          <w:sz w:val="24"/>
        </w:rPr>
        <w:t> </w:t>
      </w:r>
      <w:r>
        <w:rPr>
          <w:sz w:val="24"/>
        </w:rPr>
        <w:t>en</w:t>
      </w:r>
      <w:r>
        <w:rPr>
          <w:spacing w:val="-8"/>
          <w:sz w:val="24"/>
        </w:rPr>
        <w:t> </w:t>
      </w:r>
      <w:r>
        <w:rPr>
          <w:sz w:val="24"/>
        </w:rPr>
        <w:t>la</w:t>
      </w:r>
      <w:r>
        <w:rPr>
          <w:spacing w:val="-8"/>
          <w:sz w:val="24"/>
        </w:rPr>
        <w:t> </w:t>
      </w:r>
      <w:r>
        <w:rPr>
          <w:sz w:val="24"/>
        </w:rPr>
        <w:t>agricultura.</w:t>
      </w:r>
      <w:r>
        <w:rPr>
          <w:spacing w:val="-8"/>
          <w:sz w:val="24"/>
        </w:rPr>
        <w:t> </w:t>
      </w:r>
      <w:r>
        <w:rPr>
          <w:sz w:val="24"/>
        </w:rPr>
        <w:t>Un</w:t>
      </w:r>
      <w:r>
        <w:rPr>
          <w:spacing w:val="-8"/>
          <w:sz w:val="24"/>
        </w:rPr>
        <w:t> </w:t>
      </w:r>
      <w:r>
        <w:rPr>
          <w:sz w:val="24"/>
        </w:rPr>
        <w:t>manual</w:t>
      </w:r>
      <w:r>
        <w:rPr>
          <w:spacing w:val="-8"/>
          <w:sz w:val="24"/>
        </w:rPr>
        <w:t> </w:t>
      </w:r>
      <w:r>
        <w:rPr>
          <w:sz w:val="24"/>
        </w:rPr>
        <w:t>para</w:t>
      </w:r>
      <w:r>
        <w:rPr>
          <w:spacing w:val="-8"/>
          <w:sz w:val="24"/>
        </w:rPr>
        <w:t> </w:t>
      </w:r>
      <w:r>
        <w:rPr>
          <w:sz w:val="24"/>
        </w:rPr>
        <w:t>abordar</w:t>
      </w:r>
      <w:r>
        <w:rPr>
          <w:spacing w:val="-8"/>
          <w:sz w:val="24"/>
        </w:rPr>
        <w:t> </w:t>
      </w:r>
      <w:r>
        <w:rPr>
          <w:sz w:val="24"/>
        </w:rPr>
        <w:t>los</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pStyle w:val="BodyText"/>
        <w:spacing w:line="360" w:lineRule="auto" w:before="69"/>
        <w:ind w:left="1269" w:right="144"/>
        <w:jc w:val="both"/>
      </w:pPr>
      <w:r>
        <w:rPr/>
        <w:t>requisitos de los datos para los países en desarrollo. Organización de las Naciones Unidas para la Alimentación y la Agricultura. FAO. Roma, 2015. pp. 180. Disponible en: </w:t>
      </w:r>
      <w:hyperlink r:id="rId243">
        <w:r>
          <w:rPr>
            <w:color w:val="0000FF"/>
            <w:u w:val="single" w:color="0000FF"/>
          </w:rPr>
          <w:t>http://www.fao.org/3/a-i4260s.pdf</w:t>
        </w:r>
        <w:r>
          <w:rPr/>
          <w:t>.</w:t>
        </w:r>
      </w:hyperlink>
    </w:p>
    <w:p>
      <w:pPr>
        <w:spacing w:line="360" w:lineRule="auto" w:before="2"/>
        <w:ind w:left="1269" w:right="144" w:hanging="993"/>
        <w:jc w:val="both"/>
        <w:rPr>
          <w:sz w:val="24"/>
        </w:rPr>
      </w:pPr>
      <w:r>
        <w:rPr>
          <w:b/>
          <w:sz w:val="24"/>
        </w:rPr>
        <w:t>Ulyatt, M. J., Lassey, K. R., Shelton, I. D. and Walker, C. F. 2002a. </w:t>
      </w:r>
      <w:r>
        <w:rPr>
          <w:sz w:val="24"/>
        </w:rPr>
        <w:t>Methane emission from dairy cows and wether sheep fed subtropical grass- dominant pastures in midsummer in New Zealand. New Zeal. J. Agr.</w:t>
      </w:r>
      <w:r>
        <w:rPr>
          <w:spacing w:val="-44"/>
          <w:sz w:val="24"/>
        </w:rPr>
        <w:t> </w:t>
      </w:r>
      <w:r>
        <w:rPr>
          <w:sz w:val="24"/>
        </w:rPr>
        <w:t>Res., 45:</w:t>
      </w:r>
      <w:r>
        <w:rPr>
          <w:spacing w:val="-3"/>
          <w:sz w:val="24"/>
        </w:rPr>
        <w:t> </w:t>
      </w:r>
      <w:r>
        <w:rPr>
          <w:sz w:val="24"/>
        </w:rPr>
        <w:t>227-234.</w:t>
      </w:r>
    </w:p>
    <w:p>
      <w:pPr>
        <w:spacing w:line="360" w:lineRule="auto" w:before="2"/>
        <w:ind w:left="1269" w:right="144" w:hanging="993"/>
        <w:jc w:val="both"/>
        <w:rPr>
          <w:sz w:val="24"/>
        </w:rPr>
      </w:pPr>
      <w:r>
        <w:rPr>
          <w:b/>
          <w:sz w:val="24"/>
        </w:rPr>
        <w:t>Ulyatt, M. J., Lassey, K. R., Shelton, I. D. and Walker, C. F. 2002a. 2002b. </w:t>
      </w:r>
      <w:r>
        <w:rPr>
          <w:sz w:val="24"/>
        </w:rPr>
        <w:t>Seasonal variation in methane emission from dairy cows and breeding ewes grazing ryegrass/white clover pasture in New Zealand. New Zeal. J. Agr. Res., 45: 217-226.</w:t>
      </w:r>
    </w:p>
    <w:p>
      <w:pPr>
        <w:pStyle w:val="BodyText"/>
        <w:spacing w:line="360" w:lineRule="auto" w:before="2"/>
        <w:ind w:left="1269" w:right="143" w:hanging="993"/>
        <w:jc w:val="both"/>
      </w:pPr>
      <w:r>
        <w:rPr>
          <w:b/>
        </w:rPr>
        <w:t>UNFCCC, 2007. </w:t>
      </w:r>
      <w:r>
        <w:rPr/>
        <w:t>Unidos por el Clima. Convención Marco de las Naciones Unidas sobre el Cambio Climático. ONU. pp. 39. Disponible en: </w:t>
      </w:r>
      <w:hyperlink r:id="rId212">
        <w:r>
          <w:rPr/>
          <w:t>http://unfccc.int/resource/docs/publications/unitingonclimate_spa.pdf.</w:t>
        </w:r>
      </w:hyperlink>
    </w:p>
    <w:p>
      <w:pPr>
        <w:pStyle w:val="BodyText"/>
        <w:tabs>
          <w:tab w:pos="3021" w:val="left" w:leader="none"/>
          <w:tab w:pos="6721" w:val="left" w:leader="none"/>
          <w:tab w:pos="8780" w:val="left" w:leader="none"/>
        </w:tabs>
        <w:spacing w:line="360" w:lineRule="auto" w:before="2"/>
        <w:ind w:left="1269" w:right="144" w:hanging="993"/>
        <w:jc w:val="both"/>
      </w:pPr>
      <w:r>
        <w:rPr>
          <w:b/>
        </w:rPr>
        <w:t>UNFCCC, 2009. </w:t>
      </w:r>
      <w:r>
        <w:rPr/>
        <w:t>COP 15. Convención Marco sobre el Cambio Climático. Conferencia de las Partes Informe de la Conferencia de las Partes sobre su 15º período de sesiones, Copenhague. Organización de las Naciones Unidas.</w:t>
        <w:tab/>
        <w:t>FCCC/CP/2009/11/Add.1.</w:t>
        <w:tab/>
        <w:t>Disponible</w:t>
        <w:tab/>
        <w:t>en: </w:t>
      </w:r>
      <w:hyperlink r:id="rId244">
        <w:r>
          <w:rPr>
            <w:color w:val="0000FF"/>
            <w:u w:val="single" w:color="0000FF"/>
          </w:rPr>
          <w:t>http://unfccc.int/resource/docs/2009/cop15/spa/11a01s.pdf</w:t>
        </w:r>
        <w:r>
          <w:rPr/>
          <w:t>.</w:t>
        </w:r>
      </w:hyperlink>
    </w:p>
    <w:p>
      <w:pPr>
        <w:pStyle w:val="Heading6"/>
        <w:spacing w:before="2"/>
        <w:jc w:val="left"/>
      </w:pPr>
      <w:r>
        <w:rPr/>
        <w:t>Uwituze,</w:t>
      </w:r>
      <w:r>
        <w:rPr>
          <w:spacing w:val="-19"/>
        </w:rPr>
        <w:t> </w:t>
      </w:r>
      <w:r>
        <w:rPr/>
        <w:t>S.,</w:t>
      </w:r>
      <w:r>
        <w:rPr>
          <w:spacing w:val="-19"/>
        </w:rPr>
        <w:t> </w:t>
      </w:r>
      <w:r>
        <w:rPr/>
        <w:t>Parsons,</w:t>
      </w:r>
      <w:r>
        <w:rPr>
          <w:spacing w:val="-19"/>
        </w:rPr>
        <w:t> </w:t>
      </w:r>
      <w:r>
        <w:rPr/>
        <w:t>G.</w:t>
      </w:r>
      <w:r>
        <w:rPr>
          <w:spacing w:val="-19"/>
        </w:rPr>
        <w:t> </w:t>
      </w:r>
      <w:r>
        <w:rPr/>
        <w:t>L.,</w:t>
      </w:r>
      <w:r>
        <w:rPr>
          <w:spacing w:val="-19"/>
        </w:rPr>
        <w:t> </w:t>
      </w:r>
      <w:r>
        <w:rPr/>
        <w:t>Schneider,</w:t>
      </w:r>
      <w:r>
        <w:rPr>
          <w:spacing w:val="-19"/>
        </w:rPr>
        <w:t> </w:t>
      </w:r>
      <w:r>
        <w:rPr/>
        <w:t>C.</w:t>
      </w:r>
      <w:r>
        <w:rPr>
          <w:spacing w:val="-19"/>
        </w:rPr>
        <w:t> </w:t>
      </w:r>
      <w:r>
        <w:rPr/>
        <w:t>J.,</w:t>
      </w:r>
      <w:r>
        <w:rPr>
          <w:spacing w:val="-19"/>
        </w:rPr>
        <w:t> </w:t>
      </w:r>
      <w:r>
        <w:rPr/>
        <w:t>Karges,</w:t>
      </w:r>
      <w:r>
        <w:rPr>
          <w:spacing w:val="-19"/>
        </w:rPr>
        <w:t> </w:t>
      </w:r>
      <w:r>
        <w:rPr/>
        <w:t>K.</w:t>
      </w:r>
      <w:r>
        <w:rPr>
          <w:spacing w:val="-20"/>
        </w:rPr>
        <w:t> </w:t>
      </w:r>
      <w:r>
        <w:rPr/>
        <w:t>K.,</w:t>
      </w:r>
      <w:r>
        <w:rPr>
          <w:spacing w:val="-19"/>
        </w:rPr>
        <w:t> </w:t>
      </w:r>
      <w:r>
        <w:rPr/>
        <w:t>Gibson,</w:t>
      </w:r>
      <w:r>
        <w:rPr>
          <w:spacing w:val="-19"/>
        </w:rPr>
        <w:t> </w:t>
      </w:r>
      <w:r>
        <w:rPr/>
        <w:t>M.</w:t>
      </w:r>
      <w:r>
        <w:rPr>
          <w:spacing w:val="-19"/>
        </w:rPr>
        <w:t> </w:t>
      </w:r>
      <w:r>
        <w:rPr/>
        <w:t>L.,</w:t>
      </w:r>
      <w:r>
        <w:rPr>
          <w:spacing w:val="-19"/>
        </w:rPr>
        <w:t> </w:t>
      </w:r>
      <w:r>
        <w:rPr/>
        <w:t>Hollis,</w:t>
      </w:r>
    </w:p>
    <w:p>
      <w:pPr>
        <w:spacing w:line="360" w:lineRule="auto" w:before="137"/>
        <w:ind w:left="1269" w:right="145" w:firstLine="0"/>
        <w:jc w:val="both"/>
        <w:rPr>
          <w:sz w:val="24"/>
        </w:rPr>
      </w:pPr>
      <w:r>
        <w:rPr>
          <w:b/>
          <w:sz w:val="24"/>
        </w:rPr>
        <w:t>L. C., Hig- gins, J. J. y Drouillard, J. S. 2011. </w:t>
      </w:r>
      <w:r>
        <w:rPr>
          <w:sz w:val="24"/>
        </w:rPr>
        <w:t>Evaluation of sulphur content of dried distillers grains with solubles in finishing diets based on steam-flaked corn or dry-rolled corn. J. Anim. Sci. 89: 2582–2591.</w:t>
      </w:r>
    </w:p>
    <w:p>
      <w:pPr>
        <w:spacing w:line="360" w:lineRule="auto" w:before="2"/>
        <w:ind w:left="1269" w:right="144" w:hanging="993"/>
        <w:jc w:val="both"/>
        <w:rPr>
          <w:sz w:val="24"/>
        </w:rPr>
      </w:pPr>
      <w:r>
        <w:rPr>
          <w:b/>
          <w:sz w:val="24"/>
        </w:rPr>
        <w:t>Van Soest, P. J. 1994. </w:t>
      </w:r>
      <w:r>
        <w:rPr>
          <w:sz w:val="24"/>
        </w:rPr>
        <w:t>Nutritional Ecology of the Ruminant. Ithaca, N.Y., Cornell University Press.</w:t>
      </w:r>
    </w:p>
    <w:p>
      <w:pPr>
        <w:pStyle w:val="Heading6"/>
        <w:spacing w:before="2"/>
        <w:jc w:val="left"/>
      </w:pPr>
      <w:r>
        <w:rPr/>
        <w:t>Van Zijderveld, S. M., Gerrits, W. J. J., Dijkstra, J., Newbold, J. R., Hulshof,  R.</w:t>
      </w:r>
    </w:p>
    <w:p>
      <w:pPr>
        <w:pStyle w:val="BodyText"/>
        <w:spacing w:line="360" w:lineRule="auto" w:before="141"/>
        <w:ind w:left="1269" w:right="144"/>
        <w:jc w:val="both"/>
      </w:pPr>
      <w:r>
        <w:rPr>
          <w:b/>
        </w:rPr>
        <w:t>B. A. y Perdok, H. B. 2011. </w:t>
      </w:r>
      <w:r>
        <w:rPr/>
        <w:t>Persistency of methane mitigation by dietary nitrate supplementation in dairy cows. J. Dairy Sci. 94: 4028–4038.</w:t>
      </w:r>
    </w:p>
    <w:p>
      <w:pPr>
        <w:spacing w:line="360" w:lineRule="auto" w:before="2"/>
        <w:ind w:left="1269" w:right="144" w:hanging="993"/>
        <w:jc w:val="both"/>
        <w:rPr>
          <w:sz w:val="24"/>
        </w:rPr>
      </w:pPr>
      <w:r>
        <w:rPr>
          <w:b/>
          <w:sz w:val="24"/>
        </w:rPr>
        <w:t>Wilkerson, V. A., Casper, D. P. and Mertens, D. R. 1995. </w:t>
      </w:r>
      <w:r>
        <w:rPr>
          <w:sz w:val="24"/>
        </w:rPr>
        <w:t>The prediction of methane production of Holstein cows by several equations. J. Dairy Sci., 78: 2402-2414.</w:t>
      </w:r>
    </w:p>
    <w:p>
      <w:pPr>
        <w:spacing w:after="0" w:line="360" w:lineRule="auto"/>
        <w:jc w:val="both"/>
        <w:rPr>
          <w:sz w:val="24"/>
        </w:rPr>
        <w:sectPr>
          <w:pgSz w:w="12240" w:h="15840"/>
          <w:pgMar w:header="741" w:footer="739" w:top="1220" w:bottom="920" w:left="1720" w:right="1260"/>
        </w:sectPr>
      </w:pPr>
    </w:p>
    <w:p>
      <w:pPr>
        <w:pStyle w:val="BodyText"/>
        <w:spacing w:before="4"/>
        <w:rPr>
          <w:sz w:val="11"/>
        </w:rPr>
      </w:pPr>
    </w:p>
    <w:p>
      <w:pPr>
        <w:spacing w:line="362" w:lineRule="auto" w:before="69"/>
        <w:ind w:left="1269" w:right="144" w:hanging="993"/>
        <w:jc w:val="both"/>
        <w:rPr>
          <w:sz w:val="24"/>
        </w:rPr>
      </w:pPr>
      <w:r>
        <w:rPr>
          <w:b/>
          <w:sz w:val="24"/>
        </w:rPr>
        <w:t>Wolin,</w:t>
      </w:r>
      <w:r>
        <w:rPr>
          <w:b/>
          <w:spacing w:val="-9"/>
          <w:sz w:val="24"/>
        </w:rPr>
        <w:t> </w:t>
      </w:r>
      <w:r>
        <w:rPr>
          <w:b/>
          <w:sz w:val="24"/>
        </w:rPr>
        <w:t>M.J.</w:t>
      </w:r>
      <w:r>
        <w:rPr>
          <w:b/>
          <w:spacing w:val="-9"/>
          <w:sz w:val="24"/>
        </w:rPr>
        <w:t> </w:t>
      </w:r>
      <w:r>
        <w:rPr>
          <w:b/>
          <w:sz w:val="24"/>
        </w:rPr>
        <w:t>1960.</w:t>
      </w:r>
      <w:r>
        <w:rPr>
          <w:b/>
          <w:spacing w:val="-9"/>
          <w:sz w:val="24"/>
        </w:rPr>
        <w:t> </w:t>
      </w:r>
      <w:r>
        <w:rPr>
          <w:sz w:val="24"/>
        </w:rPr>
        <w:t>A</w:t>
      </w:r>
      <w:r>
        <w:rPr>
          <w:spacing w:val="-9"/>
          <w:sz w:val="24"/>
        </w:rPr>
        <w:t> </w:t>
      </w:r>
      <w:r>
        <w:rPr>
          <w:sz w:val="24"/>
        </w:rPr>
        <w:t>theoretical</w:t>
      </w:r>
      <w:r>
        <w:rPr>
          <w:spacing w:val="-9"/>
          <w:sz w:val="24"/>
        </w:rPr>
        <w:t> </w:t>
      </w:r>
      <w:r>
        <w:rPr>
          <w:sz w:val="24"/>
        </w:rPr>
        <w:t>rumen</w:t>
      </w:r>
      <w:r>
        <w:rPr>
          <w:spacing w:val="-9"/>
          <w:sz w:val="24"/>
        </w:rPr>
        <w:t> </w:t>
      </w:r>
      <w:r>
        <w:rPr>
          <w:sz w:val="24"/>
        </w:rPr>
        <w:t>fermentation</w:t>
      </w:r>
      <w:r>
        <w:rPr>
          <w:spacing w:val="-9"/>
          <w:sz w:val="24"/>
        </w:rPr>
        <w:t> </w:t>
      </w:r>
      <w:r>
        <w:rPr>
          <w:sz w:val="24"/>
        </w:rPr>
        <w:t>balance.</w:t>
      </w:r>
      <w:r>
        <w:rPr>
          <w:spacing w:val="-9"/>
          <w:sz w:val="24"/>
        </w:rPr>
        <w:t> </w:t>
      </w:r>
      <w:r>
        <w:rPr>
          <w:sz w:val="24"/>
        </w:rPr>
        <w:t>J.</w:t>
      </w:r>
      <w:r>
        <w:rPr>
          <w:spacing w:val="-9"/>
          <w:sz w:val="24"/>
        </w:rPr>
        <w:t> </w:t>
      </w:r>
      <w:r>
        <w:rPr>
          <w:sz w:val="24"/>
        </w:rPr>
        <w:t>Dairy</w:t>
      </w:r>
      <w:r>
        <w:rPr>
          <w:spacing w:val="-9"/>
          <w:sz w:val="24"/>
        </w:rPr>
        <w:t> </w:t>
      </w:r>
      <w:r>
        <w:rPr>
          <w:sz w:val="24"/>
        </w:rPr>
        <w:t>Sci.</w:t>
      </w:r>
      <w:r>
        <w:rPr>
          <w:spacing w:val="-9"/>
          <w:sz w:val="24"/>
        </w:rPr>
        <w:t> </w:t>
      </w:r>
      <w:r>
        <w:rPr>
          <w:sz w:val="24"/>
        </w:rPr>
        <w:t>40:</w:t>
      </w:r>
      <w:r>
        <w:rPr>
          <w:spacing w:val="-9"/>
          <w:sz w:val="24"/>
        </w:rPr>
        <w:t> </w:t>
      </w:r>
      <w:r>
        <w:rPr>
          <w:sz w:val="24"/>
        </w:rPr>
        <w:t>1452– 1459.</w:t>
      </w:r>
    </w:p>
    <w:p>
      <w:pPr>
        <w:spacing w:before="0"/>
        <w:ind w:left="276" w:right="0" w:firstLine="0"/>
        <w:jc w:val="left"/>
        <w:rPr>
          <w:sz w:val="24"/>
        </w:rPr>
      </w:pPr>
      <w:r>
        <w:rPr>
          <w:b/>
          <w:sz w:val="24"/>
        </w:rPr>
        <w:t>Wuebbles, D. J. and K. Hayhoe. 2002. </w:t>
      </w:r>
      <w:r>
        <w:rPr>
          <w:sz w:val="24"/>
        </w:rPr>
        <w:t>Atmospheric methane and global  change.</w:t>
      </w:r>
    </w:p>
    <w:p>
      <w:pPr>
        <w:pStyle w:val="BodyText"/>
        <w:spacing w:before="137"/>
        <w:ind w:left="1269"/>
      </w:pPr>
      <w:r>
        <w:rPr/>
        <w:t>Earth-Sci. Rev. 57: 177-210.</w:t>
      </w:r>
    </w:p>
    <w:p>
      <w:pPr>
        <w:spacing w:line="360" w:lineRule="auto" w:before="137"/>
        <w:ind w:left="1269" w:right="144" w:hanging="993"/>
        <w:jc w:val="both"/>
        <w:rPr>
          <w:sz w:val="24"/>
        </w:rPr>
      </w:pPr>
      <w:r>
        <w:rPr>
          <w:b/>
          <w:sz w:val="24"/>
        </w:rPr>
        <w:t>Yan, T., Agnew, R. E., Gordon, F. J. y Porter, M. G. 2000. </w:t>
      </w:r>
      <w:r>
        <w:rPr>
          <w:sz w:val="24"/>
        </w:rPr>
        <w:t>Prediction of methane energy output in dairy and beef cattle offered grass silage-based diets. Livest. Prod. Sci. 64: 253–263.</w:t>
      </w:r>
    </w:p>
    <w:p>
      <w:pPr>
        <w:spacing w:line="360" w:lineRule="auto" w:before="2"/>
        <w:ind w:left="1269" w:right="145" w:hanging="993"/>
        <w:jc w:val="both"/>
        <w:rPr>
          <w:sz w:val="24"/>
        </w:rPr>
      </w:pPr>
      <w:r>
        <w:rPr>
          <w:b/>
          <w:sz w:val="24"/>
        </w:rPr>
        <w:t>Zúñiga-González, N., Martínez, O. R. E., Puente, B. J. J., Espinosa, A. E., Hernández, G. P. A. y Brunett, P. L. 2015. </w:t>
      </w:r>
      <w:r>
        <w:rPr>
          <w:sz w:val="24"/>
        </w:rPr>
        <w:t>Métodos para la estimación de la emisión de metano entérico en bovinos. Estudios Socioeconómicos y Ambientales de la Ganadería. Universidad Autónoma de Chapingo. México. pp. 440-547.</w:t>
      </w:r>
    </w:p>
    <w:p>
      <w:pPr>
        <w:spacing w:after="0" w:line="360" w:lineRule="auto"/>
        <w:jc w:val="both"/>
        <w:rPr>
          <w:sz w:val="24"/>
        </w:rPr>
        <w:sectPr>
          <w:footerReference w:type="default" r:id="rId245"/>
          <w:pgSz w:w="12240" w:h="15840"/>
          <w:pgMar w:footer="739" w:header="741" w:top="1220" w:bottom="920" w:left="1720" w:right="1260"/>
        </w:sectPr>
      </w:pPr>
    </w:p>
    <w:p>
      <w:pPr>
        <w:pStyle w:val="BodyText"/>
        <w:spacing w:before="1"/>
        <w:rPr>
          <w:sz w:val="26"/>
        </w:rPr>
      </w:pPr>
    </w:p>
    <w:p>
      <w:pPr>
        <w:pStyle w:val="BodyText"/>
        <w:ind w:left="1433"/>
        <w:rPr>
          <w:sz w:val="20"/>
        </w:rPr>
      </w:pPr>
      <w:r>
        <w:rPr>
          <w:sz w:val="20"/>
        </w:rPr>
        <w:pict>
          <v:group style="width:412.1pt;height:155.050pt;mso-position-horizontal-relative:char;mso-position-vertical-relative:line" coordorigin="0,0" coordsize="8242,3101">
            <v:shape style="position:absolute;left:0;top:0;width:8242;height:3101" type="#_x0000_t75" stroked="false">
              <v:imagedata r:id="rId247" o:title=""/>
            </v:shape>
            <v:shape style="position:absolute;left:432;top:5;width:206;height:557" type="#_x0000_t75" stroked="false">
              <v:imagedata r:id="rId15" o:title=""/>
            </v:shape>
            <v:shape style="position:absolute;left:710;top:5;width:206;height:557" type="#_x0000_t75" stroked="false">
              <v:imagedata r:id="rId22" o:title=""/>
            </v:shape>
            <v:shape style="position:absolute;left:0;top:0;width:8242;height:3101" type="#_x0000_t202" filled="false" stroked="false">
              <v:textbox inset="0,0,0,0">
                <w:txbxContent>
                  <w:p>
                    <w:pPr>
                      <w:spacing w:line="240" w:lineRule="auto" w:before="0"/>
                      <w:rPr>
                        <w:sz w:val="47"/>
                      </w:rPr>
                    </w:pPr>
                  </w:p>
                  <w:p>
                    <w:pPr>
                      <w:spacing w:line="240" w:lineRule="auto" w:before="0"/>
                      <w:ind w:left="542" w:right="134" w:firstLine="244"/>
                      <w:jc w:val="right"/>
                      <w:rPr>
                        <w:sz w:val="38"/>
                      </w:rPr>
                    </w:pPr>
                    <w:r>
                      <w:rPr>
                        <w:color w:val="632423"/>
                        <w:w w:val="75"/>
                        <w:sz w:val="38"/>
                      </w:rPr>
                      <w:t>Las</w:t>
                    </w:r>
                    <w:r>
                      <w:rPr>
                        <w:color w:val="632423"/>
                        <w:spacing w:val="-18"/>
                        <w:w w:val="75"/>
                        <w:sz w:val="38"/>
                      </w:rPr>
                      <w:t> </w:t>
                    </w:r>
                    <w:r>
                      <w:rPr>
                        <w:color w:val="632423"/>
                        <w:w w:val="75"/>
                        <w:sz w:val="38"/>
                      </w:rPr>
                      <w:t>emisiones</w:t>
                    </w:r>
                    <w:r>
                      <w:rPr>
                        <w:color w:val="632423"/>
                        <w:spacing w:val="-18"/>
                        <w:w w:val="75"/>
                        <w:sz w:val="38"/>
                      </w:rPr>
                      <w:t> </w:t>
                    </w:r>
                    <w:r>
                      <w:rPr>
                        <w:color w:val="632423"/>
                        <w:w w:val="75"/>
                        <w:sz w:val="38"/>
                      </w:rPr>
                      <w:t>de</w:t>
                    </w:r>
                    <w:r>
                      <w:rPr>
                        <w:color w:val="632423"/>
                        <w:spacing w:val="-19"/>
                        <w:w w:val="75"/>
                        <w:sz w:val="38"/>
                      </w:rPr>
                      <w:t> </w:t>
                    </w:r>
                    <w:r>
                      <w:rPr>
                        <w:color w:val="632423"/>
                        <w:w w:val="75"/>
                        <w:sz w:val="38"/>
                      </w:rPr>
                      <w:t>GEI</w:t>
                    </w:r>
                    <w:r>
                      <w:rPr>
                        <w:color w:val="632423"/>
                        <w:spacing w:val="-17"/>
                        <w:w w:val="75"/>
                        <w:sz w:val="38"/>
                      </w:rPr>
                      <w:t> </w:t>
                    </w:r>
                    <w:r>
                      <w:rPr>
                        <w:color w:val="632423"/>
                        <w:w w:val="75"/>
                        <w:sz w:val="38"/>
                      </w:rPr>
                      <w:t>estimadas</w:t>
                    </w:r>
                    <w:r>
                      <w:rPr>
                        <w:color w:val="632423"/>
                        <w:spacing w:val="-18"/>
                        <w:w w:val="75"/>
                        <w:sz w:val="38"/>
                      </w:rPr>
                      <w:t> </w:t>
                    </w:r>
                    <w:r>
                      <w:rPr>
                        <w:color w:val="632423"/>
                        <w:w w:val="75"/>
                        <w:sz w:val="38"/>
                      </w:rPr>
                      <w:t>son</w:t>
                    </w:r>
                    <w:r>
                      <w:rPr>
                        <w:color w:val="632423"/>
                        <w:spacing w:val="-18"/>
                        <w:w w:val="75"/>
                        <w:sz w:val="38"/>
                      </w:rPr>
                      <w:t> </w:t>
                    </w:r>
                    <w:r>
                      <w:rPr>
                        <w:color w:val="632423"/>
                        <w:w w:val="75"/>
                        <w:sz w:val="38"/>
                      </w:rPr>
                      <w:t>de</w:t>
                    </w:r>
                    <w:r>
                      <w:rPr>
                        <w:color w:val="632423"/>
                        <w:spacing w:val="-19"/>
                        <w:w w:val="75"/>
                        <w:sz w:val="38"/>
                      </w:rPr>
                      <w:t> </w:t>
                    </w:r>
                    <w:r>
                      <w:rPr>
                        <w:color w:val="632423"/>
                        <w:w w:val="75"/>
                        <w:sz w:val="38"/>
                      </w:rPr>
                      <w:t>7.1</w:t>
                    </w:r>
                    <w:r>
                      <w:rPr>
                        <w:color w:val="632423"/>
                        <w:spacing w:val="-16"/>
                        <w:w w:val="75"/>
                        <w:sz w:val="38"/>
                      </w:rPr>
                      <w:t> </w:t>
                    </w:r>
                    <w:r>
                      <w:rPr>
                        <w:color w:val="632423"/>
                        <w:w w:val="75"/>
                        <w:sz w:val="38"/>
                      </w:rPr>
                      <w:t>GT</w:t>
                    </w:r>
                    <w:r>
                      <w:rPr>
                        <w:color w:val="632423"/>
                        <w:spacing w:val="-19"/>
                        <w:w w:val="75"/>
                        <w:sz w:val="38"/>
                      </w:rPr>
                      <w:t> </w:t>
                    </w:r>
                    <w:r>
                      <w:rPr>
                        <w:color w:val="632423"/>
                        <w:w w:val="75"/>
                        <w:sz w:val="38"/>
                      </w:rPr>
                      <w:t>de</w:t>
                    </w:r>
                    <w:r>
                      <w:rPr>
                        <w:color w:val="632423"/>
                        <w:spacing w:val="-19"/>
                        <w:w w:val="75"/>
                        <w:sz w:val="38"/>
                      </w:rPr>
                      <w:t> </w:t>
                    </w:r>
                    <w:r>
                      <w:rPr>
                        <w:color w:val="632423"/>
                        <w:w w:val="75"/>
                        <w:sz w:val="38"/>
                      </w:rPr>
                      <w:t>CO</w:t>
                    </w:r>
                    <w:r>
                      <w:rPr>
                        <w:color w:val="632423"/>
                        <w:w w:val="75"/>
                        <w:position w:val="-3"/>
                        <w:sz w:val="25"/>
                      </w:rPr>
                      <w:t>2</w:t>
                    </w:r>
                    <w:r>
                      <w:rPr>
                        <w:color w:val="632423"/>
                        <w:w w:val="75"/>
                        <w:sz w:val="38"/>
                      </w:rPr>
                      <w:t>-eq</w:t>
                    </w:r>
                    <w:r>
                      <w:rPr>
                        <w:color w:val="632423"/>
                        <w:spacing w:val="-1"/>
                        <w:w w:val="74"/>
                        <w:sz w:val="38"/>
                      </w:rPr>
                      <w:t> </w:t>
                    </w:r>
                    <w:r>
                      <w:rPr>
                        <w:color w:val="632423"/>
                        <w:w w:val="80"/>
                        <w:sz w:val="38"/>
                      </w:rPr>
                      <w:t>por</w:t>
                    </w:r>
                    <w:r>
                      <w:rPr>
                        <w:color w:val="632423"/>
                        <w:spacing w:val="-51"/>
                        <w:w w:val="80"/>
                        <w:sz w:val="38"/>
                      </w:rPr>
                      <w:t> </w:t>
                    </w:r>
                    <w:r>
                      <w:rPr>
                        <w:color w:val="632423"/>
                        <w:w w:val="80"/>
                        <w:sz w:val="38"/>
                      </w:rPr>
                      <w:t>año,</w:t>
                    </w:r>
                    <w:r>
                      <w:rPr>
                        <w:color w:val="632423"/>
                        <w:spacing w:val="-51"/>
                        <w:w w:val="80"/>
                        <w:sz w:val="38"/>
                      </w:rPr>
                      <w:t> </w:t>
                    </w:r>
                    <w:r>
                      <w:rPr>
                        <w:color w:val="632423"/>
                        <w:w w:val="80"/>
                        <w:sz w:val="38"/>
                      </w:rPr>
                      <w:t>representando</w:t>
                    </w:r>
                    <w:r>
                      <w:rPr>
                        <w:color w:val="632423"/>
                        <w:spacing w:val="-50"/>
                        <w:w w:val="80"/>
                        <w:sz w:val="38"/>
                      </w:rPr>
                      <w:t> </w:t>
                    </w:r>
                    <w:r>
                      <w:rPr>
                        <w:color w:val="632423"/>
                        <w:w w:val="80"/>
                        <w:sz w:val="38"/>
                      </w:rPr>
                      <w:t>el</w:t>
                    </w:r>
                    <w:r>
                      <w:rPr>
                        <w:color w:val="632423"/>
                        <w:spacing w:val="-49"/>
                        <w:w w:val="80"/>
                        <w:sz w:val="38"/>
                      </w:rPr>
                      <w:t> </w:t>
                    </w:r>
                    <w:r>
                      <w:rPr>
                        <w:color w:val="632423"/>
                        <w:w w:val="80"/>
                        <w:sz w:val="38"/>
                      </w:rPr>
                      <w:t>14.5%</w:t>
                    </w:r>
                    <w:r>
                      <w:rPr>
                        <w:color w:val="632423"/>
                        <w:spacing w:val="-51"/>
                        <w:w w:val="80"/>
                        <w:sz w:val="38"/>
                      </w:rPr>
                      <w:t> </w:t>
                    </w:r>
                    <w:r>
                      <w:rPr>
                        <w:color w:val="632423"/>
                        <w:w w:val="80"/>
                        <w:sz w:val="38"/>
                      </w:rPr>
                      <w:t>de</w:t>
                    </w:r>
                    <w:r>
                      <w:rPr>
                        <w:color w:val="632423"/>
                        <w:spacing w:val="-51"/>
                        <w:w w:val="80"/>
                        <w:sz w:val="38"/>
                      </w:rPr>
                      <w:t> </w:t>
                    </w:r>
                    <w:r>
                      <w:rPr>
                        <w:color w:val="632423"/>
                        <w:w w:val="80"/>
                        <w:sz w:val="38"/>
                      </w:rPr>
                      <w:t>las</w:t>
                    </w:r>
                    <w:r>
                      <w:rPr>
                        <w:color w:val="632423"/>
                        <w:spacing w:val="-50"/>
                        <w:w w:val="80"/>
                        <w:sz w:val="38"/>
                      </w:rPr>
                      <w:t> </w:t>
                    </w:r>
                    <w:r>
                      <w:rPr>
                        <w:color w:val="632423"/>
                        <w:w w:val="80"/>
                        <w:sz w:val="38"/>
                      </w:rPr>
                      <w:t>emisiones</w:t>
                    </w:r>
                    <w:r>
                      <w:rPr>
                        <w:color w:val="632423"/>
                        <w:spacing w:val="-50"/>
                        <w:w w:val="80"/>
                        <w:sz w:val="38"/>
                      </w:rPr>
                      <w:t> </w:t>
                    </w:r>
                    <w:r>
                      <w:rPr>
                        <w:color w:val="632423"/>
                        <w:w w:val="80"/>
                        <w:sz w:val="38"/>
                      </w:rPr>
                      <w:t>de</w:t>
                    </w:r>
                    <w:r>
                      <w:rPr>
                        <w:color w:val="632423"/>
                        <w:spacing w:val="-51"/>
                        <w:w w:val="80"/>
                        <w:sz w:val="38"/>
                      </w:rPr>
                      <w:t> </w:t>
                    </w:r>
                    <w:r>
                      <w:rPr>
                        <w:color w:val="632423"/>
                        <w:w w:val="80"/>
                        <w:sz w:val="38"/>
                      </w:rPr>
                      <w:t>GEI</w:t>
                    </w:r>
                    <w:r>
                      <w:rPr>
                        <w:color w:val="632423"/>
                        <w:w w:val="71"/>
                        <w:sz w:val="38"/>
                      </w:rPr>
                      <w:t> </w:t>
                    </w:r>
                    <w:r>
                      <w:rPr>
                        <w:color w:val="632423"/>
                        <w:w w:val="80"/>
                        <w:sz w:val="38"/>
                      </w:rPr>
                      <w:t>inducidas</w:t>
                    </w:r>
                    <w:r>
                      <w:rPr>
                        <w:color w:val="632423"/>
                        <w:spacing w:val="-40"/>
                        <w:w w:val="80"/>
                        <w:sz w:val="38"/>
                      </w:rPr>
                      <w:t> </w:t>
                    </w:r>
                    <w:r>
                      <w:rPr>
                        <w:color w:val="632423"/>
                        <w:w w:val="80"/>
                        <w:sz w:val="38"/>
                      </w:rPr>
                      <w:t>por</w:t>
                    </w:r>
                    <w:r>
                      <w:rPr>
                        <w:color w:val="632423"/>
                        <w:spacing w:val="-41"/>
                        <w:w w:val="80"/>
                        <w:sz w:val="38"/>
                      </w:rPr>
                      <w:t> </w:t>
                    </w:r>
                    <w:r>
                      <w:rPr>
                        <w:color w:val="632423"/>
                        <w:w w:val="80"/>
                        <w:sz w:val="38"/>
                      </w:rPr>
                      <w:t>el</w:t>
                    </w:r>
                    <w:r>
                      <w:rPr>
                        <w:color w:val="632423"/>
                        <w:spacing w:val="-41"/>
                        <w:w w:val="80"/>
                        <w:sz w:val="38"/>
                      </w:rPr>
                      <w:t> </w:t>
                    </w:r>
                    <w:r>
                      <w:rPr>
                        <w:color w:val="632423"/>
                        <w:w w:val="80"/>
                        <w:sz w:val="38"/>
                      </w:rPr>
                      <w:t>ser</w:t>
                    </w:r>
                    <w:r>
                      <w:rPr>
                        <w:color w:val="632423"/>
                        <w:spacing w:val="-41"/>
                        <w:w w:val="80"/>
                        <w:sz w:val="38"/>
                      </w:rPr>
                      <w:t> </w:t>
                    </w:r>
                    <w:r>
                      <w:rPr>
                        <w:color w:val="632423"/>
                        <w:w w:val="80"/>
                        <w:sz w:val="38"/>
                      </w:rPr>
                      <w:t>humano,</w:t>
                    </w:r>
                    <w:r>
                      <w:rPr>
                        <w:color w:val="632423"/>
                        <w:spacing w:val="-42"/>
                        <w:w w:val="80"/>
                        <w:sz w:val="38"/>
                      </w:rPr>
                      <w:t> </w:t>
                    </w:r>
                    <w:r>
                      <w:rPr>
                        <w:color w:val="632423"/>
                        <w:w w:val="80"/>
                        <w:sz w:val="38"/>
                      </w:rPr>
                      <w:t>por</w:t>
                    </w:r>
                    <w:r>
                      <w:rPr>
                        <w:color w:val="632423"/>
                        <w:spacing w:val="-39"/>
                        <w:w w:val="80"/>
                        <w:sz w:val="38"/>
                      </w:rPr>
                      <w:t> </w:t>
                    </w:r>
                    <w:r>
                      <w:rPr>
                        <w:color w:val="632423"/>
                        <w:w w:val="80"/>
                        <w:sz w:val="38"/>
                      </w:rPr>
                      <w:t>lo</w:t>
                    </w:r>
                    <w:r>
                      <w:rPr>
                        <w:color w:val="632423"/>
                        <w:spacing w:val="-40"/>
                        <w:w w:val="80"/>
                        <w:sz w:val="38"/>
                      </w:rPr>
                      <w:t> </w:t>
                    </w:r>
                    <w:r>
                      <w:rPr>
                        <w:color w:val="632423"/>
                        <w:w w:val="80"/>
                        <w:sz w:val="38"/>
                      </w:rPr>
                      <w:t>que</w:t>
                    </w:r>
                    <w:r>
                      <w:rPr>
                        <w:color w:val="632423"/>
                        <w:spacing w:val="-41"/>
                        <w:w w:val="80"/>
                        <w:sz w:val="38"/>
                      </w:rPr>
                      <w:t> </w:t>
                    </w:r>
                    <w:r>
                      <w:rPr>
                        <w:color w:val="632423"/>
                        <w:w w:val="80"/>
                        <w:sz w:val="38"/>
                      </w:rPr>
                      <w:t>el</w:t>
                    </w:r>
                    <w:r>
                      <w:rPr>
                        <w:color w:val="632423"/>
                        <w:spacing w:val="-41"/>
                        <w:w w:val="80"/>
                        <w:sz w:val="38"/>
                      </w:rPr>
                      <w:t> </w:t>
                    </w:r>
                    <w:r>
                      <w:rPr>
                        <w:color w:val="632423"/>
                        <w:w w:val="80"/>
                        <w:sz w:val="38"/>
                      </w:rPr>
                      <w:t>sector</w:t>
                    </w:r>
                    <w:r>
                      <w:rPr>
                        <w:color w:val="632423"/>
                        <w:spacing w:val="-41"/>
                        <w:w w:val="80"/>
                        <w:sz w:val="38"/>
                      </w:rPr>
                      <w:t> </w:t>
                    </w:r>
                    <w:r>
                      <w:rPr>
                        <w:color w:val="632423"/>
                        <w:w w:val="80"/>
                        <w:sz w:val="38"/>
                      </w:rPr>
                      <w:t>ganadero</w:t>
                    </w:r>
                    <w:r>
                      <w:rPr>
                        <w:color w:val="632423"/>
                        <w:spacing w:val="-1"/>
                        <w:w w:val="79"/>
                        <w:sz w:val="38"/>
                      </w:rPr>
                      <w:t> </w:t>
                    </w:r>
                    <w:r>
                      <w:rPr>
                        <w:color w:val="632423"/>
                        <w:w w:val="80"/>
                        <w:sz w:val="38"/>
                      </w:rPr>
                      <w:t>incide</w:t>
                    </w:r>
                    <w:r>
                      <w:rPr>
                        <w:color w:val="632423"/>
                        <w:spacing w:val="-56"/>
                        <w:w w:val="80"/>
                        <w:sz w:val="38"/>
                      </w:rPr>
                      <w:t> </w:t>
                    </w:r>
                    <w:r>
                      <w:rPr>
                        <w:color w:val="632423"/>
                        <w:w w:val="80"/>
                        <w:sz w:val="38"/>
                      </w:rPr>
                      <w:t>de</w:t>
                    </w:r>
                    <w:r>
                      <w:rPr>
                        <w:color w:val="632423"/>
                        <w:spacing w:val="-56"/>
                        <w:w w:val="80"/>
                        <w:sz w:val="38"/>
                      </w:rPr>
                      <w:t> </w:t>
                    </w:r>
                    <w:r>
                      <w:rPr>
                        <w:color w:val="632423"/>
                        <w:w w:val="80"/>
                        <w:sz w:val="38"/>
                      </w:rPr>
                      <w:t>manera</w:t>
                    </w:r>
                    <w:r>
                      <w:rPr>
                        <w:color w:val="632423"/>
                        <w:spacing w:val="-56"/>
                        <w:w w:val="80"/>
                        <w:sz w:val="38"/>
                      </w:rPr>
                      <w:t> </w:t>
                    </w:r>
                    <w:r>
                      <w:rPr>
                        <w:color w:val="632423"/>
                        <w:w w:val="80"/>
                        <w:sz w:val="38"/>
                      </w:rPr>
                      <w:t>importante</w:t>
                    </w:r>
                    <w:r>
                      <w:rPr>
                        <w:color w:val="632423"/>
                        <w:spacing w:val="-55"/>
                        <w:w w:val="80"/>
                        <w:sz w:val="38"/>
                      </w:rPr>
                      <w:t> </w:t>
                    </w:r>
                    <w:r>
                      <w:rPr>
                        <w:color w:val="632423"/>
                        <w:w w:val="80"/>
                        <w:sz w:val="38"/>
                      </w:rPr>
                      <w:t>en</w:t>
                    </w:r>
                    <w:r>
                      <w:rPr>
                        <w:color w:val="632423"/>
                        <w:spacing w:val="-56"/>
                        <w:w w:val="80"/>
                        <w:sz w:val="38"/>
                      </w:rPr>
                      <w:t> </w:t>
                    </w:r>
                    <w:r>
                      <w:rPr>
                        <w:color w:val="632423"/>
                        <w:w w:val="80"/>
                        <w:sz w:val="38"/>
                      </w:rPr>
                      <w:t>el</w:t>
                    </w:r>
                    <w:r>
                      <w:rPr>
                        <w:color w:val="632423"/>
                        <w:spacing w:val="-56"/>
                        <w:w w:val="80"/>
                        <w:sz w:val="38"/>
                      </w:rPr>
                      <w:t> </w:t>
                    </w:r>
                    <w:r>
                      <w:rPr>
                        <w:color w:val="632423"/>
                        <w:w w:val="80"/>
                        <w:sz w:val="38"/>
                      </w:rPr>
                      <w:t>cambio</w:t>
                    </w:r>
                    <w:r>
                      <w:rPr>
                        <w:color w:val="632423"/>
                        <w:spacing w:val="-56"/>
                        <w:w w:val="80"/>
                        <w:sz w:val="38"/>
                      </w:rPr>
                      <w:t> </w:t>
                    </w:r>
                    <w:r>
                      <w:rPr>
                        <w:color w:val="632423"/>
                        <w:w w:val="80"/>
                        <w:sz w:val="38"/>
                      </w:rPr>
                      <w:t>climático”.</w:t>
                    </w:r>
                  </w:p>
                  <w:p>
                    <w:pPr>
                      <w:spacing w:before="239"/>
                      <w:ind w:left="0" w:right="140" w:firstLine="0"/>
                      <w:jc w:val="right"/>
                      <w:rPr>
                        <w:sz w:val="23"/>
                      </w:rPr>
                    </w:pPr>
                    <w:r>
                      <w:rPr>
                        <w:color w:val="632423"/>
                        <w:w w:val="90"/>
                        <w:sz w:val="23"/>
                      </w:rPr>
                      <w:t>Gerber </w:t>
                    </w:r>
                    <w:r>
                      <w:rPr>
                        <w:rFonts w:ascii="Calibri"/>
                        <w:i/>
                        <w:color w:val="632423"/>
                        <w:w w:val="90"/>
                        <w:sz w:val="24"/>
                      </w:rPr>
                      <w:t>et al. </w:t>
                    </w:r>
                    <w:r>
                      <w:rPr>
                        <w:color w:val="632423"/>
                        <w:w w:val="90"/>
                        <w:sz w:val="23"/>
                      </w:rPr>
                      <w:t>(2013)</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56"/>
        </w:rPr>
      </w:pPr>
    </w:p>
    <w:p>
      <w:pPr>
        <w:pStyle w:val="BodyText"/>
        <w:rPr>
          <w:sz w:val="56"/>
        </w:rPr>
      </w:pPr>
    </w:p>
    <w:p>
      <w:pPr>
        <w:pStyle w:val="Heading1"/>
        <w:spacing w:before="401" w:after="23"/>
        <w:ind w:left="3926" w:right="3826"/>
        <w:jc w:val="center"/>
      </w:pPr>
      <w:r>
        <w:rPr/>
        <w:pict>
          <v:group style="position:absolute;margin-left:79.912422pt;margin-top:-90.475327pt;width:181.45pt;height:189.95pt;mso-position-horizontal-relative:page;mso-position-vertical-relative:paragraph;z-index:5896" coordorigin="1598,-1810" coordsize="3629,3799">
            <v:shape style="position:absolute;left:1598;top:-1810;width:3629;height:3091" type="#_x0000_t75" stroked="false">
              <v:imagedata r:id="rId199" o:title=""/>
            </v:shape>
            <v:shape style="position:absolute;left:1598;top:-1810;width:3629;height:3799" type="#_x0000_t202" filled="false" stroked="false">
              <v:textbox inset="0,0,0,0">
                <w:txbxContent>
                  <w:p>
                    <w:pPr>
                      <w:spacing w:before="181"/>
                      <w:ind w:left="144" w:right="0" w:firstLine="0"/>
                      <w:jc w:val="left"/>
                      <w:rPr>
                        <w:sz w:val="300"/>
                      </w:rPr>
                    </w:pPr>
                    <w:r>
                      <w:rPr>
                        <w:color w:val="943634"/>
                        <w:sz w:val="300"/>
                      </w:rPr>
                      <w:t>12</w:t>
                    </w:r>
                  </w:p>
                </w:txbxContent>
              </v:textbox>
              <w10:wrap type="none"/>
            </v:shape>
            <w10:wrap type="none"/>
          </v:group>
        </w:pict>
      </w:r>
      <w:r>
        <w:rPr/>
        <w:t>Anexos</w:t>
      </w:r>
    </w:p>
    <w:p>
      <w:pPr>
        <w:pStyle w:val="BodyText"/>
        <w:spacing w:line="120" w:lineRule="exact"/>
        <w:ind w:left="3900"/>
        <w:rPr>
          <w:sz w:val="12"/>
        </w:rPr>
      </w:pPr>
      <w:r>
        <w:rPr>
          <w:position w:val="-1"/>
          <w:sz w:val="12"/>
        </w:rPr>
        <w:pict>
          <v:group style="width:274.1pt;height:6pt;mso-position-horizontal-relative:char;mso-position-vertical-relative:line" coordorigin="0,0" coordsize="5482,120">
            <v:rect style="position:absolute;left:0;top:0;width:5482;height:120" filled="true" fillcolor="#943634" stroked="false">
              <v:fill type="solid"/>
            </v:rect>
          </v:group>
        </w:pict>
      </w:r>
      <w:r>
        <w:rPr>
          <w:position w:val="-1"/>
          <w:sz w:val="12"/>
        </w:rPr>
      </w:r>
    </w:p>
    <w:p>
      <w:pPr>
        <w:spacing w:after="0" w:line="120" w:lineRule="exact"/>
        <w:rPr>
          <w:sz w:val="12"/>
        </w:rPr>
        <w:sectPr>
          <w:footerReference w:type="default" r:id="rId246"/>
          <w:pgSz w:w="12240" w:h="15840"/>
          <w:pgMar w:footer="739" w:header="741" w:top="1220" w:bottom="920" w:left="1480" w:right="9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50"/>
      </w:tblGrid>
      <w:tr>
        <w:trPr>
          <w:trHeight w:val="542" w:hRule="exact"/>
        </w:trPr>
        <w:tc>
          <w:tcPr>
            <w:tcW w:w="11050" w:type="dxa"/>
          </w:tcPr>
          <w:p>
            <w:pPr>
              <w:pStyle w:val="TableParagraph"/>
              <w:spacing w:line="169" w:lineRule="exact" w:before="6"/>
              <w:ind w:right="76"/>
              <w:jc w:val="right"/>
              <w:rPr>
                <w:b/>
                <w:i/>
                <w:sz w:val="14"/>
              </w:rPr>
            </w:pPr>
            <w:r>
              <w:rPr>
                <w:b/>
                <w:i/>
                <w:sz w:val="14"/>
              </w:rPr>
              <w:t>Estimación de las emisiones en bovinos en los sistema de producción lechera en pequeña escala</w:t>
            </w:r>
          </w:p>
          <w:p>
            <w:pPr>
              <w:pStyle w:val="TableParagraph"/>
              <w:spacing w:line="169" w:lineRule="exact"/>
              <w:ind w:right="76"/>
              <w:jc w:val="right"/>
              <w:rPr>
                <w:b/>
                <w:i/>
                <w:sz w:val="14"/>
              </w:rPr>
            </w:pPr>
            <w:r>
              <w:rPr>
                <w:b/>
                <w:i/>
                <w:sz w:val="14"/>
              </w:rPr>
              <w:t>a través del factor de conversión de metano</w:t>
            </w:r>
          </w:p>
          <w:p>
            <w:pPr>
              <w:pStyle w:val="TableParagraph"/>
              <w:spacing w:before="2"/>
              <w:ind w:right="76"/>
              <w:jc w:val="right"/>
              <w:rPr>
                <w:b/>
                <w:i/>
                <w:sz w:val="14"/>
              </w:rPr>
            </w:pPr>
            <w:r>
              <w:rPr>
                <w:b/>
                <w:i/>
                <w:sz w:val="14"/>
              </w:rPr>
              <w:t>M. en E. S. Noé Zúñiga-González</w:t>
            </w:r>
          </w:p>
        </w:tc>
      </w:tr>
      <w:tr>
        <w:trPr>
          <w:trHeight w:val="389" w:hRule="exact"/>
        </w:trPr>
        <w:tc>
          <w:tcPr>
            <w:tcW w:w="11050" w:type="dxa"/>
            <w:tcBorders>
              <w:left w:val="double" w:sz="4" w:space="0" w:color="000000"/>
              <w:right w:val="double" w:sz="5" w:space="0" w:color="000000"/>
            </w:tcBorders>
            <w:shd w:val="clear" w:color="auto" w:fill="943634"/>
          </w:tcPr>
          <w:p>
            <w:pPr>
              <w:pStyle w:val="TableParagraph"/>
              <w:spacing w:before="7"/>
              <w:ind w:left="69"/>
              <w:rPr>
                <w:b/>
                <w:sz w:val="28"/>
              </w:rPr>
            </w:pPr>
            <w:r>
              <w:rPr>
                <w:b/>
                <w:color w:val="FFFFFF"/>
                <w:sz w:val="28"/>
              </w:rPr>
              <w:t>ANEXO I.</w:t>
            </w:r>
          </w:p>
        </w:tc>
      </w:tr>
      <w:tr>
        <w:trPr>
          <w:trHeight w:val="13704" w:hRule="exact"/>
        </w:trPr>
        <w:tc>
          <w:tcPr>
            <w:tcW w:w="11050" w:type="dxa"/>
          </w:tcPr>
          <w:p>
            <w:pPr>
              <w:pStyle w:val="TableParagraph"/>
              <w:spacing w:line="249" w:lineRule="auto" w:before="119"/>
              <w:ind w:left="1886" w:right="2517"/>
              <w:rPr>
                <w:rFonts w:ascii="Times New Roman" w:hAnsi="Times New Roman"/>
                <w:b/>
                <w:i/>
                <w:sz w:val="31"/>
              </w:rPr>
            </w:pPr>
            <w:r>
              <w:rPr>
                <w:rFonts w:ascii="Times New Roman" w:hAnsi="Times New Roman"/>
                <w:b/>
                <w:i/>
                <w:sz w:val="31"/>
              </w:rPr>
              <w:t>Universidad Autónoma del Estado de México </w:t>
            </w:r>
            <w:r>
              <w:rPr>
                <w:rFonts w:ascii="Times New Roman" w:hAnsi="Times New Roman"/>
                <w:b/>
                <w:i/>
                <w:sz w:val="31"/>
              </w:rPr>
              <w:t>Centro  Universitario  UAEM Amecameca</w:t>
            </w:r>
          </w:p>
          <w:p>
            <w:pPr>
              <w:pStyle w:val="TableParagraph"/>
              <w:rPr>
                <w:rFonts w:ascii="Arial"/>
                <w:b/>
                <w:sz w:val="32"/>
              </w:rPr>
            </w:pPr>
          </w:p>
          <w:p>
            <w:pPr>
              <w:pStyle w:val="TableParagraph"/>
              <w:spacing w:before="4"/>
              <w:rPr>
                <w:rFonts w:ascii="Arial"/>
                <w:b/>
                <w:sz w:val="43"/>
              </w:rPr>
            </w:pPr>
          </w:p>
          <w:p>
            <w:pPr>
              <w:pStyle w:val="TableParagraph"/>
              <w:ind w:left="1278" w:right="1272"/>
              <w:jc w:val="center"/>
              <w:rPr>
                <w:b/>
                <w:sz w:val="24"/>
              </w:rPr>
            </w:pPr>
            <w:r>
              <w:rPr>
                <w:b/>
                <w:sz w:val="24"/>
              </w:rPr>
              <w:t>ENCUESTA PARA CLASIFICAR EL HATO GANADERO EN EL MUNICIPIO DE AMECAMECA POBLACIÓN AMECAMECA</w:t>
            </w:r>
          </w:p>
          <w:p>
            <w:pPr>
              <w:pStyle w:val="TableParagraph"/>
              <w:tabs>
                <w:tab w:pos="5818" w:val="left" w:leader="none"/>
                <w:tab w:pos="7970" w:val="left" w:leader="none"/>
                <w:tab w:pos="10599" w:val="left" w:leader="none"/>
              </w:tabs>
              <w:spacing w:line="232" w:lineRule="auto" w:before="6"/>
              <w:ind w:left="81" w:right="437"/>
              <w:jc w:val="both"/>
              <w:rPr>
                <w:rFonts w:ascii="Times New Roman" w:hAnsi="Times New Roman"/>
                <w:sz w:val="24"/>
              </w:rPr>
            </w:pPr>
            <w:r>
              <w:rPr>
                <w:sz w:val="24"/>
              </w:rPr>
              <w:t>Nombre del Productor:</w:t>
            </w:r>
            <w:r>
              <w:rPr>
                <w:rFonts w:ascii="Times New Roman" w:hAnsi="Times New Roman"/>
                <w:sz w:val="24"/>
                <w:u w:val="single"/>
              </w:rPr>
              <w:tab/>
              <w:tab/>
            </w:r>
            <w:r>
              <w:rPr>
                <w:sz w:val="24"/>
              </w:rPr>
              <w:t>Clave:</w:t>
            </w:r>
            <w:r>
              <w:rPr>
                <w:spacing w:val="-31"/>
                <w:sz w:val="24"/>
              </w:rPr>
              <w:t> </w:t>
            </w:r>
            <w:r>
              <w:rPr>
                <w:rFonts w:ascii="Times New Roman" w:hAnsi="Times New Roman"/>
                <w:sz w:val="24"/>
                <w:u w:val="single"/>
              </w:rPr>
              <w:t> </w:t>
              <w:tab/>
            </w:r>
            <w:r>
              <w:rPr>
                <w:rFonts w:ascii="Times New Roman" w:hAnsi="Times New Roman"/>
                <w:w w:val="1"/>
                <w:sz w:val="24"/>
                <w:u w:val="single"/>
              </w:rPr>
              <w:t> </w:t>
            </w:r>
            <w:r>
              <w:rPr>
                <w:rFonts w:ascii="Times New Roman" w:hAnsi="Times New Roman"/>
                <w:sz w:val="24"/>
              </w:rPr>
              <w:t> </w:t>
            </w:r>
            <w:r>
              <w:rPr>
                <w:sz w:val="24"/>
              </w:rPr>
              <w:t>Dirección:</w:t>
            </w:r>
            <w:r>
              <w:rPr>
                <w:rFonts w:ascii="Times New Roman" w:hAnsi="Times New Roman"/>
                <w:sz w:val="24"/>
                <w:u w:val="single"/>
              </w:rPr>
              <w:tab/>
              <w:tab/>
              <w:tab/>
            </w:r>
            <w:r>
              <w:rPr>
                <w:rFonts w:ascii="Times New Roman" w:hAnsi="Times New Roman"/>
                <w:sz w:val="24"/>
              </w:rPr>
              <w:t> </w:t>
            </w:r>
            <w:r>
              <w:rPr>
                <w:sz w:val="24"/>
              </w:rPr>
              <w:t>Entre las calles:</w:t>
            </w:r>
            <w:r>
              <w:rPr>
                <w:rFonts w:ascii="Times New Roman" w:hAnsi="Times New Roman"/>
                <w:sz w:val="24"/>
                <w:u w:val="single"/>
              </w:rPr>
              <w:tab/>
            </w:r>
            <w:r>
              <w:rPr>
                <w:sz w:val="24"/>
              </w:rPr>
              <w:t>Y </w:t>
            </w:r>
            <w:r>
              <w:rPr>
                <w:spacing w:val="4"/>
                <w:sz w:val="24"/>
              </w:rPr>
              <w:t> </w:t>
            </w:r>
            <w:r>
              <w:rPr>
                <w:rFonts w:ascii="Times New Roman" w:hAnsi="Times New Roman"/>
                <w:sz w:val="24"/>
                <w:u w:val="single"/>
              </w:rPr>
              <w:t> </w:t>
              <w:tab/>
              <w:tab/>
            </w:r>
            <w:r>
              <w:rPr>
                <w:rFonts w:ascii="Times New Roman" w:hAnsi="Times New Roman"/>
                <w:w w:val="1"/>
                <w:sz w:val="24"/>
                <w:u w:val="single"/>
              </w:rPr>
              <w:t> </w:t>
            </w:r>
            <w:r>
              <w:rPr>
                <w:rFonts w:ascii="Times New Roman" w:hAnsi="Times New Roman"/>
                <w:sz w:val="24"/>
              </w:rPr>
              <w:t> </w:t>
            </w:r>
            <w:r>
              <w:rPr>
                <w:sz w:val="24"/>
              </w:rPr>
              <w:t>Fecha:</w:t>
            </w:r>
            <w:r>
              <w:rPr>
                <w:rFonts w:ascii="Times New Roman" w:hAnsi="Times New Roman"/>
                <w:sz w:val="24"/>
                <w:u w:val="single"/>
              </w:rPr>
              <w:tab/>
            </w:r>
            <w:r>
              <w:rPr>
                <w:sz w:val="24"/>
              </w:rPr>
              <w:t>Temperatura </w:t>
            </w:r>
            <w:r>
              <w:rPr>
                <w:position w:val="11"/>
                <w:sz w:val="16"/>
              </w:rPr>
              <w:t>o</w:t>
            </w:r>
            <w:r>
              <w:rPr>
                <w:sz w:val="24"/>
              </w:rPr>
              <w:t>C:</w:t>
            </w:r>
            <w:r>
              <w:rPr>
                <w:spacing w:val="1"/>
                <w:sz w:val="24"/>
              </w:rPr>
              <w:t> </w:t>
            </w:r>
            <w:r>
              <w:rPr>
                <w:rFonts w:ascii="Times New Roman" w:hAnsi="Times New Roman"/>
                <w:sz w:val="24"/>
                <w:u w:val="single"/>
              </w:rPr>
              <w:t> </w:t>
              <w:tab/>
              <w:tab/>
            </w:r>
            <w:r>
              <w:rPr>
                <w:rFonts w:ascii="Times New Roman" w:hAnsi="Times New Roman"/>
                <w:sz w:val="24"/>
              </w:rPr>
              <w:t> </w:t>
            </w:r>
            <w:r>
              <w:rPr>
                <w:sz w:val="24"/>
              </w:rPr>
              <w:t>Coordenadas geográficas: </w:t>
            </w:r>
            <w:r>
              <w:rPr>
                <w:spacing w:val="7"/>
                <w:sz w:val="24"/>
              </w:rPr>
              <w:t> </w:t>
            </w:r>
            <w:r>
              <w:rPr>
                <w:rFonts w:ascii="Times New Roman" w:hAnsi="Times New Roman"/>
                <w:sz w:val="24"/>
                <w:u w:val="single"/>
              </w:rPr>
              <w:t> </w:t>
              <w:tab/>
              <w:tab/>
              <w:tab/>
            </w: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rPr>
                <w:rFonts w:ascii="Arial"/>
                <w:b/>
                <w:sz w:val="24"/>
              </w:rPr>
            </w:pPr>
          </w:p>
          <w:p>
            <w:pPr>
              <w:pStyle w:val="TableParagraph"/>
              <w:spacing w:before="1"/>
              <w:rPr>
                <w:rFonts w:ascii="Arial"/>
                <w:b/>
                <w:sz w:val="32"/>
              </w:rPr>
            </w:pPr>
          </w:p>
          <w:p>
            <w:pPr>
              <w:pStyle w:val="TableParagraph"/>
              <w:tabs>
                <w:tab w:pos="10600" w:val="left" w:leader="none"/>
              </w:tabs>
              <w:ind w:left="81"/>
              <w:jc w:val="both"/>
              <w:rPr>
                <w:rFonts w:ascii="Times New Roman"/>
                <w:sz w:val="24"/>
              </w:rPr>
            </w:pPr>
            <w:r>
              <w:rPr>
                <w:sz w:val="24"/>
              </w:rPr>
              <w:t>Observaciones:</w:t>
            </w:r>
            <w:r>
              <w:rPr>
                <w:spacing w:val="7"/>
                <w:sz w:val="24"/>
              </w:rPr>
              <w:t> </w:t>
            </w:r>
            <w:r>
              <w:rPr>
                <w:rFonts w:ascii="Times New Roman"/>
                <w:sz w:val="24"/>
                <w:u w:val="single"/>
              </w:rPr>
              <w:t> </w:t>
              <w:tab/>
            </w:r>
          </w:p>
          <w:p>
            <w:pPr>
              <w:pStyle w:val="TableParagraph"/>
              <w:ind w:left="52" w:right="-13"/>
              <w:rPr>
                <w:rFonts w:ascii="Arial"/>
                <w:sz w:val="20"/>
              </w:rPr>
            </w:pPr>
            <w:r>
              <w:rPr>
                <w:rFonts w:ascii="Arial"/>
                <w:sz w:val="20"/>
              </w:rPr>
              <w:pict>
                <v:group style="width:547pt;height:16.1pt;mso-position-horizontal-relative:char;mso-position-vertical-relative:line" coordorigin="0,0" coordsize="10940,322">
                  <v:rect style="position:absolute;left:0;top:0;width:10939;height:322" filled="true" fillcolor="#943634" stroked="false">
                    <v:fill type="solid"/>
                  </v:rect>
                </v:group>
              </w:pict>
            </w:r>
            <w:r>
              <w:rPr>
                <w:rFonts w:ascii="Arial"/>
                <w:sz w:val="20"/>
              </w:rPr>
            </w: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spacing w:before="5" w:after="1"/>
              <w:rPr>
                <w:rFonts w:ascii="Arial"/>
                <w:b/>
                <w:sz w:val="13"/>
              </w:rPr>
            </w:pPr>
          </w:p>
          <w:p>
            <w:pPr>
              <w:pStyle w:val="TableParagraph"/>
              <w:spacing w:line="20" w:lineRule="exact"/>
              <w:ind w:left="47" w:right="-9"/>
              <w:rPr>
                <w:rFonts w:ascii="Arial"/>
                <w:sz w:val="2"/>
              </w:rPr>
            </w:pPr>
            <w:r>
              <w:rPr>
                <w:rFonts w:ascii="Arial"/>
                <w:sz w:val="2"/>
              </w:rPr>
              <w:pict>
                <v:group style="width:547.5pt;height:.5pt;mso-position-horizontal-relative:char;mso-position-vertical-relative:line" coordorigin="0,0" coordsize="10950,10">
                  <v:line style="position:absolute" from="5,5" to="10944,5" stroked="true" strokeweight=".47999pt" strokecolor="#000000"/>
                </v:group>
              </w:pict>
            </w:r>
            <w:r>
              <w:rPr>
                <w:rFonts w:ascii="Arial"/>
                <w:sz w:val="2"/>
              </w:rPr>
            </w:r>
          </w:p>
          <w:p>
            <w:pPr>
              <w:pStyle w:val="TableParagraph"/>
              <w:spacing w:before="20"/>
              <w:ind w:left="1275" w:right="1272"/>
              <w:jc w:val="center"/>
              <w:rPr>
                <w:sz w:val="21"/>
              </w:rPr>
            </w:pPr>
            <w:r>
              <w:rPr>
                <w:w w:val="105"/>
                <w:sz w:val="21"/>
              </w:rPr>
              <w:t>172</w:t>
            </w:r>
          </w:p>
        </w:tc>
      </w:tr>
    </w:tbl>
    <w:p>
      <w:pPr>
        <w:rPr>
          <w:sz w:val="2"/>
          <w:szCs w:val="2"/>
        </w:rPr>
      </w:pPr>
      <w:r>
        <w:rPr/>
        <w:drawing>
          <wp:anchor distT="0" distB="0" distL="0" distR="0" allowOverlap="1" layoutInCell="1" locked="0" behindDoc="0" simplePos="0" relativeHeight="5968">
            <wp:simplePos x="0" y="0"/>
            <wp:positionH relativeFrom="page">
              <wp:posOffset>505871</wp:posOffset>
            </wp:positionH>
            <wp:positionV relativeFrom="page">
              <wp:posOffset>1112423</wp:posOffset>
            </wp:positionV>
            <wp:extent cx="948731" cy="838200"/>
            <wp:effectExtent l="0" t="0" r="0" b="0"/>
            <wp:wrapNone/>
            <wp:docPr id="41" name="image138.png" descr=""/>
            <wp:cNvGraphicFramePr>
              <a:graphicFrameLocks noChangeAspect="1"/>
            </wp:cNvGraphicFramePr>
            <a:graphic>
              <a:graphicData uri="http://schemas.openxmlformats.org/drawingml/2006/picture">
                <pic:pic>
                  <pic:nvPicPr>
                    <pic:cNvPr id="42" name="image138.png"/>
                    <pic:cNvPicPr/>
                  </pic:nvPicPr>
                  <pic:blipFill>
                    <a:blip r:embed="rId250" cstate="print"/>
                    <a:stretch>
                      <a:fillRect/>
                    </a:stretch>
                  </pic:blipFill>
                  <pic:spPr>
                    <a:xfrm>
                      <a:off x="0" y="0"/>
                      <a:ext cx="948731" cy="838200"/>
                    </a:xfrm>
                    <a:prstGeom prst="rect">
                      <a:avLst/>
                    </a:prstGeom>
                  </pic:spPr>
                </pic:pic>
              </a:graphicData>
            </a:graphic>
          </wp:anchor>
        </w:drawing>
      </w:r>
      <w:r>
        <w:rPr/>
        <w:pict>
          <v:shape style="position:absolute;margin-left:36.472389pt;margin-top:270.952393pt;width:542.4pt;height:166.35pt;mso-position-horizontal-relative:page;mso-position-vertical-relative:page;z-index:59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0"/>
                    <w:gridCol w:w="1949"/>
                    <w:gridCol w:w="960"/>
                    <w:gridCol w:w="1162"/>
                    <w:gridCol w:w="1450"/>
                    <w:gridCol w:w="1738"/>
                    <w:gridCol w:w="965"/>
                    <w:gridCol w:w="1162"/>
                  </w:tblGrid>
                  <w:tr>
                    <w:trPr>
                      <w:trHeight w:val="283" w:hRule="exact"/>
                    </w:trPr>
                    <w:tc>
                      <w:tcPr>
                        <w:tcW w:w="10834" w:type="dxa"/>
                        <w:gridSpan w:val="8"/>
                        <w:shd w:val="clear" w:color="auto" w:fill="943634"/>
                      </w:tcPr>
                      <w:p>
                        <w:pPr>
                          <w:pStyle w:val="TableParagraph"/>
                          <w:spacing w:line="273" w:lineRule="exact"/>
                          <w:ind w:left="100"/>
                          <w:rPr>
                            <w:rFonts w:ascii="Times New Roman" w:hAnsi="Times New Roman"/>
                            <w:b/>
                            <w:i/>
                            <w:sz w:val="24"/>
                          </w:rPr>
                        </w:pPr>
                        <w:r>
                          <w:rPr>
                            <w:rFonts w:ascii="Times New Roman" w:hAnsi="Times New Roman"/>
                            <w:b/>
                            <w:i/>
                            <w:color w:val="FFFFFF"/>
                            <w:sz w:val="24"/>
                          </w:rPr>
                          <w:t>CLASIFICACIÓN DEL HATO</w:t>
                        </w:r>
                      </w:p>
                    </w:tc>
                  </w:tr>
                  <w:tr>
                    <w:trPr>
                      <w:trHeight w:val="240" w:hRule="exact"/>
                    </w:trPr>
                    <w:tc>
                      <w:tcPr>
                        <w:tcW w:w="5520" w:type="dxa"/>
                        <w:gridSpan w:val="4"/>
                        <w:shd w:val="clear" w:color="auto" w:fill="943634"/>
                      </w:tcPr>
                      <w:p>
                        <w:pPr>
                          <w:pStyle w:val="TableParagraph"/>
                          <w:spacing w:before="5"/>
                          <w:ind w:left="2229" w:right="2232"/>
                          <w:jc w:val="center"/>
                          <w:rPr>
                            <w:rFonts w:ascii="Times New Roman"/>
                            <w:b/>
                            <w:sz w:val="19"/>
                          </w:rPr>
                        </w:pPr>
                        <w:r>
                          <w:rPr>
                            <w:rFonts w:ascii="Times New Roman"/>
                            <w:b/>
                            <w:color w:val="FFFFFF"/>
                            <w:w w:val="105"/>
                            <w:sz w:val="19"/>
                          </w:rPr>
                          <w:t>HEMBRAS</w:t>
                        </w:r>
                      </w:p>
                    </w:tc>
                    <w:tc>
                      <w:tcPr>
                        <w:tcW w:w="5314" w:type="dxa"/>
                        <w:gridSpan w:val="4"/>
                        <w:shd w:val="clear" w:color="auto" w:fill="943634"/>
                      </w:tcPr>
                      <w:p>
                        <w:pPr>
                          <w:pStyle w:val="TableParagraph"/>
                          <w:spacing w:before="5"/>
                          <w:ind w:left="2179" w:right="2186"/>
                          <w:jc w:val="center"/>
                          <w:rPr>
                            <w:rFonts w:ascii="Times New Roman"/>
                            <w:b/>
                            <w:sz w:val="19"/>
                          </w:rPr>
                        </w:pPr>
                        <w:r>
                          <w:rPr>
                            <w:rFonts w:ascii="Times New Roman"/>
                            <w:b/>
                            <w:color w:val="FFFFFF"/>
                            <w:w w:val="105"/>
                            <w:sz w:val="19"/>
                          </w:rPr>
                          <w:t>MACHOS</w:t>
                        </w:r>
                      </w:p>
                    </w:tc>
                  </w:tr>
                  <w:tr>
                    <w:trPr>
                      <w:trHeight w:val="235" w:hRule="exact"/>
                    </w:trPr>
                    <w:tc>
                      <w:tcPr>
                        <w:tcW w:w="1450" w:type="dxa"/>
                        <w:shd w:val="clear" w:color="auto" w:fill="943634"/>
                      </w:tcPr>
                      <w:p>
                        <w:pPr>
                          <w:pStyle w:val="TableParagraph"/>
                          <w:spacing w:before="5"/>
                          <w:ind w:left="101"/>
                          <w:rPr>
                            <w:rFonts w:ascii="Times New Roman" w:hAnsi="Times New Roman"/>
                            <w:b/>
                            <w:sz w:val="19"/>
                          </w:rPr>
                        </w:pPr>
                        <w:r>
                          <w:rPr>
                            <w:rFonts w:ascii="Times New Roman" w:hAnsi="Times New Roman"/>
                            <w:b/>
                            <w:color w:val="FFFFFF"/>
                            <w:w w:val="105"/>
                            <w:sz w:val="19"/>
                          </w:rPr>
                          <w:t>CATEGORÍA</w:t>
                        </w:r>
                      </w:p>
                    </w:tc>
                    <w:tc>
                      <w:tcPr>
                        <w:tcW w:w="1949" w:type="dxa"/>
                        <w:shd w:val="clear" w:color="auto" w:fill="943634"/>
                      </w:tcPr>
                      <w:p>
                        <w:pPr>
                          <w:pStyle w:val="TableParagraph"/>
                          <w:spacing w:before="5"/>
                          <w:ind w:left="81" w:right="87"/>
                          <w:jc w:val="center"/>
                          <w:rPr>
                            <w:rFonts w:ascii="Times New Roman" w:hAnsi="Times New Roman"/>
                            <w:b/>
                            <w:sz w:val="19"/>
                          </w:rPr>
                        </w:pPr>
                        <w:r>
                          <w:rPr>
                            <w:rFonts w:ascii="Times New Roman" w:hAnsi="Times New Roman"/>
                            <w:b/>
                            <w:color w:val="FFFFFF"/>
                            <w:w w:val="105"/>
                            <w:sz w:val="19"/>
                          </w:rPr>
                          <w:t>DEFINICIÓN</w:t>
                        </w:r>
                      </w:p>
                    </w:tc>
                    <w:tc>
                      <w:tcPr>
                        <w:tcW w:w="960" w:type="dxa"/>
                        <w:shd w:val="clear" w:color="auto" w:fill="943634"/>
                      </w:tcPr>
                      <w:p>
                        <w:pPr>
                          <w:pStyle w:val="TableParagraph"/>
                          <w:spacing w:before="5"/>
                          <w:ind w:left="324" w:right="325"/>
                          <w:jc w:val="center"/>
                          <w:rPr>
                            <w:rFonts w:ascii="Times New Roman"/>
                            <w:b/>
                            <w:sz w:val="19"/>
                          </w:rPr>
                        </w:pPr>
                        <w:r>
                          <w:rPr>
                            <w:rFonts w:ascii="Times New Roman"/>
                            <w:b/>
                            <w:color w:val="FFFFFF"/>
                            <w:w w:val="105"/>
                            <w:sz w:val="19"/>
                          </w:rPr>
                          <w:t>kg.</w:t>
                        </w:r>
                      </w:p>
                    </w:tc>
                    <w:tc>
                      <w:tcPr>
                        <w:tcW w:w="1162" w:type="dxa"/>
                        <w:shd w:val="clear" w:color="auto" w:fill="943634"/>
                      </w:tcPr>
                      <w:p>
                        <w:pPr>
                          <w:pStyle w:val="TableParagraph"/>
                          <w:spacing w:before="5"/>
                          <w:ind w:left="100"/>
                          <w:rPr>
                            <w:rFonts w:ascii="Times New Roman"/>
                            <w:b/>
                            <w:sz w:val="19"/>
                          </w:rPr>
                        </w:pPr>
                        <w:r>
                          <w:rPr>
                            <w:rFonts w:ascii="Times New Roman"/>
                            <w:b/>
                            <w:color w:val="FFFFFF"/>
                            <w:w w:val="105"/>
                            <w:sz w:val="19"/>
                          </w:rPr>
                          <w:t>CABEZAS</w:t>
                        </w:r>
                      </w:p>
                    </w:tc>
                    <w:tc>
                      <w:tcPr>
                        <w:tcW w:w="1450" w:type="dxa"/>
                        <w:shd w:val="clear" w:color="auto" w:fill="943634"/>
                      </w:tcPr>
                      <w:p>
                        <w:pPr>
                          <w:pStyle w:val="TableParagraph"/>
                          <w:spacing w:before="5"/>
                          <w:ind w:left="101"/>
                          <w:rPr>
                            <w:rFonts w:ascii="Times New Roman" w:hAnsi="Times New Roman"/>
                            <w:b/>
                            <w:sz w:val="19"/>
                          </w:rPr>
                        </w:pPr>
                        <w:r>
                          <w:rPr>
                            <w:rFonts w:ascii="Times New Roman" w:hAnsi="Times New Roman"/>
                            <w:b/>
                            <w:color w:val="FFFFFF"/>
                            <w:w w:val="105"/>
                            <w:sz w:val="19"/>
                          </w:rPr>
                          <w:t>CATEGORÍA</w:t>
                        </w:r>
                      </w:p>
                    </w:tc>
                    <w:tc>
                      <w:tcPr>
                        <w:tcW w:w="1738" w:type="dxa"/>
                        <w:shd w:val="clear" w:color="auto" w:fill="943634"/>
                      </w:tcPr>
                      <w:p>
                        <w:pPr>
                          <w:pStyle w:val="TableParagraph"/>
                          <w:spacing w:before="5"/>
                          <w:ind w:left="250" w:right="181"/>
                          <w:rPr>
                            <w:rFonts w:ascii="Times New Roman" w:hAnsi="Times New Roman"/>
                            <w:b/>
                            <w:sz w:val="19"/>
                          </w:rPr>
                        </w:pPr>
                        <w:r>
                          <w:rPr>
                            <w:rFonts w:ascii="Times New Roman" w:hAnsi="Times New Roman"/>
                            <w:b/>
                            <w:color w:val="FFFFFF"/>
                            <w:w w:val="105"/>
                            <w:sz w:val="19"/>
                          </w:rPr>
                          <w:t>DEFINICIÓN</w:t>
                        </w:r>
                      </w:p>
                    </w:tc>
                    <w:tc>
                      <w:tcPr>
                        <w:tcW w:w="965" w:type="dxa"/>
                        <w:shd w:val="clear" w:color="auto" w:fill="943634"/>
                      </w:tcPr>
                      <w:p>
                        <w:pPr>
                          <w:pStyle w:val="TableParagraph"/>
                          <w:spacing w:before="5"/>
                          <w:ind w:left="324" w:right="327"/>
                          <w:jc w:val="center"/>
                          <w:rPr>
                            <w:rFonts w:ascii="Times New Roman"/>
                            <w:b/>
                            <w:sz w:val="19"/>
                          </w:rPr>
                        </w:pPr>
                        <w:r>
                          <w:rPr>
                            <w:rFonts w:ascii="Times New Roman"/>
                            <w:b/>
                            <w:color w:val="FFFFFF"/>
                            <w:w w:val="105"/>
                            <w:sz w:val="19"/>
                          </w:rPr>
                          <w:t>kg.</w:t>
                        </w:r>
                      </w:p>
                    </w:tc>
                    <w:tc>
                      <w:tcPr>
                        <w:tcW w:w="1162" w:type="dxa"/>
                        <w:shd w:val="clear" w:color="auto" w:fill="943634"/>
                      </w:tcPr>
                      <w:p>
                        <w:pPr>
                          <w:pStyle w:val="TableParagraph"/>
                          <w:spacing w:before="5"/>
                          <w:ind w:left="100"/>
                          <w:rPr>
                            <w:rFonts w:ascii="Times New Roman"/>
                            <w:b/>
                            <w:sz w:val="19"/>
                          </w:rPr>
                        </w:pPr>
                        <w:r>
                          <w:rPr>
                            <w:rFonts w:ascii="Times New Roman"/>
                            <w:b/>
                            <w:color w:val="FFFFFF"/>
                            <w:w w:val="105"/>
                            <w:sz w:val="19"/>
                          </w:rPr>
                          <w:t>CABEZAS</w:t>
                        </w:r>
                      </w:p>
                    </w:tc>
                  </w:tr>
                  <w:tr>
                    <w:trPr>
                      <w:trHeight w:val="336" w:hRule="exact"/>
                    </w:trPr>
                    <w:tc>
                      <w:tcPr>
                        <w:tcW w:w="1450" w:type="dxa"/>
                      </w:tcPr>
                      <w:p>
                        <w:pPr>
                          <w:pStyle w:val="TableParagraph"/>
                          <w:spacing w:before="58"/>
                          <w:ind w:left="100"/>
                          <w:rPr>
                            <w:rFonts w:ascii="Times New Roman"/>
                            <w:sz w:val="19"/>
                          </w:rPr>
                        </w:pPr>
                        <w:r>
                          <w:rPr>
                            <w:rFonts w:ascii="Times New Roman"/>
                            <w:w w:val="105"/>
                            <w:sz w:val="19"/>
                          </w:rPr>
                          <w:t>VACA</w:t>
                        </w:r>
                      </w:p>
                    </w:tc>
                    <w:tc>
                      <w:tcPr>
                        <w:tcW w:w="1949" w:type="dxa"/>
                        <w:shd w:val="clear" w:color="auto" w:fill="F2DBDB"/>
                      </w:tcPr>
                      <w:p>
                        <w:pPr>
                          <w:pStyle w:val="TableParagraph"/>
                          <w:spacing w:line="242" w:lineRule="auto" w:before="3"/>
                          <w:ind w:left="100" w:right="170"/>
                          <w:rPr>
                            <w:rFonts w:ascii="Times New Roman" w:hAnsi="Times New Roman"/>
                            <w:sz w:val="14"/>
                          </w:rPr>
                        </w:pPr>
                        <w:r>
                          <w:rPr>
                            <w:rFonts w:ascii="Times New Roman" w:hAnsi="Times New Roman"/>
                            <w:sz w:val="14"/>
                          </w:rPr>
                          <w:t>Todas las hembras paridas en producción.</w:t>
                        </w:r>
                      </w:p>
                    </w:tc>
                    <w:tc>
                      <w:tcPr>
                        <w:tcW w:w="960" w:type="dxa"/>
                      </w:tcPr>
                      <w:p>
                        <w:pPr/>
                      </w:p>
                    </w:tc>
                    <w:tc>
                      <w:tcPr>
                        <w:tcW w:w="1162" w:type="dxa"/>
                      </w:tcPr>
                      <w:p>
                        <w:pPr/>
                      </w:p>
                    </w:tc>
                    <w:tc>
                      <w:tcPr>
                        <w:tcW w:w="1450" w:type="dxa"/>
                      </w:tcPr>
                      <w:p>
                        <w:pPr>
                          <w:pStyle w:val="TableParagraph"/>
                          <w:spacing w:before="58"/>
                          <w:ind w:left="100"/>
                          <w:rPr>
                            <w:rFonts w:ascii="Times New Roman"/>
                            <w:sz w:val="19"/>
                          </w:rPr>
                        </w:pPr>
                        <w:r>
                          <w:rPr>
                            <w:rFonts w:ascii="Times New Roman"/>
                            <w:w w:val="105"/>
                            <w:sz w:val="19"/>
                          </w:rPr>
                          <w:t>BECERRO</w:t>
                        </w:r>
                      </w:p>
                    </w:tc>
                    <w:tc>
                      <w:tcPr>
                        <w:tcW w:w="1738" w:type="dxa"/>
                        <w:shd w:val="clear" w:color="auto" w:fill="F2DBDB"/>
                      </w:tcPr>
                      <w:p>
                        <w:pPr>
                          <w:pStyle w:val="TableParagraph"/>
                          <w:spacing w:line="242" w:lineRule="auto" w:before="3"/>
                          <w:ind w:left="100" w:right="227"/>
                          <w:rPr>
                            <w:rFonts w:ascii="Times New Roman" w:hAnsi="Times New Roman"/>
                            <w:sz w:val="14"/>
                          </w:rPr>
                        </w:pPr>
                        <w:r>
                          <w:rPr>
                            <w:rFonts w:ascii="Times New Roman" w:hAnsi="Times New Roman"/>
                            <w:sz w:val="14"/>
                          </w:rPr>
                          <w:t>Del nacimiento hasta los 60 días.</w:t>
                        </w:r>
                      </w:p>
                    </w:tc>
                    <w:tc>
                      <w:tcPr>
                        <w:tcW w:w="965" w:type="dxa"/>
                      </w:tcPr>
                      <w:p>
                        <w:pPr/>
                      </w:p>
                    </w:tc>
                    <w:tc>
                      <w:tcPr>
                        <w:tcW w:w="1162" w:type="dxa"/>
                      </w:tcPr>
                      <w:p>
                        <w:pPr/>
                      </w:p>
                    </w:tc>
                  </w:tr>
                  <w:tr>
                    <w:trPr>
                      <w:trHeight w:val="331" w:hRule="exact"/>
                    </w:trPr>
                    <w:tc>
                      <w:tcPr>
                        <w:tcW w:w="1450" w:type="dxa"/>
                      </w:tcPr>
                      <w:p>
                        <w:pPr>
                          <w:pStyle w:val="TableParagraph"/>
                          <w:spacing w:before="53"/>
                          <w:ind w:left="100"/>
                          <w:rPr>
                            <w:rFonts w:ascii="Times New Roman"/>
                            <w:sz w:val="19"/>
                          </w:rPr>
                        </w:pPr>
                        <w:r>
                          <w:rPr>
                            <w:rFonts w:ascii="Times New Roman"/>
                            <w:w w:val="105"/>
                            <w:sz w:val="19"/>
                          </w:rPr>
                          <w:t>VACA SECA</w:t>
                        </w:r>
                      </w:p>
                    </w:tc>
                    <w:tc>
                      <w:tcPr>
                        <w:tcW w:w="1949" w:type="dxa"/>
                        <w:shd w:val="clear" w:color="auto" w:fill="F2DBDB"/>
                      </w:tcPr>
                      <w:p>
                        <w:pPr>
                          <w:pStyle w:val="TableParagraph"/>
                          <w:spacing w:line="242" w:lineRule="auto"/>
                          <w:ind w:left="100" w:right="124"/>
                          <w:rPr>
                            <w:rFonts w:ascii="Times New Roman" w:hAnsi="Times New Roman"/>
                            <w:sz w:val="14"/>
                          </w:rPr>
                        </w:pPr>
                        <w:r>
                          <w:rPr>
                            <w:rFonts w:ascii="Times New Roman" w:hAnsi="Times New Roman"/>
                            <w:sz w:val="14"/>
                          </w:rPr>
                          <w:t>Todas las hembras próximas a parto que ya no producen.</w:t>
                        </w:r>
                      </w:p>
                    </w:tc>
                    <w:tc>
                      <w:tcPr>
                        <w:tcW w:w="960" w:type="dxa"/>
                      </w:tcPr>
                      <w:p>
                        <w:pPr/>
                      </w:p>
                    </w:tc>
                    <w:tc>
                      <w:tcPr>
                        <w:tcW w:w="1162" w:type="dxa"/>
                      </w:tcPr>
                      <w:p>
                        <w:pPr/>
                      </w:p>
                    </w:tc>
                    <w:tc>
                      <w:tcPr>
                        <w:tcW w:w="1450" w:type="dxa"/>
                      </w:tcPr>
                      <w:p>
                        <w:pPr>
                          <w:pStyle w:val="TableParagraph"/>
                          <w:spacing w:before="53"/>
                          <w:ind w:left="100"/>
                          <w:rPr>
                            <w:rFonts w:ascii="Times New Roman"/>
                            <w:sz w:val="19"/>
                          </w:rPr>
                        </w:pPr>
                        <w:r>
                          <w:rPr>
                            <w:rFonts w:ascii="Times New Roman"/>
                            <w:w w:val="105"/>
                            <w:sz w:val="19"/>
                          </w:rPr>
                          <w:t>TERNERO</w:t>
                        </w:r>
                      </w:p>
                    </w:tc>
                    <w:tc>
                      <w:tcPr>
                        <w:tcW w:w="1738" w:type="dxa"/>
                        <w:shd w:val="clear" w:color="auto" w:fill="F2DBDB"/>
                      </w:tcPr>
                      <w:p>
                        <w:pPr>
                          <w:pStyle w:val="TableParagraph"/>
                          <w:spacing w:line="242" w:lineRule="auto"/>
                          <w:ind w:left="100" w:right="181"/>
                          <w:rPr>
                            <w:rFonts w:ascii="Times New Roman" w:hAnsi="Times New Roman"/>
                            <w:sz w:val="14"/>
                          </w:rPr>
                        </w:pPr>
                        <w:r>
                          <w:rPr>
                            <w:rFonts w:ascii="Times New Roman" w:hAnsi="Times New Roman"/>
                            <w:sz w:val="14"/>
                          </w:rPr>
                          <w:t>De los 60 días de nacidos al año.</w:t>
                        </w:r>
                      </w:p>
                    </w:tc>
                    <w:tc>
                      <w:tcPr>
                        <w:tcW w:w="965" w:type="dxa"/>
                      </w:tcPr>
                      <w:p>
                        <w:pPr/>
                      </w:p>
                    </w:tc>
                    <w:tc>
                      <w:tcPr>
                        <w:tcW w:w="1162" w:type="dxa"/>
                      </w:tcPr>
                      <w:p>
                        <w:pPr/>
                      </w:p>
                    </w:tc>
                  </w:tr>
                  <w:tr>
                    <w:trPr>
                      <w:trHeight w:val="336" w:hRule="exact"/>
                    </w:trPr>
                    <w:tc>
                      <w:tcPr>
                        <w:tcW w:w="1450" w:type="dxa"/>
                      </w:tcPr>
                      <w:p>
                        <w:pPr>
                          <w:pStyle w:val="TableParagraph"/>
                          <w:spacing w:before="53"/>
                          <w:ind w:left="100"/>
                          <w:rPr>
                            <w:rFonts w:ascii="Times New Roman"/>
                            <w:sz w:val="19"/>
                          </w:rPr>
                        </w:pPr>
                        <w:r>
                          <w:rPr>
                            <w:rFonts w:ascii="Times New Roman"/>
                            <w:w w:val="105"/>
                            <w:sz w:val="19"/>
                          </w:rPr>
                          <w:t>BECERRA</w:t>
                        </w:r>
                      </w:p>
                    </w:tc>
                    <w:tc>
                      <w:tcPr>
                        <w:tcW w:w="1949" w:type="dxa"/>
                        <w:shd w:val="clear" w:color="auto" w:fill="F2DBDB"/>
                      </w:tcPr>
                      <w:p>
                        <w:pPr>
                          <w:pStyle w:val="TableParagraph"/>
                          <w:spacing w:line="242" w:lineRule="auto"/>
                          <w:ind w:left="100" w:right="147"/>
                          <w:rPr>
                            <w:rFonts w:ascii="Times New Roman" w:hAnsi="Times New Roman"/>
                            <w:sz w:val="14"/>
                          </w:rPr>
                        </w:pPr>
                        <w:r>
                          <w:rPr>
                            <w:rFonts w:ascii="Times New Roman" w:hAnsi="Times New Roman"/>
                            <w:sz w:val="14"/>
                          </w:rPr>
                          <w:t>Del nacimiento al destete (día 1 al 60).</w:t>
                        </w:r>
                      </w:p>
                    </w:tc>
                    <w:tc>
                      <w:tcPr>
                        <w:tcW w:w="960" w:type="dxa"/>
                      </w:tcPr>
                      <w:p>
                        <w:pPr/>
                      </w:p>
                    </w:tc>
                    <w:tc>
                      <w:tcPr>
                        <w:tcW w:w="1162" w:type="dxa"/>
                      </w:tcPr>
                      <w:p>
                        <w:pPr/>
                      </w:p>
                    </w:tc>
                    <w:tc>
                      <w:tcPr>
                        <w:tcW w:w="1450" w:type="dxa"/>
                      </w:tcPr>
                      <w:p>
                        <w:pPr>
                          <w:pStyle w:val="TableParagraph"/>
                          <w:spacing w:before="53"/>
                          <w:ind w:left="100"/>
                          <w:rPr>
                            <w:rFonts w:ascii="Times New Roman"/>
                            <w:sz w:val="19"/>
                          </w:rPr>
                        </w:pPr>
                        <w:r>
                          <w:rPr>
                            <w:rFonts w:ascii="Times New Roman"/>
                            <w:w w:val="105"/>
                            <w:sz w:val="19"/>
                          </w:rPr>
                          <w:t>NOVILLO</w:t>
                        </w:r>
                      </w:p>
                    </w:tc>
                    <w:tc>
                      <w:tcPr>
                        <w:tcW w:w="1738" w:type="dxa"/>
                        <w:shd w:val="clear" w:color="auto" w:fill="F2DBDB"/>
                      </w:tcPr>
                      <w:p>
                        <w:pPr>
                          <w:pStyle w:val="TableParagraph"/>
                          <w:spacing w:before="80"/>
                          <w:ind w:left="100" w:right="181"/>
                          <w:rPr>
                            <w:rFonts w:ascii="Times New Roman" w:hAnsi="Times New Roman"/>
                            <w:sz w:val="14"/>
                          </w:rPr>
                        </w:pPr>
                        <w:r>
                          <w:rPr>
                            <w:rFonts w:ascii="Times New Roman" w:hAnsi="Times New Roman"/>
                            <w:sz w:val="14"/>
                          </w:rPr>
                          <w:t>De 1 año a los 2 años.</w:t>
                        </w:r>
                      </w:p>
                    </w:tc>
                    <w:tc>
                      <w:tcPr>
                        <w:tcW w:w="965" w:type="dxa"/>
                      </w:tcPr>
                      <w:p>
                        <w:pPr/>
                      </w:p>
                    </w:tc>
                    <w:tc>
                      <w:tcPr>
                        <w:tcW w:w="1162" w:type="dxa"/>
                      </w:tcPr>
                      <w:p>
                        <w:pPr/>
                      </w:p>
                    </w:tc>
                  </w:tr>
                  <w:tr>
                    <w:trPr>
                      <w:trHeight w:val="490" w:hRule="exact"/>
                    </w:trPr>
                    <w:tc>
                      <w:tcPr>
                        <w:tcW w:w="1450" w:type="dxa"/>
                      </w:tcPr>
                      <w:p>
                        <w:pPr>
                          <w:pStyle w:val="TableParagraph"/>
                          <w:spacing w:before="130"/>
                          <w:ind w:left="100"/>
                          <w:rPr>
                            <w:rFonts w:ascii="Times New Roman"/>
                            <w:sz w:val="19"/>
                          </w:rPr>
                        </w:pPr>
                        <w:r>
                          <w:rPr>
                            <w:rFonts w:ascii="Times New Roman"/>
                            <w:w w:val="105"/>
                            <w:sz w:val="19"/>
                          </w:rPr>
                          <w:t>TERNERA</w:t>
                        </w:r>
                      </w:p>
                    </w:tc>
                    <w:tc>
                      <w:tcPr>
                        <w:tcW w:w="1949" w:type="dxa"/>
                        <w:shd w:val="clear" w:color="auto" w:fill="F2DBDB"/>
                      </w:tcPr>
                      <w:p>
                        <w:pPr>
                          <w:pStyle w:val="TableParagraph"/>
                          <w:ind w:left="100" w:right="171"/>
                          <w:jc w:val="both"/>
                          <w:rPr>
                            <w:rFonts w:ascii="Times New Roman" w:hAnsi="Times New Roman"/>
                            <w:sz w:val="14"/>
                          </w:rPr>
                        </w:pPr>
                        <w:r>
                          <w:rPr>
                            <w:rFonts w:ascii="Times New Roman" w:hAnsi="Times New Roman"/>
                            <w:sz w:val="14"/>
                          </w:rPr>
                          <w:t>De destete a 1ª. Inseminación (60 a 365 días) o cuando pesa 350 kg.</w:t>
                        </w:r>
                      </w:p>
                    </w:tc>
                    <w:tc>
                      <w:tcPr>
                        <w:tcW w:w="960" w:type="dxa"/>
                      </w:tcPr>
                      <w:p>
                        <w:pPr/>
                      </w:p>
                    </w:tc>
                    <w:tc>
                      <w:tcPr>
                        <w:tcW w:w="1162" w:type="dxa"/>
                      </w:tcPr>
                      <w:p>
                        <w:pPr/>
                      </w:p>
                    </w:tc>
                    <w:tc>
                      <w:tcPr>
                        <w:tcW w:w="1450" w:type="dxa"/>
                      </w:tcPr>
                      <w:p>
                        <w:pPr>
                          <w:pStyle w:val="TableParagraph"/>
                          <w:spacing w:before="130"/>
                          <w:ind w:left="100"/>
                          <w:rPr>
                            <w:rFonts w:ascii="Times New Roman"/>
                            <w:sz w:val="19"/>
                          </w:rPr>
                        </w:pPr>
                        <w:r>
                          <w:rPr>
                            <w:rFonts w:ascii="Times New Roman"/>
                            <w:w w:val="105"/>
                            <w:sz w:val="19"/>
                          </w:rPr>
                          <w:t>TORO</w:t>
                        </w:r>
                      </w:p>
                    </w:tc>
                    <w:tc>
                      <w:tcPr>
                        <w:tcW w:w="1738" w:type="dxa"/>
                        <w:shd w:val="clear" w:color="auto" w:fill="F2DBDB"/>
                      </w:tcPr>
                      <w:p>
                        <w:pPr>
                          <w:pStyle w:val="TableParagraph"/>
                          <w:spacing w:before="7"/>
                          <w:rPr>
                            <w:rFonts w:ascii="Arial"/>
                            <w:b/>
                            <w:sz w:val="13"/>
                          </w:rPr>
                        </w:pPr>
                      </w:p>
                      <w:p>
                        <w:pPr>
                          <w:pStyle w:val="TableParagraph"/>
                          <w:spacing w:before="1"/>
                          <w:ind w:left="100"/>
                          <w:rPr>
                            <w:rFonts w:ascii="Times New Roman" w:hAnsi="Times New Roman"/>
                            <w:sz w:val="14"/>
                          </w:rPr>
                        </w:pPr>
                        <w:r>
                          <w:rPr>
                            <w:rFonts w:ascii="Times New Roman" w:hAnsi="Times New Roman"/>
                            <w:sz w:val="14"/>
                          </w:rPr>
                          <w:t>De los 2 años en adelante.</w:t>
                        </w:r>
                      </w:p>
                    </w:tc>
                    <w:tc>
                      <w:tcPr>
                        <w:tcW w:w="965" w:type="dxa"/>
                      </w:tcPr>
                      <w:p>
                        <w:pPr/>
                      </w:p>
                    </w:tc>
                    <w:tc>
                      <w:tcPr>
                        <w:tcW w:w="1162" w:type="dxa"/>
                      </w:tcPr>
                      <w:p>
                        <w:pPr/>
                      </w:p>
                    </w:tc>
                  </w:tr>
                  <w:tr>
                    <w:trPr>
                      <w:trHeight w:val="331" w:hRule="exact"/>
                    </w:trPr>
                    <w:tc>
                      <w:tcPr>
                        <w:tcW w:w="1450" w:type="dxa"/>
                      </w:tcPr>
                      <w:p>
                        <w:pPr>
                          <w:pStyle w:val="TableParagraph"/>
                          <w:spacing w:before="53"/>
                          <w:ind w:left="100"/>
                          <w:rPr>
                            <w:rFonts w:ascii="Times New Roman"/>
                            <w:sz w:val="19"/>
                          </w:rPr>
                        </w:pPr>
                        <w:r>
                          <w:rPr>
                            <w:rFonts w:ascii="Times New Roman"/>
                            <w:w w:val="105"/>
                            <w:sz w:val="19"/>
                          </w:rPr>
                          <w:t>NOVILLA</w:t>
                        </w:r>
                      </w:p>
                    </w:tc>
                    <w:tc>
                      <w:tcPr>
                        <w:tcW w:w="1949" w:type="dxa"/>
                        <w:shd w:val="clear" w:color="auto" w:fill="F2DBDB"/>
                      </w:tcPr>
                      <w:p>
                        <w:pPr>
                          <w:pStyle w:val="TableParagraph"/>
                          <w:spacing w:before="80"/>
                          <w:ind w:left="81" w:right="133"/>
                          <w:jc w:val="center"/>
                          <w:rPr>
                            <w:rFonts w:ascii="Times New Roman" w:hAnsi="Times New Roman"/>
                            <w:sz w:val="14"/>
                          </w:rPr>
                        </w:pPr>
                        <w:r>
                          <w:rPr>
                            <w:rFonts w:ascii="Times New Roman" w:hAnsi="Times New Roman"/>
                            <w:sz w:val="14"/>
                          </w:rPr>
                          <w:t>Después del 1er. Año de vida.</w:t>
                        </w:r>
                      </w:p>
                    </w:tc>
                    <w:tc>
                      <w:tcPr>
                        <w:tcW w:w="960" w:type="dxa"/>
                      </w:tcPr>
                      <w:p>
                        <w:pPr/>
                      </w:p>
                    </w:tc>
                    <w:tc>
                      <w:tcPr>
                        <w:tcW w:w="1162" w:type="dxa"/>
                      </w:tcPr>
                      <w:p>
                        <w:pPr/>
                      </w:p>
                    </w:tc>
                    <w:tc>
                      <w:tcPr>
                        <w:tcW w:w="1450" w:type="dxa"/>
                      </w:tcPr>
                      <w:p>
                        <w:pPr>
                          <w:pStyle w:val="TableParagraph"/>
                          <w:spacing w:before="53"/>
                          <w:ind w:left="100"/>
                          <w:rPr>
                            <w:rFonts w:ascii="Times New Roman"/>
                            <w:sz w:val="19"/>
                          </w:rPr>
                        </w:pPr>
                        <w:r>
                          <w:rPr>
                            <w:rFonts w:ascii="Times New Roman"/>
                            <w:w w:val="105"/>
                            <w:sz w:val="19"/>
                          </w:rPr>
                          <w:t>BUEY</w:t>
                        </w:r>
                      </w:p>
                    </w:tc>
                    <w:tc>
                      <w:tcPr>
                        <w:tcW w:w="1738" w:type="dxa"/>
                        <w:shd w:val="clear" w:color="auto" w:fill="F2DBDB"/>
                      </w:tcPr>
                      <w:p>
                        <w:pPr>
                          <w:pStyle w:val="TableParagraph"/>
                          <w:spacing w:line="242" w:lineRule="auto"/>
                          <w:ind w:left="100" w:right="181"/>
                          <w:rPr>
                            <w:rFonts w:ascii="Times New Roman" w:hAnsi="Times New Roman"/>
                            <w:sz w:val="14"/>
                          </w:rPr>
                        </w:pPr>
                        <w:r>
                          <w:rPr>
                            <w:rFonts w:ascii="Times New Roman" w:hAnsi="Times New Roman"/>
                            <w:sz w:val="14"/>
                          </w:rPr>
                          <w:t>De los 2 años en adelante pero castrado.</w:t>
                        </w:r>
                      </w:p>
                    </w:tc>
                    <w:tc>
                      <w:tcPr>
                        <w:tcW w:w="965" w:type="dxa"/>
                      </w:tcPr>
                      <w:p>
                        <w:pPr/>
                      </w:p>
                    </w:tc>
                    <w:tc>
                      <w:tcPr>
                        <w:tcW w:w="1162" w:type="dxa"/>
                      </w:tcPr>
                      <w:p>
                        <w:pPr/>
                      </w:p>
                    </w:tc>
                  </w:tr>
                  <w:tr>
                    <w:trPr>
                      <w:trHeight w:val="494" w:hRule="exact"/>
                    </w:trPr>
                    <w:tc>
                      <w:tcPr>
                        <w:tcW w:w="1450" w:type="dxa"/>
                      </w:tcPr>
                      <w:p>
                        <w:pPr>
                          <w:pStyle w:val="TableParagraph"/>
                          <w:spacing w:before="134"/>
                          <w:ind w:left="100"/>
                          <w:rPr>
                            <w:rFonts w:ascii="Times New Roman"/>
                            <w:sz w:val="19"/>
                          </w:rPr>
                        </w:pPr>
                        <w:r>
                          <w:rPr>
                            <w:rFonts w:ascii="Times New Roman"/>
                            <w:w w:val="105"/>
                            <w:sz w:val="19"/>
                          </w:rPr>
                          <w:t>VAQUILLA</w:t>
                        </w:r>
                      </w:p>
                    </w:tc>
                    <w:tc>
                      <w:tcPr>
                        <w:tcW w:w="1949" w:type="dxa"/>
                        <w:shd w:val="clear" w:color="auto" w:fill="F2DBDB"/>
                      </w:tcPr>
                      <w:p>
                        <w:pPr>
                          <w:pStyle w:val="TableParagraph"/>
                          <w:spacing w:before="3"/>
                          <w:ind w:left="100" w:right="221"/>
                          <w:rPr>
                            <w:rFonts w:ascii="Times New Roman" w:hAnsi="Times New Roman"/>
                            <w:sz w:val="14"/>
                          </w:rPr>
                        </w:pPr>
                        <w:r>
                          <w:rPr>
                            <w:rFonts w:ascii="Times New Roman" w:hAnsi="Times New Roman"/>
                            <w:sz w:val="14"/>
                          </w:rPr>
                          <w:t>Novilla que se diagnosticó como preñada (preñada, 1er. Parto).</w:t>
                        </w:r>
                      </w:p>
                    </w:tc>
                    <w:tc>
                      <w:tcPr>
                        <w:tcW w:w="960" w:type="dxa"/>
                      </w:tcPr>
                      <w:p>
                        <w:pPr/>
                      </w:p>
                    </w:tc>
                    <w:tc>
                      <w:tcPr>
                        <w:tcW w:w="1162" w:type="dxa"/>
                      </w:tcPr>
                      <w:p>
                        <w:pPr/>
                      </w:p>
                    </w:tc>
                    <w:tc>
                      <w:tcPr>
                        <w:tcW w:w="1450" w:type="dxa"/>
                      </w:tcPr>
                      <w:p>
                        <w:pPr/>
                      </w:p>
                    </w:tc>
                    <w:tc>
                      <w:tcPr>
                        <w:tcW w:w="1738" w:type="dxa"/>
                        <w:shd w:val="clear" w:color="auto" w:fill="F2DBDB"/>
                      </w:tcPr>
                      <w:p>
                        <w:pPr/>
                      </w:p>
                    </w:tc>
                    <w:tc>
                      <w:tcPr>
                        <w:tcW w:w="965" w:type="dxa"/>
                      </w:tcPr>
                      <w:p>
                        <w:pPr/>
                      </w:p>
                    </w:tc>
                    <w:tc>
                      <w:tcPr>
                        <w:tcW w:w="1162" w:type="dxa"/>
                      </w:tcPr>
                      <w:p>
                        <w:pPr/>
                      </w:p>
                    </w:tc>
                  </w:tr>
                  <w:tr>
                    <w:trPr>
                      <w:trHeight w:val="240" w:hRule="exact"/>
                    </w:trPr>
                    <w:tc>
                      <w:tcPr>
                        <w:tcW w:w="1450" w:type="dxa"/>
                      </w:tcPr>
                      <w:p>
                        <w:pPr>
                          <w:pStyle w:val="TableParagraph"/>
                          <w:spacing w:before="5"/>
                          <w:ind w:left="100"/>
                          <w:rPr>
                            <w:rFonts w:ascii="Times New Roman"/>
                            <w:b/>
                            <w:sz w:val="19"/>
                          </w:rPr>
                        </w:pPr>
                        <w:r>
                          <w:rPr>
                            <w:rFonts w:ascii="Times New Roman"/>
                            <w:b/>
                            <w:w w:val="105"/>
                            <w:sz w:val="19"/>
                          </w:rPr>
                          <w:t>TOTALES</w:t>
                        </w:r>
                      </w:p>
                    </w:tc>
                    <w:tc>
                      <w:tcPr>
                        <w:tcW w:w="1949" w:type="dxa"/>
                        <w:shd w:val="clear" w:color="auto" w:fill="F2DBDB"/>
                      </w:tcPr>
                      <w:p>
                        <w:pPr/>
                      </w:p>
                    </w:tc>
                    <w:tc>
                      <w:tcPr>
                        <w:tcW w:w="960" w:type="dxa"/>
                        <w:shd w:val="clear" w:color="auto" w:fill="F2DBDB"/>
                      </w:tcPr>
                      <w:p>
                        <w:pPr/>
                      </w:p>
                    </w:tc>
                    <w:tc>
                      <w:tcPr>
                        <w:tcW w:w="1162" w:type="dxa"/>
                      </w:tcPr>
                      <w:p>
                        <w:pPr/>
                      </w:p>
                    </w:tc>
                    <w:tc>
                      <w:tcPr>
                        <w:tcW w:w="1450" w:type="dxa"/>
                      </w:tcPr>
                      <w:p>
                        <w:pPr>
                          <w:pStyle w:val="TableParagraph"/>
                          <w:spacing w:before="5"/>
                          <w:ind w:left="100"/>
                          <w:rPr>
                            <w:rFonts w:ascii="Times New Roman"/>
                            <w:b/>
                            <w:sz w:val="19"/>
                          </w:rPr>
                        </w:pPr>
                        <w:r>
                          <w:rPr>
                            <w:rFonts w:ascii="Times New Roman"/>
                            <w:b/>
                            <w:w w:val="105"/>
                            <w:sz w:val="19"/>
                          </w:rPr>
                          <w:t>TOTALES</w:t>
                        </w:r>
                      </w:p>
                    </w:tc>
                    <w:tc>
                      <w:tcPr>
                        <w:tcW w:w="1738" w:type="dxa"/>
                        <w:shd w:val="clear" w:color="auto" w:fill="F2DBDB"/>
                      </w:tcPr>
                      <w:p>
                        <w:pPr/>
                      </w:p>
                    </w:tc>
                    <w:tc>
                      <w:tcPr>
                        <w:tcW w:w="965" w:type="dxa"/>
                        <w:shd w:val="clear" w:color="auto" w:fill="F2DBDB"/>
                      </w:tcPr>
                      <w:p>
                        <w:pPr/>
                      </w:p>
                    </w:tc>
                    <w:tc>
                      <w:tcPr>
                        <w:tcW w:w="1162" w:type="dxa"/>
                      </w:tcPr>
                      <w:p>
                        <w:pPr/>
                      </w:p>
                    </w:tc>
                  </w:tr>
                </w:tbl>
                <w:p>
                  <w:pPr>
                    <w:pStyle w:val="BodyText"/>
                  </w:pPr>
                </w:p>
              </w:txbxContent>
            </v:textbox>
            <w10:wrap type="none"/>
          </v:shape>
        </w:pict>
      </w:r>
      <w:r>
        <w:rPr/>
        <w:pict>
          <v:shape style="position:absolute;margin-left:35.752392pt;margin-top:451.912415pt;width:543.15pt;height:142.6pt;mso-position-horizontal-relative:page;mso-position-vertical-relative:page;z-index:60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0"/>
                    <w:gridCol w:w="1954"/>
                    <w:gridCol w:w="965"/>
                    <w:gridCol w:w="1162"/>
                    <w:gridCol w:w="1450"/>
                    <w:gridCol w:w="1742"/>
                    <w:gridCol w:w="965"/>
                    <w:gridCol w:w="1162"/>
                  </w:tblGrid>
                  <w:tr>
                    <w:trPr>
                      <w:trHeight w:val="240" w:hRule="exact"/>
                    </w:trPr>
                    <w:tc>
                      <w:tcPr>
                        <w:tcW w:w="10848" w:type="dxa"/>
                        <w:gridSpan w:val="8"/>
                        <w:shd w:val="clear" w:color="auto" w:fill="943634"/>
                      </w:tcPr>
                      <w:p>
                        <w:pPr>
                          <w:pStyle w:val="TableParagraph"/>
                          <w:spacing w:before="5"/>
                          <w:ind w:left="3836" w:right="3841"/>
                          <w:jc w:val="center"/>
                          <w:rPr>
                            <w:rFonts w:ascii="Times New Roman" w:hAnsi="Times New Roman"/>
                            <w:b/>
                            <w:sz w:val="19"/>
                          </w:rPr>
                        </w:pPr>
                        <w:r>
                          <w:rPr>
                            <w:rFonts w:ascii="Times New Roman" w:hAnsi="Times New Roman"/>
                            <w:b/>
                            <w:color w:val="FFFFFF"/>
                            <w:w w:val="105"/>
                            <w:sz w:val="19"/>
                          </w:rPr>
                          <w:t>OTRO TIPO DE CLASIFICACIÓN</w:t>
                        </w:r>
                      </w:p>
                    </w:tc>
                  </w:tr>
                  <w:tr>
                    <w:trPr>
                      <w:trHeight w:val="240" w:hRule="exact"/>
                    </w:trPr>
                    <w:tc>
                      <w:tcPr>
                        <w:tcW w:w="5530" w:type="dxa"/>
                        <w:gridSpan w:val="4"/>
                        <w:shd w:val="clear" w:color="auto" w:fill="943634"/>
                      </w:tcPr>
                      <w:p>
                        <w:pPr>
                          <w:pStyle w:val="TableParagraph"/>
                          <w:spacing w:before="5"/>
                          <w:ind w:left="2233" w:right="2238"/>
                          <w:jc w:val="center"/>
                          <w:rPr>
                            <w:rFonts w:ascii="Times New Roman"/>
                            <w:b/>
                            <w:sz w:val="19"/>
                          </w:rPr>
                        </w:pPr>
                        <w:r>
                          <w:rPr>
                            <w:rFonts w:ascii="Times New Roman"/>
                            <w:b/>
                            <w:color w:val="FFFFFF"/>
                            <w:w w:val="105"/>
                            <w:sz w:val="19"/>
                          </w:rPr>
                          <w:t>HEMBRAS</w:t>
                        </w:r>
                      </w:p>
                    </w:tc>
                    <w:tc>
                      <w:tcPr>
                        <w:tcW w:w="5318" w:type="dxa"/>
                        <w:gridSpan w:val="4"/>
                        <w:shd w:val="clear" w:color="auto" w:fill="943634"/>
                      </w:tcPr>
                      <w:p>
                        <w:pPr>
                          <w:pStyle w:val="TableParagraph"/>
                          <w:spacing w:before="5"/>
                          <w:ind w:left="2183" w:right="2188"/>
                          <w:jc w:val="center"/>
                          <w:rPr>
                            <w:rFonts w:ascii="Times New Roman"/>
                            <w:b/>
                            <w:sz w:val="19"/>
                          </w:rPr>
                        </w:pPr>
                        <w:r>
                          <w:rPr>
                            <w:rFonts w:ascii="Times New Roman"/>
                            <w:b/>
                            <w:color w:val="FFFFFF"/>
                            <w:w w:val="105"/>
                            <w:sz w:val="19"/>
                          </w:rPr>
                          <w:t>MACHOS</w:t>
                        </w:r>
                      </w:p>
                    </w:tc>
                  </w:tr>
                  <w:tr>
                    <w:trPr>
                      <w:trHeight w:val="235" w:hRule="exact"/>
                    </w:trPr>
                    <w:tc>
                      <w:tcPr>
                        <w:tcW w:w="1450" w:type="dxa"/>
                        <w:shd w:val="clear" w:color="auto" w:fill="943634"/>
                      </w:tcPr>
                      <w:p>
                        <w:pPr>
                          <w:pStyle w:val="TableParagraph"/>
                          <w:spacing w:before="5"/>
                          <w:ind w:left="101"/>
                          <w:rPr>
                            <w:rFonts w:ascii="Times New Roman" w:hAnsi="Times New Roman"/>
                            <w:b/>
                            <w:sz w:val="19"/>
                          </w:rPr>
                        </w:pPr>
                        <w:r>
                          <w:rPr>
                            <w:rFonts w:ascii="Times New Roman" w:hAnsi="Times New Roman"/>
                            <w:b/>
                            <w:color w:val="FFFFFF"/>
                            <w:w w:val="105"/>
                            <w:sz w:val="19"/>
                          </w:rPr>
                          <w:t>CATEGORÍA</w:t>
                        </w:r>
                      </w:p>
                    </w:tc>
                    <w:tc>
                      <w:tcPr>
                        <w:tcW w:w="1954" w:type="dxa"/>
                        <w:shd w:val="clear" w:color="auto" w:fill="943634"/>
                      </w:tcPr>
                      <w:p>
                        <w:pPr>
                          <w:pStyle w:val="TableParagraph"/>
                          <w:spacing w:before="5"/>
                          <w:ind w:left="357"/>
                          <w:rPr>
                            <w:rFonts w:ascii="Times New Roman" w:hAnsi="Times New Roman"/>
                            <w:b/>
                            <w:sz w:val="19"/>
                          </w:rPr>
                        </w:pPr>
                        <w:r>
                          <w:rPr>
                            <w:rFonts w:ascii="Times New Roman" w:hAnsi="Times New Roman"/>
                            <w:b/>
                            <w:color w:val="FFFFFF"/>
                            <w:w w:val="105"/>
                            <w:sz w:val="19"/>
                          </w:rPr>
                          <w:t>DEFINICIÓN</w:t>
                        </w:r>
                      </w:p>
                    </w:tc>
                    <w:tc>
                      <w:tcPr>
                        <w:tcW w:w="965" w:type="dxa"/>
                        <w:shd w:val="clear" w:color="auto" w:fill="943634"/>
                      </w:tcPr>
                      <w:p>
                        <w:pPr>
                          <w:pStyle w:val="TableParagraph"/>
                          <w:spacing w:before="5"/>
                          <w:ind w:left="325" w:right="325"/>
                          <w:jc w:val="center"/>
                          <w:rPr>
                            <w:rFonts w:ascii="Times New Roman"/>
                            <w:b/>
                            <w:sz w:val="19"/>
                          </w:rPr>
                        </w:pPr>
                        <w:r>
                          <w:rPr>
                            <w:rFonts w:ascii="Times New Roman"/>
                            <w:b/>
                            <w:color w:val="FFFFFF"/>
                            <w:w w:val="105"/>
                            <w:sz w:val="19"/>
                          </w:rPr>
                          <w:t>kg.</w:t>
                        </w:r>
                      </w:p>
                    </w:tc>
                    <w:tc>
                      <w:tcPr>
                        <w:tcW w:w="1162" w:type="dxa"/>
                        <w:shd w:val="clear" w:color="auto" w:fill="943634"/>
                      </w:tcPr>
                      <w:p>
                        <w:pPr>
                          <w:pStyle w:val="TableParagraph"/>
                          <w:spacing w:before="5"/>
                          <w:ind w:left="100"/>
                          <w:rPr>
                            <w:rFonts w:ascii="Times New Roman"/>
                            <w:b/>
                            <w:sz w:val="19"/>
                          </w:rPr>
                        </w:pPr>
                        <w:r>
                          <w:rPr>
                            <w:rFonts w:ascii="Times New Roman"/>
                            <w:b/>
                            <w:color w:val="FFFFFF"/>
                            <w:w w:val="105"/>
                            <w:sz w:val="19"/>
                          </w:rPr>
                          <w:t>CABEZAS</w:t>
                        </w:r>
                      </w:p>
                    </w:tc>
                    <w:tc>
                      <w:tcPr>
                        <w:tcW w:w="1450" w:type="dxa"/>
                        <w:shd w:val="clear" w:color="auto" w:fill="943634"/>
                      </w:tcPr>
                      <w:p>
                        <w:pPr>
                          <w:pStyle w:val="TableParagraph"/>
                          <w:spacing w:before="5"/>
                          <w:ind w:left="101"/>
                          <w:rPr>
                            <w:rFonts w:ascii="Times New Roman" w:hAnsi="Times New Roman"/>
                            <w:b/>
                            <w:sz w:val="19"/>
                          </w:rPr>
                        </w:pPr>
                        <w:r>
                          <w:rPr>
                            <w:rFonts w:ascii="Times New Roman" w:hAnsi="Times New Roman"/>
                            <w:b/>
                            <w:color w:val="FFFFFF"/>
                            <w:w w:val="105"/>
                            <w:sz w:val="19"/>
                          </w:rPr>
                          <w:t>CATEGORÍA</w:t>
                        </w:r>
                      </w:p>
                    </w:tc>
                    <w:tc>
                      <w:tcPr>
                        <w:tcW w:w="1742" w:type="dxa"/>
                        <w:shd w:val="clear" w:color="auto" w:fill="943634"/>
                      </w:tcPr>
                      <w:p>
                        <w:pPr>
                          <w:pStyle w:val="TableParagraph"/>
                          <w:spacing w:before="5"/>
                          <w:ind w:left="251"/>
                          <w:rPr>
                            <w:rFonts w:ascii="Times New Roman" w:hAnsi="Times New Roman"/>
                            <w:b/>
                            <w:sz w:val="19"/>
                          </w:rPr>
                        </w:pPr>
                        <w:r>
                          <w:rPr>
                            <w:rFonts w:ascii="Times New Roman" w:hAnsi="Times New Roman"/>
                            <w:b/>
                            <w:color w:val="FFFFFF"/>
                            <w:w w:val="105"/>
                            <w:sz w:val="19"/>
                          </w:rPr>
                          <w:t>DEFINICIÓN</w:t>
                        </w:r>
                      </w:p>
                    </w:tc>
                    <w:tc>
                      <w:tcPr>
                        <w:tcW w:w="965" w:type="dxa"/>
                        <w:shd w:val="clear" w:color="auto" w:fill="943634"/>
                      </w:tcPr>
                      <w:p>
                        <w:pPr>
                          <w:pStyle w:val="TableParagraph"/>
                          <w:spacing w:before="5"/>
                          <w:ind w:left="325" w:right="325"/>
                          <w:jc w:val="center"/>
                          <w:rPr>
                            <w:rFonts w:ascii="Times New Roman"/>
                            <w:b/>
                            <w:sz w:val="19"/>
                          </w:rPr>
                        </w:pPr>
                        <w:r>
                          <w:rPr>
                            <w:rFonts w:ascii="Times New Roman"/>
                            <w:b/>
                            <w:color w:val="FFFFFF"/>
                            <w:w w:val="105"/>
                            <w:sz w:val="19"/>
                          </w:rPr>
                          <w:t>kg.</w:t>
                        </w:r>
                      </w:p>
                    </w:tc>
                    <w:tc>
                      <w:tcPr>
                        <w:tcW w:w="1162" w:type="dxa"/>
                        <w:shd w:val="clear" w:color="auto" w:fill="943634"/>
                      </w:tcPr>
                      <w:p>
                        <w:pPr>
                          <w:pStyle w:val="TableParagraph"/>
                          <w:spacing w:before="5"/>
                          <w:ind w:left="100"/>
                          <w:rPr>
                            <w:rFonts w:ascii="Times New Roman"/>
                            <w:b/>
                            <w:sz w:val="19"/>
                          </w:rPr>
                        </w:pPr>
                        <w:r>
                          <w:rPr>
                            <w:rFonts w:ascii="Times New Roman"/>
                            <w:b/>
                            <w:color w:val="FFFFFF"/>
                            <w:w w:val="105"/>
                            <w:sz w:val="19"/>
                          </w:rPr>
                          <w:t>CABEZAS</w:t>
                        </w:r>
                      </w:p>
                    </w:tc>
                  </w:tr>
                  <w:tr>
                    <w:trPr>
                      <w:trHeight w:val="475" w:hRule="exact"/>
                    </w:trPr>
                    <w:tc>
                      <w:tcPr>
                        <w:tcW w:w="1450" w:type="dxa"/>
                      </w:tcPr>
                      <w:p>
                        <w:pPr/>
                      </w:p>
                    </w:tc>
                    <w:tc>
                      <w:tcPr>
                        <w:tcW w:w="1954" w:type="dxa"/>
                        <w:shd w:val="clear" w:color="auto" w:fill="F2DBDB"/>
                      </w:tcPr>
                      <w:p>
                        <w:pPr/>
                      </w:p>
                    </w:tc>
                    <w:tc>
                      <w:tcPr>
                        <w:tcW w:w="965" w:type="dxa"/>
                      </w:tcPr>
                      <w:p>
                        <w:pPr/>
                      </w:p>
                    </w:tc>
                    <w:tc>
                      <w:tcPr>
                        <w:tcW w:w="1162" w:type="dxa"/>
                      </w:tcPr>
                      <w:p>
                        <w:pPr/>
                      </w:p>
                    </w:tc>
                    <w:tc>
                      <w:tcPr>
                        <w:tcW w:w="1450" w:type="dxa"/>
                      </w:tcPr>
                      <w:p>
                        <w:pPr/>
                      </w:p>
                    </w:tc>
                    <w:tc>
                      <w:tcPr>
                        <w:tcW w:w="1742" w:type="dxa"/>
                        <w:shd w:val="clear" w:color="auto" w:fill="F2DBDB"/>
                      </w:tcPr>
                      <w:p>
                        <w:pPr/>
                      </w:p>
                    </w:tc>
                    <w:tc>
                      <w:tcPr>
                        <w:tcW w:w="965" w:type="dxa"/>
                      </w:tcPr>
                      <w:p>
                        <w:pPr/>
                      </w:p>
                    </w:tc>
                    <w:tc>
                      <w:tcPr>
                        <w:tcW w:w="1162" w:type="dxa"/>
                      </w:tcPr>
                      <w:p>
                        <w:pPr/>
                      </w:p>
                    </w:tc>
                  </w:tr>
                  <w:tr>
                    <w:trPr>
                      <w:trHeight w:val="470" w:hRule="exact"/>
                    </w:trPr>
                    <w:tc>
                      <w:tcPr>
                        <w:tcW w:w="1450" w:type="dxa"/>
                      </w:tcPr>
                      <w:p>
                        <w:pPr/>
                      </w:p>
                    </w:tc>
                    <w:tc>
                      <w:tcPr>
                        <w:tcW w:w="1954" w:type="dxa"/>
                        <w:shd w:val="clear" w:color="auto" w:fill="F2DBDB"/>
                      </w:tcPr>
                      <w:p>
                        <w:pPr/>
                      </w:p>
                    </w:tc>
                    <w:tc>
                      <w:tcPr>
                        <w:tcW w:w="965" w:type="dxa"/>
                      </w:tcPr>
                      <w:p>
                        <w:pPr/>
                      </w:p>
                    </w:tc>
                    <w:tc>
                      <w:tcPr>
                        <w:tcW w:w="1162" w:type="dxa"/>
                      </w:tcPr>
                      <w:p>
                        <w:pPr/>
                      </w:p>
                    </w:tc>
                    <w:tc>
                      <w:tcPr>
                        <w:tcW w:w="1450" w:type="dxa"/>
                      </w:tcPr>
                      <w:p>
                        <w:pPr/>
                      </w:p>
                    </w:tc>
                    <w:tc>
                      <w:tcPr>
                        <w:tcW w:w="1742" w:type="dxa"/>
                        <w:shd w:val="clear" w:color="auto" w:fill="F2DBDB"/>
                      </w:tcPr>
                      <w:p>
                        <w:pPr/>
                      </w:p>
                    </w:tc>
                    <w:tc>
                      <w:tcPr>
                        <w:tcW w:w="965" w:type="dxa"/>
                      </w:tcPr>
                      <w:p>
                        <w:pPr/>
                      </w:p>
                    </w:tc>
                    <w:tc>
                      <w:tcPr>
                        <w:tcW w:w="1162" w:type="dxa"/>
                      </w:tcPr>
                      <w:p>
                        <w:pPr/>
                      </w:p>
                    </w:tc>
                  </w:tr>
                  <w:tr>
                    <w:trPr>
                      <w:trHeight w:val="470" w:hRule="exact"/>
                    </w:trPr>
                    <w:tc>
                      <w:tcPr>
                        <w:tcW w:w="1450" w:type="dxa"/>
                      </w:tcPr>
                      <w:p>
                        <w:pPr/>
                      </w:p>
                    </w:tc>
                    <w:tc>
                      <w:tcPr>
                        <w:tcW w:w="1954" w:type="dxa"/>
                        <w:shd w:val="clear" w:color="auto" w:fill="F2DBDB"/>
                      </w:tcPr>
                      <w:p>
                        <w:pPr/>
                      </w:p>
                    </w:tc>
                    <w:tc>
                      <w:tcPr>
                        <w:tcW w:w="965" w:type="dxa"/>
                      </w:tcPr>
                      <w:p>
                        <w:pPr/>
                      </w:p>
                    </w:tc>
                    <w:tc>
                      <w:tcPr>
                        <w:tcW w:w="1162" w:type="dxa"/>
                      </w:tcPr>
                      <w:p>
                        <w:pPr/>
                      </w:p>
                    </w:tc>
                    <w:tc>
                      <w:tcPr>
                        <w:tcW w:w="1450" w:type="dxa"/>
                      </w:tcPr>
                      <w:p>
                        <w:pPr/>
                      </w:p>
                    </w:tc>
                    <w:tc>
                      <w:tcPr>
                        <w:tcW w:w="1742" w:type="dxa"/>
                        <w:shd w:val="clear" w:color="auto" w:fill="F2DBDB"/>
                      </w:tcPr>
                      <w:p>
                        <w:pPr/>
                      </w:p>
                    </w:tc>
                    <w:tc>
                      <w:tcPr>
                        <w:tcW w:w="965" w:type="dxa"/>
                      </w:tcPr>
                      <w:p>
                        <w:pPr/>
                      </w:p>
                    </w:tc>
                    <w:tc>
                      <w:tcPr>
                        <w:tcW w:w="1162" w:type="dxa"/>
                      </w:tcPr>
                      <w:p>
                        <w:pPr/>
                      </w:p>
                    </w:tc>
                  </w:tr>
                  <w:tr>
                    <w:trPr>
                      <w:trHeight w:val="470" w:hRule="exact"/>
                    </w:trPr>
                    <w:tc>
                      <w:tcPr>
                        <w:tcW w:w="1450" w:type="dxa"/>
                      </w:tcPr>
                      <w:p>
                        <w:pPr/>
                      </w:p>
                    </w:tc>
                    <w:tc>
                      <w:tcPr>
                        <w:tcW w:w="1954" w:type="dxa"/>
                        <w:shd w:val="clear" w:color="auto" w:fill="F2DBDB"/>
                      </w:tcPr>
                      <w:p>
                        <w:pPr/>
                      </w:p>
                    </w:tc>
                    <w:tc>
                      <w:tcPr>
                        <w:tcW w:w="965" w:type="dxa"/>
                      </w:tcPr>
                      <w:p>
                        <w:pPr/>
                      </w:p>
                    </w:tc>
                    <w:tc>
                      <w:tcPr>
                        <w:tcW w:w="1162" w:type="dxa"/>
                      </w:tcPr>
                      <w:p>
                        <w:pPr/>
                      </w:p>
                    </w:tc>
                    <w:tc>
                      <w:tcPr>
                        <w:tcW w:w="1450" w:type="dxa"/>
                      </w:tcPr>
                      <w:p>
                        <w:pPr/>
                      </w:p>
                    </w:tc>
                    <w:tc>
                      <w:tcPr>
                        <w:tcW w:w="1742" w:type="dxa"/>
                        <w:shd w:val="clear" w:color="auto" w:fill="F2DBDB"/>
                      </w:tcPr>
                      <w:p>
                        <w:pPr/>
                      </w:p>
                    </w:tc>
                    <w:tc>
                      <w:tcPr>
                        <w:tcW w:w="965" w:type="dxa"/>
                      </w:tcPr>
                      <w:p>
                        <w:pPr/>
                      </w:p>
                    </w:tc>
                    <w:tc>
                      <w:tcPr>
                        <w:tcW w:w="1162" w:type="dxa"/>
                      </w:tcPr>
                      <w:p>
                        <w:pPr/>
                      </w:p>
                    </w:tc>
                  </w:tr>
                  <w:tr>
                    <w:trPr>
                      <w:trHeight w:val="240" w:hRule="exact"/>
                    </w:trPr>
                    <w:tc>
                      <w:tcPr>
                        <w:tcW w:w="1450" w:type="dxa"/>
                      </w:tcPr>
                      <w:p>
                        <w:pPr>
                          <w:pStyle w:val="TableParagraph"/>
                          <w:spacing w:before="5"/>
                          <w:ind w:left="100"/>
                          <w:rPr>
                            <w:rFonts w:ascii="Times New Roman"/>
                            <w:b/>
                            <w:sz w:val="19"/>
                          </w:rPr>
                        </w:pPr>
                        <w:r>
                          <w:rPr>
                            <w:rFonts w:ascii="Times New Roman"/>
                            <w:b/>
                            <w:w w:val="105"/>
                            <w:sz w:val="19"/>
                          </w:rPr>
                          <w:t>TOTALES</w:t>
                        </w:r>
                      </w:p>
                    </w:tc>
                    <w:tc>
                      <w:tcPr>
                        <w:tcW w:w="1954" w:type="dxa"/>
                        <w:shd w:val="clear" w:color="auto" w:fill="F2DBDB"/>
                      </w:tcPr>
                      <w:p>
                        <w:pPr/>
                      </w:p>
                    </w:tc>
                    <w:tc>
                      <w:tcPr>
                        <w:tcW w:w="965" w:type="dxa"/>
                        <w:shd w:val="clear" w:color="auto" w:fill="F2DBDB"/>
                      </w:tcPr>
                      <w:p>
                        <w:pPr/>
                      </w:p>
                    </w:tc>
                    <w:tc>
                      <w:tcPr>
                        <w:tcW w:w="1162" w:type="dxa"/>
                      </w:tcPr>
                      <w:p>
                        <w:pPr/>
                      </w:p>
                    </w:tc>
                    <w:tc>
                      <w:tcPr>
                        <w:tcW w:w="1450" w:type="dxa"/>
                      </w:tcPr>
                      <w:p>
                        <w:pPr>
                          <w:pStyle w:val="TableParagraph"/>
                          <w:spacing w:before="5"/>
                          <w:ind w:left="100"/>
                          <w:rPr>
                            <w:rFonts w:ascii="Times New Roman"/>
                            <w:b/>
                            <w:sz w:val="19"/>
                          </w:rPr>
                        </w:pPr>
                        <w:r>
                          <w:rPr>
                            <w:rFonts w:ascii="Times New Roman"/>
                            <w:b/>
                            <w:w w:val="105"/>
                            <w:sz w:val="19"/>
                          </w:rPr>
                          <w:t>TOTALES</w:t>
                        </w:r>
                      </w:p>
                    </w:tc>
                    <w:tc>
                      <w:tcPr>
                        <w:tcW w:w="1742" w:type="dxa"/>
                        <w:shd w:val="clear" w:color="auto" w:fill="F2DBDB"/>
                      </w:tcPr>
                      <w:p>
                        <w:pPr/>
                      </w:p>
                    </w:tc>
                    <w:tc>
                      <w:tcPr>
                        <w:tcW w:w="965" w:type="dxa"/>
                        <w:shd w:val="clear" w:color="auto" w:fill="F2DBDB"/>
                      </w:tcPr>
                      <w:p>
                        <w:pPr/>
                      </w:p>
                    </w:tc>
                    <w:tc>
                      <w:tcPr>
                        <w:tcW w:w="1162" w:type="dxa"/>
                      </w:tcPr>
                      <w:p>
                        <w:pPr/>
                      </w:p>
                    </w:tc>
                  </w:tr>
                </w:tbl>
                <w:p>
                  <w:pPr>
                    <w:pStyle w:val="BodyText"/>
                  </w:pPr>
                </w:p>
              </w:txbxContent>
            </v:textbox>
            <w10:wrap type="none"/>
          </v:shape>
        </w:pict>
      </w:r>
    </w:p>
    <w:p>
      <w:pPr>
        <w:spacing w:after="0"/>
        <w:rPr>
          <w:sz w:val="2"/>
          <w:szCs w:val="2"/>
        </w:rPr>
        <w:sectPr>
          <w:headerReference w:type="default" r:id="rId248"/>
          <w:footerReference w:type="default" r:id="rId249"/>
          <w:pgSz w:w="12240" w:h="15840"/>
          <w:pgMar w:header="0" w:footer="0" w:top="700" w:bottom="280" w:left="480" w:right="44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6"/>
        <w:gridCol w:w="1349"/>
        <w:gridCol w:w="1277"/>
        <w:gridCol w:w="1229"/>
        <w:gridCol w:w="1234"/>
        <w:gridCol w:w="1243"/>
        <w:gridCol w:w="1248"/>
        <w:gridCol w:w="1334"/>
      </w:tblGrid>
      <w:tr>
        <w:trPr>
          <w:trHeight w:val="542" w:hRule="exact"/>
        </w:trPr>
        <w:tc>
          <w:tcPr>
            <w:tcW w:w="11050" w:type="dxa"/>
            <w:gridSpan w:val="8"/>
          </w:tcPr>
          <w:p>
            <w:pPr>
              <w:pStyle w:val="TableParagraph"/>
              <w:spacing w:line="169" w:lineRule="exact" w:before="6"/>
              <w:ind w:right="76"/>
              <w:jc w:val="right"/>
              <w:rPr>
                <w:b/>
                <w:i/>
                <w:sz w:val="14"/>
              </w:rPr>
            </w:pPr>
            <w:r>
              <w:rPr>
                <w:b/>
                <w:i/>
                <w:sz w:val="14"/>
              </w:rPr>
              <w:t>Estimación de las emisiones en bovinos en los sistema de producción lechera en pequeña escala</w:t>
            </w:r>
          </w:p>
          <w:p>
            <w:pPr>
              <w:pStyle w:val="TableParagraph"/>
              <w:spacing w:line="169" w:lineRule="exact"/>
              <w:ind w:right="76"/>
              <w:jc w:val="right"/>
              <w:rPr>
                <w:b/>
                <w:i/>
                <w:sz w:val="14"/>
              </w:rPr>
            </w:pPr>
            <w:r>
              <w:rPr>
                <w:b/>
                <w:i/>
                <w:sz w:val="14"/>
              </w:rPr>
              <w:t>a través del factor de conversión de metano</w:t>
            </w:r>
          </w:p>
          <w:p>
            <w:pPr>
              <w:pStyle w:val="TableParagraph"/>
              <w:spacing w:before="2"/>
              <w:ind w:right="76"/>
              <w:jc w:val="right"/>
              <w:rPr>
                <w:b/>
                <w:i/>
                <w:sz w:val="14"/>
              </w:rPr>
            </w:pPr>
            <w:r>
              <w:rPr>
                <w:b/>
                <w:i/>
                <w:sz w:val="14"/>
              </w:rPr>
              <w:t>M. en E. S. Noé Zúñiga-González</w:t>
            </w:r>
          </w:p>
        </w:tc>
      </w:tr>
      <w:tr>
        <w:trPr>
          <w:trHeight w:val="389" w:hRule="exact"/>
        </w:trPr>
        <w:tc>
          <w:tcPr>
            <w:tcW w:w="11050" w:type="dxa"/>
            <w:gridSpan w:val="8"/>
            <w:tcBorders>
              <w:left w:val="double" w:sz="4" w:space="0" w:color="000000"/>
              <w:right w:val="double" w:sz="5" w:space="0" w:color="000000"/>
            </w:tcBorders>
            <w:shd w:val="clear" w:color="auto" w:fill="943634"/>
          </w:tcPr>
          <w:p>
            <w:pPr>
              <w:pStyle w:val="TableParagraph"/>
              <w:spacing w:before="7"/>
              <w:ind w:left="2601"/>
              <w:rPr>
                <w:b/>
                <w:sz w:val="28"/>
              </w:rPr>
            </w:pPr>
            <w:r>
              <w:rPr>
                <w:b/>
                <w:color w:val="FFFFFF"/>
                <w:sz w:val="28"/>
              </w:rPr>
              <w:t>PRODUCCIÓN DE LECHE, COMPOSICIÓN, Y PRECIO</w:t>
            </w:r>
          </w:p>
        </w:tc>
      </w:tr>
      <w:tr>
        <w:trPr>
          <w:trHeight w:val="725" w:hRule="exact"/>
        </w:trPr>
        <w:tc>
          <w:tcPr>
            <w:tcW w:w="11050" w:type="dxa"/>
            <w:gridSpan w:val="8"/>
            <w:tcBorders>
              <w:bottom w:val="single" w:sz="12" w:space="0" w:color="000000"/>
            </w:tcBorders>
          </w:tcPr>
          <w:p>
            <w:pPr>
              <w:pStyle w:val="TableParagraph"/>
              <w:spacing w:before="113"/>
              <w:ind w:left="790" w:right="76" w:hanging="709"/>
              <w:rPr>
                <w:b/>
                <w:i/>
                <w:sz w:val="24"/>
              </w:rPr>
            </w:pPr>
            <w:r>
              <w:rPr>
                <w:b/>
                <w:i/>
                <w:sz w:val="24"/>
              </w:rPr>
              <w:t>Complete la tabla para el año 2011 con la producción de leche, componentes de la leche, recuento de células </w:t>
            </w:r>
            <w:r>
              <w:rPr>
                <w:b/>
                <w:i/>
                <w:sz w:val="24"/>
              </w:rPr>
              <w:t>somáticas (SCC), y el precio de la leche. Llenar tanto como sea posible.</w:t>
            </w:r>
          </w:p>
        </w:tc>
      </w:tr>
      <w:tr>
        <w:trPr>
          <w:trHeight w:val="317" w:hRule="exact"/>
        </w:trPr>
        <w:tc>
          <w:tcPr>
            <w:tcW w:w="3485" w:type="dxa"/>
            <w:gridSpan w:val="2"/>
            <w:vMerge w:val="restart"/>
            <w:tcBorders>
              <w:top w:val="single" w:sz="12" w:space="0" w:color="000000"/>
              <w:right w:val="single" w:sz="12" w:space="0" w:color="000000"/>
            </w:tcBorders>
          </w:tcPr>
          <w:p>
            <w:pPr/>
          </w:p>
        </w:tc>
        <w:tc>
          <w:tcPr>
            <w:tcW w:w="7565" w:type="dxa"/>
            <w:gridSpan w:val="6"/>
            <w:tcBorders>
              <w:top w:val="single" w:sz="12" w:space="0" w:color="000000"/>
              <w:left w:val="single" w:sz="2" w:space="0" w:color="000000"/>
            </w:tcBorders>
          </w:tcPr>
          <w:p>
            <w:pPr>
              <w:pStyle w:val="TableParagraph"/>
              <w:spacing w:line="291" w:lineRule="exact"/>
              <w:ind w:left="3254" w:right="3270"/>
              <w:jc w:val="center"/>
              <w:rPr>
                <w:sz w:val="24"/>
              </w:rPr>
            </w:pPr>
            <w:r>
              <w:rPr>
                <w:sz w:val="24"/>
              </w:rPr>
              <w:t>AÑO 2011</w:t>
            </w:r>
          </w:p>
        </w:tc>
      </w:tr>
      <w:tr>
        <w:trPr>
          <w:trHeight w:val="331" w:hRule="exact"/>
        </w:trPr>
        <w:tc>
          <w:tcPr>
            <w:tcW w:w="3485" w:type="dxa"/>
            <w:gridSpan w:val="2"/>
            <w:vMerge/>
            <w:tcBorders>
              <w:bottom w:val="single" w:sz="12" w:space="0" w:color="000000"/>
              <w:right w:val="single" w:sz="12" w:space="0" w:color="000000"/>
            </w:tcBorders>
          </w:tcPr>
          <w:p>
            <w:pPr/>
          </w:p>
        </w:tc>
        <w:tc>
          <w:tcPr>
            <w:tcW w:w="1277" w:type="dxa"/>
            <w:tcBorders>
              <w:left w:val="single" w:sz="12" w:space="0" w:color="000000"/>
              <w:bottom w:val="single" w:sz="12" w:space="0" w:color="000000"/>
            </w:tcBorders>
          </w:tcPr>
          <w:p>
            <w:pPr>
              <w:pStyle w:val="TableParagraph"/>
              <w:spacing w:before="12"/>
              <w:ind w:left="339"/>
              <w:rPr>
                <w:sz w:val="24"/>
              </w:rPr>
            </w:pPr>
            <w:r>
              <w:rPr>
                <w:sz w:val="24"/>
              </w:rPr>
              <w:t>Enero</w:t>
            </w:r>
          </w:p>
        </w:tc>
        <w:tc>
          <w:tcPr>
            <w:tcW w:w="1229" w:type="dxa"/>
            <w:tcBorders>
              <w:bottom w:val="single" w:sz="12" w:space="0" w:color="000000"/>
            </w:tcBorders>
          </w:tcPr>
          <w:p>
            <w:pPr>
              <w:pStyle w:val="TableParagraph"/>
              <w:spacing w:before="12"/>
              <w:ind w:left="227"/>
              <w:rPr>
                <w:sz w:val="24"/>
              </w:rPr>
            </w:pPr>
            <w:r>
              <w:rPr>
                <w:sz w:val="24"/>
              </w:rPr>
              <w:t>Febrero</w:t>
            </w:r>
          </w:p>
        </w:tc>
        <w:tc>
          <w:tcPr>
            <w:tcW w:w="1234" w:type="dxa"/>
            <w:tcBorders>
              <w:bottom w:val="single" w:sz="12" w:space="0" w:color="000000"/>
            </w:tcBorders>
          </w:tcPr>
          <w:p>
            <w:pPr>
              <w:pStyle w:val="TableParagraph"/>
              <w:spacing w:before="12"/>
              <w:ind w:left="301"/>
              <w:rPr>
                <w:sz w:val="24"/>
              </w:rPr>
            </w:pPr>
            <w:r>
              <w:rPr>
                <w:sz w:val="24"/>
              </w:rPr>
              <w:t>Marzo</w:t>
            </w:r>
          </w:p>
        </w:tc>
        <w:tc>
          <w:tcPr>
            <w:tcW w:w="1243" w:type="dxa"/>
            <w:tcBorders>
              <w:bottom w:val="single" w:sz="12" w:space="0" w:color="000000"/>
            </w:tcBorders>
          </w:tcPr>
          <w:p>
            <w:pPr>
              <w:pStyle w:val="TableParagraph"/>
              <w:spacing w:before="12"/>
              <w:ind w:left="391"/>
              <w:rPr>
                <w:sz w:val="24"/>
              </w:rPr>
            </w:pPr>
            <w:r>
              <w:rPr>
                <w:sz w:val="24"/>
              </w:rPr>
              <w:t>Abril</w:t>
            </w:r>
          </w:p>
        </w:tc>
        <w:tc>
          <w:tcPr>
            <w:tcW w:w="1248" w:type="dxa"/>
            <w:tcBorders>
              <w:bottom w:val="single" w:sz="12" w:space="0" w:color="000000"/>
            </w:tcBorders>
          </w:tcPr>
          <w:p>
            <w:pPr>
              <w:pStyle w:val="TableParagraph"/>
              <w:spacing w:before="12"/>
              <w:ind w:left="342"/>
              <w:rPr>
                <w:sz w:val="24"/>
              </w:rPr>
            </w:pPr>
            <w:r>
              <w:rPr>
                <w:sz w:val="24"/>
              </w:rPr>
              <w:t>Mayo</w:t>
            </w:r>
          </w:p>
        </w:tc>
        <w:tc>
          <w:tcPr>
            <w:tcW w:w="1334" w:type="dxa"/>
            <w:tcBorders>
              <w:bottom w:val="single" w:sz="12" w:space="0" w:color="000000"/>
            </w:tcBorders>
          </w:tcPr>
          <w:p>
            <w:pPr>
              <w:pStyle w:val="TableParagraph"/>
              <w:spacing w:before="12"/>
              <w:ind w:left="400"/>
              <w:rPr>
                <w:sz w:val="24"/>
              </w:rPr>
            </w:pPr>
            <w:r>
              <w:rPr>
                <w:sz w:val="24"/>
              </w:rPr>
              <w:t>Junio</w:t>
            </w:r>
          </w:p>
        </w:tc>
      </w:tr>
      <w:tr>
        <w:trPr>
          <w:trHeight w:val="528" w:hRule="exact"/>
        </w:trPr>
        <w:tc>
          <w:tcPr>
            <w:tcW w:w="2136" w:type="dxa"/>
            <w:tcBorders>
              <w:top w:val="single" w:sz="12" w:space="0" w:color="000000"/>
            </w:tcBorders>
          </w:tcPr>
          <w:p>
            <w:pPr>
              <w:pStyle w:val="TableParagraph"/>
              <w:spacing w:line="254" w:lineRule="auto" w:before="7"/>
              <w:ind w:left="119" w:right="565"/>
              <w:rPr>
                <w:sz w:val="19"/>
              </w:rPr>
            </w:pPr>
            <w:r>
              <w:rPr>
                <w:w w:val="105"/>
                <w:sz w:val="19"/>
              </w:rPr>
              <w:t>Precio de la leche recibida</w:t>
            </w:r>
          </w:p>
        </w:tc>
        <w:tc>
          <w:tcPr>
            <w:tcW w:w="1349" w:type="dxa"/>
            <w:tcBorders>
              <w:top w:val="single" w:sz="12" w:space="0" w:color="000000"/>
              <w:right w:val="single" w:sz="12" w:space="0" w:color="000000"/>
            </w:tcBorders>
          </w:tcPr>
          <w:p>
            <w:pPr>
              <w:pStyle w:val="TableParagraph"/>
              <w:spacing w:before="131"/>
              <w:ind w:left="105"/>
              <w:rPr>
                <w:sz w:val="19"/>
              </w:rPr>
            </w:pPr>
            <w:r>
              <w:rPr>
                <w:w w:val="105"/>
                <w:sz w:val="19"/>
              </w:rPr>
              <w:t>($/L leche)</w:t>
            </w:r>
          </w:p>
        </w:tc>
        <w:tc>
          <w:tcPr>
            <w:tcW w:w="1277" w:type="dxa"/>
            <w:tcBorders>
              <w:top w:val="single" w:sz="12" w:space="0" w:color="000000"/>
              <w:left w:val="single" w:sz="12" w:space="0" w:color="000000"/>
            </w:tcBorders>
          </w:tcPr>
          <w:p>
            <w:pPr/>
          </w:p>
        </w:tc>
        <w:tc>
          <w:tcPr>
            <w:tcW w:w="1229" w:type="dxa"/>
            <w:tcBorders>
              <w:top w:val="single" w:sz="12" w:space="0" w:color="000000"/>
            </w:tcBorders>
          </w:tcPr>
          <w:p>
            <w:pPr/>
          </w:p>
        </w:tc>
        <w:tc>
          <w:tcPr>
            <w:tcW w:w="1234" w:type="dxa"/>
            <w:tcBorders>
              <w:top w:val="single" w:sz="12" w:space="0" w:color="000000"/>
              <w:right w:val="single" w:sz="12" w:space="0" w:color="000000"/>
            </w:tcBorders>
          </w:tcPr>
          <w:p>
            <w:pPr/>
          </w:p>
        </w:tc>
        <w:tc>
          <w:tcPr>
            <w:tcW w:w="1243" w:type="dxa"/>
            <w:tcBorders>
              <w:top w:val="single" w:sz="12" w:space="0" w:color="000000"/>
              <w:left w:val="single" w:sz="12" w:space="0" w:color="000000"/>
            </w:tcBorders>
          </w:tcPr>
          <w:p>
            <w:pPr/>
          </w:p>
        </w:tc>
        <w:tc>
          <w:tcPr>
            <w:tcW w:w="1248" w:type="dxa"/>
            <w:tcBorders>
              <w:top w:val="single" w:sz="12" w:space="0" w:color="000000"/>
            </w:tcBorders>
          </w:tcPr>
          <w:p>
            <w:pPr/>
          </w:p>
        </w:tc>
        <w:tc>
          <w:tcPr>
            <w:tcW w:w="1334" w:type="dxa"/>
            <w:tcBorders>
              <w:top w:val="single" w:sz="12" w:space="0" w:color="000000"/>
            </w:tcBorders>
          </w:tcPr>
          <w:p>
            <w:pPr/>
          </w:p>
        </w:tc>
      </w:tr>
      <w:tr>
        <w:trPr>
          <w:trHeight w:val="523" w:hRule="exact"/>
        </w:trPr>
        <w:tc>
          <w:tcPr>
            <w:tcW w:w="2136" w:type="dxa"/>
          </w:tcPr>
          <w:p>
            <w:pPr>
              <w:pStyle w:val="TableParagraph"/>
              <w:spacing w:before="131"/>
              <w:ind w:left="119" w:right="565"/>
              <w:rPr>
                <w:sz w:val="19"/>
              </w:rPr>
            </w:pPr>
            <w:r>
              <w:rPr>
                <w:w w:val="105"/>
                <w:sz w:val="19"/>
              </w:rPr>
              <w:t>Leche producida</w:t>
            </w:r>
          </w:p>
        </w:tc>
        <w:tc>
          <w:tcPr>
            <w:tcW w:w="1349" w:type="dxa"/>
            <w:tcBorders>
              <w:right w:val="single" w:sz="12" w:space="0" w:color="000000"/>
            </w:tcBorders>
          </w:tcPr>
          <w:p>
            <w:pPr>
              <w:pStyle w:val="TableParagraph"/>
              <w:spacing w:before="131"/>
              <w:ind w:left="105"/>
              <w:rPr>
                <w:sz w:val="19"/>
              </w:rPr>
            </w:pPr>
            <w:r>
              <w:rPr>
                <w:w w:val="105"/>
                <w:sz w:val="19"/>
              </w:rPr>
              <w:t>(L/vaca/d)</w:t>
            </w:r>
          </w:p>
        </w:tc>
        <w:tc>
          <w:tcPr>
            <w:tcW w:w="1277" w:type="dxa"/>
            <w:tcBorders>
              <w:left w:val="single" w:sz="12" w:space="0" w:color="000000"/>
            </w:tcBorders>
          </w:tcPr>
          <w:p>
            <w:pPr/>
          </w:p>
        </w:tc>
        <w:tc>
          <w:tcPr>
            <w:tcW w:w="1229" w:type="dxa"/>
          </w:tcPr>
          <w:p>
            <w:pPr/>
          </w:p>
        </w:tc>
        <w:tc>
          <w:tcPr>
            <w:tcW w:w="1234" w:type="dxa"/>
            <w:tcBorders>
              <w:right w:val="single" w:sz="12" w:space="0" w:color="000000"/>
            </w:tcBorders>
          </w:tcPr>
          <w:p>
            <w:pPr/>
          </w:p>
        </w:tc>
        <w:tc>
          <w:tcPr>
            <w:tcW w:w="1243" w:type="dxa"/>
            <w:tcBorders>
              <w:left w:val="single" w:sz="12" w:space="0" w:color="000000"/>
            </w:tcBorders>
          </w:tcPr>
          <w:p>
            <w:pPr/>
          </w:p>
        </w:tc>
        <w:tc>
          <w:tcPr>
            <w:tcW w:w="1248" w:type="dxa"/>
          </w:tcPr>
          <w:p>
            <w:pPr/>
          </w:p>
        </w:tc>
        <w:tc>
          <w:tcPr>
            <w:tcW w:w="1334" w:type="dxa"/>
          </w:tcPr>
          <w:p>
            <w:pPr/>
          </w:p>
        </w:tc>
      </w:tr>
      <w:tr>
        <w:trPr>
          <w:trHeight w:val="518" w:hRule="exact"/>
        </w:trPr>
        <w:tc>
          <w:tcPr>
            <w:tcW w:w="2136" w:type="dxa"/>
          </w:tcPr>
          <w:p>
            <w:pPr>
              <w:pStyle w:val="TableParagraph"/>
              <w:spacing w:line="254" w:lineRule="auto" w:before="7"/>
              <w:ind w:left="119" w:right="260"/>
              <w:rPr>
                <w:sz w:val="19"/>
              </w:rPr>
            </w:pPr>
            <w:r>
              <w:rPr>
                <w:w w:val="105"/>
                <w:sz w:val="19"/>
              </w:rPr>
              <w:t>Grasa de mantequilla (lacteal)</w:t>
            </w:r>
          </w:p>
        </w:tc>
        <w:tc>
          <w:tcPr>
            <w:tcW w:w="1349" w:type="dxa"/>
            <w:tcBorders>
              <w:right w:val="single" w:sz="12" w:space="0" w:color="000000"/>
            </w:tcBorders>
          </w:tcPr>
          <w:p>
            <w:pPr>
              <w:pStyle w:val="TableParagraph"/>
              <w:spacing w:before="127"/>
              <w:ind w:left="105"/>
              <w:rPr>
                <w:sz w:val="19"/>
              </w:rPr>
            </w:pPr>
            <w:r>
              <w:rPr>
                <w:w w:val="105"/>
                <w:sz w:val="19"/>
              </w:rPr>
              <w:t>(%)</w:t>
            </w:r>
          </w:p>
        </w:tc>
        <w:tc>
          <w:tcPr>
            <w:tcW w:w="1277" w:type="dxa"/>
            <w:tcBorders>
              <w:left w:val="single" w:sz="12" w:space="0" w:color="000000"/>
              <w:right w:val="single" w:sz="2" w:space="0" w:color="000000"/>
            </w:tcBorders>
          </w:tcPr>
          <w:p>
            <w:pPr/>
          </w:p>
        </w:tc>
        <w:tc>
          <w:tcPr>
            <w:tcW w:w="1229" w:type="dxa"/>
            <w:tcBorders>
              <w:left w:val="single" w:sz="2" w:space="0" w:color="000000"/>
              <w:right w:val="single" w:sz="2" w:space="0" w:color="000000"/>
            </w:tcBorders>
          </w:tcPr>
          <w:p>
            <w:pPr/>
          </w:p>
        </w:tc>
        <w:tc>
          <w:tcPr>
            <w:tcW w:w="1234" w:type="dxa"/>
            <w:tcBorders>
              <w:left w:val="single" w:sz="2" w:space="0" w:color="000000"/>
              <w:right w:val="single" w:sz="12" w:space="0" w:color="000000"/>
            </w:tcBorders>
          </w:tcPr>
          <w:p>
            <w:pPr/>
          </w:p>
        </w:tc>
        <w:tc>
          <w:tcPr>
            <w:tcW w:w="1243" w:type="dxa"/>
            <w:tcBorders>
              <w:left w:val="single" w:sz="12" w:space="0" w:color="000000"/>
              <w:bottom w:val="single" w:sz="2" w:space="0" w:color="000000"/>
              <w:right w:val="single" w:sz="2" w:space="0" w:color="000000"/>
            </w:tcBorders>
          </w:tcPr>
          <w:p>
            <w:pPr/>
          </w:p>
        </w:tc>
        <w:tc>
          <w:tcPr>
            <w:tcW w:w="1248" w:type="dxa"/>
            <w:tcBorders>
              <w:left w:val="single" w:sz="2" w:space="0" w:color="000000"/>
              <w:bottom w:val="single" w:sz="2" w:space="0" w:color="000000"/>
              <w:right w:val="single" w:sz="2" w:space="0" w:color="000000"/>
            </w:tcBorders>
          </w:tcPr>
          <w:p>
            <w:pPr/>
          </w:p>
        </w:tc>
        <w:tc>
          <w:tcPr>
            <w:tcW w:w="1334" w:type="dxa"/>
            <w:tcBorders>
              <w:left w:val="single" w:sz="2" w:space="0" w:color="000000"/>
              <w:bottom w:val="single" w:sz="2" w:space="0" w:color="000000"/>
            </w:tcBorders>
          </w:tcPr>
          <w:p>
            <w:pPr/>
          </w:p>
        </w:tc>
      </w:tr>
      <w:tr>
        <w:trPr>
          <w:trHeight w:val="518" w:hRule="exact"/>
        </w:trPr>
        <w:tc>
          <w:tcPr>
            <w:tcW w:w="2136" w:type="dxa"/>
          </w:tcPr>
          <w:p>
            <w:pPr>
              <w:pStyle w:val="TableParagraph"/>
              <w:spacing w:before="131"/>
              <w:ind w:left="119" w:right="565"/>
              <w:rPr>
                <w:sz w:val="19"/>
              </w:rPr>
            </w:pPr>
            <w:r>
              <w:rPr>
                <w:w w:val="105"/>
                <w:sz w:val="19"/>
              </w:rPr>
              <w:t>Proteína</w:t>
            </w:r>
          </w:p>
        </w:tc>
        <w:tc>
          <w:tcPr>
            <w:tcW w:w="1349" w:type="dxa"/>
            <w:tcBorders>
              <w:right w:val="single" w:sz="12" w:space="0" w:color="000000"/>
            </w:tcBorders>
          </w:tcPr>
          <w:p>
            <w:pPr>
              <w:pStyle w:val="TableParagraph"/>
              <w:spacing w:before="131"/>
              <w:ind w:left="105"/>
              <w:rPr>
                <w:sz w:val="19"/>
              </w:rPr>
            </w:pPr>
            <w:r>
              <w:rPr>
                <w:w w:val="105"/>
                <w:sz w:val="19"/>
              </w:rPr>
              <w:t>(%)</w:t>
            </w:r>
          </w:p>
        </w:tc>
        <w:tc>
          <w:tcPr>
            <w:tcW w:w="1277" w:type="dxa"/>
            <w:tcBorders>
              <w:left w:val="single" w:sz="12" w:space="0" w:color="000000"/>
              <w:right w:val="single" w:sz="2" w:space="0" w:color="000000"/>
            </w:tcBorders>
          </w:tcPr>
          <w:p>
            <w:pPr/>
          </w:p>
        </w:tc>
        <w:tc>
          <w:tcPr>
            <w:tcW w:w="1229" w:type="dxa"/>
            <w:tcBorders>
              <w:left w:val="single" w:sz="2" w:space="0" w:color="000000"/>
              <w:right w:val="single" w:sz="2" w:space="0" w:color="000000"/>
            </w:tcBorders>
          </w:tcPr>
          <w:p>
            <w:pPr/>
          </w:p>
        </w:tc>
        <w:tc>
          <w:tcPr>
            <w:tcW w:w="1234" w:type="dxa"/>
            <w:tcBorders>
              <w:left w:val="single" w:sz="2" w:space="0" w:color="000000"/>
              <w:right w:val="single" w:sz="12" w:space="0" w:color="000000"/>
            </w:tcBorders>
          </w:tcPr>
          <w:p>
            <w:pPr/>
          </w:p>
        </w:tc>
        <w:tc>
          <w:tcPr>
            <w:tcW w:w="1243" w:type="dxa"/>
            <w:tcBorders>
              <w:top w:val="single" w:sz="2" w:space="0" w:color="000000"/>
              <w:left w:val="single" w:sz="12" w:space="0" w:color="000000"/>
              <w:bottom w:val="single" w:sz="2" w:space="0" w:color="000000"/>
              <w:right w:val="single" w:sz="2" w:space="0" w:color="000000"/>
            </w:tcBorders>
          </w:tcPr>
          <w:p>
            <w:pPr/>
          </w:p>
        </w:tc>
        <w:tc>
          <w:tcPr>
            <w:tcW w:w="1248" w:type="dxa"/>
            <w:tcBorders>
              <w:top w:val="single" w:sz="2" w:space="0" w:color="000000"/>
              <w:left w:val="single" w:sz="2" w:space="0" w:color="000000"/>
              <w:bottom w:val="single" w:sz="2" w:space="0" w:color="000000"/>
              <w:right w:val="single" w:sz="2" w:space="0" w:color="000000"/>
            </w:tcBorders>
          </w:tcPr>
          <w:p>
            <w:pPr/>
          </w:p>
        </w:tc>
        <w:tc>
          <w:tcPr>
            <w:tcW w:w="1334" w:type="dxa"/>
            <w:tcBorders>
              <w:top w:val="single" w:sz="2" w:space="0" w:color="000000"/>
              <w:left w:val="single" w:sz="2" w:space="0" w:color="000000"/>
              <w:bottom w:val="single" w:sz="2" w:space="0" w:color="000000"/>
            </w:tcBorders>
          </w:tcPr>
          <w:p>
            <w:pPr/>
          </w:p>
        </w:tc>
      </w:tr>
      <w:tr>
        <w:trPr>
          <w:trHeight w:val="533" w:hRule="exact"/>
        </w:trPr>
        <w:tc>
          <w:tcPr>
            <w:tcW w:w="2136" w:type="dxa"/>
            <w:tcBorders>
              <w:bottom w:val="single" w:sz="12" w:space="0" w:color="000000"/>
            </w:tcBorders>
          </w:tcPr>
          <w:p>
            <w:pPr/>
          </w:p>
        </w:tc>
        <w:tc>
          <w:tcPr>
            <w:tcW w:w="1349" w:type="dxa"/>
            <w:tcBorders>
              <w:bottom w:val="single" w:sz="12" w:space="0" w:color="000000"/>
              <w:right w:val="single" w:sz="12" w:space="0" w:color="000000"/>
            </w:tcBorders>
          </w:tcPr>
          <w:p>
            <w:pPr/>
          </w:p>
        </w:tc>
        <w:tc>
          <w:tcPr>
            <w:tcW w:w="1277" w:type="dxa"/>
            <w:tcBorders>
              <w:left w:val="single" w:sz="12" w:space="0" w:color="000000"/>
              <w:bottom w:val="single" w:sz="12" w:space="0" w:color="000000"/>
              <w:right w:val="single" w:sz="2" w:space="0" w:color="000000"/>
            </w:tcBorders>
          </w:tcPr>
          <w:p>
            <w:pPr/>
          </w:p>
        </w:tc>
        <w:tc>
          <w:tcPr>
            <w:tcW w:w="1229" w:type="dxa"/>
            <w:tcBorders>
              <w:left w:val="single" w:sz="2" w:space="0" w:color="000000"/>
              <w:bottom w:val="single" w:sz="12" w:space="0" w:color="000000"/>
              <w:right w:val="single" w:sz="2" w:space="0" w:color="000000"/>
            </w:tcBorders>
          </w:tcPr>
          <w:p>
            <w:pPr/>
          </w:p>
        </w:tc>
        <w:tc>
          <w:tcPr>
            <w:tcW w:w="1234" w:type="dxa"/>
            <w:tcBorders>
              <w:left w:val="single" w:sz="2" w:space="0" w:color="000000"/>
              <w:bottom w:val="single" w:sz="12" w:space="0" w:color="000000"/>
              <w:right w:val="single" w:sz="12" w:space="0" w:color="000000"/>
            </w:tcBorders>
          </w:tcPr>
          <w:p>
            <w:pPr/>
          </w:p>
        </w:tc>
        <w:tc>
          <w:tcPr>
            <w:tcW w:w="1243" w:type="dxa"/>
            <w:tcBorders>
              <w:top w:val="single" w:sz="2" w:space="0" w:color="000000"/>
              <w:left w:val="single" w:sz="12" w:space="0" w:color="000000"/>
              <w:bottom w:val="single" w:sz="12" w:space="0" w:color="000000"/>
              <w:right w:val="single" w:sz="2" w:space="0" w:color="000000"/>
            </w:tcBorders>
          </w:tcPr>
          <w:p>
            <w:pPr/>
          </w:p>
        </w:tc>
        <w:tc>
          <w:tcPr>
            <w:tcW w:w="1248" w:type="dxa"/>
            <w:tcBorders>
              <w:top w:val="single" w:sz="2" w:space="0" w:color="000000"/>
              <w:left w:val="single" w:sz="2" w:space="0" w:color="000000"/>
              <w:bottom w:val="single" w:sz="12" w:space="0" w:color="000000"/>
              <w:right w:val="single" w:sz="2" w:space="0" w:color="000000"/>
            </w:tcBorders>
          </w:tcPr>
          <w:p>
            <w:pPr/>
          </w:p>
        </w:tc>
        <w:tc>
          <w:tcPr>
            <w:tcW w:w="1334" w:type="dxa"/>
            <w:tcBorders>
              <w:top w:val="single" w:sz="2" w:space="0" w:color="000000"/>
              <w:left w:val="single" w:sz="2" w:space="0" w:color="000000"/>
              <w:bottom w:val="single" w:sz="12" w:space="0" w:color="000000"/>
            </w:tcBorders>
          </w:tcPr>
          <w:p>
            <w:pPr/>
          </w:p>
        </w:tc>
      </w:tr>
      <w:tr>
        <w:trPr>
          <w:trHeight w:val="9710" w:hRule="exact"/>
        </w:trPr>
        <w:tc>
          <w:tcPr>
            <w:tcW w:w="11050" w:type="dxa"/>
            <w:gridSpan w:val="8"/>
            <w:tcBorders>
              <w:top w:val="single" w:sz="12" w:space="0" w:color="000000"/>
            </w:tcBorders>
          </w:tcPr>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20"/>
              </w:rPr>
            </w:pPr>
          </w:p>
          <w:p>
            <w:pPr>
              <w:pStyle w:val="TableParagraph"/>
              <w:rPr>
                <w:rFonts w:ascii="Arial"/>
                <w:b/>
                <w:sz w:val="14"/>
              </w:rPr>
            </w:pPr>
          </w:p>
          <w:p>
            <w:pPr>
              <w:pStyle w:val="TableParagraph"/>
              <w:spacing w:line="20" w:lineRule="exact"/>
              <w:ind w:left="47" w:right="-9"/>
              <w:rPr>
                <w:rFonts w:ascii="Arial"/>
                <w:sz w:val="2"/>
              </w:rPr>
            </w:pPr>
            <w:r>
              <w:rPr>
                <w:rFonts w:ascii="Arial"/>
                <w:sz w:val="2"/>
              </w:rPr>
              <w:pict>
                <v:group style="width:547.5pt;height:.5pt;mso-position-horizontal-relative:char;mso-position-vertical-relative:line" coordorigin="0,0" coordsize="10950,10">
                  <v:line style="position:absolute" from="5,5" to="10944,5" stroked="true" strokeweight=".47999pt" strokecolor="#000000"/>
                </v:group>
              </w:pict>
            </w:r>
            <w:r>
              <w:rPr>
                <w:rFonts w:ascii="Arial"/>
                <w:sz w:val="2"/>
              </w:rPr>
            </w:r>
          </w:p>
          <w:p>
            <w:pPr>
              <w:pStyle w:val="TableParagraph"/>
              <w:spacing w:before="20"/>
              <w:ind w:left="1275" w:right="1272"/>
              <w:jc w:val="center"/>
              <w:rPr>
                <w:sz w:val="21"/>
              </w:rPr>
            </w:pPr>
            <w:r>
              <w:rPr>
                <w:w w:val="105"/>
                <w:sz w:val="21"/>
              </w:rPr>
              <w:t>173</w:t>
            </w:r>
          </w:p>
        </w:tc>
      </w:tr>
    </w:tbl>
    <w:p>
      <w:pPr>
        <w:rPr>
          <w:sz w:val="2"/>
          <w:szCs w:val="2"/>
        </w:rPr>
      </w:pPr>
      <w:r>
        <w:rPr/>
        <w:pict>
          <v:shape style="position:absolute;margin-left:33.832390pt;margin-top:296.392395pt;width:545.550pt;height:179.55pt;mso-position-horizontal-relative:page;mso-position-vertical-relative:page;z-index:6064"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22"/>
                    <w:gridCol w:w="1315"/>
                    <w:gridCol w:w="1238"/>
                    <w:gridCol w:w="1238"/>
                    <w:gridCol w:w="1238"/>
                    <w:gridCol w:w="1238"/>
                    <w:gridCol w:w="1238"/>
                    <w:gridCol w:w="1238"/>
                  </w:tblGrid>
                  <w:tr>
                    <w:trPr>
                      <w:trHeight w:val="312" w:hRule="exact"/>
                    </w:trPr>
                    <w:tc>
                      <w:tcPr>
                        <w:tcW w:w="3437" w:type="dxa"/>
                        <w:gridSpan w:val="2"/>
                        <w:vMerge w:val="restart"/>
                        <w:tcBorders>
                          <w:left w:val="nil"/>
                        </w:tcBorders>
                      </w:tcPr>
                      <w:p>
                        <w:pPr/>
                      </w:p>
                    </w:tc>
                    <w:tc>
                      <w:tcPr>
                        <w:tcW w:w="7430" w:type="dxa"/>
                        <w:gridSpan w:val="6"/>
                        <w:tcBorders>
                          <w:left w:val="single" w:sz="2" w:space="0" w:color="000000"/>
                          <w:bottom w:val="single" w:sz="4" w:space="0" w:color="000000"/>
                          <w:right w:val="nil"/>
                        </w:tcBorders>
                      </w:tcPr>
                      <w:p>
                        <w:pPr>
                          <w:pStyle w:val="TableParagraph"/>
                          <w:spacing w:before="2"/>
                          <w:ind w:left="3197" w:right="3197"/>
                          <w:jc w:val="center"/>
                          <w:rPr>
                            <w:sz w:val="24"/>
                          </w:rPr>
                        </w:pPr>
                        <w:r>
                          <w:rPr>
                            <w:sz w:val="24"/>
                          </w:rPr>
                          <w:t>AÑO 2011</w:t>
                        </w:r>
                      </w:p>
                    </w:tc>
                  </w:tr>
                  <w:tr>
                    <w:trPr>
                      <w:trHeight w:val="629" w:hRule="exact"/>
                    </w:trPr>
                    <w:tc>
                      <w:tcPr>
                        <w:tcW w:w="3437" w:type="dxa"/>
                        <w:gridSpan w:val="2"/>
                        <w:vMerge/>
                        <w:tcBorders>
                          <w:left w:val="nil"/>
                        </w:tcBorders>
                      </w:tcPr>
                      <w:p>
                        <w:pPr/>
                      </w:p>
                    </w:tc>
                    <w:tc>
                      <w:tcPr>
                        <w:tcW w:w="1238" w:type="dxa"/>
                        <w:tcBorders>
                          <w:top w:val="single" w:sz="4" w:space="0" w:color="000000"/>
                          <w:right w:val="single" w:sz="4" w:space="0" w:color="000000"/>
                        </w:tcBorders>
                      </w:tcPr>
                      <w:p>
                        <w:pPr>
                          <w:pStyle w:val="TableParagraph"/>
                          <w:spacing w:before="170"/>
                          <w:ind w:left="386"/>
                          <w:rPr>
                            <w:sz w:val="24"/>
                          </w:rPr>
                        </w:pPr>
                        <w:r>
                          <w:rPr>
                            <w:sz w:val="24"/>
                          </w:rPr>
                          <w:t>Julio</w:t>
                        </w:r>
                      </w:p>
                    </w:tc>
                    <w:tc>
                      <w:tcPr>
                        <w:tcW w:w="1238" w:type="dxa"/>
                        <w:tcBorders>
                          <w:top w:val="single" w:sz="4" w:space="0" w:color="000000"/>
                          <w:left w:val="single" w:sz="4" w:space="0" w:color="000000"/>
                          <w:right w:val="single" w:sz="4" w:space="0" w:color="000000"/>
                        </w:tcBorders>
                      </w:tcPr>
                      <w:p>
                        <w:pPr>
                          <w:pStyle w:val="TableParagraph"/>
                          <w:spacing w:before="170"/>
                          <w:ind w:left="272" w:right="114"/>
                          <w:rPr>
                            <w:sz w:val="24"/>
                          </w:rPr>
                        </w:pPr>
                        <w:r>
                          <w:rPr>
                            <w:sz w:val="24"/>
                          </w:rPr>
                          <w:t>Agosto</w:t>
                        </w:r>
                      </w:p>
                    </w:tc>
                    <w:tc>
                      <w:tcPr>
                        <w:tcW w:w="1238" w:type="dxa"/>
                        <w:tcBorders>
                          <w:top w:val="single" w:sz="4" w:space="0" w:color="000000"/>
                          <w:left w:val="single" w:sz="4" w:space="0" w:color="000000"/>
                        </w:tcBorders>
                      </w:tcPr>
                      <w:p>
                        <w:pPr>
                          <w:pStyle w:val="TableParagraph"/>
                          <w:spacing w:before="26"/>
                          <w:ind w:left="403"/>
                          <w:rPr>
                            <w:sz w:val="24"/>
                          </w:rPr>
                        </w:pPr>
                        <w:r>
                          <w:rPr>
                            <w:sz w:val="24"/>
                          </w:rPr>
                          <w:t>Sep.</w:t>
                        </w:r>
                      </w:p>
                    </w:tc>
                    <w:tc>
                      <w:tcPr>
                        <w:tcW w:w="1238" w:type="dxa"/>
                        <w:tcBorders>
                          <w:top w:val="single" w:sz="4" w:space="0" w:color="000000"/>
                          <w:right w:val="single" w:sz="4" w:space="0" w:color="000000"/>
                        </w:tcBorders>
                      </w:tcPr>
                      <w:p>
                        <w:pPr>
                          <w:pStyle w:val="TableParagraph"/>
                          <w:spacing w:before="26"/>
                          <w:ind w:left="204"/>
                          <w:rPr>
                            <w:sz w:val="24"/>
                          </w:rPr>
                        </w:pPr>
                        <w:r>
                          <w:rPr>
                            <w:sz w:val="24"/>
                          </w:rPr>
                          <w:t>Octubre</w:t>
                        </w:r>
                      </w:p>
                    </w:tc>
                    <w:tc>
                      <w:tcPr>
                        <w:tcW w:w="1238" w:type="dxa"/>
                        <w:tcBorders>
                          <w:top w:val="single" w:sz="4" w:space="0" w:color="000000"/>
                          <w:left w:val="single" w:sz="4" w:space="0" w:color="000000"/>
                          <w:right w:val="single" w:sz="4" w:space="0" w:color="000000"/>
                        </w:tcBorders>
                      </w:tcPr>
                      <w:p>
                        <w:pPr>
                          <w:pStyle w:val="TableParagraph"/>
                          <w:spacing w:before="26"/>
                          <w:ind w:left="552" w:right="114" w:hanging="424"/>
                          <w:rPr>
                            <w:sz w:val="24"/>
                          </w:rPr>
                        </w:pPr>
                        <w:r>
                          <w:rPr>
                            <w:sz w:val="24"/>
                          </w:rPr>
                          <w:t>Noviembr e</w:t>
                        </w:r>
                      </w:p>
                    </w:tc>
                    <w:tc>
                      <w:tcPr>
                        <w:tcW w:w="1238" w:type="dxa"/>
                        <w:tcBorders>
                          <w:top w:val="single" w:sz="4" w:space="0" w:color="000000"/>
                          <w:left w:val="single" w:sz="4" w:space="0" w:color="000000"/>
                          <w:right w:val="nil"/>
                        </w:tcBorders>
                      </w:tcPr>
                      <w:p>
                        <w:pPr>
                          <w:pStyle w:val="TableParagraph"/>
                          <w:spacing w:before="26"/>
                          <w:ind w:left="111"/>
                          <w:rPr>
                            <w:sz w:val="24"/>
                          </w:rPr>
                        </w:pPr>
                        <w:r>
                          <w:rPr>
                            <w:sz w:val="24"/>
                          </w:rPr>
                          <w:t>Diciembre</w:t>
                        </w:r>
                      </w:p>
                    </w:tc>
                  </w:tr>
                  <w:tr>
                    <w:trPr>
                      <w:trHeight w:val="528" w:hRule="exact"/>
                    </w:trPr>
                    <w:tc>
                      <w:tcPr>
                        <w:tcW w:w="2122" w:type="dxa"/>
                        <w:tcBorders>
                          <w:left w:val="nil"/>
                          <w:bottom w:val="single" w:sz="4" w:space="0" w:color="000000"/>
                          <w:right w:val="single" w:sz="4" w:space="0" w:color="000000"/>
                        </w:tcBorders>
                      </w:tcPr>
                      <w:p>
                        <w:pPr>
                          <w:pStyle w:val="TableParagraph"/>
                          <w:spacing w:line="254" w:lineRule="auto" w:before="16"/>
                          <w:ind w:left="120" w:right="555"/>
                          <w:rPr>
                            <w:sz w:val="19"/>
                          </w:rPr>
                        </w:pPr>
                        <w:r>
                          <w:rPr>
                            <w:w w:val="105"/>
                            <w:sz w:val="19"/>
                          </w:rPr>
                          <w:t>Precio de la leche recibida</w:t>
                        </w:r>
                      </w:p>
                    </w:tc>
                    <w:tc>
                      <w:tcPr>
                        <w:tcW w:w="1315" w:type="dxa"/>
                        <w:tcBorders>
                          <w:left w:val="single" w:sz="4" w:space="0" w:color="000000"/>
                          <w:bottom w:val="single" w:sz="4" w:space="0" w:color="000000"/>
                        </w:tcBorders>
                      </w:tcPr>
                      <w:p>
                        <w:pPr>
                          <w:pStyle w:val="TableParagraph"/>
                          <w:spacing w:before="140"/>
                          <w:ind w:left="100"/>
                          <w:rPr>
                            <w:sz w:val="19"/>
                          </w:rPr>
                        </w:pPr>
                        <w:r>
                          <w:rPr>
                            <w:w w:val="105"/>
                            <w:sz w:val="19"/>
                          </w:rPr>
                          <w:t>($/L leche)</w:t>
                        </w:r>
                      </w:p>
                    </w:tc>
                    <w:tc>
                      <w:tcPr>
                        <w:tcW w:w="1238" w:type="dxa"/>
                        <w:tcBorders>
                          <w:bottom w:val="single" w:sz="4" w:space="0" w:color="000000"/>
                          <w:right w:val="single" w:sz="4" w:space="0" w:color="000000"/>
                        </w:tcBorders>
                      </w:tcPr>
                      <w:p>
                        <w:pPr/>
                      </w:p>
                    </w:tc>
                    <w:tc>
                      <w:tcPr>
                        <w:tcW w:w="1238" w:type="dxa"/>
                        <w:tcBorders>
                          <w:left w:val="single" w:sz="4" w:space="0" w:color="000000"/>
                          <w:bottom w:val="single" w:sz="4" w:space="0" w:color="000000"/>
                          <w:right w:val="single" w:sz="4" w:space="0" w:color="000000"/>
                        </w:tcBorders>
                      </w:tcPr>
                      <w:p>
                        <w:pPr/>
                      </w:p>
                    </w:tc>
                    <w:tc>
                      <w:tcPr>
                        <w:tcW w:w="1238" w:type="dxa"/>
                        <w:tcBorders>
                          <w:left w:val="single" w:sz="4" w:space="0" w:color="000000"/>
                          <w:bottom w:val="single" w:sz="4" w:space="0" w:color="000000"/>
                        </w:tcBorders>
                      </w:tcPr>
                      <w:p>
                        <w:pPr/>
                      </w:p>
                    </w:tc>
                    <w:tc>
                      <w:tcPr>
                        <w:tcW w:w="1238" w:type="dxa"/>
                        <w:tcBorders>
                          <w:bottom w:val="single" w:sz="4" w:space="0" w:color="000000"/>
                          <w:right w:val="single" w:sz="4" w:space="0" w:color="000000"/>
                        </w:tcBorders>
                      </w:tcPr>
                      <w:p>
                        <w:pPr/>
                      </w:p>
                    </w:tc>
                    <w:tc>
                      <w:tcPr>
                        <w:tcW w:w="1238" w:type="dxa"/>
                        <w:tcBorders>
                          <w:left w:val="single" w:sz="4" w:space="0" w:color="000000"/>
                          <w:bottom w:val="single" w:sz="4" w:space="0" w:color="000000"/>
                          <w:right w:val="single" w:sz="4" w:space="0" w:color="000000"/>
                        </w:tcBorders>
                      </w:tcPr>
                      <w:p>
                        <w:pPr/>
                      </w:p>
                    </w:tc>
                    <w:tc>
                      <w:tcPr>
                        <w:tcW w:w="1238" w:type="dxa"/>
                        <w:tcBorders>
                          <w:left w:val="single" w:sz="4" w:space="0" w:color="000000"/>
                          <w:bottom w:val="single" w:sz="4" w:space="0" w:color="000000"/>
                          <w:right w:val="nil"/>
                        </w:tcBorders>
                      </w:tcPr>
                      <w:p>
                        <w:pPr/>
                      </w:p>
                    </w:tc>
                  </w:tr>
                  <w:tr>
                    <w:trPr>
                      <w:trHeight w:val="518" w:hRule="exact"/>
                    </w:trPr>
                    <w:tc>
                      <w:tcPr>
                        <w:tcW w:w="2122" w:type="dxa"/>
                        <w:tcBorders>
                          <w:top w:val="single" w:sz="4" w:space="0" w:color="000000"/>
                          <w:left w:val="nil"/>
                          <w:bottom w:val="single" w:sz="4" w:space="0" w:color="000000"/>
                          <w:right w:val="single" w:sz="4" w:space="0" w:color="000000"/>
                        </w:tcBorders>
                      </w:tcPr>
                      <w:p>
                        <w:pPr>
                          <w:pStyle w:val="TableParagraph"/>
                          <w:spacing w:before="140"/>
                          <w:ind w:left="120" w:right="555"/>
                          <w:rPr>
                            <w:sz w:val="19"/>
                          </w:rPr>
                        </w:pPr>
                        <w:r>
                          <w:rPr>
                            <w:w w:val="105"/>
                            <w:sz w:val="19"/>
                          </w:rPr>
                          <w:t>Leche producida</w:t>
                        </w:r>
                      </w:p>
                    </w:tc>
                    <w:tc>
                      <w:tcPr>
                        <w:tcW w:w="1315" w:type="dxa"/>
                        <w:tcBorders>
                          <w:top w:val="single" w:sz="4" w:space="0" w:color="000000"/>
                          <w:left w:val="single" w:sz="4" w:space="0" w:color="000000"/>
                          <w:bottom w:val="single" w:sz="4" w:space="0" w:color="000000"/>
                        </w:tcBorders>
                      </w:tcPr>
                      <w:p>
                        <w:pPr>
                          <w:pStyle w:val="TableParagraph"/>
                          <w:spacing w:before="140"/>
                          <w:ind w:left="100"/>
                          <w:rPr>
                            <w:sz w:val="19"/>
                          </w:rPr>
                        </w:pPr>
                        <w:r>
                          <w:rPr>
                            <w:w w:val="105"/>
                            <w:sz w:val="19"/>
                          </w:rPr>
                          <w:t>(L/vaca/d)</w:t>
                        </w:r>
                      </w:p>
                    </w:tc>
                    <w:tc>
                      <w:tcPr>
                        <w:tcW w:w="1238" w:type="dxa"/>
                        <w:tcBorders>
                          <w:top w:val="single" w:sz="4" w:space="0" w:color="000000"/>
                          <w:bottom w:val="single" w:sz="4" w:space="0" w:color="000000"/>
                          <w:right w:val="single" w:sz="4" w:space="0" w:color="000000"/>
                        </w:tcBorders>
                      </w:tcPr>
                      <w:p>
                        <w:pPr/>
                      </w:p>
                    </w:tc>
                    <w:tc>
                      <w:tcPr>
                        <w:tcW w:w="1238" w:type="dxa"/>
                        <w:tcBorders>
                          <w:top w:val="single" w:sz="4" w:space="0" w:color="000000"/>
                          <w:left w:val="single" w:sz="4" w:space="0" w:color="000000"/>
                          <w:bottom w:val="single" w:sz="4" w:space="0" w:color="000000"/>
                          <w:right w:val="single" w:sz="4" w:space="0" w:color="000000"/>
                        </w:tcBorders>
                      </w:tcPr>
                      <w:p>
                        <w:pPr/>
                      </w:p>
                    </w:tc>
                    <w:tc>
                      <w:tcPr>
                        <w:tcW w:w="1238" w:type="dxa"/>
                        <w:tcBorders>
                          <w:top w:val="single" w:sz="4" w:space="0" w:color="000000"/>
                          <w:left w:val="single" w:sz="4" w:space="0" w:color="000000"/>
                          <w:bottom w:val="single" w:sz="4" w:space="0" w:color="000000"/>
                        </w:tcBorders>
                      </w:tcPr>
                      <w:p>
                        <w:pPr/>
                      </w:p>
                    </w:tc>
                    <w:tc>
                      <w:tcPr>
                        <w:tcW w:w="1238" w:type="dxa"/>
                        <w:tcBorders>
                          <w:top w:val="single" w:sz="4" w:space="0" w:color="000000"/>
                          <w:bottom w:val="single" w:sz="4" w:space="0" w:color="000000"/>
                          <w:right w:val="single" w:sz="4" w:space="0" w:color="000000"/>
                        </w:tcBorders>
                      </w:tcPr>
                      <w:p>
                        <w:pPr/>
                      </w:p>
                    </w:tc>
                    <w:tc>
                      <w:tcPr>
                        <w:tcW w:w="1238" w:type="dxa"/>
                        <w:tcBorders>
                          <w:top w:val="single" w:sz="4" w:space="0" w:color="000000"/>
                          <w:left w:val="single" w:sz="4" w:space="0" w:color="000000"/>
                          <w:bottom w:val="single" w:sz="4" w:space="0" w:color="000000"/>
                          <w:right w:val="single" w:sz="4" w:space="0" w:color="000000"/>
                        </w:tcBorders>
                      </w:tcPr>
                      <w:p>
                        <w:pPr/>
                      </w:p>
                    </w:tc>
                    <w:tc>
                      <w:tcPr>
                        <w:tcW w:w="1238" w:type="dxa"/>
                        <w:tcBorders>
                          <w:top w:val="single" w:sz="4" w:space="0" w:color="000000"/>
                          <w:left w:val="single" w:sz="4" w:space="0" w:color="000000"/>
                          <w:bottom w:val="single" w:sz="4" w:space="0" w:color="000000"/>
                          <w:right w:val="nil"/>
                        </w:tcBorders>
                      </w:tcPr>
                      <w:p>
                        <w:pPr/>
                      </w:p>
                    </w:tc>
                  </w:tr>
                  <w:tr>
                    <w:trPr>
                      <w:trHeight w:val="523" w:hRule="exact"/>
                    </w:trPr>
                    <w:tc>
                      <w:tcPr>
                        <w:tcW w:w="2122" w:type="dxa"/>
                        <w:tcBorders>
                          <w:top w:val="single" w:sz="4" w:space="0" w:color="000000"/>
                          <w:left w:val="nil"/>
                          <w:bottom w:val="single" w:sz="4" w:space="0" w:color="000000"/>
                          <w:right w:val="single" w:sz="4" w:space="0" w:color="000000"/>
                        </w:tcBorders>
                      </w:tcPr>
                      <w:p>
                        <w:pPr>
                          <w:pStyle w:val="TableParagraph"/>
                          <w:spacing w:line="254" w:lineRule="auto" w:before="20"/>
                          <w:ind w:left="120" w:right="249"/>
                          <w:rPr>
                            <w:sz w:val="19"/>
                          </w:rPr>
                        </w:pPr>
                        <w:r>
                          <w:rPr>
                            <w:w w:val="105"/>
                            <w:sz w:val="19"/>
                          </w:rPr>
                          <w:t>Grasa de mantequilla (lactea)</w:t>
                        </w:r>
                      </w:p>
                    </w:tc>
                    <w:tc>
                      <w:tcPr>
                        <w:tcW w:w="1315" w:type="dxa"/>
                        <w:tcBorders>
                          <w:top w:val="single" w:sz="4" w:space="0" w:color="000000"/>
                          <w:left w:val="single" w:sz="4" w:space="0" w:color="000000"/>
                          <w:bottom w:val="single" w:sz="4" w:space="0" w:color="000000"/>
                        </w:tcBorders>
                      </w:tcPr>
                      <w:p>
                        <w:pPr>
                          <w:pStyle w:val="TableParagraph"/>
                          <w:spacing w:before="140"/>
                          <w:ind w:left="100"/>
                          <w:rPr>
                            <w:sz w:val="19"/>
                          </w:rPr>
                        </w:pPr>
                        <w:r>
                          <w:rPr>
                            <w:w w:val="105"/>
                            <w:sz w:val="19"/>
                          </w:rPr>
                          <w:t>(%)</w:t>
                        </w:r>
                      </w:p>
                    </w:tc>
                    <w:tc>
                      <w:tcPr>
                        <w:tcW w:w="1238" w:type="dxa"/>
                        <w:tcBorders>
                          <w:top w:val="single" w:sz="4" w:space="0" w:color="000000"/>
                          <w:bottom w:val="single" w:sz="4" w:space="0" w:color="000000"/>
                          <w:right w:val="single" w:sz="2" w:space="0" w:color="000000"/>
                        </w:tcBorders>
                      </w:tcPr>
                      <w:p>
                        <w:pPr/>
                      </w:p>
                    </w:tc>
                    <w:tc>
                      <w:tcPr>
                        <w:tcW w:w="1238" w:type="dxa"/>
                        <w:tcBorders>
                          <w:top w:val="single" w:sz="4" w:space="0" w:color="000000"/>
                          <w:left w:val="single" w:sz="2" w:space="0" w:color="000000"/>
                          <w:bottom w:val="single" w:sz="4" w:space="0" w:color="000000"/>
                          <w:right w:val="single" w:sz="2" w:space="0" w:color="000000"/>
                        </w:tcBorders>
                      </w:tcPr>
                      <w:p>
                        <w:pPr/>
                      </w:p>
                    </w:tc>
                    <w:tc>
                      <w:tcPr>
                        <w:tcW w:w="1238" w:type="dxa"/>
                        <w:tcBorders>
                          <w:top w:val="single" w:sz="4" w:space="0" w:color="000000"/>
                          <w:left w:val="single" w:sz="2" w:space="0" w:color="000000"/>
                          <w:bottom w:val="single" w:sz="4" w:space="0" w:color="000000"/>
                        </w:tcBorders>
                      </w:tcPr>
                      <w:p>
                        <w:pPr/>
                      </w:p>
                    </w:tc>
                    <w:tc>
                      <w:tcPr>
                        <w:tcW w:w="1238" w:type="dxa"/>
                        <w:tcBorders>
                          <w:top w:val="single" w:sz="4" w:space="0" w:color="000000"/>
                          <w:bottom w:val="single" w:sz="4" w:space="0" w:color="000000"/>
                          <w:right w:val="single" w:sz="2" w:space="0" w:color="000000"/>
                        </w:tcBorders>
                      </w:tcPr>
                      <w:p>
                        <w:pPr/>
                      </w:p>
                    </w:tc>
                    <w:tc>
                      <w:tcPr>
                        <w:tcW w:w="1238" w:type="dxa"/>
                        <w:tcBorders>
                          <w:top w:val="single" w:sz="4" w:space="0" w:color="000000"/>
                          <w:left w:val="single" w:sz="2" w:space="0" w:color="000000"/>
                          <w:bottom w:val="single" w:sz="4" w:space="0" w:color="000000"/>
                          <w:right w:val="single" w:sz="2" w:space="0" w:color="000000"/>
                        </w:tcBorders>
                      </w:tcPr>
                      <w:p>
                        <w:pPr/>
                      </w:p>
                    </w:tc>
                    <w:tc>
                      <w:tcPr>
                        <w:tcW w:w="1238" w:type="dxa"/>
                        <w:tcBorders>
                          <w:top w:val="single" w:sz="4" w:space="0" w:color="000000"/>
                          <w:left w:val="single" w:sz="2" w:space="0" w:color="000000"/>
                          <w:bottom w:val="single" w:sz="4" w:space="0" w:color="000000"/>
                          <w:right w:val="nil"/>
                        </w:tcBorders>
                      </w:tcPr>
                      <w:p>
                        <w:pPr/>
                      </w:p>
                    </w:tc>
                  </w:tr>
                  <w:tr>
                    <w:trPr>
                      <w:trHeight w:val="518" w:hRule="exact"/>
                    </w:trPr>
                    <w:tc>
                      <w:tcPr>
                        <w:tcW w:w="2122" w:type="dxa"/>
                        <w:tcBorders>
                          <w:top w:val="single" w:sz="4" w:space="0" w:color="000000"/>
                          <w:left w:val="nil"/>
                          <w:bottom w:val="single" w:sz="4" w:space="0" w:color="000000"/>
                          <w:right w:val="single" w:sz="4" w:space="0" w:color="000000"/>
                        </w:tcBorders>
                      </w:tcPr>
                      <w:p>
                        <w:pPr>
                          <w:pStyle w:val="TableParagraph"/>
                          <w:spacing w:before="140"/>
                          <w:ind w:left="120" w:right="555"/>
                          <w:rPr>
                            <w:sz w:val="19"/>
                          </w:rPr>
                        </w:pPr>
                        <w:r>
                          <w:rPr>
                            <w:w w:val="105"/>
                            <w:sz w:val="19"/>
                          </w:rPr>
                          <w:t>Proteína</w:t>
                        </w:r>
                      </w:p>
                    </w:tc>
                    <w:tc>
                      <w:tcPr>
                        <w:tcW w:w="1315" w:type="dxa"/>
                        <w:tcBorders>
                          <w:top w:val="single" w:sz="4" w:space="0" w:color="000000"/>
                          <w:left w:val="single" w:sz="4" w:space="0" w:color="000000"/>
                          <w:bottom w:val="single" w:sz="4" w:space="0" w:color="000000"/>
                        </w:tcBorders>
                      </w:tcPr>
                      <w:p>
                        <w:pPr>
                          <w:pStyle w:val="TableParagraph"/>
                          <w:spacing w:before="140"/>
                          <w:ind w:left="100"/>
                          <w:rPr>
                            <w:sz w:val="19"/>
                          </w:rPr>
                        </w:pPr>
                        <w:r>
                          <w:rPr>
                            <w:w w:val="105"/>
                            <w:sz w:val="19"/>
                          </w:rPr>
                          <w:t>(%)</w:t>
                        </w:r>
                      </w:p>
                    </w:tc>
                    <w:tc>
                      <w:tcPr>
                        <w:tcW w:w="1238" w:type="dxa"/>
                        <w:tcBorders>
                          <w:top w:val="single" w:sz="4" w:space="0" w:color="000000"/>
                          <w:bottom w:val="single" w:sz="4" w:space="0" w:color="000000"/>
                          <w:right w:val="single" w:sz="2" w:space="0" w:color="000000"/>
                        </w:tcBorders>
                      </w:tcPr>
                      <w:p>
                        <w:pPr/>
                      </w:p>
                    </w:tc>
                    <w:tc>
                      <w:tcPr>
                        <w:tcW w:w="1238" w:type="dxa"/>
                        <w:tcBorders>
                          <w:top w:val="single" w:sz="4" w:space="0" w:color="000000"/>
                          <w:left w:val="single" w:sz="2" w:space="0" w:color="000000"/>
                          <w:bottom w:val="single" w:sz="4" w:space="0" w:color="000000"/>
                          <w:right w:val="single" w:sz="2" w:space="0" w:color="000000"/>
                        </w:tcBorders>
                      </w:tcPr>
                      <w:p>
                        <w:pPr/>
                      </w:p>
                    </w:tc>
                    <w:tc>
                      <w:tcPr>
                        <w:tcW w:w="1238" w:type="dxa"/>
                        <w:tcBorders>
                          <w:top w:val="single" w:sz="4" w:space="0" w:color="000000"/>
                          <w:left w:val="single" w:sz="2" w:space="0" w:color="000000"/>
                          <w:bottom w:val="single" w:sz="4" w:space="0" w:color="000000"/>
                        </w:tcBorders>
                      </w:tcPr>
                      <w:p>
                        <w:pPr/>
                      </w:p>
                    </w:tc>
                    <w:tc>
                      <w:tcPr>
                        <w:tcW w:w="1238" w:type="dxa"/>
                        <w:tcBorders>
                          <w:top w:val="single" w:sz="4" w:space="0" w:color="000000"/>
                          <w:bottom w:val="single" w:sz="4" w:space="0" w:color="000000"/>
                          <w:right w:val="single" w:sz="2" w:space="0" w:color="000000"/>
                        </w:tcBorders>
                      </w:tcPr>
                      <w:p>
                        <w:pPr/>
                      </w:p>
                    </w:tc>
                    <w:tc>
                      <w:tcPr>
                        <w:tcW w:w="1238" w:type="dxa"/>
                        <w:tcBorders>
                          <w:top w:val="single" w:sz="4" w:space="0" w:color="000000"/>
                          <w:left w:val="single" w:sz="2" w:space="0" w:color="000000"/>
                          <w:bottom w:val="single" w:sz="4" w:space="0" w:color="000000"/>
                          <w:right w:val="single" w:sz="2" w:space="0" w:color="000000"/>
                        </w:tcBorders>
                      </w:tcPr>
                      <w:p>
                        <w:pPr/>
                      </w:p>
                    </w:tc>
                    <w:tc>
                      <w:tcPr>
                        <w:tcW w:w="1238" w:type="dxa"/>
                        <w:tcBorders>
                          <w:top w:val="single" w:sz="4" w:space="0" w:color="000000"/>
                          <w:left w:val="single" w:sz="2" w:space="0" w:color="000000"/>
                          <w:bottom w:val="single" w:sz="4" w:space="0" w:color="000000"/>
                          <w:right w:val="nil"/>
                        </w:tcBorders>
                      </w:tcPr>
                      <w:p>
                        <w:pPr/>
                      </w:p>
                    </w:tc>
                  </w:tr>
                  <w:tr>
                    <w:trPr>
                      <w:trHeight w:val="533" w:hRule="exact"/>
                    </w:trPr>
                    <w:tc>
                      <w:tcPr>
                        <w:tcW w:w="2122" w:type="dxa"/>
                        <w:tcBorders>
                          <w:top w:val="single" w:sz="4" w:space="0" w:color="000000"/>
                          <w:left w:val="nil"/>
                          <w:right w:val="single" w:sz="4" w:space="0" w:color="000000"/>
                        </w:tcBorders>
                      </w:tcPr>
                      <w:p>
                        <w:pPr/>
                      </w:p>
                    </w:tc>
                    <w:tc>
                      <w:tcPr>
                        <w:tcW w:w="1315" w:type="dxa"/>
                        <w:tcBorders>
                          <w:top w:val="single" w:sz="4" w:space="0" w:color="000000"/>
                          <w:left w:val="single" w:sz="4" w:space="0" w:color="000000"/>
                        </w:tcBorders>
                      </w:tcPr>
                      <w:p>
                        <w:pPr/>
                      </w:p>
                    </w:tc>
                    <w:tc>
                      <w:tcPr>
                        <w:tcW w:w="1238" w:type="dxa"/>
                        <w:tcBorders>
                          <w:top w:val="single" w:sz="4" w:space="0" w:color="000000"/>
                          <w:right w:val="single" w:sz="2" w:space="0" w:color="000000"/>
                        </w:tcBorders>
                      </w:tcPr>
                      <w:p>
                        <w:pPr/>
                      </w:p>
                    </w:tc>
                    <w:tc>
                      <w:tcPr>
                        <w:tcW w:w="1238" w:type="dxa"/>
                        <w:tcBorders>
                          <w:top w:val="single" w:sz="4" w:space="0" w:color="000000"/>
                          <w:left w:val="single" w:sz="2" w:space="0" w:color="000000"/>
                          <w:right w:val="single" w:sz="2" w:space="0" w:color="000000"/>
                        </w:tcBorders>
                      </w:tcPr>
                      <w:p>
                        <w:pPr/>
                      </w:p>
                    </w:tc>
                    <w:tc>
                      <w:tcPr>
                        <w:tcW w:w="1238" w:type="dxa"/>
                        <w:tcBorders>
                          <w:top w:val="single" w:sz="4" w:space="0" w:color="000000"/>
                          <w:left w:val="single" w:sz="2" w:space="0" w:color="000000"/>
                        </w:tcBorders>
                      </w:tcPr>
                      <w:p>
                        <w:pPr/>
                      </w:p>
                    </w:tc>
                    <w:tc>
                      <w:tcPr>
                        <w:tcW w:w="1238" w:type="dxa"/>
                        <w:tcBorders>
                          <w:top w:val="single" w:sz="4" w:space="0" w:color="000000"/>
                          <w:right w:val="single" w:sz="2" w:space="0" w:color="000000"/>
                        </w:tcBorders>
                      </w:tcPr>
                      <w:p>
                        <w:pPr/>
                      </w:p>
                    </w:tc>
                    <w:tc>
                      <w:tcPr>
                        <w:tcW w:w="1238" w:type="dxa"/>
                        <w:tcBorders>
                          <w:top w:val="single" w:sz="4" w:space="0" w:color="000000"/>
                          <w:left w:val="single" w:sz="2" w:space="0" w:color="000000"/>
                          <w:right w:val="single" w:sz="2" w:space="0" w:color="000000"/>
                        </w:tcBorders>
                      </w:tcPr>
                      <w:p>
                        <w:pPr/>
                      </w:p>
                    </w:tc>
                    <w:tc>
                      <w:tcPr>
                        <w:tcW w:w="1238" w:type="dxa"/>
                        <w:tcBorders>
                          <w:top w:val="single" w:sz="4" w:space="0" w:color="000000"/>
                          <w:left w:val="single" w:sz="2" w:space="0" w:color="000000"/>
                          <w:right w:val="nil"/>
                        </w:tcBorders>
                      </w:tcPr>
                      <w:p>
                        <w:pPr/>
                      </w:p>
                    </w:tc>
                  </w:tr>
                </w:tbl>
                <w:p>
                  <w:pPr>
                    <w:pStyle w:val="BodyText"/>
                  </w:pPr>
                </w:p>
              </w:txbxContent>
            </v:textbox>
            <w10:wrap type="none"/>
          </v:shape>
        </w:pict>
      </w:r>
      <w:r>
        <w:rPr/>
        <w:pict>
          <v:shape style="position:absolute;margin-left:34.552383pt;margin-top:490.552399pt;width:544.8pt;height:253.95pt;mso-position-horizontal-relative:page;mso-position-vertical-relative:page;z-index:6088"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07"/>
                    <w:gridCol w:w="1315"/>
                    <w:gridCol w:w="629"/>
                    <w:gridCol w:w="610"/>
                    <w:gridCol w:w="619"/>
                    <w:gridCol w:w="619"/>
                    <w:gridCol w:w="557"/>
                    <w:gridCol w:w="682"/>
                    <w:gridCol w:w="643"/>
                    <w:gridCol w:w="595"/>
                    <w:gridCol w:w="682"/>
                    <w:gridCol w:w="557"/>
                    <w:gridCol w:w="667"/>
                    <w:gridCol w:w="571"/>
                  </w:tblGrid>
                  <w:tr>
                    <w:trPr>
                      <w:trHeight w:val="312" w:hRule="exact"/>
                    </w:trPr>
                    <w:tc>
                      <w:tcPr>
                        <w:tcW w:w="3422" w:type="dxa"/>
                        <w:gridSpan w:val="2"/>
                        <w:vMerge w:val="restart"/>
                        <w:tcBorders>
                          <w:left w:val="nil"/>
                        </w:tcBorders>
                      </w:tcPr>
                      <w:p>
                        <w:pPr/>
                      </w:p>
                    </w:tc>
                    <w:tc>
                      <w:tcPr>
                        <w:tcW w:w="7430" w:type="dxa"/>
                        <w:gridSpan w:val="12"/>
                        <w:tcBorders>
                          <w:left w:val="single" w:sz="2" w:space="0" w:color="000000"/>
                          <w:bottom w:val="single" w:sz="4" w:space="0" w:color="000000"/>
                          <w:right w:val="nil"/>
                        </w:tcBorders>
                      </w:tcPr>
                      <w:p>
                        <w:pPr>
                          <w:pStyle w:val="TableParagraph"/>
                          <w:spacing w:before="2"/>
                          <w:ind w:left="3197" w:right="3197"/>
                          <w:jc w:val="center"/>
                          <w:rPr>
                            <w:sz w:val="24"/>
                          </w:rPr>
                        </w:pPr>
                        <w:r>
                          <w:rPr>
                            <w:sz w:val="24"/>
                          </w:rPr>
                          <w:t>AÑO 2011</w:t>
                        </w:r>
                      </w:p>
                    </w:tc>
                  </w:tr>
                  <w:tr>
                    <w:trPr>
                      <w:trHeight w:val="331" w:hRule="exact"/>
                    </w:trPr>
                    <w:tc>
                      <w:tcPr>
                        <w:tcW w:w="3422" w:type="dxa"/>
                        <w:gridSpan w:val="2"/>
                        <w:vMerge/>
                        <w:tcBorders>
                          <w:left w:val="nil"/>
                        </w:tcBorders>
                      </w:tcPr>
                      <w:p>
                        <w:pPr/>
                      </w:p>
                    </w:tc>
                    <w:tc>
                      <w:tcPr>
                        <w:tcW w:w="629" w:type="dxa"/>
                        <w:tcBorders>
                          <w:top w:val="single" w:sz="4" w:space="0" w:color="000000"/>
                          <w:right w:val="single" w:sz="4" w:space="0" w:color="000000"/>
                        </w:tcBorders>
                      </w:tcPr>
                      <w:p>
                        <w:pPr>
                          <w:pStyle w:val="TableParagraph"/>
                          <w:spacing w:before="21"/>
                          <w:ind w:right="5"/>
                          <w:jc w:val="center"/>
                          <w:rPr>
                            <w:b/>
                            <w:sz w:val="24"/>
                          </w:rPr>
                        </w:pPr>
                        <w:r>
                          <w:rPr>
                            <w:b/>
                            <w:sz w:val="24"/>
                          </w:rPr>
                          <w:t>E</w:t>
                        </w:r>
                      </w:p>
                    </w:tc>
                    <w:tc>
                      <w:tcPr>
                        <w:tcW w:w="610" w:type="dxa"/>
                        <w:tcBorders>
                          <w:top w:val="single" w:sz="4" w:space="0" w:color="000000"/>
                          <w:left w:val="single" w:sz="4" w:space="0" w:color="000000"/>
                          <w:right w:val="single" w:sz="4" w:space="0" w:color="000000"/>
                        </w:tcBorders>
                      </w:tcPr>
                      <w:p>
                        <w:pPr>
                          <w:pStyle w:val="TableParagraph"/>
                          <w:spacing w:before="21"/>
                          <w:ind w:right="1"/>
                          <w:jc w:val="center"/>
                          <w:rPr>
                            <w:b/>
                            <w:sz w:val="24"/>
                          </w:rPr>
                        </w:pPr>
                        <w:r>
                          <w:rPr>
                            <w:b/>
                            <w:sz w:val="24"/>
                          </w:rPr>
                          <w:t>F</w:t>
                        </w:r>
                      </w:p>
                    </w:tc>
                    <w:tc>
                      <w:tcPr>
                        <w:tcW w:w="619" w:type="dxa"/>
                        <w:tcBorders>
                          <w:top w:val="single" w:sz="4" w:space="0" w:color="000000"/>
                          <w:left w:val="single" w:sz="4" w:space="0" w:color="000000"/>
                          <w:right w:val="single" w:sz="4" w:space="0" w:color="000000"/>
                        </w:tcBorders>
                      </w:tcPr>
                      <w:p>
                        <w:pPr>
                          <w:pStyle w:val="TableParagraph"/>
                          <w:spacing w:before="21"/>
                          <w:ind w:left="196"/>
                          <w:rPr>
                            <w:b/>
                            <w:sz w:val="24"/>
                          </w:rPr>
                        </w:pPr>
                        <w:r>
                          <w:rPr>
                            <w:b/>
                            <w:sz w:val="24"/>
                          </w:rPr>
                          <w:t>M</w:t>
                        </w:r>
                      </w:p>
                    </w:tc>
                    <w:tc>
                      <w:tcPr>
                        <w:tcW w:w="619" w:type="dxa"/>
                        <w:tcBorders>
                          <w:top w:val="single" w:sz="4" w:space="0" w:color="000000"/>
                          <w:left w:val="single" w:sz="4" w:space="0" w:color="000000"/>
                          <w:right w:val="single" w:sz="4" w:space="0" w:color="000000"/>
                        </w:tcBorders>
                      </w:tcPr>
                      <w:p>
                        <w:pPr>
                          <w:pStyle w:val="TableParagraph"/>
                          <w:spacing w:before="21"/>
                          <w:ind w:right="2"/>
                          <w:jc w:val="center"/>
                          <w:rPr>
                            <w:b/>
                            <w:sz w:val="24"/>
                          </w:rPr>
                        </w:pPr>
                        <w:r>
                          <w:rPr>
                            <w:b/>
                            <w:sz w:val="24"/>
                          </w:rPr>
                          <w:t>A</w:t>
                        </w:r>
                      </w:p>
                    </w:tc>
                    <w:tc>
                      <w:tcPr>
                        <w:tcW w:w="557" w:type="dxa"/>
                        <w:tcBorders>
                          <w:top w:val="single" w:sz="4" w:space="0" w:color="000000"/>
                          <w:left w:val="single" w:sz="4" w:space="0" w:color="000000"/>
                          <w:right w:val="single" w:sz="4" w:space="0" w:color="000000"/>
                        </w:tcBorders>
                      </w:tcPr>
                      <w:p>
                        <w:pPr>
                          <w:pStyle w:val="TableParagraph"/>
                          <w:spacing w:before="21"/>
                          <w:ind w:left="166"/>
                          <w:rPr>
                            <w:b/>
                            <w:sz w:val="24"/>
                          </w:rPr>
                        </w:pPr>
                        <w:r>
                          <w:rPr>
                            <w:b/>
                            <w:sz w:val="24"/>
                          </w:rPr>
                          <w:t>M</w:t>
                        </w:r>
                      </w:p>
                    </w:tc>
                    <w:tc>
                      <w:tcPr>
                        <w:tcW w:w="682" w:type="dxa"/>
                        <w:tcBorders>
                          <w:top w:val="single" w:sz="4" w:space="0" w:color="000000"/>
                          <w:left w:val="single" w:sz="4" w:space="0" w:color="000000"/>
                        </w:tcBorders>
                      </w:tcPr>
                      <w:p>
                        <w:pPr>
                          <w:pStyle w:val="TableParagraph"/>
                          <w:spacing w:before="21"/>
                          <w:ind w:left="4"/>
                          <w:jc w:val="center"/>
                          <w:rPr>
                            <w:b/>
                            <w:sz w:val="24"/>
                          </w:rPr>
                        </w:pPr>
                        <w:r>
                          <w:rPr>
                            <w:b/>
                            <w:sz w:val="24"/>
                          </w:rPr>
                          <w:t>J</w:t>
                        </w:r>
                      </w:p>
                    </w:tc>
                    <w:tc>
                      <w:tcPr>
                        <w:tcW w:w="643" w:type="dxa"/>
                        <w:tcBorders>
                          <w:top w:val="single" w:sz="4" w:space="0" w:color="000000"/>
                          <w:right w:val="single" w:sz="4" w:space="0" w:color="000000"/>
                        </w:tcBorders>
                      </w:tcPr>
                      <w:p>
                        <w:pPr>
                          <w:pStyle w:val="TableParagraph"/>
                          <w:spacing w:before="21"/>
                          <w:ind w:right="12"/>
                          <w:jc w:val="center"/>
                          <w:rPr>
                            <w:b/>
                            <w:sz w:val="24"/>
                          </w:rPr>
                        </w:pPr>
                        <w:r>
                          <w:rPr>
                            <w:b/>
                            <w:sz w:val="24"/>
                          </w:rPr>
                          <w:t>J</w:t>
                        </w:r>
                      </w:p>
                    </w:tc>
                    <w:tc>
                      <w:tcPr>
                        <w:tcW w:w="595" w:type="dxa"/>
                        <w:tcBorders>
                          <w:top w:val="single" w:sz="4" w:space="0" w:color="000000"/>
                          <w:left w:val="single" w:sz="4" w:space="0" w:color="000000"/>
                          <w:right w:val="single" w:sz="4" w:space="0" w:color="000000"/>
                        </w:tcBorders>
                      </w:tcPr>
                      <w:p>
                        <w:pPr>
                          <w:pStyle w:val="TableParagraph"/>
                          <w:spacing w:before="21"/>
                          <w:ind w:right="3"/>
                          <w:jc w:val="center"/>
                          <w:rPr>
                            <w:b/>
                            <w:sz w:val="24"/>
                          </w:rPr>
                        </w:pPr>
                        <w:r>
                          <w:rPr>
                            <w:b/>
                            <w:sz w:val="24"/>
                          </w:rPr>
                          <w:t>A</w:t>
                        </w:r>
                      </w:p>
                    </w:tc>
                    <w:tc>
                      <w:tcPr>
                        <w:tcW w:w="682" w:type="dxa"/>
                        <w:tcBorders>
                          <w:top w:val="single" w:sz="4" w:space="0" w:color="000000"/>
                          <w:left w:val="single" w:sz="4" w:space="0" w:color="000000"/>
                          <w:right w:val="single" w:sz="4" w:space="0" w:color="000000"/>
                        </w:tcBorders>
                      </w:tcPr>
                      <w:p>
                        <w:pPr>
                          <w:pStyle w:val="TableParagraph"/>
                          <w:spacing w:before="21"/>
                          <w:ind w:right="1"/>
                          <w:jc w:val="center"/>
                          <w:rPr>
                            <w:b/>
                            <w:sz w:val="24"/>
                          </w:rPr>
                        </w:pPr>
                        <w:r>
                          <w:rPr>
                            <w:b/>
                            <w:sz w:val="24"/>
                          </w:rPr>
                          <w:t>S</w:t>
                        </w:r>
                      </w:p>
                    </w:tc>
                    <w:tc>
                      <w:tcPr>
                        <w:tcW w:w="557" w:type="dxa"/>
                        <w:tcBorders>
                          <w:top w:val="single" w:sz="4" w:space="0" w:color="000000"/>
                          <w:left w:val="single" w:sz="4" w:space="0" w:color="000000"/>
                          <w:right w:val="single" w:sz="4" w:space="0" w:color="000000"/>
                        </w:tcBorders>
                      </w:tcPr>
                      <w:p>
                        <w:pPr>
                          <w:pStyle w:val="TableParagraph"/>
                          <w:spacing w:before="21"/>
                          <w:ind w:right="4"/>
                          <w:jc w:val="center"/>
                          <w:rPr>
                            <w:b/>
                            <w:sz w:val="24"/>
                          </w:rPr>
                        </w:pPr>
                        <w:r>
                          <w:rPr>
                            <w:b/>
                            <w:sz w:val="24"/>
                          </w:rPr>
                          <w:t>O</w:t>
                        </w:r>
                      </w:p>
                    </w:tc>
                    <w:tc>
                      <w:tcPr>
                        <w:tcW w:w="667" w:type="dxa"/>
                        <w:tcBorders>
                          <w:top w:val="single" w:sz="4" w:space="0" w:color="000000"/>
                          <w:left w:val="single" w:sz="4" w:space="0" w:color="000000"/>
                          <w:right w:val="single" w:sz="4" w:space="0" w:color="000000"/>
                        </w:tcBorders>
                      </w:tcPr>
                      <w:p>
                        <w:pPr>
                          <w:pStyle w:val="TableParagraph"/>
                          <w:spacing w:before="21"/>
                          <w:ind w:right="1"/>
                          <w:jc w:val="center"/>
                          <w:rPr>
                            <w:b/>
                            <w:sz w:val="24"/>
                          </w:rPr>
                        </w:pPr>
                        <w:r>
                          <w:rPr>
                            <w:b/>
                            <w:sz w:val="24"/>
                          </w:rPr>
                          <w:t>N</w:t>
                        </w:r>
                      </w:p>
                    </w:tc>
                    <w:tc>
                      <w:tcPr>
                        <w:tcW w:w="571" w:type="dxa"/>
                        <w:tcBorders>
                          <w:top w:val="single" w:sz="4" w:space="0" w:color="000000"/>
                          <w:left w:val="single" w:sz="4" w:space="0" w:color="000000"/>
                          <w:right w:val="nil"/>
                        </w:tcBorders>
                      </w:tcPr>
                      <w:p>
                        <w:pPr>
                          <w:pStyle w:val="TableParagraph"/>
                          <w:spacing w:before="21"/>
                          <w:ind w:right="9"/>
                          <w:jc w:val="center"/>
                          <w:rPr>
                            <w:b/>
                            <w:sz w:val="24"/>
                          </w:rPr>
                        </w:pPr>
                        <w:r>
                          <w:rPr>
                            <w:b/>
                            <w:sz w:val="24"/>
                          </w:rPr>
                          <w:t>D</w:t>
                        </w:r>
                      </w:p>
                    </w:tc>
                  </w:tr>
                  <w:tr>
                    <w:trPr>
                      <w:trHeight w:val="533" w:hRule="exact"/>
                    </w:trPr>
                    <w:tc>
                      <w:tcPr>
                        <w:tcW w:w="2107" w:type="dxa"/>
                        <w:tcBorders>
                          <w:left w:val="nil"/>
                          <w:bottom w:val="single" w:sz="4" w:space="0" w:color="000000"/>
                          <w:right w:val="single" w:sz="4" w:space="0" w:color="000000"/>
                        </w:tcBorders>
                      </w:tcPr>
                      <w:p>
                        <w:pPr>
                          <w:pStyle w:val="TableParagraph"/>
                          <w:spacing w:before="140"/>
                          <w:ind w:left="105" w:right="540"/>
                          <w:rPr>
                            <w:sz w:val="19"/>
                          </w:rPr>
                        </w:pPr>
                        <w:r>
                          <w:rPr>
                            <w:w w:val="105"/>
                            <w:sz w:val="19"/>
                          </w:rPr>
                          <w:t>Peso</w:t>
                        </w:r>
                      </w:p>
                    </w:tc>
                    <w:tc>
                      <w:tcPr>
                        <w:tcW w:w="1315" w:type="dxa"/>
                        <w:tcBorders>
                          <w:left w:val="single" w:sz="4" w:space="0" w:color="000000"/>
                          <w:bottom w:val="single" w:sz="4" w:space="0" w:color="000000"/>
                        </w:tcBorders>
                      </w:tcPr>
                      <w:p>
                        <w:pPr>
                          <w:pStyle w:val="TableParagraph"/>
                          <w:spacing w:before="140"/>
                          <w:ind w:left="100"/>
                          <w:rPr>
                            <w:sz w:val="19"/>
                          </w:rPr>
                        </w:pPr>
                        <w:r>
                          <w:rPr>
                            <w:w w:val="105"/>
                            <w:sz w:val="19"/>
                          </w:rPr>
                          <w:t>(kg.)</w:t>
                        </w:r>
                      </w:p>
                    </w:tc>
                    <w:tc>
                      <w:tcPr>
                        <w:tcW w:w="629" w:type="dxa"/>
                        <w:tcBorders>
                          <w:bottom w:val="single" w:sz="4" w:space="0" w:color="000000"/>
                          <w:right w:val="single" w:sz="4" w:space="0" w:color="000000"/>
                        </w:tcBorders>
                      </w:tcPr>
                      <w:p>
                        <w:pPr/>
                      </w:p>
                    </w:tc>
                    <w:tc>
                      <w:tcPr>
                        <w:tcW w:w="610" w:type="dxa"/>
                        <w:tcBorders>
                          <w:left w:val="single" w:sz="4" w:space="0" w:color="000000"/>
                          <w:bottom w:val="single" w:sz="4" w:space="0" w:color="000000"/>
                          <w:right w:val="single" w:sz="4" w:space="0" w:color="000000"/>
                        </w:tcBorders>
                      </w:tcPr>
                      <w:p>
                        <w:pPr/>
                      </w:p>
                    </w:tc>
                    <w:tc>
                      <w:tcPr>
                        <w:tcW w:w="619" w:type="dxa"/>
                        <w:tcBorders>
                          <w:left w:val="single" w:sz="4" w:space="0" w:color="000000"/>
                          <w:bottom w:val="single" w:sz="4" w:space="0" w:color="000000"/>
                          <w:right w:val="single" w:sz="4" w:space="0" w:color="000000"/>
                        </w:tcBorders>
                      </w:tcPr>
                      <w:p>
                        <w:pPr/>
                      </w:p>
                    </w:tc>
                    <w:tc>
                      <w:tcPr>
                        <w:tcW w:w="619" w:type="dxa"/>
                        <w:tcBorders>
                          <w:left w:val="single" w:sz="4" w:space="0" w:color="000000"/>
                          <w:bottom w:val="single" w:sz="4" w:space="0" w:color="000000"/>
                          <w:right w:val="single" w:sz="4" w:space="0" w:color="000000"/>
                        </w:tcBorders>
                      </w:tcPr>
                      <w:p>
                        <w:pPr/>
                      </w:p>
                    </w:tc>
                    <w:tc>
                      <w:tcPr>
                        <w:tcW w:w="557" w:type="dxa"/>
                        <w:tcBorders>
                          <w:left w:val="single" w:sz="4" w:space="0" w:color="000000"/>
                          <w:bottom w:val="single" w:sz="4" w:space="0" w:color="000000"/>
                          <w:right w:val="single" w:sz="4" w:space="0" w:color="000000"/>
                        </w:tcBorders>
                      </w:tcPr>
                      <w:p>
                        <w:pPr/>
                      </w:p>
                    </w:tc>
                    <w:tc>
                      <w:tcPr>
                        <w:tcW w:w="682" w:type="dxa"/>
                        <w:tcBorders>
                          <w:left w:val="single" w:sz="4" w:space="0" w:color="000000"/>
                          <w:bottom w:val="single" w:sz="4" w:space="0" w:color="000000"/>
                        </w:tcBorders>
                      </w:tcPr>
                      <w:p>
                        <w:pPr/>
                      </w:p>
                    </w:tc>
                    <w:tc>
                      <w:tcPr>
                        <w:tcW w:w="643" w:type="dxa"/>
                        <w:tcBorders>
                          <w:bottom w:val="single" w:sz="4" w:space="0" w:color="000000"/>
                          <w:right w:val="single" w:sz="4" w:space="0" w:color="000000"/>
                        </w:tcBorders>
                      </w:tcPr>
                      <w:p>
                        <w:pPr/>
                      </w:p>
                    </w:tc>
                    <w:tc>
                      <w:tcPr>
                        <w:tcW w:w="595" w:type="dxa"/>
                        <w:tcBorders>
                          <w:left w:val="single" w:sz="4" w:space="0" w:color="000000"/>
                          <w:bottom w:val="single" w:sz="4" w:space="0" w:color="000000"/>
                          <w:right w:val="single" w:sz="4" w:space="0" w:color="000000"/>
                        </w:tcBorders>
                      </w:tcPr>
                      <w:p>
                        <w:pPr/>
                      </w:p>
                    </w:tc>
                    <w:tc>
                      <w:tcPr>
                        <w:tcW w:w="682" w:type="dxa"/>
                        <w:tcBorders>
                          <w:left w:val="single" w:sz="4" w:space="0" w:color="000000"/>
                          <w:bottom w:val="single" w:sz="4" w:space="0" w:color="000000"/>
                          <w:right w:val="single" w:sz="4" w:space="0" w:color="000000"/>
                        </w:tcBorders>
                      </w:tcPr>
                      <w:p>
                        <w:pPr/>
                      </w:p>
                    </w:tc>
                    <w:tc>
                      <w:tcPr>
                        <w:tcW w:w="557" w:type="dxa"/>
                        <w:tcBorders>
                          <w:left w:val="single" w:sz="4" w:space="0" w:color="000000"/>
                          <w:bottom w:val="single" w:sz="4" w:space="0" w:color="000000"/>
                          <w:right w:val="single" w:sz="4" w:space="0" w:color="000000"/>
                        </w:tcBorders>
                      </w:tcPr>
                      <w:p>
                        <w:pPr/>
                      </w:p>
                    </w:tc>
                    <w:tc>
                      <w:tcPr>
                        <w:tcW w:w="667" w:type="dxa"/>
                        <w:tcBorders>
                          <w:left w:val="single" w:sz="4" w:space="0" w:color="000000"/>
                          <w:bottom w:val="single" w:sz="4" w:space="0" w:color="000000"/>
                          <w:right w:val="single" w:sz="4" w:space="0" w:color="000000"/>
                        </w:tcBorders>
                      </w:tcPr>
                      <w:p>
                        <w:pPr/>
                      </w:p>
                    </w:tc>
                    <w:tc>
                      <w:tcPr>
                        <w:tcW w:w="571" w:type="dxa"/>
                        <w:tcBorders>
                          <w:left w:val="single" w:sz="4" w:space="0" w:color="000000"/>
                          <w:bottom w:val="single" w:sz="4" w:space="0" w:color="000000"/>
                          <w:right w:val="nil"/>
                        </w:tcBorders>
                      </w:tcPr>
                      <w:p>
                        <w:pPr/>
                      </w:p>
                    </w:tc>
                  </w:tr>
                  <w:tr>
                    <w:trPr>
                      <w:trHeight w:val="518" w:hRule="exact"/>
                    </w:trPr>
                    <w:tc>
                      <w:tcPr>
                        <w:tcW w:w="2107" w:type="dxa"/>
                        <w:tcBorders>
                          <w:top w:val="single" w:sz="4" w:space="0" w:color="000000"/>
                          <w:left w:val="nil"/>
                          <w:bottom w:val="single" w:sz="4" w:space="0" w:color="000000"/>
                          <w:right w:val="single" w:sz="4" w:space="0" w:color="000000"/>
                        </w:tcBorders>
                      </w:tcPr>
                      <w:p>
                        <w:pPr>
                          <w:pStyle w:val="TableParagraph"/>
                          <w:spacing w:line="254" w:lineRule="auto" w:before="16"/>
                          <w:ind w:left="105" w:right="540"/>
                          <w:rPr>
                            <w:sz w:val="19"/>
                          </w:rPr>
                        </w:pPr>
                        <w:r>
                          <w:rPr>
                            <w:w w:val="105"/>
                            <w:sz w:val="19"/>
                          </w:rPr>
                          <w:t>Aumento de peso promedio por día</w:t>
                        </w:r>
                      </w:p>
                    </w:tc>
                    <w:tc>
                      <w:tcPr>
                        <w:tcW w:w="1315" w:type="dxa"/>
                        <w:tcBorders>
                          <w:top w:val="single" w:sz="4" w:space="0" w:color="000000"/>
                          <w:left w:val="single" w:sz="4" w:space="0" w:color="000000"/>
                          <w:bottom w:val="single" w:sz="4" w:space="0" w:color="000000"/>
                        </w:tcBorders>
                      </w:tcPr>
                      <w:p>
                        <w:pPr>
                          <w:pStyle w:val="TableParagraph"/>
                          <w:spacing w:before="140"/>
                          <w:ind w:left="100"/>
                          <w:rPr>
                            <w:sz w:val="19"/>
                          </w:rPr>
                        </w:pPr>
                        <w:r>
                          <w:rPr>
                            <w:w w:val="105"/>
                            <w:sz w:val="19"/>
                          </w:rPr>
                          <w:t>(kg/vaca/d)</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4" w:space="0" w:color="000000"/>
                        </w:tcBorders>
                      </w:tcPr>
                      <w:p>
                        <w:pPr/>
                      </w:p>
                    </w:tc>
                    <w:tc>
                      <w:tcPr>
                        <w:tcW w:w="667" w:type="dxa"/>
                        <w:tcBorders>
                          <w:top w:val="single" w:sz="4" w:space="0" w:color="000000"/>
                          <w:left w:val="single" w:sz="4"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744" w:hRule="exact"/>
                    </w:trPr>
                    <w:tc>
                      <w:tcPr>
                        <w:tcW w:w="2107" w:type="dxa"/>
                        <w:tcBorders>
                          <w:top w:val="single" w:sz="4" w:space="0" w:color="000000"/>
                          <w:left w:val="nil"/>
                          <w:bottom w:val="single" w:sz="4" w:space="0" w:color="000000"/>
                          <w:right w:val="single" w:sz="4" w:space="0" w:color="000000"/>
                        </w:tcBorders>
                      </w:tcPr>
                      <w:p>
                        <w:pPr>
                          <w:pStyle w:val="TableParagraph"/>
                          <w:spacing w:line="254" w:lineRule="auto" w:before="6"/>
                          <w:ind w:left="105" w:right="168"/>
                          <w:rPr>
                            <w:sz w:val="19"/>
                          </w:rPr>
                        </w:pPr>
                        <w:r>
                          <w:rPr>
                            <w:w w:val="105"/>
                            <w:sz w:val="19"/>
                          </w:rPr>
                          <w:t>Cantidad de trabajo promedio relizado por día.</w:t>
                        </w:r>
                      </w:p>
                    </w:tc>
                    <w:tc>
                      <w:tcPr>
                        <w:tcW w:w="1315" w:type="dxa"/>
                        <w:tcBorders>
                          <w:top w:val="single" w:sz="4" w:space="0" w:color="000000"/>
                          <w:left w:val="single" w:sz="4" w:space="0" w:color="000000"/>
                          <w:bottom w:val="single" w:sz="4" w:space="0" w:color="000000"/>
                        </w:tcBorders>
                      </w:tcPr>
                      <w:p>
                        <w:pPr>
                          <w:pStyle w:val="TableParagraph"/>
                          <w:spacing w:before="9"/>
                          <w:rPr>
                            <w:rFonts w:ascii="Arial"/>
                            <w:b/>
                            <w:sz w:val="21"/>
                          </w:rPr>
                        </w:pPr>
                      </w:p>
                      <w:p>
                        <w:pPr>
                          <w:pStyle w:val="TableParagraph"/>
                          <w:ind w:left="100"/>
                          <w:rPr>
                            <w:sz w:val="19"/>
                          </w:rPr>
                        </w:pPr>
                        <w:r>
                          <w:rPr>
                            <w:w w:val="105"/>
                            <w:sz w:val="19"/>
                          </w:rPr>
                          <w:t>(horas/día)</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518" w:hRule="exact"/>
                    </w:trPr>
                    <w:tc>
                      <w:tcPr>
                        <w:tcW w:w="2107" w:type="dxa"/>
                        <w:tcBorders>
                          <w:top w:val="single" w:sz="4" w:space="0" w:color="000000"/>
                          <w:left w:val="nil"/>
                          <w:bottom w:val="single" w:sz="4" w:space="0" w:color="000000"/>
                          <w:right w:val="single" w:sz="4" w:space="0" w:color="000000"/>
                        </w:tcBorders>
                      </w:tcPr>
                      <w:p>
                        <w:pPr>
                          <w:pStyle w:val="TableParagraph"/>
                          <w:spacing w:line="254" w:lineRule="auto" w:before="16"/>
                          <w:ind w:left="105" w:right="96"/>
                          <w:rPr>
                            <w:sz w:val="19"/>
                          </w:rPr>
                        </w:pPr>
                        <w:r>
                          <w:rPr>
                            <w:w w:val="105"/>
                            <w:sz w:val="19"/>
                          </w:rPr>
                          <w:t>Porcentaje de hembras que paren en un año</w:t>
                        </w:r>
                      </w:p>
                    </w:tc>
                    <w:tc>
                      <w:tcPr>
                        <w:tcW w:w="1315" w:type="dxa"/>
                        <w:tcBorders>
                          <w:top w:val="single" w:sz="4" w:space="0" w:color="000000"/>
                          <w:left w:val="single" w:sz="4" w:space="0" w:color="000000"/>
                          <w:bottom w:val="single" w:sz="4" w:space="0" w:color="000000"/>
                        </w:tcBorders>
                      </w:tcPr>
                      <w:p>
                        <w:pPr>
                          <w:pStyle w:val="TableParagraph"/>
                          <w:spacing w:before="140"/>
                          <w:ind w:left="100"/>
                          <w:rPr>
                            <w:sz w:val="19"/>
                          </w:rPr>
                        </w:pPr>
                        <w:r>
                          <w:rPr>
                            <w:w w:val="105"/>
                            <w:sz w:val="19"/>
                          </w:rPr>
                          <w:t>(%)</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518" w:hRule="exact"/>
                    </w:trPr>
                    <w:tc>
                      <w:tcPr>
                        <w:tcW w:w="2107" w:type="dxa"/>
                        <w:tcBorders>
                          <w:top w:val="single" w:sz="4" w:space="0" w:color="000000"/>
                          <w:left w:val="nil"/>
                          <w:bottom w:val="single" w:sz="4" w:space="0" w:color="000000"/>
                          <w:right w:val="single" w:sz="4" w:space="0" w:color="000000"/>
                        </w:tcBorders>
                      </w:tcPr>
                      <w:p>
                        <w:pPr>
                          <w:pStyle w:val="TableParagraph"/>
                          <w:spacing w:before="140"/>
                          <w:ind w:left="105" w:right="540"/>
                          <w:rPr>
                            <w:sz w:val="19"/>
                          </w:rPr>
                        </w:pPr>
                        <w:r>
                          <w:rPr>
                            <w:w w:val="105"/>
                            <w:sz w:val="19"/>
                          </w:rPr>
                          <w:t>Cantidad de crías</w:t>
                        </w:r>
                      </w:p>
                    </w:tc>
                    <w:tc>
                      <w:tcPr>
                        <w:tcW w:w="1315" w:type="dxa"/>
                        <w:tcBorders>
                          <w:top w:val="single" w:sz="4" w:space="0" w:color="000000"/>
                          <w:left w:val="single" w:sz="4" w:space="0" w:color="000000"/>
                          <w:bottom w:val="single" w:sz="4" w:space="0" w:color="000000"/>
                        </w:tcBorders>
                      </w:tcPr>
                      <w:p>
                        <w:pPr>
                          <w:pStyle w:val="TableParagraph"/>
                          <w:spacing w:before="140"/>
                          <w:ind w:left="100"/>
                          <w:rPr>
                            <w:sz w:val="19"/>
                          </w:rPr>
                        </w:pPr>
                        <w:r>
                          <w:rPr>
                            <w:w w:val="105"/>
                            <w:sz w:val="19"/>
                          </w:rPr>
                          <w:t>(%)</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523" w:hRule="exact"/>
                    </w:trPr>
                    <w:tc>
                      <w:tcPr>
                        <w:tcW w:w="2107" w:type="dxa"/>
                        <w:tcBorders>
                          <w:top w:val="single" w:sz="4" w:space="0" w:color="000000"/>
                          <w:left w:val="nil"/>
                          <w:bottom w:val="single" w:sz="4" w:space="0" w:color="000000"/>
                          <w:right w:val="single" w:sz="4" w:space="0" w:color="000000"/>
                        </w:tcBorders>
                      </w:tcPr>
                      <w:p>
                        <w:pPr>
                          <w:pStyle w:val="TableParagraph"/>
                          <w:spacing w:line="254" w:lineRule="auto" w:before="20"/>
                          <w:ind w:left="105" w:right="628"/>
                          <w:rPr>
                            <w:sz w:val="19"/>
                          </w:rPr>
                        </w:pPr>
                        <w:r>
                          <w:rPr>
                            <w:w w:val="105"/>
                            <w:sz w:val="19"/>
                          </w:rPr>
                          <w:t>Digestibilidad de alimento</w:t>
                        </w:r>
                      </w:p>
                    </w:tc>
                    <w:tc>
                      <w:tcPr>
                        <w:tcW w:w="1315" w:type="dxa"/>
                        <w:tcBorders>
                          <w:top w:val="single" w:sz="4" w:space="0" w:color="000000"/>
                          <w:left w:val="single" w:sz="4" w:space="0" w:color="000000"/>
                          <w:bottom w:val="single" w:sz="4" w:space="0" w:color="000000"/>
                        </w:tcBorders>
                      </w:tcPr>
                      <w:p>
                        <w:pPr>
                          <w:pStyle w:val="TableParagraph"/>
                          <w:spacing w:before="140"/>
                          <w:ind w:left="100"/>
                          <w:rPr>
                            <w:sz w:val="19"/>
                          </w:rPr>
                        </w:pPr>
                        <w:r>
                          <w:rPr>
                            <w:w w:val="105"/>
                            <w:sz w:val="19"/>
                          </w:rPr>
                          <w:t>(%)</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518" w:hRule="exact"/>
                    </w:trPr>
                    <w:tc>
                      <w:tcPr>
                        <w:tcW w:w="2107" w:type="dxa"/>
                        <w:vMerge w:val="restart"/>
                        <w:tcBorders>
                          <w:top w:val="single" w:sz="4" w:space="0" w:color="000000"/>
                          <w:left w:val="nil"/>
                          <w:right w:val="single" w:sz="4" w:space="0" w:color="000000"/>
                        </w:tcBorders>
                      </w:tcPr>
                      <w:p>
                        <w:pPr>
                          <w:pStyle w:val="TableParagraph"/>
                          <w:rPr>
                            <w:rFonts w:ascii="Arial"/>
                            <w:b/>
                            <w:sz w:val="20"/>
                          </w:rPr>
                        </w:pPr>
                      </w:p>
                      <w:p>
                        <w:pPr>
                          <w:pStyle w:val="TableParagraph"/>
                          <w:spacing w:before="170"/>
                          <w:ind w:left="105" w:right="168"/>
                          <w:rPr>
                            <w:sz w:val="19"/>
                          </w:rPr>
                        </w:pPr>
                        <w:r>
                          <w:rPr>
                            <w:w w:val="105"/>
                            <w:sz w:val="19"/>
                          </w:rPr>
                          <w:t>Situación alimentaria</w:t>
                        </w:r>
                      </w:p>
                    </w:tc>
                    <w:tc>
                      <w:tcPr>
                        <w:tcW w:w="1315" w:type="dxa"/>
                        <w:tcBorders>
                          <w:top w:val="single" w:sz="4" w:space="0" w:color="000000"/>
                          <w:left w:val="single" w:sz="4" w:space="0" w:color="000000"/>
                          <w:bottom w:val="single" w:sz="4" w:space="0" w:color="000000"/>
                        </w:tcBorders>
                      </w:tcPr>
                      <w:p>
                        <w:pPr>
                          <w:pStyle w:val="TableParagraph"/>
                          <w:spacing w:line="254" w:lineRule="auto" w:before="16"/>
                          <w:ind w:left="100" w:right="282"/>
                          <w:rPr>
                            <w:sz w:val="19"/>
                          </w:rPr>
                        </w:pPr>
                        <w:r>
                          <w:rPr>
                            <w:w w:val="105"/>
                            <w:sz w:val="19"/>
                          </w:rPr>
                          <w:t>(Confinado Hrs/día)</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533" w:hRule="exact"/>
                    </w:trPr>
                    <w:tc>
                      <w:tcPr>
                        <w:tcW w:w="2107" w:type="dxa"/>
                        <w:vMerge/>
                        <w:tcBorders>
                          <w:left w:val="nil"/>
                          <w:right w:val="single" w:sz="4" w:space="0" w:color="000000"/>
                        </w:tcBorders>
                      </w:tcPr>
                      <w:p>
                        <w:pPr/>
                      </w:p>
                    </w:tc>
                    <w:tc>
                      <w:tcPr>
                        <w:tcW w:w="1315" w:type="dxa"/>
                        <w:tcBorders>
                          <w:top w:val="single" w:sz="4" w:space="0" w:color="000000"/>
                          <w:left w:val="single" w:sz="4" w:space="0" w:color="000000"/>
                        </w:tcBorders>
                      </w:tcPr>
                      <w:p>
                        <w:pPr>
                          <w:pStyle w:val="TableParagraph"/>
                          <w:spacing w:line="254" w:lineRule="auto" w:before="16"/>
                          <w:ind w:left="100" w:right="392"/>
                          <w:rPr>
                            <w:sz w:val="19"/>
                          </w:rPr>
                        </w:pPr>
                        <w:r>
                          <w:rPr>
                            <w:w w:val="105"/>
                            <w:sz w:val="19"/>
                          </w:rPr>
                          <w:t>(Pastoreo Hras/día)</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bl>
                <w:p>
                  <w:pPr>
                    <w:pStyle w:val="BodyText"/>
                  </w:pPr>
                </w:p>
              </w:txbxContent>
            </v:textbox>
            <w10:wrap type="none"/>
          </v:shape>
        </w:pict>
      </w:r>
    </w:p>
    <w:p>
      <w:pPr>
        <w:spacing w:after="0"/>
        <w:rPr>
          <w:sz w:val="2"/>
          <w:szCs w:val="2"/>
        </w:rPr>
        <w:sectPr>
          <w:headerReference w:type="default" r:id="rId251"/>
          <w:footerReference w:type="default" r:id="rId252"/>
          <w:pgSz w:w="12240" w:h="15840"/>
          <w:pgMar w:header="0" w:footer="0" w:top="700" w:bottom="280" w:left="480" w:right="440"/>
        </w:sectPr>
      </w:pPr>
    </w:p>
    <w:p>
      <w:pPr>
        <w:spacing w:line="169" w:lineRule="exact" w:before="56"/>
        <w:ind w:left="0" w:right="127" w:firstLine="0"/>
        <w:jc w:val="right"/>
        <w:rPr>
          <w:rFonts w:ascii="Calibri" w:hAnsi="Calibri"/>
          <w:b/>
          <w:i/>
          <w:sz w:val="14"/>
        </w:rPr>
      </w:pPr>
      <w:r>
        <w:rPr/>
        <w:pict>
          <v:group style="position:absolute;margin-left:29.982389pt;margin-top:34.302399pt;width:553pt;height:732.75pt;mso-position-horizontal-relative:page;mso-position-vertical-relative:page;z-index:-305896"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hAnsi="Calibri"/>
          <w:b/>
          <w:i/>
          <w:sz w:val="14"/>
        </w:rPr>
        <w:t>Estimación de las emisiones en bovinos en los sistema de producción lechera en pequeña escala</w:t>
      </w:r>
    </w:p>
    <w:p>
      <w:pPr>
        <w:spacing w:line="169" w:lineRule="exact" w:before="0"/>
        <w:ind w:left="0" w:right="126" w:firstLine="0"/>
        <w:jc w:val="right"/>
        <w:rPr>
          <w:rFonts w:ascii="Calibri" w:hAnsi="Calibri"/>
          <w:b/>
          <w:i/>
          <w:sz w:val="14"/>
        </w:rPr>
      </w:pPr>
      <w:r>
        <w:rPr>
          <w:rFonts w:ascii="Calibri" w:hAnsi="Calibri"/>
          <w:b/>
          <w:i/>
          <w:sz w:val="14"/>
        </w:rPr>
        <w:t>a través del factor de conversión de metano</w:t>
      </w:r>
    </w:p>
    <w:p>
      <w:pPr>
        <w:spacing w:before="2" w:after="5"/>
        <w:ind w:left="0" w:right="127" w:firstLine="0"/>
        <w:jc w:val="right"/>
        <w:rPr>
          <w:rFonts w:ascii="Calibri" w:hAnsi="Calibri"/>
          <w:b/>
          <w:i/>
          <w:sz w:val="14"/>
        </w:rPr>
      </w:pPr>
      <w:r>
        <w:rPr>
          <w:rFonts w:ascii="Calibri" w:hAnsi="Calibri"/>
          <w:b/>
          <w:i/>
          <w:sz w:val="14"/>
        </w:rPr>
        <w:t>M. en E. S. Noé Zúñiga-González</w:t>
      </w:r>
    </w:p>
    <w:p>
      <w:pPr>
        <w:spacing w:line="240" w:lineRule="auto"/>
        <w:ind w:left="139" w:right="0" w:firstLine="0"/>
        <w:rPr>
          <w:rFonts w:ascii="Calibri"/>
          <w:sz w:val="20"/>
        </w:rPr>
      </w:pPr>
      <w:r>
        <w:rPr>
          <w:rFonts w:ascii="Times New Roman"/>
          <w:spacing w:val="-49"/>
          <w:sz w:val="20"/>
        </w:rPr>
        <w:t> </w:t>
      </w:r>
      <w:r>
        <w:rPr>
          <w:rFonts w:ascii="Calibri"/>
          <w:spacing w:val="-49"/>
          <w:sz w:val="20"/>
        </w:rPr>
        <w:pict>
          <v:shape style="width:542.4pt;height:19.45pt;mso-position-horizontal-relative:char;mso-position-vertical-relative:line" type="#_x0000_t202" filled="true" fillcolor="#943634" stroked="true" strokeweight=".48pt" strokecolor="#000000">
            <w10:anchorlock/>
            <v:textbox inset="0,0,0,0">
              <w:txbxContent>
                <w:p>
                  <w:pPr>
                    <w:spacing w:before="16"/>
                    <w:ind w:left="2970" w:right="0" w:firstLine="0"/>
                    <w:jc w:val="left"/>
                    <w:rPr>
                      <w:rFonts w:ascii="Calibri" w:hAnsi="Calibri"/>
                      <w:b/>
                      <w:sz w:val="28"/>
                    </w:rPr>
                  </w:pPr>
                  <w:r>
                    <w:rPr>
                      <w:rFonts w:ascii="Calibri" w:hAnsi="Calibri"/>
                      <w:b/>
                      <w:color w:val="FFFFFF"/>
                      <w:sz w:val="28"/>
                    </w:rPr>
                    <w:t>GESTIÓN DE LA ALIMENTACIÓN HEMBRAS</w:t>
                  </w:r>
                </w:p>
              </w:txbxContent>
            </v:textbox>
            <v:fill type="solid"/>
          </v:shape>
        </w:pict>
      </w:r>
      <w:r>
        <w:rPr>
          <w:rFonts w:ascii="Calibri"/>
          <w:spacing w:val="-49"/>
          <w:sz w:val="20"/>
        </w:rPr>
      </w:r>
    </w:p>
    <w:p>
      <w:pPr>
        <w:pStyle w:val="Heading7"/>
        <w:numPr>
          <w:ilvl w:val="1"/>
          <w:numId w:val="18"/>
        </w:numPr>
        <w:tabs>
          <w:tab w:pos="679" w:val="left" w:leader="none"/>
        </w:tabs>
        <w:spacing w:line="240" w:lineRule="auto" w:before="90" w:after="51"/>
        <w:ind w:left="678" w:right="127" w:hanging="567"/>
        <w:jc w:val="both"/>
      </w:pPr>
      <w:r>
        <w:rPr>
          <w:i/>
        </w:rPr>
        <w:t>Rellena los siguientes cuadros tanto como sea posible. Use su mejor evaluación de cada grupo de </w:t>
      </w:r>
      <w:r>
        <w:rPr/>
        <w:t>alimentación definidos. Si la mezcla de alimentación se presentan, por favor describa su composición en la tabla</w:t>
      </w:r>
      <w:r>
        <w:rPr>
          <w:spacing w:val="-4"/>
        </w:rPr>
        <w:t> </w:t>
      </w:r>
      <w:r>
        <w:rPr/>
        <w:t>B.2.</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621"/>
        <w:gridCol w:w="970"/>
        <w:gridCol w:w="595"/>
        <w:gridCol w:w="701"/>
        <w:gridCol w:w="528"/>
        <w:gridCol w:w="610"/>
        <w:gridCol w:w="566"/>
        <w:gridCol w:w="566"/>
        <w:gridCol w:w="595"/>
        <w:gridCol w:w="605"/>
        <w:gridCol w:w="643"/>
        <w:gridCol w:w="566"/>
        <w:gridCol w:w="672"/>
        <w:gridCol w:w="614"/>
      </w:tblGrid>
      <w:tr>
        <w:trPr>
          <w:trHeight w:val="470" w:hRule="exact"/>
        </w:trPr>
        <w:tc>
          <w:tcPr>
            <w:tcW w:w="2621" w:type="dxa"/>
            <w:tcBorders>
              <w:left w:val="nil"/>
              <w:right w:val="single" w:sz="4" w:space="0" w:color="000000"/>
            </w:tcBorders>
            <w:shd w:val="clear" w:color="auto" w:fill="943634"/>
          </w:tcPr>
          <w:p>
            <w:pPr>
              <w:pStyle w:val="TableParagraph"/>
              <w:spacing w:before="74"/>
              <w:ind w:left="105"/>
              <w:rPr>
                <w:b/>
                <w:sz w:val="24"/>
              </w:rPr>
            </w:pPr>
            <w:r>
              <w:rPr>
                <w:b/>
                <w:color w:val="FFFFFF"/>
                <w:sz w:val="24"/>
              </w:rPr>
              <w:t>Grupo de alimentación:</w:t>
            </w:r>
          </w:p>
        </w:tc>
        <w:tc>
          <w:tcPr>
            <w:tcW w:w="8232" w:type="dxa"/>
            <w:gridSpan w:val="13"/>
            <w:tcBorders>
              <w:left w:val="single" w:sz="4" w:space="0" w:color="000000"/>
              <w:bottom w:val="single" w:sz="25" w:space="0" w:color="000000"/>
              <w:right w:val="single" w:sz="4" w:space="0" w:color="000000"/>
            </w:tcBorders>
            <w:shd w:val="clear" w:color="auto" w:fill="943634"/>
          </w:tcPr>
          <w:p>
            <w:pPr>
              <w:pStyle w:val="TableParagraph"/>
              <w:spacing w:before="74"/>
              <w:ind w:left="100"/>
              <w:rPr>
                <w:sz w:val="24"/>
              </w:rPr>
            </w:pPr>
            <w:r>
              <w:rPr>
                <w:b/>
                <w:color w:val="FFFFFF"/>
                <w:sz w:val="24"/>
              </w:rPr>
              <w:t>VACAS. </w:t>
            </w:r>
            <w:r>
              <w:rPr>
                <w:color w:val="FFFFFF"/>
                <w:sz w:val="24"/>
              </w:rPr>
              <w:t>Todas las hembras paridas en producción.</w:t>
            </w:r>
          </w:p>
        </w:tc>
      </w:tr>
      <w:tr>
        <w:trPr>
          <w:trHeight w:val="427" w:hRule="exact"/>
        </w:trPr>
        <w:tc>
          <w:tcPr>
            <w:tcW w:w="3590" w:type="dxa"/>
            <w:gridSpan w:val="2"/>
            <w:tcBorders>
              <w:left w:val="nil"/>
            </w:tcBorders>
          </w:tcPr>
          <w:p>
            <w:pPr>
              <w:pStyle w:val="TableParagraph"/>
              <w:spacing w:before="54"/>
              <w:ind w:left="1180"/>
              <w:rPr>
                <w:b/>
                <w:sz w:val="24"/>
              </w:rPr>
            </w:pPr>
            <w:r>
              <w:rPr>
                <w:sz w:val="24"/>
              </w:rPr>
              <w:t>Número de animales </w:t>
            </w:r>
            <w:r>
              <w:rPr>
                <w:b/>
                <w:sz w:val="24"/>
              </w:rPr>
              <w:t>→</w:t>
            </w:r>
          </w:p>
        </w:tc>
        <w:tc>
          <w:tcPr>
            <w:tcW w:w="595" w:type="dxa"/>
            <w:tcBorders>
              <w:right w:val="single" w:sz="4" w:space="0" w:color="000000"/>
            </w:tcBorders>
          </w:tcPr>
          <w:p>
            <w:pPr/>
          </w:p>
        </w:tc>
        <w:tc>
          <w:tcPr>
            <w:tcW w:w="701" w:type="dxa"/>
            <w:tcBorders>
              <w:left w:val="single" w:sz="4" w:space="0" w:color="000000"/>
              <w:right w:val="single" w:sz="4" w:space="0" w:color="000000"/>
            </w:tcBorders>
          </w:tcPr>
          <w:p>
            <w:pPr/>
          </w:p>
        </w:tc>
        <w:tc>
          <w:tcPr>
            <w:tcW w:w="528" w:type="dxa"/>
            <w:tcBorders>
              <w:left w:val="single" w:sz="4" w:space="0" w:color="000000"/>
              <w:right w:val="single" w:sz="4" w:space="0" w:color="000000"/>
            </w:tcBorders>
          </w:tcPr>
          <w:p>
            <w:pPr/>
          </w:p>
        </w:tc>
        <w:tc>
          <w:tcPr>
            <w:tcW w:w="610"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95" w:type="dxa"/>
            <w:tcBorders>
              <w:left w:val="single" w:sz="4" w:space="0" w:color="000000"/>
              <w:right w:val="single" w:sz="4" w:space="0" w:color="000000"/>
            </w:tcBorders>
          </w:tcPr>
          <w:p>
            <w:pPr/>
          </w:p>
        </w:tc>
        <w:tc>
          <w:tcPr>
            <w:tcW w:w="605" w:type="dxa"/>
            <w:tcBorders>
              <w:left w:val="single" w:sz="4" w:space="0" w:color="000000"/>
              <w:right w:val="single" w:sz="4" w:space="0" w:color="000000"/>
            </w:tcBorders>
          </w:tcPr>
          <w:p>
            <w:pPr/>
          </w:p>
        </w:tc>
        <w:tc>
          <w:tcPr>
            <w:tcW w:w="643"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672" w:type="dxa"/>
            <w:tcBorders>
              <w:left w:val="single" w:sz="4" w:space="0" w:color="000000"/>
              <w:right w:val="single" w:sz="4" w:space="0" w:color="000000"/>
            </w:tcBorders>
          </w:tcPr>
          <w:p>
            <w:pPr/>
          </w:p>
        </w:tc>
        <w:tc>
          <w:tcPr>
            <w:tcW w:w="614" w:type="dxa"/>
            <w:tcBorders>
              <w:left w:val="single" w:sz="4" w:space="0" w:color="000000"/>
              <w:right w:val="nil"/>
            </w:tcBorders>
          </w:tcPr>
          <w:p>
            <w:pPr/>
          </w:p>
        </w:tc>
      </w:tr>
      <w:tr>
        <w:trPr>
          <w:trHeight w:val="226" w:hRule="exact"/>
        </w:trPr>
        <w:tc>
          <w:tcPr>
            <w:tcW w:w="3590" w:type="dxa"/>
            <w:gridSpan w:val="2"/>
            <w:tcBorders>
              <w:left w:val="nil"/>
              <w:bottom w:val="nil"/>
              <w:right w:val="single" w:sz="0" w:space="0" w:color="000000"/>
            </w:tcBorders>
          </w:tcPr>
          <w:p>
            <w:pPr/>
          </w:p>
        </w:tc>
        <w:tc>
          <w:tcPr>
            <w:tcW w:w="7262" w:type="dxa"/>
            <w:gridSpan w:val="12"/>
            <w:tcBorders>
              <w:left w:val="single" w:sz="0" w:space="0" w:color="000000"/>
              <w:bottom w:val="nil"/>
              <w:right w:val="nil"/>
            </w:tcBorders>
          </w:tcPr>
          <w:p>
            <w:pPr>
              <w:pStyle w:val="TableParagraph"/>
              <w:spacing w:line="249" w:lineRule="exact" w:before="2"/>
              <w:ind w:left="3367" w:right="3368"/>
              <w:jc w:val="center"/>
              <w:rPr>
                <w:sz w:val="24"/>
              </w:rPr>
            </w:pPr>
            <w:r>
              <w:rPr>
                <w:sz w:val="24"/>
              </w:rPr>
              <w:t>2011</w:t>
            </w:r>
          </w:p>
        </w:tc>
      </w:tr>
    </w:tbl>
    <w:p>
      <w:pPr>
        <w:pStyle w:val="BodyText"/>
        <w:spacing w:before="3"/>
        <w:rPr>
          <w:rFonts w:ascii="Calibri"/>
          <w:b/>
          <w:i/>
          <w:sz w:val="6"/>
        </w:rPr>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2"/>
        <w:gridCol w:w="2645"/>
        <w:gridCol w:w="504"/>
        <w:gridCol w:w="595"/>
        <w:gridCol w:w="701"/>
        <w:gridCol w:w="528"/>
        <w:gridCol w:w="610"/>
        <w:gridCol w:w="566"/>
        <w:gridCol w:w="566"/>
        <w:gridCol w:w="595"/>
        <w:gridCol w:w="605"/>
        <w:gridCol w:w="643"/>
        <w:gridCol w:w="566"/>
        <w:gridCol w:w="672"/>
        <w:gridCol w:w="614"/>
      </w:tblGrid>
      <w:tr>
        <w:trPr>
          <w:trHeight w:val="322" w:hRule="exact"/>
        </w:trPr>
        <w:tc>
          <w:tcPr>
            <w:tcW w:w="3590" w:type="dxa"/>
            <w:gridSpan w:val="3"/>
            <w:tcBorders>
              <w:left w:val="nil"/>
            </w:tcBorders>
          </w:tcPr>
          <w:p>
            <w:pPr>
              <w:pStyle w:val="TableParagraph"/>
              <w:spacing w:before="2"/>
              <w:ind w:left="1799"/>
              <w:rPr>
                <w:b/>
                <w:sz w:val="24"/>
              </w:rPr>
            </w:pPr>
            <w:r>
              <w:rPr>
                <w:sz w:val="24"/>
              </w:rPr>
              <w:t>Meses del año </w:t>
            </w:r>
            <w:r>
              <w:rPr>
                <w:b/>
                <w:sz w:val="24"/>
              </w:rPr>
              <w:t>→</w:t>
            </w:r>
          </w:p>
        </w:tc>
        <w:tc>
          <w:tcPr>
            <w:tcW w:w="595" w:type="dxa"/>
            <w:tcBorders>
              <w:bottom w:val="single" w:sz="4" w:space="0" w:color="000000"/>
              <w:right w:val="single" w:sz="4" w:space="0" w:color="000000"/>
            </w:tcBorders>
          </w:tcPr>
          <w:p>
            <w:pPr>
              <w:pStyle w:val="TableParagraph"/>
              <w:spacing w:before="2"/>
              <w:ind w:right="13"/>
              <w:jc w:val="center"/>
              <w:rPr>
                <w:sz w:val="24"/>
              </w:rPr>
            </w:pPr>
            <w:r>
              <w:rPr>
                <w:sz w:val="24"/>
              </w:rPr>
              <w:t>1</w:t>
            </w:r>
          </w:p>
        </w:tc>
        <w:tc>
          <w:tcPr>
            <w:tcW w:w="701"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2</w:t>
            </w:r>
          </w:p>
        </w:tc>
        <w:tc>
          <w:tcPr>
            <w:tcW w:w="528" w:type="dxa"/>
            <w:tcBorders>
              <w:left w:val="single" w:sz="4" w:space="0" w:color="000000"/>
              <w:bottom w:val="single" w:sz="4" w:space="0" w:color="000000"/>
              <w:right w:val="single" w:sz="4" w:space="0" w:color="000000"/>
            </w:tcBorders>
          </w:tcPr>
          <w:p>
            <w:pPr>
              <w:pStyle w:val="TableParagraph"/>
              <w:spacing w:before="2"/>
              <w:ind w:left="3"/>
              <w:jc w:val="center"/>
              <w:rPr>
                <w:sz w:val="24"/>
              </w:rPr>
            </w:pPr>
            <w:r>
              <w:rPr>
                <w:sz w:val="24"/>
              </w:rPr>
              <w:t>3</w:t>
            </w:r>
          </w:p>
        </w:tc>
        <w:tc>
          <w:tcPr>
            <w:tcW w:w="610" w:type="dxa"/>
            <w:tcBorders>
              <w:left w:val="single" w:sz="4" w:space="0" w:color="000000"/>
              <w:bottom w:val="single" w:sz="4" w:space="0" w:color="000000"/>
              <w:right w:val="single" w:sz="4" w:space="0" w:color="000000"/>
            </w:tcBorders>
          </w:tcPr>
          <w:p>
            <w:pPr>
              <w:pStyle w:val="TableParagraph"/>
              <w:spacing w:before="2"/>
              <w:ind w:right="4"/>
              <w:jc w:val="center"/>
              <w:rPr>
                <w:sz w:val="24"/>
              </w:rPr>
            </w:pPr>
            <w:r>
              <w:rPr>
                <w:sz w:val="24"/>
              </w:rPr>
              <w:t>4</w:t>
            </w:r>
          </w:p>
        </w:tc>
        <w:tc>
          <w:tcPr>
            <w:tcW w:w="566"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5</w:t>
            </w:r>
          </w:p>
        </w:tc>
        <w:tc>
          <w:tcPr>
            <w:tcW w:w="566" w:type="dxa"/>
            <w:tcBorders>
              <w:left w:val="single" w:sz="4" w:space="0" w:color="000000"/>
              <w:bottom w:val="single" w:sz="4" w:space="0" w:color="000000"/>
              <w:right w:val="single" w:sz="4" w:space="0" w:color="000000"/>
            </w:tcBorders>
          </w:tcPr>
          <w:p>
            <w:pPr>
              <w:pStyle w:val="TableParagraph"/>
              <w:spacing w:before="2"/>
              <w:ind w:right="2"/>
              <w:jc w:val="center"/>
              <w:rPr>
                <w:sz w:val="24"/>
              </w:rPr>
            </w:pPr>
            <w:r>
              <w:rPr>
                <w:sz w:val="24"/>
              </w:rPr>
              <w:t>6</w:t>
            </w:r>
          </w:p>
        </w:tc>
        <w:tc>
          <w:tcPr>
            <w:tcW w:w="595" w:type="dxa"/>
            <w:tcBorders>
              <w:left w:val="single" w:sz="4" w:space="0" w:color="000000"/>
              <w:bottom w:val="single" w:sz="4" w:space="0" w:color="000000"/>
              <w:right w:val="single" w:sz="4" w:space="0" w:color="000000"/>
            </w:tcBorders>
          </w:tcPr>
          <w:p>
            <w:pPr>
              <w:pStyle w:val="TableParagraph"/>
              <w:spacing w:before="2"/>
              <w:ind w:left="4"/>
              <w:jc w:val="center"/>
              <w:rPr>
                <w:sz w:val="24"/>
              </w:rPr>
            </w:pPr>
            <w:r>
              <w:rPr>
                <w:sz w:val="24"/>
              </w:rPr>
              <w:t>7</w:t>
            </w:r>
          </w:p>
        </w:tc>
        <w:tc>
          <w:tcPr>
            <w:tcW w:w="605" w:type="dxa"/>
            <w:tcBorders>
              <w:left w:val="single" w:sz="4" w:space="0" w:color="000000"/>
              <w:bottom w:val="single" w:sz="4" w:space="0" w:color="000000"/>
              <w:right w:val="single" w:sz="4" w:space="0" w:color="000000"/>
            </w:tcBorders>
          </w:tcPr>
          <w:p>
            <w:pPr>
              <w:pStyle w:val="TableParagraph"/>
              <w:spacing w:before="2"/>
              <w:ind w:left="1"/>
              <w:jc w:val="center"/>
              <w:rPr>
                <w:sz w:val="24"/>
              </w:rPr>
            </w:pPr>
            <w:r>
              <w:rPr>
                <w:sz w:val="24"/>
              </w:rPr>
              <w:t>8</w:t>
            </w:r>
          </w:p>
        </w:tc>
        <w:tc>
          <w:tcPr>
            <w:tcW w:w="643"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9</w:t>
            </w:r>
          </w:p>
        </w:tc>
        <w:tc>
          <w:tcPr>
            <w:tcW w:w="566" w:type="dxa"/>
            <w:tcBorders>
              <w:left w:val="single" w:sz="4" w:space="0" w:color="000000"/>
              <w:bottom w:val="single" w:sz="4" w:space="0" w:color="000000"/>
              <w:right w:val="single" w:sz="4" w:space="0" w:color="000000"/>
            </w:tcBorders>
          </w:tcPr>
          <w:p>
            <w:pPr>
              <w:pStyle w:val="TableParagraph"/>
              <w:spacing w:before="2"/>
              <w:ind w:left="135" w:right="137"/>
              <w:jc w:val="center"/>
              <w:rPr>
                <w:sz w:val="24"/>
              </w:rPr>
            </w:pPr>
            <w:r>
              <w:rPr>
                <w:sz w:val="24"/>
              </w:rPr>
              <w:t>10</w:t>
            </w:r>
          </w:p>
        </w:tc>
        <w:tc>
          <w:tcPr>
            <w:tcW w:w="672" w:type="dxa"/>
            <w:tcBorders>
              <w:left w:val="single" w:sz="4" w:space="0" w:color="000000"/>
              <w:bottom w:val="single" w:sz="4" w:space="0" w:color="000000"/>
              <w:right w:val="single" w:sz="4" w:space="0" w:color="000000"/>
            </w:tcBorders>
          </w:tcPr>
          <w:p>
            <w:pPr>
              <w:pStyle w:val="TableParagraph"/>
              <w:spacing w:before="2"/>
              <w:ind w:left="188" w:right="191"/>
              <w:jc w:val="center"/>
              <w:rPr>
                <w:sz w:val="24"/>
              </w:rPr>
            </w:pPr>
            <w:r>
              <w:rPr>
                <w:sz w:val="24"/>
              </w:rPr>
              <w:t>11</w:t>
            </w:r>
          </w:p>
        </w:tc>
        <w:tc>
          <w:tcPr>
            <w:tcW w:w="614" w:type="dxa"/>
            <w:tcBorders>
              <w:left w:val="single" w:sz="4" w:space="0" w:color="000000"/>
              <w:bottom w:val="single" w:sz="4" w:space="0" w:color="000000"/>
              <w:right w:val="nil"/>
            </w:tcBorders>
          </w:tcPr>
          <w:p>
            <w:pPr>
              <w:pStyle w:val="TableParagraph"/>
              <w:spacing w:before="2"/>
              <w:ind w:left="153" w:right="159"/>
              <w:jc w:val="center"/>
              <w:rPr>
                <w:sz w:val="24"/>
              </w:rPr>
            </w:pPr>
            <w:r>
              <w:rPr>
                <w:sz w:val="24"/>
              </w:rPr>
              <w:t>12</w:t>
            </w:r>
          </w:p>
        </w:tc>
      </w:tr>
      <w:tr>
        <w:trPr>
          <w:trHeight w:val="326"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6"/>
              <w:ind w:left="1079" w:right="668"/>
              <w:rPr>
                <w:b/>
                <w:sz w:val="24"/>
              </w:rPr>
            </w:pPr>
            <w:r>
              <w:rPr>
                <w:b/>
                <w:sz w:val="24"/>
              </w:rPr>
              <w:t>Tiempo y cantidad de la alimentación por pastoreo</w:t>
            </w:r>
          </w:p>
        </w:tc>
      </w:tr>
      <w:tr>
        <w:trPr>
          <w:trHeight w:val="557" w:hRule="exact"/>
        </w:trPr>
        <w:tc>
          <w:tcPr>
            <w:tcW w:w="442" w:type="dxa"/>
            <w:vMerge w:val="restart"/>
            <w:tcBorders>
              <w:left w:val="nil"/>
              <w:right w:val="single" w:sz="4" w:space="0" w:color="000000"/>
            </w:tcBorders>
            <w:textDirection w:val="btLr"/>
          </w:tcPr>
          <w:p>
            <w:pPr>
              <w:pStyle w:val="TableParagraph"/>
              <w:spacing w:before="107"/>
              <w:ind w:left="466"/>
              <w:rPr>
                <w:sz w:val="24"/>
              </w:rPr>
            </w:pPr>
            <w:r>
              <w:rPr>
                <w:color w:val="00B050"/>
                <w:sz w:val="24"/>
              </w:rPr>
              <w:t>Pastura</w:t>
            </w:r>
          </w:p>
        </w:tc>
        <w:tc>
          <w:tcPr>
            <w:tcW w:w="3149" w:type="dxa"/>
            <w:gridSpan w:val="2"/>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Cantidad</w:t>
            </w:r>
          </w:p>
          <w:p>
            <w:pPr>
              <w:pStyle w:val="TableParagraph"/>
              <w:spacing w:before="4"/>
              <w:ind w:left="100"/>
              <w:rPr>
                <w:sz w:val="19"/>
              </w:rPr>
            </w:pPr>
            <w:r>
              <w:rPr>
                <w:w w:val="105"/>
                <w:sz w:val="19"/>
              </w:rPr>
              <w:t>(kg/vaca/día)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6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Porcentaje</w:t>
            </w:r>
          </w:p>
          <w:p>
            <w:pPr>
              <w:pStyle w:val="TableParagraph"/>
              <w:spacing w:before="4"/>
              <w:ind w:left="100"/>
              <w:rPr>
                <w:sz w:val="19"/>
              </w:rPr>
            </w:pPr>
            <w:r>
              <w:rPr>
                <w:w w:val="105"/>
                <w:sz w:val="19"/>
              </w:rPr>
              <w:t>(% total de alimento)</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7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right w:val="single" w:sz="4" w:space="0" w:color="000000"/>
            </w:tcBorders>
          </w:tcPr>
          <w:p>
            <w:pPr>
              <w:pStyle w:val="TableParagraph"/>
              <w:spacing w:before="21"/>
              <w:ind w:left="100"/>
              <w:rPr>
                <w:sz w:val="24"/>
              </w:rPr>
            </w:pPr>
            <w:r>
              <w:rPr>
                <w:sz w:val="24"/>
              </w:rPr>
              <w:t>Horas</w:t>
            </w:r>
          </w:p>
          <w:p>
            <w:pPr>
              <w:pStyle w:val="TableParagraph"/>
              <w:spacing w:before="4"/>
              <w:ind w:left="100"/>
              <w:rPr>
                <w:sz w:val="19"/>
              </w:rPr>
            </w:pPr>
            <w:r>
              <w:rPr>
                <w:w w:val="105"/>
                <w:sz w:val="19"/>
              </w:rPr>
              <w:t>(horas/día)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605"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1"/>
              <w:ind w:left="1443" w:right="668" w:hanging="774"/>
              <w:rPr>
                <w:b/>
                <w:sz w:val="24"/>
              </w:rPr>
            </w:pPr>
            <w:r>
              <w:rPr>
                <w:b/>
                <w:sz w:val="24"/>
              </w:rPr>
              <w:t>Cantidad de alimentación de forrajes, concentrados y otros suplementos (kg/vaca/día en Materia Seca)</w:t>
            </w:r>
          </w:p>
        </w:tc>
      </w:tr>
      <w:tr>
        <w:trPr>
          <w:trHeight w:val="461" w:hRule="exact"/>
        </w:trPr>
        <w:tc>
          <w:tcPr>
            <w:tcW w:w="442" w:type="dxa"/>
            <w:vMerge w:val="restart"/>
            <w:tcBorders>
              <w:left w:val="nil"/>
              <w:right w:val="single" w:sz="4" w:space="0" w:color="000000"/>
            </w:tcBorders>
          </w:tcPr>
          <w:p>
            <w:pPr/>
          </w:p>
        </w:tc>
        <w:tc>
          <w:tcPr>
            <w:tcW w:w="2645" w:type="dxa"/>
            <w:vMerge w:val="restart"/>
            <w:tcBorders>
              <w:left w:val="single" w:sz="4" w:space="0" w:color="000000"/>
              <w:right w:val="single" w:sz="4" w:space="0" w:color="000000"/>
            </w:tcBorders>
          </w:tcPr>
          <w:p>
            <w:pPr>
              <w:pStyle w:val="TableParagraph"/>
              <w:spacing w:before="213"/>
              <w:ind w:left="668" w:right="84" w:hanging="571"/>
              <w:rPr>
                <w:sz w:val="24"/>
              </w:rPr>
            </w:pPr>
            <w:r>
              <w:rPr>
                <w:sz w:val="24"/>
              </w:rPr>
              <w:t>Nombre y descripción de los alimentos</w:t>
            </w:r>
          </w:p>
        </w:tc>
        <w:tc>
          <w:tcPr>
            <w:tcW w:w="504" w:type="dxa"/>
            <w:vMerge w:val="restart"/>
            <w:tcBorders>
              <w:left w:val="single" w:sz="4" w:space="0" w:color="000000"/>
            </w:tcBorders>
            <w:textDirection w:val="btLr"/>
          </w:tcPr>
          <w:p>
            <w:pPr>
              <w:pStyle w:val="TableParagraph"/>
              <w:spacing w:line="254" w:lineRule="auto" w:before="6"/>
              <w:ind w:left="49" w:right="56" w:firstLine="18"/>
              <w:rPr>
                <w:rFonts w:ascii="Arial" w:hAnsi="Arial"/>
                <w:sz w:val="17"/>
              </w:rPr>
            </w:pPr>
            <w:r>
              <w:rPr>
                <w:spacing w:val="1"/>
                <w:w w:val="104"/>
                <w:sz w:val="17"/>
              </w:rPr>
              <w:t>Comp</w:t>
            </w:r>
            <w:r>
              <w:rPr>
                <w:w w:val="104"/>
                <w:sz w:val="17"/>
              </w:rPr>
              <w:t>r</w:t>
            </w:r>
            <w:r>
              <w:rPr>
                <w:spacing w:val="1"/>
                <w:w w:val="104"/>
                <w:sz w:val="17"/>
              </w:rPr>
              <w:t>ado? S</w:t>
            </w:r>
            <w:r>
              <w:rPr>
                <w:w w:val="104"/>
                <w:sz w:val="17"/>
              </w:rPr>
              <w:t>I</w:t>
            </w:r>
            <w:r>
              <w:rPr>
                <w:spacing w:val="2"/>
                <w:sz w:val="17"/>
              </w:rPr>
              <w:t> </w:t>
            </w:r>
            <w:r>
              <w:rPr>
                <w:rFonts w:ascii="Arial" w:hAnsi="Arial"/>
                <w:w w:val="279"/>
                <w:sz w:val="17"/>
              </w:rPr>
              <w:t>¨</w:t>
            </w:r>
            <w:r>
              <w:rPr>
                <w:rFonts w:ascii="Arial" w:hAnsi="Arial"/>
                <w:sz w:val="17"/>
              </w:rPr>
              <w:t>  </w:t>
            </w:r>
            <w:r>
              <w:rPr>
                <w:rFonts w:ascii="Arial" w:hAnsi="Arial"/>
                <w:spacing w:val="-18"/>
                <w:sz w:val="17"/>
              </w:rPr>
              <w:t> </w:t>
            </w:r>
            <w:r>
              <w:rPr>
                <w:spacing w:val="1"/>
                <w:w w:val="104"/>
                <w:sz w:val="17"/>
              </w:rPr>
              <w:t>N</w:t>
            </w:r>
            <w:r>
              <w:rPr>
                <w:w w:val="104"/>
                <w:sz w:val="17"/>
              </w:rPr>
              <w:t>O</w:t>
            </w:r>
            <w:r>
              <w:rPr>
                <w:spacing w:val="3"/>
                <w:sz w:val="17"/>
              </w:rPr>
              <w:t> </w:t>
            </w:r>
            <w:r>
              <w:rPr>
                <w:rFonts w:ascii="Arial" w:hAnsi="Arial"/>
                <w:w w:val="279"/>
                <w:sz w:val="17"/>
              </w:rPr>
              <w:t>¨</w:t>
            </w:r>
          </w:p>
        </w:tc>
        <w:tc>
          <w:tcPr>
            <w:tcW w:w="7262" w:type="dxa"/>
            <w:gridSpan w:val="12"/>
            <w:tcBorders>
              <w:top w:val="single" w:sz="4" w:space="0" w:color="000000"/>
              <w:bottom w:val="single" w:sz="4" w:space="0" w:color="000000"/>
              <w:right w:val="nil"/>
            </w:tcBorders>
          </w:tcPr>
          <w:p>
            <w:pPr>
              <w:pStyle w:val="TableParagraph"/>
              <w:spacing w:before="93"/>
              <w:ind w:left="3353" w:right="3368"/>
              <w:jc w:val="center"/>
              <w:rPr>
                <w:sz w:val="24"/>
              </w:rPr>
            </w:pPr>
            <w:r>
              <w:rPr>
                <w:sz w:val="24"/>
              </w:rPr>
              <w:t>2011</w:t>
            </w:r>
          </w:p>
        </w:tc>
      </w:tr>
      <w:tr>
        <w:trPr>
          <w:trHeight w:val="566" w:hRule="exact"/>
        </w:trPr>
        <w:tc>
          <w:tcPr>
            <w:tcW w:w="442" w:type="dxa"/>
            <w:vMerge/>
            <w:tcBorders>
              <w:left w:val="nil"/>
              <w:right w:val="single" w:sz="4" w:space="0" w:color="000000"/>
            </w:tcBorders>
          </w:tcPr>
          <w:p>
            <w:pPr/>
          </w:p>
        </w:tc>
        <w:tc>
          <w:tcPr>
            <w:tcW w:w="2645" w:type="dxa"/>
            <w:vMerge/>
            <w:tcBorders>
              <w:left w:val="single" w:sz="4" w:space="0" w:color="000000"/>
              <w:right w:val="single" w:sz="4" w:space="0" w:color="000000"/>
            </w:tcBorders>
          </w:tcPr>
          <w:p>
            <w:pPr/>
          </w:p>
        </w:tc>
        <w:tc>
          <w:tcPr>
            <w:tcW w:w="504" w:type="dxa"/>
            <w:vMerge/>
            <w:tcBorders>
              <w:left w:val="single" w:sz="4" w:space="0" w:color="000000"/>
            </w:tcBorders>
            <w:textDirection w:val="btLr"/>
          </w:tcPr>
          <w:p>
            <w:pPr/>
          </w:p>
        </w:tc>
        <w:tc>
          <w:tcPr>
            <w:tcW w:w="595" w:type="dxa"/>
            <w:tcBorders>
              <w:top w:val="single" w:sz="4" w:space="0" w:color="000000"/>
              <w:bottom w:val="single" w:sz="4" w:space="0" w:color="000000"/>
              <w:right w:val="single" w:sz="4" w:space="0" w:color="000000"/>
            </w:tcBorders>
          </w:tcPr>
          <w:p>
            <w:pPr>
              <w:pStyle w:val="TableParagraph"/>
              <w:spacing w:before="131"/>
              <w:ind w:right="13"/>
              <w:jc w:val="center"/>
              <w:rPr>
                <w:sz w:val="24"/>
              </w:rPr>
            </w:pPr>
            <w:r>
              <w:rPr>
                <w:sz w:val="24"/>
              </w:rPr>
              <w:t>1</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2</w:t>
            </w:r>
          </w:p>
        </w:tc>
        <w:tc>
          <w:tcPr>
            <w:tcW w:w="528" w:type="dxa"/>
            <w:tcBorders>
              <w:top w:val="single" w:sz="4" w:space="0" w:color="000000"/>
              <w:left w:val="single" w:sz="4" w:space="0" w:color="000000"/>
              <w:bottom w:val="single" w:sz="4" w:space="0" w:color="000000"/>
              <w:right w:val="single" w:sz="4" w:space="0" w:color="000000"/>
            </w:tcBorders>
          </w:tcPr>
          <w:p>
            <w:pPr>
              <w:pStyle w:val="TableParagraph"/>
              <w:spacing w:before="131"/>
              <w:ind w:left="3"/>
              <w:jc w:val="center"/>
              <w:rPr>
                <w:sz w:val="24"/>
              </w:rPr>
            </w:pPr>
            <w:r>
              <w:rPr>
                <w:sz w:val="24"/>
              </w:rPr>
              <w:t>3</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2"/>
              <w:jc w:val="center"/>
              <w:rPr>
                <w:sz w:val="24"/>
              </w:rPr>
            </w:pPr>
            <w:r>
              <w:rPr>
                <w:sz w:val="24"/>
              </w:rPr>
              <w:t>6</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before="131"/>
              <w:ind w:left="4"/>
              <w:jc w:val="center"/>
              <w:rPr>
                <w:sz w:val="24"/>
              </w:rPr>
            </w:pPr>
            <w:r>
              <w:rPr>
                <w:sz w:val="24"/>
              </w:rPr>
              <w:t>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131"/>
              <w:ind w:right="3"/>
              <w:jc w:val="center"/>
              <w:rPr>
                <w:sz w:val="24"/>
              </w:rPr>
            </w:pPr>
            <w:r>
              <w:rPr>
                <w:sz w:val="24"/>
              </w:rPr>
              <w:t>8</w:t>
            </w:r>
          </w:p>
        </w:tc>
        <w:tc>
          <w:tcPr>
            <w:tcW w:w="643"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9</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left="135" w:right="137"/>
              <w:jc w:val="center"/>
              <w:rPr>
                <w:sz w:val="24"/>
              </w:rPr>
            </w:pPr>
            <w:r>
              <w:rPr>
                <w:sz w:val="24"/>
              </w:rPr>
              <w:t>10</w:t>
            </w:r>
          </w:p>
        </w:tc>
        <w:tc>
          <w:tcPr>
            <w:tcW w:w="672" w:type="dxa"/>
            <w:tcBorders>
              <w:top w:val="single" w:sz="4" w:space="0" w:color="000000"/>
              <w:left w:val="single" w:sz="4" w:space="0" w:color="000000"/>
              <w:bottom w:val="single" w:sz="4" w:space="0" w:color="000000"/>
              <w:right w:val="single" w:sz="4" w:space="0" w:color="000000"/>
            </w:tcBorders>
          </w:tcPr>
          <w:p>
            <w:pPr>
              <w:pStyle w:val="TableParagraph"/>
              <w:spacing w:before="131"/>
              <w:ind w:left="188" w:right="191"/>
              <w:jc w:val="center"/>
              <w:rPr>
                <w:sz w:val="24"/>
              </w:rPr>
            </w:pPr>
            <w:r>
              <w:rPr>
                <w:sz w:val="24"/>
              </w:rPr>
              <w:t>11</w:t>
            </w:r>
          </w:p>
        </w:tc>
        <w:tc>
          <w:tcPr>
            <w:tcW w:w="614" w:type="dxa"/>
            <w:tcBorders>
              <w:top w:val="single" w:sz="4" w:space="0" w:color="000000"/>
              <w:left w:val="single" w:sz="4" w:space="0" w:color="000000"/>
              <w:bottom w:val="single" w:sz="4" w:space="0" w:color="000000"/>
              <w:right w:val="nil"/>
            </w:tcBorders>
          </w:tcPr>
          <w:p>
            <w:pPr>
              <w:pStyle w:val="TableParagraph"/>
              <w:spacing w:before="131"/>
              <w:ind w:left="146" w:right="166"/>
              <w:jc w:val="center"/>
              <w:rPr>
                <w:sz w:val="24"/>
              </w:rPr>
            </w:pPr>
            <w:r>
              <w:rPr>
                <w:sz w:val="24"/>
              </w:rPr>
              <w:t>12</w:t>
            </w:r>
          </w:p>
        </w:tc>
      </w:tr>
      <w:tr>
        <w:trPr>
          <w:trHeight w:val="610" w:hRule="exact"/>
        </w:trPr>
        <w:tc>
          <w:tcPr>
            <w:tcW w:w="442" w:type="dxa"/>
            <w:vMerge w:val="restart"/>
            <w:tcBorders>
              <w:left w:val="nil"/>
              <w:right w:val="single" w:sz="4" w:space="0" w:color="000000"/>
            </w:tcBorders>
            <w:textDirection w:val="btLr"/>
          </w:tcPr>
          <w:p>
            <w:pPr>
              <w:pStyle w:val="TableParagraph"/>
              <w:spacing w:before="107"/>
              <w:ind w:left="183"/>
              <w:rPr>
                <w:sz w:val="24"/>
              </w:rPr>
            </w:pPr>
            <w:r>
              <w:rPr>
                <w:color w:val="FF0000"/>
                <w:sz w:val="24"/>
              </w:rPr>
              <w:t>Concentrado</w:t>
            </w:r>
          </w:p>
        </w:tc>
        <w:tc>
          <w:tcPr>
            <w:tcW w:w="2645" w:type="dxa"/>
            <w:tcBorders>
              <w:left w:val="single" w:sz="4" w:space="0" w:color="000000"/>
              <w:bottom w:val="single" w:sz="4" w:space="0" w:color="000000"/>
              <w:right w:val="single" w:sz="4" w:space="0" w:color="000000"/>
            </w:tcBorders>
          </w:tcPr>
          <w:p>
            <w:pPr>
              <w:pStyle w:val="TableParagraph"/>
              <w:tabs>
                <w:tab w:pos="2235" w:val="left" w:leader="none"/>
              </w:tabs>
              <w:spacing w:before="6"/>
              <w:ind w:left="100" w:right="324"/>
              <w:rPr>
                <w:sz w:val="24"/>
              </w:rPr>
            </w:pPr>
            <w:r>
              <w:rPr>
                <w:sz w:val="24"/>
              </w:rPr>
              <w:t>Comercial [</w:t>
              <w:tab/>
              <w:t>] (proporción)</w:t>
            </w:r>
          </w:p>
        </w:tc>
        <w:tc>
          <w:tcPr>
            <w:tcW w:w="504" w:type="dxa"/>
            <w:tcBorders>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1271" w:right="1271"/>
              <w:jc w:val="center"/>
              <w:rPr>
                <w:sz w:val="24"/>
              </w:rPr>
            </w:pPr>
            <w:r>
              <w:rPr>
                <w:color w:val="0070C0"/>
                <w:sz w:val="24"/>
              </w:rPr>
              <w:t>Forraje</w:t>
            </w:r>
          </w:p>
        </w:tc>
        <w:tc>
          <w:tcPr>
            <w:tcW w:w="2645" w:type="dxa"/>
            <w:tcBorders>
              <w:left w:val="single" w:sz="4" w:space="0" w:color="000000"/>
              <w:bottom w:val="single" w:sz="4" w:space="0" w:color="000000"/>
              <w:right w:val="single" w:sz="4" w:space="0" w:color="000000"/>
            </w:tcBorders>
          </w:tcPr>
          <w:p>
            <w:pPr>
              <w:pStyle w:val="TableParagraph"/>
              <w:spacing w:before="6"/>
              <w:ind w:left="100"/>
              <w:rPr>
                <w:sz w:val="24"/>
              </w:rPr>
            </w:pPr>
            <w:r>
              <w:rPr>
                <w:sz w:val="24"/>
              </w:rPr>
              <w:t>Alfalfa (</w:t>
            </w:r>
            <w:r>
              <w:rPr>
                <w:i/>
                <w:sz w:val="24"/>
              </w:rPr>
              <w:t>Medicago sativa</w:t>
            </w:r>
            <w:r>
              <w:rPr>
                <w:sz w:val="24"/>
              </w:rPr>
              <w:t>)</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412"/>
              <w:rPr>
                <w:sz w:val="24"/>
              </w:rPr>
            </w:pPr>
            <w:r>
              <w:rPr>
                <w:sz w:val="24"/>
              </w:rPr>
              <w:t>Ensilado de maíz (</w:t>
            </w:r>
            <w:r>
              <w:rPr>
                <w:i/>
                <w:sz w:val="24"/>
              </w:rPr>
              <w:t>Zea </w:t>
            </w:r>
            <w:r>
              <w:rPr>
                <w:i/>
                <w:sz w:val="24"/>
              </w:rPr>
              <w:t>mays</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Maíz picado</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321"/>
              <w:rPr>
                <w:sz w:val="24"/>
              </w:rPr>
            </w:pPr>
            <w:r>
              <w:rPr>
                <w:sz w:val="24"/>
              </w:rPr>
              <w:t>Heno de avena (</w:t>
            </w:r>
            <w:r>
              <w:rPr>
                <w:i/>
                <w:sz w:val="24"/>
              </w:rPr>
              <w:t>Avena </w:t>
            </w:r>
            <w:r>
              <w:rPr>
                <w:i/>
                <w:sz w:val="24"/>
              </w:rPr>
              <w:t>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6"/>
              <w:ind w:left="100" w:right="84"/>
              <w:rPr>
                <w:sz w:val="24"/>
              </w:rPr>
            </w:pPr>
            <w:r>
              <w:rPr>
                <w:sz w:val="24"/>
              </w:rPr>
              <w:t>Ebo (</w:t>
            </w:r>
            <w:r>
              <w:rPr>
                <w:i/>
                <w:sz w:val="24"/>
              </w:rPr>
              <w:t>Vicia 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Style w:val="TableParagraph"/>
              <w:spacing w:before="2"/>
              <w:ind w:left="100" w:right="84"/>
              <w:rPr>
                <w:sz w:val="24"/>
              </w:rPr>
            </w:pPr>
            <w:r>
              <w:rPr>
                <w:sz w:val="24"/>
              </w:rPr>
              <w:t>Rastrojo de maíz</w:t>
            </w: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469"/>
              <w:rPr>
                <w:sz w:val="24"/>
              </w:rPr>
            </w:pPr>
            <w:r>
              <w:rPr>
                <w:color w:val="E36C0A"/>
                <w:sz w:val="24"/>
              </w:rPr>
              <w:t>Vitaminas y</w:t>
            </w:r>
          </w:p>
        </w:tc>
        <w:tc>
          <w:tcPr>
            <w:tcW w:w="2645" w:type="dxa"/>
            <w:tcBorders>
              <w:left w:val="single" w:sz="4" w:space="0" w:color="000000"/>
              <w:bottom w:val="single" w:sz="4" w:space="0" w:color="000000"/>
              <w:right w:val="single" w:sz="4" w:space="0" w:color="000000"/>
            </w:tcBorders>
          </w:tcPr>
          <w:p>
            <w:pPr>
              <w:pStyle w:val="TableParagraph"/>
              <w:spacing w:before="2"/>
              <w:ind w:left="100" w:right="84"/>
              <w:rPr>
                <w:sz w:val="24"/>
              </w:rPr>
            </w:pPr>
            <w:r>
              <w:rPr>
                <w:sz w:val="24"/>
              </w:rPr>
              <w:t>Suplementos minerales</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Sal</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bl>
    <w:p>
      <w:pPr>
        <w:spacing w:after="0"/>
        <w:sectPr>
          <w:headerReference w:type="default" r:id="rId253"/>
          <w:footerReference w:type="default" r:id="rId254"/>
          <w:pgSz w:w="12240" w:h="15840"/>
          <w:pgMar w:header="0" w:footer="564" w:top="660" w:bottom="760" w:left="580" w:right="540"/>
          <w:pgNumType w:start="174"/>
        </w:sectPr>
      </w:pPr>
    </w:p>
    <w:p>
      <w:pPr>
        <w:spacing w:line="169" w:lineRule="exact" w:before="56"/>
        <w:ind w:left="0" w:right="127" w:firstLine="0"/>
        <w:jc w:val="right"/>
        <w:rPr>
          <w:rFonts w:ascii="Calibri" w:hAnsi="Calibri"/>
          <w:b/>
          <w:i/>
          <w:sz w:val="14"/>
        </w:rPr>
      </w:pPr>
      <w:r>
        <w:rPr/>
        <w:pict>
          <v:group style="position:absolute;margin-left:29.982389pt;margin-top:34.302399pt;width:553pt;height:732.75pt;mso-position-horizontal-relative:page;mso-position-vertical-relative:page;z-index:-305872"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hAnsi="Calibri"/>
          <w:b/>
          <w:i/>
          <w:sz w:val="14"/>
        </w:rPr>
        <w:t>Estimación de las emisiones en bovinos en los sistema de producción lechera en pequeña escala</w:t>
      </w:r>
    </w:p>
    <w:p>
      <w:pPr>
        <w:spacing w:line="169" w:lineRule="exact" w:before="0"/>
        <w:ind w:left="0" w:right="126" w:firstLine="0"/>
        <w:jc w:val="right"/>
        <w:rPr>
          <w:rFonts w:ascii="Calibri" w:hAnsi="Calibri"/>
          <w:b/>
          <w:i/>
          <w:sz w:val="14"/>
        </w:rPr>
      </w:pPr>
      <w:r>
        <w:rPr>
          <w:rFonts w:ascii="Calibri" w:hAnsi="Calibri"/>
          <w:b/>
          <w:i/>
          <w:sz w:val="14"/>
        </w:rPr>
        <w:t>a través del factor de conversión de metano</w:t>
      </w:r>
    </w:p>
    <w:p>
      <w:pPr>
        <w:spacing w:before="2" w:after="6"/>
        <w:ind w:left="0" w:right="127" w:firstLine="0"/>
        <w:jc w:val="right"/>
        <w:rPr>
          <w:rFonts w:ascii="Calibri" w:hAnsi="Calibri"/>
          <w:b/>
          <w:i/>
          <w:sz w:val="14"/>
        </w:rPr>
      </w:pPr>
      <w:r>
        <w:rPr>
          <w:rFonts w:ascii="Calibri" w:hAnsi="Calibri"/>
          <w:b/>
          <w:i/>
          <w:sz w:val="14"/>
        </w:rPr>
        <w:t>M. en E. S. Noé Zúñiga-González</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621"/>
        <w:gridCol w:w="970"/>
        <w:gridCol w:w="595"/>
        <w:gridCol w:w="701"/>
        <w:gridCol w:w="528"/>
        <w:gridCol w:w="610"/>
        <w:gridCol w:w="566"/>
        <w:gridCol w:w="566"/>
        <w:gridCol w:w="595"/>
        <w:gridCol w:w="605"/>
        <w:gridCol w:w="643"/>
        <w:gridCol w:w="566"/>
        <w:gridCol w:w="672"/>
        <w:gridCol w:w="614"/>
      </w:tblGrid>
      <w:tr>
        <w:trPr>
          <w:trHeight w:val="470" w:hRule="exact"/>
        </w:trPr>
        <w:tc>
          <w:tcPr>
            <w:tcW w:w="2621" w:type="dxa"/>
            <w:tcBorders>
              <w:left w:val="nil"/>
              <w:right w:val="single" w:sz="4" w:space="0" w:color="000000"/>
            </w:tcBorders>
            <w:shd w:val="clear" w:color="auto" w:fill="943634"/>
          </w:tcPr>
          <w:p>
            <w:pPr>
              <w:pStyle w:val="TableParagraph"/>
              <w:spacing w:before="74"/>
              <w:ind w:left="105"/>
              <w:rPr>
                <w:b/>
                <w:sz w:val="24"/>
              </w:rPr>
            </w:pPr>
            <w:r>
              <w:rPr>
                <w:b/>
                <w:color w:val="FFFFFF"/>
                <w:sz w:val="24"/>
              </w:rPr>
              <w:t>Grupo de alimentación:</w:t>
            </w:r>
          </w:p>
        </w:tc>
        <w:tc>
          <w:tcPr>
            <w:tcW w:w="8232" w:type="dxa"/>
            <w:gridSpan w:val="13"/>
            <w:tcBorders>
              <w:left w:val="single" w:sz="4" w:space="0" w:color="000000"/>
              <w:bottom w:val="single" w:sz="29" w:space="0" w:color="000000"/>
              <w:right w:val="single" w:sz="4" w:space="0" w:color="000000"/>
            </w:tcBorders>
            <w:shd w:val="clear" w:color="auto" w:fill="943634"/>
          </w:tcPr>
          <w:p>
            <w:pPr>
              <w:pStyle w:val="TableParagraph"/>
              <w:spacing w:before="74"/>
              <w:ind w:left="100"/>
              <w:rPr>
                <w:sz w:val="24"/>
              </w:rPr>
            </w:pPr>
            <w:r>
              <w:rPr>
                <w:b/>
                <w:color w:val="FFFFFF"/>
                <w:sz w:val="24"/>
              </w:rPr>
              <w:t>VACAS SECAS. </w:t>
            </w:r>
            <w:r>
              <w:rPr>
                <w:color w:val="FFFFFF"/>
                <w:sz w:val="24"/>
              </w:rPr>
              <w:t>Todas las hembras próximas a parto que ya no producen.</w:t>
            </w:r>
          </w:p>
        </w:tc>
      </w:tr>
      <w:tr>
        <w:trPr>
          <w:trHeight w:val="427" w:hRule="exact"/>
        </w:trPr>
        <w:tc>
          <w:tcPr>
            <w:tcW w:w="3590" w:type="dxa"/>
            <w:gridSpan w:val="2"/>
            <w:tcBorders>
              <w:left w:val="nil"/>
            </w:tcBorders>
          </w:tcPr>
          <w:p>
            <w:pPr>
              <w:pStyle w:val="TableParagraph"/>
              <w:spacing w:before="54"/>
              <w:ind w:left="1180"/>
              <w:rPr>
                <w:b/>
                <w:sz w:val="24"/>
              </w:rPr>
            </w:pPr>
            <w:r>
              <w:rPr>
                <w:sz w:val="24"/>
              </w:rPr>
              <w:t>Número de animales </w:t>
            </w:r>
            <w:r>
              <w:rPr>
                <w:b/>
                <w:sz w:val="24"/>
              </w:rPr>
              <w:t>→</w:t>
            </w:r>
          </w:p>
        </w:tc>
        <w:tc>
          <w:tcPr>
            <w:tcW w:w="595" w:type="dxa"/>
            <w:tcBorders>
              <w:right w:val="single" w:sz="4" w:space="0" w:color="000000"/>
            </w:tcBorders>
          </w:tcPr>
          <w:p>
            <w:pPr/>
          </w:p>
        </w:tc>
        <w:tc>
          <w:tcPr>
            <w:tcW w:w="701" w:type="dxa"/>
            <w:tcBorders>
              <w:left w:val="single" w:sz="4" w:space="0" w:color="000000"/>
              <w:right w:val="single" w:sz="4" w:space="0" w:color="000000"/>
            </w:tcBorders>
          </w:tcPr>
          <w:p>
            <w:pPr/>
          </w:p>
        </w:tc>
        <w:tc>
          <w:tcPr>
            <w:tcW w:w="528" w:type="dxa"/>
            <w:tcBorders>
              <w:left w:val="single" w:sz="4" w:space="0" w:color="000000"/>
              <w:right w:val="single" w:sz="4" w:space="0" w:color="000000"/>
            </w:tcBorders>
          </w:tcPr>
          <w:p>
            <w:pPr/>
          </w:p>
        </w:tc>
        <w:tc>
          <w:tcPr>
            <w:tcW w:w="610"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95" w:type="dxa"/>
            <w:tcBorders>
              <w:left w:val="single" w:sz="4" w:space="0" w:color="000000"/>
              <w:right w:val="single" w:sz="4" w:space="0" w:color="000000"/>
            </w:tcBorders>
          </w:tcPr>
          <w:p>
            <w:pPr/>
          </w:p>
        </w:tc>
        <w:tc>
          <w:tcPr>
            <w:tcW w:w="605" w:type="dxa"/>
            <w:tcBorders>
              <w:left w:val="single" w:sz="4" w:space="0" w:color="000000"/>
              <w:right w:val="single" w:sz="4" w:space="0" w:color="000000"/>
            </w:tcBorders>
          </w:tcPr>
          <w:p>
            <w:pPr/>
          </w:p>
        </w:tc>
        <w:tc>
          <w:tcPr>
            <w:tcW w:w="643"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672" w:type="dxa"/>
            <w:tcBorders>
              <w:left w:val="single" w:sz="4" w:space="0" w:color="000000"/>
              <w:right w:val="single" w:sz="4" w:space="0" w:color="000000"/>
            </w:tcBorders>
          </w:tcPr>
          <w:p>
            <w:pPr/>
          </w:p>
        </w:tc>
        <w:tc>
          <w:tcPr>
            <w:tcW w:w="614" w:type="dxa"/>
            <w:tcBorders>
              <w:left w:val="single" w:sz="4" w:space="0" w:color="000000"/>
              <w:right w:val="nil"/>
            </w:tcBorders>
          </w:tcPr>
          <w:p>
            <w:pPr/>
          </w:p>
        </w:tc>
      </w:tr>
      <w:tr>
        <w:trPr>
          <w:trHeight w:val="235" w:hRule="exact"/>
        </w:trPr>
        <w:tc>
          <w:tcPr>
            <w:tcW w:w="3590" w:type="dxa"/>
            <w:gridSpan w:val="2"/>
            <w:tcBorders>
              <w:left w:val="nil"/>
              <w:bottom w:val="nil"/>
            </w:tcBorders>
          </w:tcPr>
          <w:p>
            <w:pPr/>
          </w:p>
        </w:tc>
        <w:tc>
          <w:tcPr>
            <w:tcW w:w="7262" w:type="dxa"/>
            <w:gridSpan w:val="12"/>
            <w:tcBorders>
              <w:bottom w:val="nil"/>
              <w:right w:val="nil"/>
            </w:tcBorders>
          </w:tcPr>
          <w:p>
            <w:pPr>
              <w:pStyle w:val="TableParagraph"/>
              <w:spacing w:line="259" w:lineRule="exact" w:before="2"/>
              <w:ind w:left="3353" w:right="3368"/>
              <w:jc w:val="center"/>
              <w:rPr>
                <w:sz w:val="24"/>
              </w:rPr>
            </w:pPr>
            <w:r>
              <w:rPr>
                <w:sz w:val="24"/>
              </w:rPr>
              <w:t>2011</w:t>
            </w:r>
          </w:p>
        </w:tc>
      </w:tr>
    </w:tbl>
    <w:p>
      <w:pPr>
        <w:pStyle w:val="BodyText"/>
        <w:spacing w:before="6"/>
        <w:rPr>
          <w:rFonts w:ascii="Calibri"/>
          <w:b/>
          <w:i/>
          <w:sz w:val="5"/>
        </w:rPr>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2"/>
        <w:gridCol w:w="2645"/>
        <w:gridCol w:w="504"/>
        <w:gridCol w:w="595"/>
        <w:gridCol w:w="701"/>
        <w:gridCol w:w="528"/>
        <w:gridCol w:w="610"/>
        <w:gridCol w:w="566"/>
        <w:gridCol w:w="566"/>
        <w:gridCol w:w="595"/>
        <w:gridCol w:w="605"/>
        <w:gridCol w:w="643"/>
        <w:gridCol w:w="566"/>
        <w:gridCol w:w="672"/>
        <w:gridCol w:w="614"/>
      </w:tblGrid>
      <w:tr>
        <w:trPr>
          <w:trHeight w:val="322" w:hRule="exact"/>
        </w:trPr>
        <w:tc>
          <w:tcPr>
            <w:tcW w:w="3590" w:type="dxa"/>
            <w:gridSpan w:val="3"/>
            <w:tcBorders>
              <w:left w:val="nil"/>
            </w:tcBorders>
          </w:tcPr>
          <w:p>
            <w:pPr>
              <w:pStyle w:val="TableParagraph"/>
              <w:spacing w:before="2"/>
              <w:ind w:left="1799"/>
              <w:rPr>
                <w:b/>
                <w:sz w:val="24"/>
              </w:rPr>
            </w:pPr>
            <w:r>
              <w:rPr>
                <w:sz w:val="24"/>
              </w:rPr>
              <w:t>Meses del año </w:t>
            </w:r>
            <w:r>
              <w:rPr>
                <w:b/>
                <w:sz w:val="24"/>
              </w:rPr>
              <w:t>→</w:t>
            </w:r>
          </w:p>
        </w:tc>
        <w:tc>
          <w:tcPr>
            <w:tcW w:w="595" w:type="dxa"/>
            <w:tcBorders>
              <w:bottom w:val="single" w:sz="4" w:space="0" w:color="000000"/>
              <w:right w:val="single" w:sz="4" w:space="0" w:color="000000"/>
            </w:tcBorders>
          </w:tcPr>
          <w:p>
            <w:pPr>
              <w:pStyle w:val="TableParagraph"/>
              <w:spacing w:before="2"/>
              <w:ind w:right="13"/>
              <w:jc w:val="center"/>
              <w:rPr>
                <w:sz w:val="24"/>
              </w:rPr>
            </w:pPr>
            <w:r>
              <w:rPr>
                <w:sz w:val="24"/>
              </w:rPr>
              <w:t>1</w:t>
            </w:r>
          </w:p>
        </w:tc>
        <w:tc>
          <w:tcPr>
            <w:tcW w:w="701"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2</w:t>
            </w:r>
          </w:p>
        </w:tc>
        <w:tc>
          <w:tcPr>
            <w:tcW w:w="528" w:type="dxa"/>
            <w:tcBorders>
              <w:left w:val="single" w:sz="4" w:space="0" w:color="000000"/>
              <w:bottom w:val="single" w:sz="4" w:space="0" w:color="000000"/>
              <w:right w:val="single" w:sz="4" w:space="0" w:color="000000"/>
            </w:tcBorders>
          </w:tcPr>
          <w:p>
            <w:pPr>
              <w:pStyle w:val="TableParagraph"/>
              <w:spacing w:before="2"/>
              <w:ind w:left="3"/>
              <w:jc w:val="center"/>
              <w:rPr>
                <w:sz w:val="24"/>
              </w:rPr>
            </w:pPr>
            <w:r>
              <w:rPr>
                <w:sz w:val="24"/>
              </w:rPr>
              <w:t>3</w:t>
            </w:r>
          </w:p>
        </w:tc>
        <w:tc>
          <w:tcPr>
            <w:tcW w:w="610" w:type="dxa"/>
            <w:tcBorders>
              <w:left w:val="single" w:sz="4" w:space="0" w:color="000000"/>
              <w:bottom w:val="single" w:sz="4" w:space="0" w:color="000000"/>
              <w:right w:val="single" w:sz="4" w:space="0" w:color="000000"/>
            </w:tcBorders>
          </w:tcPr>
          <w:p>
            <w:pPr>
              <w:pStyle w:val="TableParagraph"/>
              <w:spacing w:before="2"/>
              <w:ind w:right="4"/>
              <w:jc w:val="center"/>
              <w:rPr>
                <w:sz w:val="24"/>
              </w:rPr>
            </w:pPr>
            <w:r>
              <w:rPr>
                <w:sz w:val="24"/>
              </w:rPr>
              <w:t>4</w:t>
            </w:r>
          </w:p>
        </w:tc>
        <w:tc>
          <w:tcPr>
            <w:tcW w:w="566"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5</w:t>
            </w:r>
          </w:p>
        </w:tc>
        <w:tc>
          <w:tcPr>
            <w:tcW w:w="566" w:type="dxa"/>
            <w:tcBorders>
              <w:left w:val="single" w:sz="4" w:space="0" w:color="000000"/>
              <w:bottom w:val="single" w:sz="4" w:space="0" w:color="000000"/>
              <w:right w:val="single" w:sz="4" w:space="0" w:color="000000"/>
            </w:tcBorders>
          </w:tcPr>
          <w:p>
            <w:pPr>
              <w:pStyle w:val="TableParagraph"/>
              <w:spacing w:before="2"/>
              <w:ind w:right="2"/>
              <w:jc w:val="center"/>
              <w:rPr>
                <w:sz w:val="24"/>
              </w:rPr>
            </w:pPr>
            <w:r>
              <w:rPr>
                <w:sz w:val="24"/>
              </w:rPr>
              <w:t>6</w:t>
            </w:r>
          </w:p>
        </w:tc>
        <w:tc>
          <w:tcPr>
            <w:tcW w:w="595" w:type="dxa"/>
            <w:tcBorders>
              <w:left w:val="single" w:sz="4" w:space="0" w:color="000000"/>
              <w:bottom w:val="single" w:sz="4" w:space="0" w:color="000000"/>
              <w:right w:val="single" w:sz="4" w:space="0" w:color="000000"/>
            </w:tcBorders>
          </w:tcPr>
          <w:p>
            <w:pPr>
              <w:pStyle w:val="TableParagraph"/>
              <w:spacing w:before="2"/>
              <w:ind w:left="4"/>
              <w:jc w:val="center"/>
              <w:rPr>
                <w:sz w:val="24"/>
              </w:rPr>
            </w:pPr>
            <w:r>
              <w:rPr>
                <w:sz w:val="24"/>
              </w:rPr>
              <w:t>7</w:t>
            </w:r>
          </w:p>
        </w:tc>
        <w:tc>
          <w:tcPr>
            <w:tcW w:w="605" w:type="dxa"/>
            <w:tcBorders>
              <w:left w:val="single" w:sz="4" w:space="0" w:color="000000"/>
              <w:bottom w:val="single" w:sz="4" w:space="0" w:color="000000"/>
              <w:right w:val="single" w:sz="4" w:space="0" w:color="000000"/>
            </w:tcBorders>
          </w:tcPr>
          <w:p>
            <w:pPr>
              <w:pStyle w:val="TableParagraph"/>
              <w:spacing w:before="2"/>
              <w:ind w:left="1"/>
              <w:jc w:val="center"/>
              <w:rPr>
                <w:sz w:val="24"/>
              </w:rPr>
            </w:pPr>
            <w:r>
              <w:rPr>
                <w:sz w:val="24"/>
              </w:rPr>
              <w:t>8</w:t>
            </w:r>
          </w:p>
        </w:tc>
        <w:tc>
          <w:tcPr>
            <w:tcW w:w="643"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9</w:t>
            </w:r>
          </w:p>
        </w:tc>
        <w:tc>
          <w:tcPr>
            <w:tcW w:w="566" w:type="dxa"/>
            <w:tcBorders>
              <w:left w:val="single" w:sz="4" w:space="0" w:color="000000"/>
              <w:bottom w:val="single" w:sz="4" w:space="0" w:color="000000"/>
              <w:right w:val="single" w:sz="4" w:space="0" w:color="000000"/>
            </w:tcBorders>
          </w:tcPr>
          <w:p>
            <w:pPr>
              <w:pStyle w:val="TableParagraph"/>
              <w:spacing w:before="2"/>
              <w:ind w:left="135" w:right="137"/>
              <w:jc w:val="center"/>
              <w:rPr>
                <w:sz w:val="24"/>
              </w:rPr>
            </w:pPr>
            <w:r>
              <w:rPr>
                <w:sz w:val="24"/>
              </w:rPr>
              <w:t>10</w:t>
            </w:r>
          </w:p>
        </w:tc>
        <w:tc>
          <w:tcPr>
            <w:tcW w:w="672" w:type="dxa"/>
            <w:tcBorders>
              <w:left w:val="single" w:sz="4" w:space="0" w:color="000000"/>
              <w:bottom w:val="single" w:sz="4" w:space="0" w:color="000000"/>
              <w:right w:val="single" w:sz="4" w:space="0" w:color="000000"/>
            </w:tcBorders>
          </w:tcPr>
          <w:p>
            <w:pPr>
              <w:pStyle w:val="TableParagraph"/>
              <w:spacing w:before="2"/>
              <w:ind w:left="188" w:right="191"/>
              <w:jc w:val="center"/>
              <w:rPr>
                <w:sz w:val="24"/>
              </w:rPr>
            </w:pPr>
            <w:r>
              <w:rPr>
                <w:sz w:val="24"/>
              </w:rPr>
              <w:t>11</w:t>
            </w:r>
          </w:p>
        </w:tc>
        <w:tc>
          <w:tcPr>
            <w:tcW w:w="614" w:type="dxa"/>
            <w:tcBorders>
              <w:left w:val="single" w:sz="4" w:space="0" w:color="000000"/>
              <w:bottom w:val="single" w:sz="4" w:space="0" w:color="000000"/>
              <w:right w:val="nil"/>
            </w:tcBorders>
          </w:tcPr>
          <w:p>
            <w:pPr>
              <w:pStyle w:val="TableParagraph"/>
              <w:spacing w:before="2"/>
              <w:ind w:left="153" w:right="159"/>
              <w:jc w:val="center"/>
              <w:rPr>
                <w:sz w:val="24"/>
              </w:rPr>
            </w:pPr>
            <w:r>
              <w:rPr>
                <w:sz w:val="24"/>
              </w:rPr>
              <w:t>12</w:t>
            </w:r>
          </w:p>
        </w:tc>
      </w:tr>
      <w:tr>
        <w:trPr>
          <w:trHeight w:val="326"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6"/>
              <w:ind w:left="1079" w:right="668"/>
              <w:rPr>
                <w:b/>
                <w:sz w:val="24"/>
              </w:rPr>
            </w:pPr>
            <w:r>
              <w:rPr>
                <w:b/>
                <w:sz w:val="24"/>
              </w:rPr>
              <w:t>Tiempo y cantidad de la alimentación por pastoreo</w:t>
            </w:r>
          </w:p>
        </w:tc>
      </w:tr>
      <w:tr>
        <w:trPr>
          <w:trHeight w:val="557" w:hRule="exact"/>
        </w:trPr>
        <w:tc>
          <w:tcPr>
            <w:tcW w:w="442" w:type="dxa"/>
            <w:vMerge w:val="restart"/>
            <w:tcBorders>
              <w:left w:val="nil"/>
              <w:right w:val="single" w:sz="4" w:space="0" w:color="000000"/>
            </w:tcBorders>
            <w:textDirection w:val="btLr"/>
          </w:tcPr>
          <w:p>
            <w:pPr>
              <w:pStyle w:val="TableParagraph"/>
              <w:spacing w:before="107"/>
              <w:ind w:left="466"/>
              <w:rPr>
                <w:sz w:val="24"/>
              </w:rPr>
            </w:pPr>
            <w:r>
              <w:rPr>
                <w:color w:val="00B050"/>
                <w:sz w:val="24"/>
              </w:rPr>
              <w:t>Pastura</w:t>
            </w:r>
          </w:p>
        </w:tc>
        <w:tc>
          <w:tcPr>
            <w:tcW w:w="3149" w:type="dxa"/>
            <w:gridSpan w:val="2"/>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Cantidad</w:t>
            </w:r>
          </w:p>
          <w:p>
            <w:pPr>
              <w:pStyle w:val="TableParagraph"/>
              <w:spacing w:before="4"/>
              <w:ind w:left="100"/>
              <w:rPr>
                <w:sz w:val="19"/>
              </w:rPr>
            </w:pPr>
            <w:r>
              <w:rPr>
                <w:w w:val="105"/>
                <w:sz w:val="19"/>
              </w:rPr>
              <w:t>(kg/vaca/día)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6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Porcentaje</w:t>
            </w:r>
          </w:p>
          <w:p>
            <w:pPr>
              <w:pStyle w:val="TableParagraph"/>
              <w:spacing w:before="4"/>
              <w:ind w:left="100"/>
              <w:rPr>
                <w:sz w:val="19"/>
              </w:rPr>
            </w:pPr>
            <w:r>
              <w:rPr>
                <w:w w:val="105"/>
                <w:sz w:val="19"/>
              </w:rPr>
              <w:t>(% total de alimento)</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7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right w:val="single" w:sz="4" w:space="0" w:color="000000"/>
            </w:tcBorders>
          </w:tcPr>
          <w:p>
            <w:pPr>
              <w:pStyle w:val="TableParagraph"/>
              <w:spacing w:before="21"/>
              <w:ind w:left="100"/>
              <w:rPr>
                <w:sz w:val="24"/>
              </w:rPr>
            </w:pPr>
            <w:r>
              <w:rPr>
                <w:sz w:val="24"/>
              </w:rPr>
              <w:t>Horas</w:t>
            </w:r>
          </w:p>
          <w:p>
            <w:pPr>
              <w:pStyle w:val="TableParagraph"/>
              <w:spacing w:before="4"/>
              <w:ind w:left="100"/>
              <w:rPr>
                <w:sz w:val="19"/>
              </w:rPr>
            </w:pPr>
            <w:r>
              <w:rPr>
                <w:w w:val="105"/>
                <w:sz w:val="19"/>
              </w:rPr>
              <w:t>(horas/día)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605"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1"/>
              <w:ind w:left="1443" w:right="668" w:hanging="774"/>
              <w:rPr>
                <w:b/>
                <w:sz w:val="24"/>
              </w:rPr>
            </w:pPr>
            <w:r>
              <w:rPr>
                <w:b/>
                <w:sz w:val="24"/>
              </w:rPr>
              <w:t>Cantidad de alimentación de forrajes, concentrados y otros suplementos (kg/vaca/día en Materia Seca)</w:t>
            </w:r>
          </w:p>
        </w:tc>
      </w:tr>
      <w:tr>
        <w:trPr>
          <w:trHeight w:val="461" w:hRule="exact"/>
        </w:trPr>
        <w:tc>
          <w:tcPr>
            <w:tcW w:w="442" w:type="dxa"/>
            <w:vMerge w:val="restart"/>
            <w:tcBorders>
              <w:left w:val="nil"/>
              <w:right w:val="single" w:sz="4" w:space="0" w:color="000000"/>
            </w:tcBorders>
          </w:tcPr>
          <w:p>
            <w:pPr/>
          </w:p>
        </w:tc>
        <w:tc>
          <w:tcPr>
            <w:tcW w:w="2645" w:type="dxa"/>
            <w:vMerge w:val="restart"/>
            <w:tcBorders>
              <w:left w:val="single" w:sz="4" w:space="0" w:color="000000"/>
              <w:right w:val="single" w:sz="4" w:space="0" w:color="000000"/>
            </w:tcBorders>
          </w:tcPr>
          <w:p>
            <w:pPr>
              <w:pStyle w:val="TableParagraph"/>
              <w:spacing w:before="213"/>
              <w:ind w:left="668" w:right="84" w:hanging="571"/>
              <w:rPr>
                <w:sz w:val="24"/>
              </w:rPr>
            </w:pPr>
            <w:r>
              <w:rPr>
                <w:sz w:val="24"/>
              </w:rPr>
              <w:t>Nombre y descripción de los alimentos</w:t>
            </w:r>
          </w:p>
        </w:tc>
        <w:tc>
          <w:tcPr>
            <w:tcW w:w="504" w:type="dxa"/>
            <w:vMerge w:val="restart"/>
            <w:tcBorders>
              <w:left w:val="single" w:sz="4" w:space="0" w:color="000000"/>
            </w:tcBorders>
            <w:textDirection w:val="btLr"/>
          </w:tcPr>
          <w:p>
            <w:pPr>
              <w:pStyle w:val="TableParagraph"/>
              <w:spacing w:line="254" w:lineRule="auto" w:before="6"/>
              <w:ind w:left="49" w:right="56" w:firstLine="18"/>
              <w:rPr>
                <w:rFonts w:ascii="Arial" w:hAnsi="Arial"/>
                <w:sz w:val="17"/>
              </w:rPr>
            </w:pPr>
            <w:r>
              <w:rPr>
                <w:spacing w:val="1"/>
                <w:w w:val="104"/>
                <w:sz w:val="17"/>
              </w:rPr>
              <w:t>Comp</w:t>
            </w:r>
            <w:r>
              <w:rPr>
                <w:w w:val="104"/>
                <w:sz w:val="17"/>
              </w:rPr>
              <w:t>r</w:t>
            </w:r>
            <w:r>
              <w:rPr>
                <w:spacing w:val="1"/>
                <w:w w:val="104"/>
                <w:sz w:val="17"/>
              </w:rPr>
              <w:t>ado? S</w:t>
            </w:r>
            <w:r>
              <w:rPr>
                <w:w w:val="104"/>
                <w:sz w:val="17"/>
              </w:rPr>
              <w:t>I</w:t>
            </w:r>
            <w:r>
              <w:rPr>
                <w:spacing w:val="2"/>
                <w:sz w:val="17"/>
              </w:rPr>
              <w:t> </w:t>
            </w:r>
            <w:r>
              <w:rPr>
                <w:rFonts w:ascii="Arial" w:hAnsi="Arial"/>
                <w:w w:val="279"/>
                <w:sz w:val="17"/>
              </w:rPr>
              <w:t>¨</w:t>
            </w:r>
            <w:r>
              <w:rPr>
                <w:rFonts w:ascii="Arial" w:hAnsi="Arial"/>
                <w:sz w:val="17"/>
              </w:rPr>
              <w:t>  </w:t>
            </w:r>
            <w:r>
              <w:rPr>
                <w:rFonts w:ascii="Arial" w:hAnsi="Arial"/>
                <w:spacing w:val="-18"/>
                <w:sz w:val="17"/>
              </w:rPr>
              <w:t> </w:t>
            </w:r>
            <w:r>
              <w:rPr>
                <w:spacing w:val="1"/>
                <w:w w:val="104"/>
                <w:sz w:val="17"/>
              </w:rPr>
              <w:t>N</w:t>
            </w:r>
            <w:r>
              <w:rPr>
                <w:w w:val="104"/>
                <w:sz w:val="17"/>
              </w:rPr>
              <w:t>O</w:t>
            </w:r>
            <w:r>
              <w:rPr>
                <w:spacing w:val="3"/>
                <w:sz w:val="17"/>
              </w:rPr>
              <w:t> </w:t>
            </w:r>
            <w:r>
              <w:rPr>
                <w:rFonts w:ascii="Arial" w:hAnsi="Arial"/>
                <w:w w:val="279"/>
                <w:sz w:val="17"/>
              </w:rPr>
              <w:t>¨</w:t>
            </w:r>
          </w:p>
        </w:tc>
        <w:tc>
          <w:tcPr>
            <w:tcW w:w="7262" w:type="dxa"/>
            <w:gridSpan w:val="12"/>
            <w:tcBorders>
              <w:top w:val="single" w:sz="4" w:space="0" w:color="000000"/>
              <w:bottom w:val="single" w:sz="4" w:space="0" w:color="000000"/>
              <w:right w:val="nil"/>
            </w:tcBorders>
          </w:tcPr>
          <w:p>
            <w:pPr>
              <w:pStyle w:val="TableParagraph"/>
              <w:spacing w:before="93"/>
              <w:ind w:left="3353" w:right="3368"/>
              <w:jc w:val="center"/>
              <w:rPr>
                <w:sz w:val="24"/>
              </w:rPr>
            </w:pPr>
            <w:r>
              <w:rPr>
                <w:sz w:val="24"/>
              </w:rPr>
              <w:t>2011</w:t>
            </w:r>
          </w:p>
        </w:tc>
      </w:tr>
      <w:tr>
        <w:trPr>
          <w:trHeight w:val="566" w:hRule="exact"/>
        </w:trPr>
        <w:tc>
          <w:tcPr>
            <w:tcW w:w="442" w:type="dxa"/>
            <w:vMerge/>
            <w:tcBorders>
              <w:left w:val="nil"/>
              <w:right w:val="single" w:sz="4" w:space="0" w:color="000000"/>
            </w:tcBorders>
          </w:tcPr>
          <w:p>
            <w:pPr/>
          </w:p>
        </w:tc>
        <w:tc>
          <w:tcPr>
            <w:tcW w:w="2645" w:type="dxa"/>
            <w:vMerge/>
            <w:tcBorders>
              <w:left w:val="single" w:sz="4" w:space="0" w:color="000000"/>
              <w:right w:val="single" w:sz="4" w:space="0" w:color="000000"/>
            </w:tcBorders>
          </w:tcPr>
          <w:p>
            <w:pPr/>
          </w:p>
        </w:tc>
        <w:tc>
          <w:tcPr>
            <w:tcW w:w="504" w:type="dxa"/>
            <w:vMerge/>
            <w:tcBorders>
              <w:left w:val="single" w:sz="4" w:space="0" w:color="000000"/>
            </w:tcBorders>
            <w:textDirection w:val="btLr"/>
          </w:tcPr>
          <w:p>
            <w:pPr/>
          </w:p>
        </w:tc>
        <w:tc>
          <w:tcPr>
            <w:tcW w:w="595" w:type="dxa"/>
            <w:tcBorders>
              <w:top w:val="single" w:sz="4" w:space="0" w:color="000000"/>
              <w:bottom w:val="single" w:sz="4" w:space="0" w:color="000000"/>
              <w:right w:val="single" w:sz="4" w:space="0" w:color="000000"/>
            </w:tcBorders>
          </w:tcPr>
          <w:p>
            <w:pPr>
              <w:pStyle w:val="TableParagraph"/>
              <w:spacing w:before="131"/>
              <w:ind w:right="13"/>
              <w:jc w:val="center"/>
              <w:rPr>
                <w:sz w:val="24"/>
              </w:rPr>
            </w:pPr>
            <w:r>
              <w:rPr>
                <w:sz w:val="24"/>
              </w:rPr>
              <w:t>1</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2</w:t>
            </w:r>
          </w:p>
        </w:tc>
        <w:tc>
          <w:tcPr>
            <w:tcW w:w="528" w:type="dxa"/>
            <w:tcBorders>
              <w:top w:val="single" w:sz="4" w:space="0" w:color="000000"/>
              <w:left w:val="single" w:sz="4" w:space="0" w:color="000000"/>
              <w:bottom w:val="single" w:sz="4" w:space="0" w:color="000000"/>
              <w:right w:val="single" w:sz="4" w:space="0" w:color="000000"/>
            </w:tcBorders>
          </w:tcPr>
          <w:p>
            <w:pPr>
              <w:pStyle w:val="TableParagraph"/>
              <w:spacing w:before="131"/>
              <w:ind w:left="3"/>
              <w:jc w:val="center"/>
              <w:rPr>
                <w:sz w:val="24"/>
              </w:rPr>
            </w:pPr>
            <w:r>
              <w:rPr>
                <w:sz w:val="24"/>
              </w:rPr>
              <w:t>3</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2"/>
              <w:jc w:val="center"/>
              <w:rPr>
                <w:sz w:val="24"/>
              </w:rPr>
            </w:pPr>
            <w:r>
              <w:rPr>
                <w:sz w:val="24"/>
              </w:rPr>
              <w:t>6</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before="131"/>
              <w:ind w:left="4"/>
              <w:jc w:val="center"/>
              <w:rPr>
                <w:sz w:val="24"/>
              </w:rPr>
            </w:pPr>
            <w:r>
              <w:rPr>
                <w:sz w:val="24"/>
              </w:rPr>
              <w:t>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131"/>
              <w:ind w:right="3"/>
              <w:jc w:val="center"/>
              <w:rPr>
                <w:sz w:val="24"/>
              </w:rPr>
            </w:pPr>
            <w:r>
              <w:rPr>
                <w:sz w:val="24"/>
              </w:rPr>
              <w:t>8</w:t>
            </w:r>
          </w:p>
        </w:tc>
        <w:tc>
          <w:tcPr>
            <w:tcW w:w="643"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9</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left="135" w:right="137"/>
              <w:jc w:val="center"/>
              <w:rPr>
                <w:sz w:val="24"/>
              </w:rPr>
            </w:pPr>
            <w:r>
              <w:rPr>
                <w:sz w:val="24"/>
              </w:rPr>
              <w:t>10</w:t>
            </w:r>
          </w:p>
        </w:tc>
        <w:tc>
          <w:tcPr>
            <w:tcW w:w="672" w:type="dxa"/>
            <w:tcBorders>
              <w:top w:val="single" w:sz="4" w:space="0" w:color="000000"/>
              <w:left w:val="single" w:sz="4" w:space="0" w:color="000000"/>
              <w:bottom w:val="single" w:sz="4" w:space="0" w:color="000000"/>
              <w:right w:val="single" w:sz="4" w:space="0" w:color="000000"/>
            </w:tcBorders>
          </w:tcPr>
          <w:p>
            <w:pPr>
              <w:pStyle w:val="TableParagraph"/>
              <w:spacing w:before="131"/>
              <w:ind w:left="188" w:right="191"/>
              <w:jc w:val="center"/>
              <w:rPr>
                <w:sz w:val="24"/>
              </w:rPr>
            </w:pPr>
            <w:r>
              <w:rPr>
                <w:sz w:val="24"/>
              </w:rPr>
              <w:t>11</w:t>
            </w:r>
          </w:p>
        </w:tc>
        <w:tc>
          <w:tcPr>
            <w:tcW w:w="614" w:type="dxa"/>
            <w:tcBorders>
              <w:top w:val="single" w:sz="4" w:space="0" w:color="000000"/>
              <w:left w:val="single" w:sz="4" w:space="0" w:color="000000"/>
              <w:bottom w:val="single" w:sz="4" w:space="0" w:color="000000"/>
              <w:right w:val="nil"/>
            </w:tcBorders>
          </w:tcPr>
          <w:p>
            <w:pPr>
              <w:pStyle w:val="TableParagraph"/>
              <w:spacing w:before="131"/>
              <w:ind w:left="146" w:right="166"/>
              <w:jc w:val="center"/>
              <w:rPr>
                <w:sz w:val="24"/>
              </w:rPr>
            </w:pPr>
            <w:r>
              <w:rPr>
                <w:sz w:val="24"/>
              </w:rPr>
              <w:t>12</w:t>
            </w:r>
          </w:p>
        </w:tc>
      </w:tr>
      <w:tr>
        <w:trPr>
          <w:trHeight w:val="610" w:hRule="exact"/>
        </w:trPr>
        <w:tc>
          <w:tcPr>
            <w:tcW w:w="442" w:type="dxa"/>
            <w:vMerge w:val="restart"/>
            <w:tcBorders>
              <w:left w:val="nil"/>
              <w:right w:val="single" w:sz="4" w:space="0" w:color="000000"/>
            </w:tcBorders>
            <w:textDirection w:val="btLr"/>
          </w:tcPr>
          <w:p>
            <w:pPr>
              <w:pStyle w:val="TableParagraph"/>
              <w:spacing w:before="107"/>
              <w:ind w:left="183"/>
              <w:rPr>
                <w:sz w:val="24"/>
              </w:rPr>
            </w:pPr>
            <w:r>
              <w:rPr>
                <w:color w:val="FF0000"/>
                <w:sz w:val="24"/>
              </w:rPr>
              <w:t>Concentrado</w:t>
            </w:r>
          </w:p>
        </w:tc>
        <w:tc>
          <w:tcPr>
            <w:tcW w:w="2645" w:type="dxa"/>
            <w:tcBorders>
              <w:left w:val="single" w:sz="4" w:space="0" w:color="000000"/>
              <w:bottom w:val="single" w:sz="4" w:space="0" w:color="000000"/>
              <w:right w:val="single" w:sz="4" w:space="0" w:color="000000"/>
            </w:tcBorders>
          </w:tcPr>
          <w:p>
            <w:pPr>
              <w:pStyle w:val="TableParagraph"/>
              <w:tabs>
                <w:tab w:pos="2235" w:val="left" w:leader="none"/>
              </w:tabs>
              <w:spacing w:before="6"/>
              <w:ind w:left="100" w:right="324"/>
              <w:rPr>
                <w:sz w:val="24"/>
              </w:rPr>
            </w:pPr>
            <w:r>
              <w:rPr>
                <w:sz w:val="24"/>
              </w:rPr>
              <w:t>Comercial [</w:t>
              <w:tab/>
              <w:t>] (proporción)</w:t>
            </w:r>
          </w:p>
        </w:tc>
        <w:tc>
          <w:tcPr>
            <w:tcW w:w="504" w:type="dxa"/>
            <w:tcBorders>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1271" w:right="1271"/>
              <w:jc w:val="center"/>
              <w:rPr>
                <w:sz w:val="24"/>
              </w:rPr>
            </w:pPr>
            <w:r>
              <w:rPr>
                <w:color w:val="0070C0"/>
                <w:sz w:val="24"/>
              </w:rPr>
              <w:t>Forraje</w:t>
            </w:r>
          </w:p>
        </w:tc>
        <w:tc>
          <w:tcPr>
            <w:tcW w:w="2645" w:type="dxa"/>
            <w:tcBorders>
              <w:left w:val="single" w:sz="4" w:space="0" w:color="000000"/>
              <w:bottom w:val="single" w:sz="4" w:space="0" w:color="000000"/>
              <w:right w:val="single" w:sz="4" w:space="0" w:color="000000"/>
            </w:tcBorders>
          </w:tcPr>
          <w:p>
            <w:pPr>
              <w:pStyle w:val="TableParagraph"/>
              <w:spacing w:before="6"/>
              <w:ind w:left="100"/>
              <w:rPr>
                <w:sz w:val="24"/>
              </w:rPr>
            </w:pPr>
            <w:r>
              <w:rPr>
                <w:sz w:val="24"/>
              </w:rPr>
              <w:t>Alfalfa (</w:t>
            </w:r>
            <w:r>
              <w:rPr>
                <w:i/>
                <w:sz w:val="24"/>
              </w:rPr>
              <w:t>Medicago sativa</w:t>
            </w:r>
            <w:r>
              <w:rPr>
                <w:sz w:val="24"/>
              </w:rPr>
              <w:t>)</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412"/>
              <w:rPr>
                <w:sz w:val="24"/>
              </w:rPr>
            </w:pPr>
            <w:r>
              <w:rPr>
                <w:sz w:val="24"/>
              </w:rPr>
              <w:t>Ensilado de maíz (</w:t>
            </w:r>
            <w:r>
              <w:rPr>
                <w:i/>
                <w:sz w:val="24"/>
              </w:rPr>
              <w:t>Zea </w:t>
            </w:r>
            <w:r>
              <w:rPr>
                <w:i/>
                <w:sz w:val="24"/>
              </w:rPr>
              <w:t>mays</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Maíz picado</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321"/>
              <w:rPr>
                <w:sz w:val="24"/>
              </w:rPr>
            </w:pPr>
            <w:r>
              <w:rPr>
                <w:sz w:val="24"/>
              </w:rPr>
              <w:t>Heno de avena (</w:t>
            </w:r>
            <w:r>
              <w:rPr>
                <w:i/>
                <w:sz w:val="24"/>
              </w:rPr>
              <w:t>Avena </w:t>
            </w:r>
            <w:r>
              <w:rPr>
                <w:i/>
                <w:sz w:val="24"/>
              </w:rPr>
              <w:t>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6"/>
              <w:ind w:left="100" w:right="84"/>
              <w:rPr>
                <w:sz w:val="24"/>
              </w:rPr>
            </w:pPr>
            <w:r>
              <w:rPr>
                <w:sz w:val="24"/>
              </w:rPr>
              <w:t>Ebo (</w:t>
            </w:r>
            <w:r>
              <w:rPr>
                <w:i/>
                <w:sz w:val="24"/>
              </w:rPr>
              <w:t>Vicia 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Style w:val="TableParagraph"/>
              <w:spacing w:before="2"/>
              <w:ind w:left="100" w:right="84"/>
              <w:rPr>
                <w:sz w:val="24"/>
              </w:rPr>
            </w:pPr>
            <w:r>
              <w:rPr>
                <w:sz w:val="24"/>
              </w:rPr>
              <w:t>Rastrojo de maíz</w:t>
            </w: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222"/>
              <w:rPr>
                <w:sz w:val="24"/>
              </w:rPr>
            </w:pPr>
            <w:r>
              <w:rPr>
                <w:color w:val="E36C0A"/>
                <w:sz w:val="24"/>
              </w:rPr>
              <w:t>Vitaminas y minerales</w:t>
            </w:r>
          </w:p>
        </w:tc>
        <w:tc>
          <w:tcPr>
            <w:tcW w:w="2645" w:type="dxa"/>
            <w:tcBorders>
              <w:left w:val="single" w:sz="4" w:space="0" w:color="000000"/>
              <w:bottom w:val="single" w:sz="4" w:space="0" w:color="000000"/>
              <w:right w:val="single" w:sz="4" w:space="0" w:color="000000"/>
            </w:tcBorders>
          </w:tcPr>
          <w:p>
            <w:pPr>
              <w:pStyle w:val="TableParagraph"/>
              <w:spacing w:before="2"/>
              <w:ind w:left="100" w:right="84"/>
              <w:rPr>
                <w:sz w:val="24"/>
              </w:rPr>
            </w:pPr>
            <w:r>
              <w:rPr>
                <w:sz w:val="24"/>
              </w:rPr>
              <w:t>Suplementos minerales</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Sal</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bl>
    <w:p>
      <w:pPr>
        <w:spacing w:after="0"/>
        <w:sectPr>
          <w:headerReference w:type="default" r:id="rId255"/>
          <w:footerReference w:type="default" r:id="rId256"/>
          <w:pgSz w:w="12240" w:h="15840"/>
          <w:pgMar w:header="0" w:footer="564" w:top="660" w:bottom="760" w:left="580" w:right="540"/>
          <w:pgNumType w:start="175"/>
        </w:sectPr>
      </w:pPr>
    </w:p>
    <w:p>
      <w:pPr>
        <w:spacing w:line="169" w:lineRule="exact" w:before="56"/>
        <w:ind w:left="0" w:right="127" w:firstLine="0"/>
        <w:jc w:val="right"/>
        <w:rPr>
          <w:rFonts w:ascii="Calibri" w:hAnsi="Calibri"/>
          <w:b/>
          <w:i/>
          <w:sz w:val="14"/>
        </w:rPr>
      </w:pPr>
      <w:r>
        <w:rPr/>
        <w:pict>
          <v:group style="position:absolute;margin-left:29.982389pt;margin-top:34.302399pt;width:553pt;height:732.75pt;mso-position-horizontal-relative:page;mso-position-vertical-relative:page;z-index:-305848"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hAnsi="Calibri"/>
          <w:b/>
          <w:i/>
          <w:sz w:val="14"/>
        </w:rPr>
        <w:t>Estimación de las emisiones en bovinos en los sistema de producción lechera en pequeña escala</w:t>
      </w:r>
    </w:p>
    <w:p>
      <w:pPr>
        <w:spacing w:line="169" w:lineRule="exact" w:before="0"/>
        <w:ind w:left="0" w:right="126" w:firstLine="0"/>
        <w:jc w:val="right"/>
        <w:rPr>
          <w:rFonts w:ascii="Calibri" w:hAnsi="Calibri"/>
          <w:b/>
          <w:i/>
          <w:sz w:val="14"/>
        </w:rPr>
      </w:pPr>
      <w:r>
        <w:rPr>
          <w:rFonts w:ascii="Calibri" w:hAnsi="Calibri"/>
          <w:b/>
          <w:i/>
          <w:sz w:val="14"/>
        </w:rPr>
        <w:t>a través del factor de conversión de metano</w:t>
      </w:r>
    </w:p>
    <w:p>
      <w:pPr>
        <w:spacing w:before="2" w:after="6"/>
        <w:ind w:left="0" w:right="127" w:firstLine="0"/>
        <w:jc w:val="right"/>
        <w:rPr>
          <w:rFonts w:ascii="Calibri" w:hAnsi="Calibri"/>
          <w:b/>
          <w:i/>
          <w:sz w:val="14"/>
        </w:rPr>
      </w:pPr>
      <w:r>
        <w:rPr>
          <w:rFonts w:ascii="Calibri" w:hAnsi="Calibri"/>
          <w:b/>
          <w:i/>
          <w:sz w:val="14"/>
        </w:rPr>
        <w:t>M. en E. S. Noé Zúñiga-González</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621"/>
        <w:gridCol w:w="970"/>
        <w:gridCol w:w="595"/>
        <w:gridCol w:w="701"/>
        <w:gridCol w:w="528"/>
        <w:gridCol w:w="610"/>
        <w:gridCol w:w="566"/>
        <w:gridCol w:w="566"/>
        <w:gridCol w:w="595"/>
        <w:gridCol w:w="605"/>
        <w:gridCol w:w="643"/>
        <w:gridCol w:w="566"/>
        <w:gridCol w:w="672"/>
        <w:gridCol w:w="614"/>
      </w:tblGrid>
      <w:tr>
        <w:trPr>
          <w:trHeight w:val="470" w:hRule="exact"/>
        </w:trPr>
        <w:tc>
          <w:tcPr>
            <w:tcW w:w="2621" w:type="dxa"/>
            <w:tcBorders>
              <w:left w:val="nil"/>
              <w:right w:val="single" w:sz="4" w:space="0" w:color="000000"/>
            </w:tcBorders>
            <w:shd w:val="clear" w:color="auto" w:fill="943634"/>
          </w:tcPr>
          <w:p>
            <w:pPr>
              <w:pStyle w:val="TableParagraph"/>
              <w:spacing w:before="74"/>
              <w:ind w:left="105"/>
              <w:rPr>
                <w:b/>
                <w:sz w:val="24"/>
              </w:rPr>
            </w:pPr>
            <w:r>
              <w:rPr>
                <w:b/>
                <w:color w:val="FFFFFF"/>
                <w:sz w:val="24"/>
              </w:rPr>
              <w:t>Grupo de alimentación:</w:t>
            </w:r>
          </w:p>
        </w:tc>
        <w:tc>
          <w:tcPr>
            <w:tcW w:w="8232" w:type="dxa"/>
            <w:gridSpan w:val="13"/>
            <w:tcBorders>
              <w:left w:val="single" w:sz="4" w:space="0" w:color="000000"/>
              <w:bottom w:val="single" w:sz="29" w:space="0" w:color="000000"/>
              <w:right w:val="single" w:sz="4" w:space="0" w:color="000000"/>
            </w:tcBorders>
            <w:shd w:val="clear" w:color="auto" w:fill="943634"/>
          </w:tcPr>
          <w:p>
            <w:pPr>
              <w:pStyle w:val="TableParagraph"/>
              <w:spacing w:before="74"/>
              <w:ind w:left="100"/>
              <w:rPr>
                <w:sz w:val="24"/>
              </w:rPr>
            </w:pPr>
            <w:r>
              <w:rPr>
                <w:b/>
                <w:color w:val="FFFFFF"/>
                <w:sz w:val="24"/>
              </w:rPr>
              <w:t>BECERRAS. </w:t>
            </w:r>
            <w:r>
              <w:rPr>
                <w:color w:val="FFFFFF"/>
                <w:sz w:val="24"/>
              </w:rPr>
              <w:t>Del nacimiento al destete (día 1 al 60).</w:t>
            </w:r>
          </w:p>
        </w:tc>
      </w:tr>
      <w:tr>
        <w:trPr>
          <w:trHeight w:val="427" w:hRule="exact"/>
        </w:trPr>
        <w:tc>
          <w:tcPr>
            <w:tcW w:w="3590" w:type="dxa"/>
            <w:gridSpan w:val="2"/>
            <w:tcBorders>
              <w:left w:val="nil"/>
            </w:tcBorders>
          </w:tcPr>
          <w:p>
            <w:pPr>
              <w:pStyle w:val="TableParagraph"/>
              <w:spacing w:before="54"/>
              <w:ind w:left="1180"/>
              <w:rPr>
                <w:b/>
                <w:sz w:val="24"/>
              </w:rPr>
            </w:pPr>
            <w:r>
              <w:rPr>
                <w:sz w:val="24"/>
              </w:rPr>
              <w:t>Número de animales </w:t>
            </w:r>
            <w:r>
              <w:rPr>
                <w:b/>
                <w:sz w:val="24"/>
              </w:rPr>
              <w:t>→</w:t>
            </w:r>
          </w:p>
        </w:tc>
        <w:tc>
          <w:tcPr>
            <w:tcW w:w="595" w:type="dxa"/>
            <w:tcBorders>
              <w:right w:val="single" w:sz="4" w:space="0" w:color="000000"/>
            </w:tcBorders>
          </w:tcPr>
          <w:p>
            <w:pPr/>
          </w:p>
        </w:tc>
        <w:tc>
          <w:tcPr>
            <w:tcW w:w="701" w:type="dxa"/>
            <w:tcBorders>
              <w:left w:val="single" w:sz="4" w:space="0" w:color="000000"/>
              <w:right w:val="single" w:sz="4" w:space="0" w:color="000000"/>
            </w:tcBorders>
          </w:tcPr>
          <w:p>
            <w:pPr/>
          </w:p>
        </w:tc>
        <w:tc>
          <w:tcPr>
            <w:tcW w:w="528" w:type="dxa"/>
            <w:tcBorders>
              <w:left w:val="single" w:sz="4" w:space="0" w:color="000000"/>
              <w:right w:val="single" w:sz="4" w:space="0" w:color="000000"/>
            </w:tcBorders>
          </w:tcPr>
          <w:p>
            <w:pPr/>
          </w:p>
        </w:tc>
        <w:tc>
          <w:tcPr>
            <w:tcW w:w="610"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95" w:type="dxa"/>
            <w:tcBorders>
              <w:left w:val="single" w:sz="4" w:space="0" w:color="000000"/>
              <w:right w:val="single" w:sz="4" w:space="0" w:color="000000"/>
            </w:tcBorders>
          </w:tcPr>
          <w:p>
            <w:pPr/>
          </w:p>
        </w:tc>
        <w:tc>
          <w:tcPr>
            <w:tcW w:w="605" w:type="dxa"/>
            <w:tcBorders>
              <w:left w:val="single" w:sz="4" w:space="0" w:color="000000"/>
              <w:right w:val="single" w:sz="4" w:space="0" w:color="000000"/>
            </w:tcBorders>
          </w:tcPr>
          <w:p>
            <w:pPr/>
          </w:p>
        </w:tc>
        <w:tc>
          <w:tcPr>
            <w:tcW w:w="643"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672" w:type="dxa"/>
            <w:tcBorders>
              <w:left w:val="single" w:sz="4" w:space="0" w:color="000000"/>
              <w:right w:val="single" w:sz="4" w:space="0" w:color="000000"/>
            </w:tcBorders>
          </w:tcPr>
          <w:p>
            <w:pPr/>
          </w:p>
        </w:tc>
        <w:tc>
          <w:tcPr>
            <w:tcW w:w="614" w:type="dxa"/>
            <w:tcBorders>
              <w:left w:val="single" w:sz="4" w:space="0" w:color="000000"/>
              <w:right w:val="nil"/>
            </w:tcBorders>
          </w:tcPr>
          <w:p>
            <w:pPr/>
          </w:p>
        </w:tc>
      </w:tr>
      <w:tr>
        <w:trPr>
          <w:trHeight w:val="235" w:hRule="exact"/>
        </w:trPr>
        <w:tc>
          <w:tcPr>
            <w:tcW w:w="3590" w:type="dxa"/>
            <w:gridSpan w:val="2"/>
            <w:tcBorders>
              <w:left w:val="nil"/>
              <w:bottom w:val="nil"/>
            </w:tcBorders>
          </w:tcPr>
          <w:p>
            <w:pPr/>
          </w:p>
        </w:tc>
        <w:tc>
          <w:tcPr>
            <w:tcW w:w="7262" w:type="dxa"/>
            <w:gridSpan w:val="12"/>
            <w:tcBorders>
              <w:bottom w:val="nil"/>
              <w:right w:val="nil"/>
            </w:tcBorders>
          </w:tcPr>
          <w:p>
            <w:pPr>
              <w:pStyle w:val="TableParagraph"/>
              <w:spacing w:line="259" w:lineRule="exact" w:before="2"/>
              <w:ind w:left="3353" w:right="3368"/>
              <w:jc w:val="center"/>
              <w:rPr>
                <w:sz w:val="24"/>
              </w:rPr>
            </w:pPr>
            <w:r>
              <w:rPr>
                <w:sz w:val="24"/>
              </w:rPr>
              <w:t>2011</w:t>
            </w:r>
          </w:p>
        </w:tc>
      </w:tr>
    </w:tbl>
    <w:p>
      <w:pPr>
        <w:pStyle w:val="BodyText"/>
        <w:spacing w:before="6"/>
        <w:rPr>
          <w:rFonts w:ascii="Calibri"/>
          <w:b/>
          <w:i/>
          <w:sz w:val="5"/>
        </w:rPr>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2"/>
        <w:gridCol w:w="2645"/>
        <w:gridCol w:w="504"/>
        <w:gridCol w:w="595"/>
        <w:gridCol w:w="701"/>
        <w:gridCol w:w="528"/>
        <w:gridCol w:w="610"/>
        <w:gridCol w:w="566"/>
        <w:gridCol w:w="566"/>
        <w:gridCol w:w="595"/>
        <w:gridCol w:w="605"/>
        <w:gridCol w:w="643"/>
        <w:gridCol w:w="566"/>
        <w:gridCol w:w="672"/>
        <w:gridCol w:w="614"/>
      </w:tblGrid>
      <w:tr>
        <w:trPr>
          <w:trHeight w:val="322" w:hRule="exact"/>
        </w:trPr>
        <w:tc>
          <w:tcPr>
            <w:tcW w:w="3590" w:type="dxa"/>
            <w:gridSpan w:val="3"/>
            <w:tcBorders>
              <w:left w:val="nil"/>
            </w:tcBorders>
          </w:tcPr>
          <w:p>
            <w:pPr>
              <w:pStyle w:val="TableParagraph"/>
              <w:spacing w:before="2"/>
              <w:ind w:left="1799"/>
              <w:rPr>
                <w:b/>
                <w:sz w:val="24"/>
              </w:rPr>
            </w:pPr>
            <w:r>
              <w:rPr>
                <w:sz w:val="24"/>
              </w:rPr>
              <w:t>Meses del año </w:t>
            </w:r>
            <w:r>
              <w:rPr>
                <w:b/>
                <w:sz w:val="24"/>
              </w:rPr>
              <w:t>→</w:t>
            </w:r>
          </w:p>
        </w:tc>
        <w:tc>
          <w:tcPr>
            <w:tcW w:w="595" w:type="dxa"/>
            <w:tcBorders>
              <w:bottom w:val="single" w:sz="4" w:space="0" w:color="000000"/>
              <w:right w:val="single" w:sz="4" w:space="0" w:color="000000"/>
            </w:tcBorders>
          </w:tcPr>
          <w:p>
            <w:pPr>
              <w:pStyle w:val="TableParagraph"/>
              <w:spacing w:before="2"/>
              <w:ind w:right="13"/>
              <w:jc w:val="center"/>
              <w:rPr>
                <w:sz w:val="24"/>
              </w:rPr>
            </w:pPr>
            <w:r>
              <w:rPr>
                <w:sz w:val="24"/>
              </w:rPr>
              <w:t>1</w:t>
            </w:r>
          </w:p>
        </w:tc>
        <w:tc>
          <w:tcPr>
            <w:tcW w:w="701"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2</w:t>
            </w:r>
          </w:p>
        </w:tc>
        <w:tc>
          <w:tcPr>
            <w:tcW w:w="528" w:type="dxa"/>
            <w:tcBorders>
              <w:left w:val="single" w:sz="4" w:space="0" w:color="000000"/>
              <w:bottom w:val="single" w:sz="4" w:space="0" w:color="000000"/>
              <w:right w:val="single" w:sz="4" w:space="0" w:color="000000"/>
            </w:tcBorders>
          </w:tcPr>
          <w:p>
            <w:pPr>
              <w:pStyle w:val="TableParagraph"/>
              <w:spacing w:before="2"/>
              <w:ind w:left="3"/>
              <w:jc w:val="center"/>
              <w:rPr>
                <w:sz w:val="24"/>
              </w:rPr>
            </w:pPr>
            <w:r>
              <w:rPr>
                <w:sz w:val="24"/>
              </w:rPr>
              <w:t>3</w:t>
            </w:r>
          </w:p>
        </w:tc>
        <w:tc>
          <w:tcPr>
            <w:tcW w:w="610" w:type="dxa"/>
            <w:tcBorders>
              <w:left w:val="single" w:sz="4" w:space="0" w:color="000000"/>
              <w:bottom w:val="single" w:sz="4" w:space="0" w:color="000000"/>
              <w:right w:val="single" w:sz="4" w:space="0" w:color="000000"/>
            </w:tcBorders>
          </w:tcPr>
          <w:p>
            <w:pPr>
              <w:pStyle w:val="TableParagraph"/>
              <w:spacing w:before="2"/>
              <w:ind w:right="4"/>
              <w:jc w:val="center"/>
              <w:rPr>
                <w:sz w:val="24"/>
              </w:rPr>
            </w:pPr>
            <w:r>
              <w:rPr>
                <w:sz w:val="24"/>
              </w:rPr>
              <w:t>4</w:t>
            </w:r>
          </w:p>
        </w:tc>
        <w:tc>
          <w:tcPr>
            <w:tcW w:w="566"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5</w:t>
            </w:r>
          </w:p>
        </w:tc>
        <w:tc>
          <w:tcPr>
            <w:tcW w:w="566" w:type="dxa"/>
            <w:tcBorders>
              <w:left w:val="single" w:sz="4" w:space="0" w:color="000000"/>
              <w:bottom w:val="single" w:sz="4" w:space="0" w:color="000000"/>
              <w:right w:val="single" w:sz="4" w:space="0" w:color="000000"/>
            </w:tcBorders>
          </w:tcPr>
          <w:p>
            <w:pPr>
              <w:pStyle w:val="TableParagraph"/>
              <w:spacing w:before="2"/>
              <w:ind w:right="2"/>
              <w:jc w:val="center"/>
              <w:rPr>
                <w:sz w:val="24"/>
              </w:rPr>
            </w:pPr>
            <w:r>
              <w:rPr>
                <w:sz w:val="24"/>
              </w:rPr>
              <w:t>6</w:t>
            </w:r>
          </w:p>
        </w:tc>
        <w:tc>
          <w:tcPr>
            <w:tcW w:w="595" w:type="dxa"/>
            <w:tcBorders>
              <w:left w:val="single" w:sz="4" w:space="0" w:color="000000"/>
              <w:bottom w:val="single" w:sz="4" w:space="0" w:color="000000"/>
              <w:right w:val="single" w:sz="4" w:space="0" w:color="000000"/>
            </w:tcBorders>
          </w:tcPr>
          <w:p>
            <w:pPr>
              <w:pStyle w:val="TableParagraph"/>
              <w:spacing w:before="2"/>
              <w:ind w:left="4"/>
              <w:jc w:val="center"/>
              <w:rPr>
                <w:sz w:val="24"/>
              </w:rPr>
            </w:pPr>
            <w:r>
              <w:rPr>
                <w:sz w:val="24"/>
              </w:rPr>
              <w:t>7</w:t>
            </w:r>
          </w:p>
        </w:tc>
        <w:tc>
          <w:tcPr>
            <w:tcW w:w="605" w:type="dxa"/>
            <w:tcBorders>
              <w:left w:val="single" w:sz="4" w:space="0" w:color="000000"/>
              <w:bottom w:val="single" w:sz="4" w:space="0" w:color="000000"/>
              <w:right w:val="single" w:sz="4" w:space="0" w:color="000000"/>
            </w:tcBorders>
          </w:tcPr>
          <w:p>
            <w:pPr>
              <w:pStyle w:val="TableParagraph"/>
              <w:spacing w:before="2"/>
              <w:ind w:left="1"/>
              <w:jc w:val="center"/>
              <w:rPr>
                <w:sz w:val="24"/>
              </w:rPr>
            </w:pPr>
            <w:r>
              <w:rPr>
                <w:sz w:val="24"/>
              </w:rPr>
              <w:t>8</w:t>
            </w:r>
          </w:p>
        </w:tc>
        <w:tc>
          <w:tcPr>
            <w:tcW w:w="643"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9</w:t>
            </w:r>
          </w:p>
        </w:tc>
        <w:tc>
          <w:tcPr>
            <w:tcW w:w="566" w:type="dxa"/>
            <w:tcBorders>
              <w:left w:val="single" w:sz="4" w:space="0" w:color="000000"/>
              <w:bottom w:val="single" w:sz="4" w:space="0" w:color="000000"/>
              <w:right w:val="single" w:sz="4" w:space="0" w:color="000000"/>
            </w:tcBorders>
          </w:tcPr>
          <w:p>
            <w:pPr>
              <w:pStyle w:val="TableParagraph"/>
              <w:spacing w:before="2"/>
              <w:ind w:left="135" w:right="137"/>
              <w:jc w:val="center"/>
              <w:rPr>
                <w:sz w:val="24"/>
              </w:rPr>
            </w:pPr>
            <w:r>
              <w:rPr>
                <w:sz w:val="24"/>
              </w:rPr>
              <w:t>10</w:t>
            </w:r>
          </w:p>
        </w:tc>
        <w:tc>
          <w:tcPr>
            <w:tcW w:w="672" w:type="dxa"/>
            <w:tcBorders>
              <w:left w:val="single" w:sz="4" w:space="0" w:color="000000"/>
              <w:bottom w:val="single" w:sz="4" w:space="0" w:color="000000"/>
              <w:right w:val="single" w:sz="4" w:space="0" w:color="000000"/>
            </w:tcBorders>
          </w:tcPr>
          <w:p>
            <w:pPr>
              <w:pStyle w:val="TableParagraph"/>
              <w:spacing w:before="2"/>
              <w:ind w:left="188" w:right="191"/>
              <w:jc w:val="center"/>
              <w:rPr>
                <w:sz w:val="24"/>
              </w:rPr>
            </w:pPr>
            <w:r>
              <w:rPr>
                <w:sz w:val="24"/>
              </w:rPr>
              <w:t>11</w:t>
            </w:r>
          </w:p>
        </w:tc>
        <w:tc>
          <w:tcPr>
            <w:tcW w:w="614" w:type="dxa"/>
            <w:tcBorders>
              <w:left w:val="single" w:sz="4" w:space="0" w:color="000000"/>
              <w:bottom w:val="single" w:sz="4" w:space="0" w:color="000000"/>
              <w:right w:val="nil"/>
            </w:tcBorders>
          </w:tcPr>
          <w:p>
            <w:pPr>
              <w:pStyle w:val="TableParagraph"/>
              <w:spacing w:before="2"/>
              <w:ind w:left="153" w:right="159"/>
              <w:jc w:val="center"/>
              <w:rPr>
                <w:sz w:val="24"/>
              </w:rPr>
            </w:pPr>
            <w:r>
              <w:rPr>
                <w:sz w:val="24"/>
              </w:rPr>
              <w:t>12</w:t>
            </w:r>
          </w:p>
        </w:tc>
      </w:tr>
      <w:tr>
        <w:trPr>
          <w:trHeight w:val="326"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6"/>
              <w:ind w:left="1079" w:right="668"/>
              <w:rPr>
                <w:b/>
                <w:sz w:val="24"/>
              </w:rPr>
            </w:pPr>
            <w:r>
              <w:rPr>
                <w:b/>
                <w:sz w:val="24"/>
              </w:rPr>
              <w:t>Tiempo y cantidad de la alimentación por pastoreo</w:t>
            </w:r>
          </w:p>
        </w:tc>
      </w:tr>
      <w:tr>
        <w:trPr>
          <w:trHeight w:val="557" w:hRule="exact"/>
        </w:trPr>
        <w:tc>
          <w:tcPr>
            <w:tcW w:w="442" w:type="dxa"/>
            <w:vMerge w:val="restart"/>
            <w:tcBorders>
              <w:left w:val="nil"/>
              <w:right w:val="single" w:sz="4" w:space="0" w:color="000000"/>
            </w:tcBorders>
            <w:textDirection w:val="btLr"/>
          </w:tcPr>
          <w:p>
            <w:pPr>
              <w:pStyle w:val="TableParagraph"/>
              <w:spacing w:before="107"/>
              <w:ind w:left="466"/>
              <w:rPr>
                <w:sz w:val="24"/>
              </w:rPr>
            </w:pPr>
            <w:r>
              <w:rPr>
                <w:color w:val="00B050"/>
                <w:sz w:val="24"/>
              </w:rPr>
              <w:t>Pastura</w:t>
            </w:r>
          </w:p>
        </w:tc>
        <w:tc>
          <w:tcPr>
            <w:tcW w:w="3149" w:type="dxa"/>
            <w:gridSpan w:val="2"/>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Cantidad</w:t>
            </w:r>
          </w:p>
          <w:p>
            <w:pPr>
              <w:pStyle w:val="TableParagraph"/>
              <w:spacing w:before="4"/>
              <w:ind w:left="100"/>
              <w:rPr>
                <w:sz w:val="19"/>
              </w:rPr>
            </w:pPr>
            <w:r>
              <w:rPr>
                <w:w w:val="105"/>
                <w:sz w:val="19"/>
              </w:rPr>
              <w:t>(kg/vaca/día)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6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Porcentaje</w:t>
            </w:r>
          </w:p>
          <w:p>
            <w:pPr>
              <w:pStyle w:val="TableParagraph"/>
              <w:spacing w:before="4"/>
              <w:ind w:left="100"/>
              <w:rPr>
                <w:sz w:val="19"/>
              </w:rPr>
            </w:pPr>
            <w:r>
              <w:rPr>
                <w:w w:val="105"/>
                <w:sz w:val="19"/>
              </w:rPr>
              <w:t>(% total de alimento)</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7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right w:val="single" w:sz="4" w:space="0" w:color="000000"/>
            </w:tcBorders>
          </w:tcPr>
          <w:p>
            <w:pPr>
              <w:pStyle w:val="TableParagraph"/>
              <w:spacing w:before="21"/>
              <w:ind w:left="100"/>
              <w:rPr>
                <w:sz w:val="24"/>
              </w:rPr>
            </w:pPr>
            <w:r>
              <w:rPr>
                <w:sz w:val="24"/>
              </w:rPr>
              <w:t>Horas</w:t>
            </w:r>
          </w:p>
          <w:p>
            <w:pPr>
              <w:pStyle w:val="TableParagraph"/>
              <w:spacing w:before="4"/>
              <w:ind w:left="100"/>
              <w:rPr>
                <w:sz w:val="19"/>
              </w:rPr>
            </w:pPr>
            <w:r>
              <w:rPr>
                <w:w w:val="105"/>
                <w:sz w:val="19"/>
              </w:rPr>
              <w:t>(horas/día)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605"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1"/>
              <w:ind w:left="1443" w:right="668" w:hanging="774"/>
              <w:rPr>
                <w:b/>
                <w:sz w:val="24"/>
              </w:rPr>
            </w:pPr>
            <w:r>
              <w:rPr>
                <w:b/>
                <w:sz w:val="24"/>
              </w:rPr>
              <w:t>Cantidad de alimentación de forrajes, concentrados y otros suplementos (kg/vaca/día en Materia Seca)</w:t>
            </w:r>
          </w:p>
        </w:tc>
      </w:tr>
      <w:tr>
        <w:trPr>
          <w:trHeight w:val="461" w:hRule="exact"/>
        </w:trPr>
        <w:tc>
          <w:tcPr>
            <w:tcW w:w="442" w:type="dxa"/>
            <w:vMerge w:val="restart"/>
            <w:tcBorders>
              <w:left w:val="nil"/>
              <w:right w:val="single" w:sz="4" w:space="0" w:color="000000"/>
            </w:tcBorders>
          </w:tcPr>
          <w:p>
            <w:pPr/>
          </w:p>
        </w:tc>
        <w:tc>
          <w:tcPr>
            <w:tcW w:w="2645" w:type="dxa"/>
            <w:vMerge w:val="restart"/>
            <w:tcBorders>
              <w:left w:val="single" w:sz="4" w:space="0" w:color="000000"/>
              <w:right w:val="single" w:sz="4" w:space="0" w:color="000000"/>
            </w:tcBorders>
          </w:tcPr>
          <w:p>
            <w:pPr>
              <w:pStyle w:val="TableParagraph"/>
              <w:spacing w:before="213"/>
              <w:ind w:left="668" w:right="84" w:hanging="571"/>
              <w:rPr>
                <w:sz w:val="24"/>
              </w:rPr>
            </w:pPr>
            <w:r>
              <w:rPr>
                <w:sz w:val="24"/>
              </w:rPr>
              <w:t>Nombre y descripción de los alimentos</w:t>
            </w:r>
          </w:p>
        </w:tc>
        <w:tc>
          <w:tcPr>
            <w:tcW w:w="504" w:type="dxa"/>
            <w:vMerge w:val="restart"/>
            <w:tcBorders>
              <w:left w:val="single" w:sz="4" w:space="0" w:color="000000"/>
            </w:tcBorders>
            <w:textDirection w:val="btLr"/>
          </w:tcPr>
          <w:p>
            <w:pPr>
              <w:pStyle w:val="TableParagraph"/>
              <w:spacing w:line="254" w:lineRule="auto" w:before="6"/>
              <w:ind w:left="49" w:right="56" w:firstLine="18"/>
              <w:rPr>
                <w:rFonts w:ascii="Arial" w:hAnsi="Arial"/>
                <w:sz w:val="17"/>
              </w:rPr>
            </w:pPr>
            <w:r>
              <w:rPr>
                <w:spacing w:val="1"/>
                <w:w w:val="104"/>
                <w:sz w:val="17"/>
              </w:rPr>
              <w:t>Comp</w:t>
            </w:r>
            <w:r>
              <w:rPr>
                <w:w w:val="104"/>
                <w:sz w:val="17"/>
              </w:rPr>
              <w:t>r</w:t>
            </w:r>
            <w:r>
              <w:rPr>
                <w:spacing w:val="1"/>
                <w:w w:val="104"/>
                <w:sz w:val="17"/>
              </w:rPr>
              <w:t>ado? S</w:t>
            </w:r>
            <w:r>
              <w:rPr>
                <w:w w:val="104"/>
                <w:sz w:val="17"/>
              </w:rPr>
              <w:t>I</w:t>
            </w:r>
            <w:r>
              <w:rPr>
                <w:spacing w:val="2"/>
                <w:sz w:val="17"/>
              </w:rPr>
              <w:t> </w:t>
            </w:r>
            <w:r>
              <w:rPr>
                <w:rFonts w:ascii="Arial" w:hAnsi="Arial"/>
                <w:w w:val="279"/>
                <w:sz w:val="17"/>
              </w:rPr>
              <w:t>¨</w:t>
            </w:r>
            <w:r>
              <w:rPr>
                <w:rFonts w:ascii="Arial" w:hAnsi="Arial"/>
                <w:sz w:val="17"/>
              </w:rPr>
              <w:t>  </w:t>
            </w:r>
            <w:r>
              <w:rPr>
                <w:rFonts w:ascii="Arial" w:hAnsi="Arial"/>
                <w:spacing w:val="-18"/>
                <w:sz w:val="17"/>
              </w:rPr>
              <w:t> </w:t>
            </w:r>
            <w:r>
              <w:rPr>
                <w:spacing w:val="1"/>
                <w:w w:val="104"/>
                <w:sz w:val="17"/>
              </w:rPr>
              <w:t>N</w:t>
            </w:r>
            <w:r>
              <w:rPr>
                <w:w w:val="104"/>
                <w:sz w:val="17"/>
              </w:rPr>
              <w:t>O</w:t>
            </w:r>
            <w:r>
              <w:rPr>
                <w:spacing w:val="3"/>
                <w:sz w:val="17"/>
              </w:rPr>
              <w:t> </w:t>
            </w:r>
            <w:r>
              <w:rPr>
                <w:rFonts w:ascii="Arial" w:hAnsi="Arial"/>
                <w:w w:val="279"/>
                <w:sz w:val="17"/>
              </w:rPr>
              <w:t>¨</w:t>
            </w:r>
          </w:p>
        </w:tc>
        <w:tc>
          <w:tcPr>
            <w:tcW w:w="7262" w:type="dxa"/>
            <w:gridSpan w:val="12"/>
            <w:tcBorders>
              <w:top w:val="single" w:sz="4" w:space="0" w:color="000000"/>
              <w:bottom w:val="single" w:sz="4" w:space="0" w:color="000000"/>
              <w:right w:val="nil"/>
            </w:tcBorders>
          </w:tcPr>
          <w:p>
            <w:pPr>
              <w:pStyle w:val="TableParagraph"/>
              <w:spacing w:before="93"/>
              <w:ind w:left="3353" w:right="3368"/>
              <w:jc w:val="center"/>
              <w:rPr>
                <w:sz w:val="24"/>
              </w:rPr>
            </w:pPr>
            <w:r>
              <w:rPr>
                <w:sz w:val="24"/>
              </w:rPr>
              <w:t>2011</w:t>
            </w:r>
          </w:p>
        </w:tc>
      </w:tr>
      <w:tr>
        <w:trPr>
          <w:trHeight w:val="566" w:hRule="exact"/>
        </w:trPr>
        <w:tc>
          <w:tcPr>
            <w:tcW w:w="442" w:type="dxa"/>
            <w:vMerge/>
            <w:tcBorders>
              <w:left w:val="nil"/>
              <w:right w:val="single" w:sz="4" w:space="0" w:color="000000"/>
            </w:tcBorders>
          </w:tcPr>
          <w:p>
            <w:pPr/>
          </w:p>
        </w:tc>
        <w:tc>
          <w:tcPr>
            <w:tcW w:w="2645" w:type="dxa"/>
            <w:vMerge/>
            <w:tcBorders>
              <w:left w:val="single" w:sz="4" w:space="0" w:color="000000"/>
              <w:right w:val="single" w:sz="4" w:space="0" w:color="000000"/>
            </w:tcBorders>
          </w:tcPr>
          <w:p>
            <w:pPr/>
          </w:p>
        </w:tc>
        <w:tc>
          <w:tcPr>
            <w:tcW w:w="504" w:type="dxa"/>
            <w:vMerge/>
            <w:tcBorders>
              <w:left w:val="single" w:sz="4" w:space="0" w:color="000000"/>
            </w:tcBorders>
            <w:textDirection w:val="btLr"/>
          </w:tcPr>
          <w:p>
            <w:pPr/>
          </w:p>
        </w:tc>
        <w:tc>
          <w:tcPr>
            <w:tcW w:w="595" w:type="dxa"/>
            <w:tcBorders>
              <w:top w:val="single" w:sz="4" w:space="0" w:color="000000"/>
              <w:bottom w:val="single" w:sz="4" w:space="0" w:color="000000"/>
              <w:right w:val="single" w:sz="4" w:space="0" w:color="000000"/>
            </w:tcBorders>
          </w:tcPr>
          <w:p>
            <w:pPr>
              <w:pStyle w:val="TableParagraph"/>
              <w:spacing w:before="131"/>
              <w:ind w:right="13"/>
              <w:jc w:val="center"/>
              <w:rPr>
                <w:sz w:val="24"/>
              </w:rPr>
            </w:pPr>
            <w:r>
              <w:rPr>
                <w:sz w:val="24"/>
              </w:rPr>
              <w:t>1</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2</w:t>
            </w:r>
          </w:p>
        </w:tc>
        <w:tc>
          <w:tcPr>
            <w:tcW w:w="528" w:type="dxa"/>
            <w:tcBorders>
              <w:top w:val="single" w:sz="4" w:space="0" w:color="000000"/>
              <w:left w:val="single" w:sz="4" w:space="0" w:color="000000"/>
              <w:bottom w:val="single" w:sz="4" w:space="0" w:color="000000"/>
              <w:right w:val="single" w:sz="4" w:space="0" w:color="000000"/>
            </w:tcBorders>
          </w:tcPr>
          <w:p>
            <w:pPr>
              <w:pStyle w:val="TableParagraph"/>
              <w:spacing w:before="131"/>
              <w:ind w:left="3"/>
              <w:jc w:val="center"/>
              <w:rPr>
                <w:sz w:val="24"/>
              </w:rPr>
            </w:pPr>
            <w:r>
              <w:rPr>
                <w:sz w:val="24"/>
              </w:rPr>
              <w:t>3</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2"/>
              <w:jc w:val="center"/>
              <w:rPr>
                <w:sz w:val="24"/>
              </w:rPr>
            </w:pPr>
            <w:r>
              <w:rPr>
                <w:sz w:val="24"/>
              </w:rPr>
              <w:t>6</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before="131"/>
              <w:ind w:left="4"/>
              <w:jc w:val="center"/>
              <w:rPr>
                <w:sz w:val="24"/>
              </w:rPr>
            </w:pPr>
            <w:r>
              <w:rPr>
                <w:sz w:val="24"/>
              </w:rPr>
              <w:t>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131"/>
              <w:ind w:right="3"/>
              <w:jc w:val="center"/>
              <w:rPr>
                <w:sz w:val="24"/>
              </w:rPr>
            </w:pPr>
            <w:r>
              <w:rPr>
                <w:sz w:val="24"/>
              </w:rPr>
              <w:t>8</w:t>
            </w:r>
          </w:p>
        </w:tc>
        <w:tc>
          <w:tcPr>
            <w:tcW w:w="643"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9</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left="135" w:right="137"/>
              <w:jc w:val="center"/>
              <w:rPr>
                <w:sz w:val="24"/>
              </w:rPr>
            </w:pPr>
            <w:r>
              <w:rPr>
                <w:sz w:val="24"/>
              </w:rPr>
              <w:t>10</w:t>
            </w:r>
          </w:p>
        </w:tc>
        <w:tc>
          <w:tcPr>
            <w:tcW w:w="672" w:type="dxa"/>
            <w:tcBorders>
              <w:top w:val="single" w:sz="4" w:space="0" w:color="000000"/>
              <w:left w:val="single" w:sz="4" w:space="0" w:color="000000"/>
              <w:bottom w:val="single" w:sz="4" w:space="0" w:color="000000"/>
              <w:right w:val="single" w:sz="4" w:space="0" w:color="000000"/>
            </w:tcBorders>
          </w:tcPr>
          <w:p>
            <w:pPr>
              <w:pStyle w:val="TableParagraph"/>
              <w:spacing w:before="131"/>
              <w:ind w:left="188" w:right="191"/>
              <w:jc w:val="center"/>
              <w:rPr>
                <w:sz w:val="24"/>
              </w:rPr>
            </w:pPr>
            <w:r>
              <w:rPr>
                <w:sz w:val="24"/>
              </w:rPr>
              <w:t>11</w:t>
            </w:r>
          </w:p>
        </w:tc>
        <w:tc>
          <w:tcPr>
            <w:tcW w:w="614" w:type="dxa"/>
            <w:tcBorders>
              <w:top w:val="single" w:sz="4" w:space="0" w:color="000000"/>
              <w:left w:val="single" w:sz="4" w:space="0" w:color="000000"/>
              <w:bottom w:val="single" w:sz="4" w:space="0" w:color="000000"/>
              <w:right w:val="nil"/>
            </w:tcBorders>
          </w:tcPr>
          <w:p>
            <w:pPr>
              <w:pStyle w:val="TableParagraph"/>
              <w:spacing w:before="131"/>
              <w:ind w:left="146" w:right="166"/>
              <w:jc w:val="center"/>
              <w:rPr>
                <w:sz w:val="24"/>
              </w:rPr>
            </w:pPr>
            <w:r>
              <w:rPr>
                <w:sz w:val="24"/>
              </w:rPr>
              <w:t>12</w:t>
            </w:r>
          </w:p>
        </w:tc>
      </w:tr>
      <w:tr>
        <w:trPr>
          <w:trHeight w:val="610" w:hRule="exact"/>
        </w:trPr>
        <w:tc>
          <w:tcPr>
            <w:tcW w:w="442" w:type="dxa"/>
            <w:vMerge w:val="restart"/>
            <w:tcBorders>
              <w:left w:val="nil"/>
              <w:right w:val="single" w:sz="4" w:space="0" w:color="000000"/>
            </w:tcBorders>
            <w:textDirection w:val="btLr"/>
          </w:tcPr>
          <w:p>
            <w:pPr>
              <w:pStyle w:val="TableParagraph"/>
              <w:spacing w:before="107"/>
              <w:ind w:left="183"/>
              <w:rPr>
                <w:sz w:val="24"/>
              </w:rPr>
            </w:pPr>
            <w:r>
              <w:rPr>
                <w:color w:val="FF0000"/>
                <w:sz w:val="24"/>
              </w:rPr>
              <w:t>Concentrado</w:t>
            </w:r>
          </w:p>
        </w:tc>
        <w:tc>
          <w:tcPr>
            <w:tcW w:w="2645" w:type="dxa"/>
            <w:tcBorders>
              <w:left w:val="single" w:sz="4" w:space="0" w:color="000000"/>
              <w:bottom w:val="single" w:sz="4" w:space="0" w:color="000000"/>
              <w:right w:val="single" w:sz="4" w:space="0" w:color="000000"/>
            </w:tcBorders>
          </w:tcPr>
          <w:p>
            <w:pPr>
              <w:pStyle w:val="TableParagraph"/>
              <w:tabs>
                <w:tab w:pos="2235" w:val="left" w:leader="none"/>
              </w:tabs>
              <w:spacing w:before="6"/>
              <w:ind w:left="100" w:right="324"/>
              <w:rPr>
                <w:sz w:val="24"/>
              </w:rPr>
            </w:pPr>
            <w:r>
              <w:rPr>
                <w:sz w:val="24"/>
              </w:rPr>
              <w:t>Comercial [</w:t>
              <w:tab/>
              <w:t>] (proporción)</w:t>
            </w:r>
          </w:p>
        </w:tc>
        <w:tc>
          <w:tcPr>
            <w:tcW w:w="504" w:type="dxa"/>
            <w:tcBorders>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1271" w:right="1271"/>
              <w:jc w:val="center"/>
              <w:rPr>
                <w:sz w:val="24"/>
              </w:rPr>
            </w:pPr>
            <w:r>
              <w:rPr>
                <w:color w:val="0070C0"/>
                <w:sz w:val="24"/>
              </w:rPr>
              <w:t>Forraje</w:t>
            </w:r>
          </w:p>
        </w:tc>
        <w:tc>
          <w:tcPr>
            <w:tcW w:w="2645" w:type="dxa"/>
            <w:tcBorders>
              <w:left w:val="single" w:sz="4" w:space="0" w:color="000000"/>
              <w:bottom w:val="single" w:sz="4" w:space="0" w:color="000000"/>
              <w:right w:val="single" w:sz="4" w:space="0" w:color="000000"/>
            </w:tcBorders>
          </w:tcPr>
          <w:p>
            <w:pPr>
              <w:pStyle w:val="TableParagraph"/>
              <w:spacing w:before="6"/>
              <w:ind w:left="100"/>
              <w:rPr>
                <w:sz w:val="24"/>
              </w:rPr>
            </w:pPr>
            <w:r>
              <w:rPr>
                <w:sz w:val="24"/>
              </w:rPr>
              <w:t>Alfalfa (</w:t>
            </w:r>
            <w:r>
              <w:rPr>
                <w:i/>
                <w:sz w:val="24"/>
              </w:rPr>
              <w:t>Medicago sativa</w:t>
            </w:r>
            <w:r>
              <w:rPr>
                <w:sz w:val="24"/>
              </w:rPr>
              <w:t>)</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412"/>
              <w:rPr>
                <w:sz w:val="24"/>
              </w:rPr>
            </w:pPr>
            <w:r>
              <w:rPr>
                <w:sz w:val="24"/>
              </w:rPr>
              <w:t>Ensilado de maíz (</w:t>
            </w:r>
            <w:r>
              <w:rPr>
                <w:i/>
                <w:sz w:val="24"/>
              </w:rPr>
              <w:t>Zea </w:t>
            </w:r>
            <w:r>
              <w:rPr>
                <w:i/>
                <w:sz w:val="24"/>
              </w:rPr>
              <w:t>mays</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Maíz picado</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321"/>
              <w:rPr>
                <w:sz w:val="24"/>
              </w:rPr>
            </w:pPr>
            <w:r>
              <w:rPr>
                <w:sz w:val="24"/>
              </w:rPr>
              <w:t>Heno de avena (</w:t>
            </w:r>
            <w:r>
              <w:rPr>
                <w:i/>
                <w:sz w:val="24"/>
              </w:rPr>
              <w:t>Avena </w:t>
            </w:r>
            <w:r>
              <w:rPr>
                <w:i/>
                <w:sz w:val="24"/>
              </w:rPr>
              <w:t>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6"/>
              <w:ind w:left="100" w:right="84"/>
              <w:rPr>
                <w:sz w:val="24"/>
              </w:rPr>
            </w:pPr>
            <w:r>
              <w:rPr>
                <w:sz w:val="24"/>
              </w:rPr>
              <w:t>Ebo (</w:t>
            </w:r>
            <w:r>
              <w:rPr>
                <w:i/>
                <w:sz w:val="24"/>
              </w:rPr>
              <w:t>Vicia 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Style w:val="TableParagraph"/>
              <w:spacing w:before="2"/>
              <w:ind w:left="100" w:right="84"/>
              <w:rPr>
                <w:sz w:val="24"/>
              </w:rPr>
            </w:pPr>
            <w:r>
              <w:rPr>
                <w:sz w:val="24"/>
              </w:rPr>
              <w:t>Rastrojo de maíz</w:t>
            </w: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222"/>
              <w:rPr>
                <w:sz w:val="24"/>
              </w:rPr>
            </w:pPr>
            <w:r>
              <w:rPr>
                <w:color w:val="E36C0A"/>
                <w:sz w:val="24"/>
              </w:rPr>
              <w:t>Vitaminas y minerales</w:t>
            </w:r>
          </w:p>
        </w:tc>
        <w:tc>
          <w:tcPr>
            <w:tcW w:w="2645" w:type="dxa"/>
            <w:tcBorders>
              <w:left w:val="single" w:sz="4" w:space="0" w:color="000000"/>
              <w:bottom w:val="single" w:sz="4" w:space="0" w:color="000000"/>
              <w:right w:val="single" w:sz="4" w:space="0" w:color="000000"/>
            </w:tcBorders>
          </w:tcPr>
          <w:p>
            <w:pPr>
              <w:pStyle w:val="TableParagraph"/>
              <w:spacing w:before="2"/>
              <w:ind w:left="100" w:right="84"/>
              <w:rPr>
                <w:sz w:val="24"/>
              </w:rPr>
            </w:pPr>
            <w:r>
              <w:rPr>
                <w:sz w:val="24"/>
              </w:rPr>
              <w:t>Suplementos minerales</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Sal</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bl>
    <w:p>
      <w:pPr>
        <w:spacing w:after="0"/>
        <w:sectPr>
          <w:headerReference w:type="default" r:id="rId257"/>
          <w:footerReference w:type="default" r:id="rId258"/>
          <w:pgSz w:w="12240" w:h="15840"/>
          <w:pgMar w:header="0" w:footer="564" w:top="660" w:bottom="760" w:left="580" w:right="540"/>
          <w:pgNumType w:start="176"/>
        </w:sectPr>
      </w:pPr>
    </w:p>
    <w:p>
      <w:pPr>
        <w:spacing w:line="169" w:lineRule="exact" w:before="56"/>
        <w:ind w:left="0" w:right="127" w:firstLine="0"/>
        <w:jc w:val="right"/>
        <w:rPr>
          <w:rFonts w:ascii="Calibri" w:hAnsi="Calibri"/>
          <w:b/>
          <w:i/>
          <w:sz w:val="14"/>
        </w:rPr>
      </w:pPr>
      <w:r>
        <w:rPr/>
        <w:pict>
          <v:group style="position:absolute;margin-left:29.982389pt;margin-top:34.302399pt;width:553pt;height:732.75pt;mso-position-horizontal-relative:page;mso-position-vertical-relative:page;z-index:-305824"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hAnsi="Calibri"/>
          <w:b/>
          <w:i/>
          <w:sz w:val="14"/>
        </w:rPr>
        <w:t>Estimación de las emisiones en bovinos en los sistema de producción lechera en pequeña escala</w:t>
      </w:r>
    </w:p>
    <w:p>
      <w:pPr>
        <w:spacing w:line="169" w:lineRule="exact" w:before="0"/>
        <w:ind w:left="0" w:right="126" w:firstLine="0"/>
        <w:jc w:val="right"/>
        <w:rPr>
          <w:rFonts w:ascii="Calibri" w:hAnsi="Calibri"/>
          <w:b/>
          <w:i/>
          <w:sz w:val="14"/>
        </w:rPr>
      </w:pPr>
      <w:r>
        <w:rPr>
          <w:rFonts w:ascii="Calibri" w:hAnsi="Calibri"/>
          <w:b/>
          <w:i/>
          <w:sz w:val="14"/>
        </w:rPr>
        <w:t>a través del factor de conversión de metano</w:t>
      </w:r>
    </w:p>
    <w:p>
      <w:pPr>
        <w:spacing w:before="2" w:after="6"/>
        <w:ind w:left="0" w:right="127" w:firstLine="0"/>
        <w:jc w:val="right"/>
        <w:rPr>
          <w:rFonts w:ascii="Calibri" w:hAnsi="Calibri"/>
          <w:b/>
          <w:i/>
          <w:sz w:val="14"/>
        </w:rPr>
      </w:pPr>
      <w:r>
        <w:rPr>
          <w:rFonts w:ascii="Calibri" w:hAnsi="Calibri"/>
          <w:b/>
          <w:i/>
          <w:sz w:val="14"/>
        </w:rPr>
        <w:t>M. en E. S. Noé Zúñiga-González</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621"/>
        <w:gridCol w:w="970"/>
        <w:gridCol w:w="595"/>
        <w:gridCol w:w="701"/>
        <w:gridCol w:w="528"/>
        <w:gridCol w:w="610"/>
        <w:gridCol w:w="566"/>
        <w:gridCol w:w="566"/>
        <w:gridCol w:w="595"/>
        <w:gridCol w:w="605"/>
        <w:gridCol w:w="643"/>
        <w:gridCol w:w="566"/>
        <w:gridCol w:w="672"/>
        <w:gridCol w:w="614"/>
      </w:tblGrid>
      <w:tr>
        <w:trPr>
          <w:trHeight w:val="470" w:hRule="exact"/>
        </w:trPr>
        <w:tc>
          <w:tcPr>
            <w:tcW w:w="2621" w:type="dxa"/>
            <w:tcBorders>
              <w:left w:val="nil"/>
              <w:right w:val="single" w:sz="4" w:space="0" w:color="000000"/>
            </w:tcBorders>
            <w:shd w:val="clear" w:color="auto" w:fill="943634"/>
          </w:tcPr>
          <w:p>
            <w:pPr>
              <w:pStyle w:val="TableParagraph"/>
              <w:spacing w:before="74"/>
              <w:ind w:left="105"/>
              <w:rPr>
                <w:sz w:val="24"/>
              </w:rPr>
            </w:pPr>
            <w:r>
              <w:rPr>
                <w:color w:val="FFFFFF"/>
                <w:sz w:val="24"/>
              </w:rPr>
              <w:t>Grupo de alimentación:</w:t>
            </w:r>
          </w:p>
        </w:tc>
        <w:tc>
          <w:tcPr>
            <w:tcW w:w="8232" w:type="dxa"/>
            <w:gridSpan w:val="13"/>
            <w:tcBorders>
              <w:left w:val="single" w:sz="4" w:space="0" w:color="000000"/>
              <w:bottom w:val="single" w:sz="29" w:space="0" w:color="000000"/>
              <w:right w:val="single" w:sz="4" w:space="0" w:color="000000"/>
            </w:tcBorders>
            <w:shd w:val="clear" w:color="auto" w:fill="943634"/>
          </w:tcPr>
          <w:p>
            <w:pPr>
              <w:pStyle w:val="TableParagraph"/>
              <w:spacing w:before="74"/>
              <w:ind w:left="100"/>
              <w:rPr>
                <w:sz w:val="24"/>
              </w:rPr>
            </w:pPr>
            <w:r>
              <w:rPr>
                <w:b/>
                <w:color w:val="FFFFFF"/>
                <w:sz w:val="24"/>
              </w:rPr>
              <w:t>TERNERAS. </w:t>
            </w:r>
            <w:r>
              <w:rPr>
                <w:color w:val="FFFFFF"/>
                <w:sz w:val="24"/>
              </w:rPr>
              <w:t>De destete a 1ª. Inseminación (60 a 365 días) o cuando pesa 350 kg.</w:t>
            </w:r>
          </w:p>
        </w:tc>
      </w:tr>
      <w:tr>
        <w:trPr>
          <w:trHeight w:val="427" w:hRule="exact"/>
        </w:trPr>
        <w:tc>
          <w:tcPr>
            <w:tcW w:w="3590" w:type="dxa"/>
            <w:gridSpan w:val="2"/>
            <w:tcBorders>
              <w:left w:val="nil"/>
            </w:tcBorders>
          </w:tcPr>
          <w:p>
            <w:pPr>
              <w:pStyle w:val="TableParagraph"/>
              <w:spacing w:before="54"/>
              <w:ind w:left="1180"/>
              <w:rPr>
                <w:b/>
                <w:sz w:val="24"/>
              </w:rPr>
            </w:pPr>
            <w:r>
              <w:rPr>
                <w:sz w:val="24"/>
              </w:rPr>
              <w:t>Número de animales </w:t>
            </w:r>
            <w:r>
              <w:rPr>
                <w:b/>
                <w:sz w:val="24"/>
              </w:rPr>
              <w:t>→</w:t>
            </w:r>
          </w:p>
        </w:tc>
        <w:tc>
          <w:tcPr>
            <w:tcW w:w="595" w:type="dxa"/>
            <w:tcBorders>
              <w:right w:val="single" w:sz="4" w:space="0" w:color="000000"/>
            </w:tcBorders>
          </w:tcPr>
          <w:p>
            <w:pPr/>
          </w:p>
        </w:tc>
        <w:tc>
          <w:tcPr>
            <w:tcW w:w="701" w:type="dxa"/>
            <w:tcBorders>
              <w:left w:val="single" w:sz="4" w:space="0" w:color="000000"/>
              <w:right w:val="single" w:sz="4" w:space="0" w:color="000000"/>
            </w:tcBorders>
          </w:tcPr>
          <w:p>
            <w:pPr/>
          </w:p>
        </w:tc>
        <w:tc>
          <w:tcPr>
            <w:tcW w:w="528" w:type="dxa"/>
            <w:tcBorders>
              <w:left w:val="single" w:sz="4" w:space="0" w:color="000000"/>
              <w:right w:val="single" w:sz="4" w:space="0" w:color="000000"/>
            </w:tcBorders>
          </w:tcPr>
          <w:p>
            <w:pPr/>
          </w:p>
        </w:tc>
        <w:tc>
          <w:tcPr>
            <w:tcW w:w="610"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95" w:type="dxa"/>
            <w:tcBorders>
              <w:left w:val="single" w:sz="4" w:space="0" w:color="000000"/>
              <w:right w:val="single" w:sz="4" w:space="0" w:color="000000"/>
            </w:tcBorders>
          </w:tcPr>
          <w:p>
            <w:pPr/>
          </w:p>
        </w:tc>
        <w:tc>
          <w:tcPr>
            <w:tcW w:w="605" w:type="dxa"/>
            <w:tcBorders>
              <w:left w:val="single" w:sz="4" w:space="0" w:color="000000"/>
              <w:right w:val="single" w:sz="4" w:space="0" w:color="000000"/>
            </w:tcBorders>
          </w:tcPr>
          <w:p>
            <w:pPr/>
          </w:p>
        </w:tc>
        <w:tc>
          <w:tcPr>
            <w:tcW w:w="643"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672" w:type="dxa"/>
            <w:tcBorders>
              <w:left w:val="single" w:sz="4" w:space="0" w:color="000000"/>
              <w:right w:val="single" w:sz="4" w:space="0" w:color="000000"/>
            </w:tcBorders>
          </w:tcPr>
          <w:p>
            <w:pPr/>
          </w:p>
        </w:tc>
        <w:tc>
          <w:tcPr>
            <w:tcW w:w="614" w:type="dxa"/>
            <w:tcBorders>
              <w:left w:val="single" w:sz="4" w:space="0" w:color="000000"/>
              <w:right w:val="nil"/>
            </w:tcBorders>
          </w:tcPr>
          <w:p>
            <w:pPr/>
          </w:p>
        </w:tc>
      </w:tr>
      <w:tr>
        <w:trPr>
          <w:trHeight w:val="235" w:hRule="exact"/>
        </w:trPr>
        <w:tc>
          <w:tcPr>
            <w:tcW w:w="3590" w:type="dxa"/>
            <w:gridSpan w:val="2"/>
            <w:tcBorders>
              <w:left w:val="nil"/>
              <w:bottom w:val="nil"/>
            </w:tcBorders>
          </w:tcPr>
          <w:p>
            <w:pPr/>
          </w:p>
        </w:tc>
        <w:tc>
          <w:tcPr>
            <w:tcW w:w="7262" w:type="dxa"/>
            <w:gridSpan w:val="12"/>
            <w:tcBorders>
              <w:bottom w:val="nil"/>
              <w:right w:val="nil"/>
            </w:tcBorders>
          </w:tcPr>
          <w:p>
            <w:pPr>
              <w:pStyle w:val="TableParagraph"/>
              <w:spacing w:line="259" w:lineRule="exact" w:before="2"/>
              <w:ind w:left="3353" w:right="3368"/>
              <w:jc w:val="center"/>
              <w:rPr>
                <w:sz w:val="24"/>
              </w:rPr>
            </w:pPr>
            <w:r>
              <w:rPr>
                <w:sz w:val="24"/>
              </w:rPr>
              <w:t>2011</w:t>
            </w:r>
          </w:p>
        </w:tc>
      </w:tr>
    </w:tbl>
    <w:p>
      <w:pPr>
        <w:pStyle w:val="BodyText"/>
        <w:spacing w:before="6"/>
        <w:rPr>
          <w:rFonts w:ascii="Calibri"/>
          <w:b/>
          <w:i/>
          <w:sz w:val="5"/>
        </w:rPr>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2"/>
        <w:gridCol w:w="2645"/>
        <w:gridCol w:w="504"/>
        <w:gridCol w:w="595"/>
        <w:gridCol w:w="701"/>
        <w:gridCol w:w="528"/>
        <w:gridCol w:w="610"/>
        <w:gridCol w:w="566"/>
        <w:gridCol w:w="566"/>
        <w:gridCol w:w="595"/>
        <w:gridCol w:w="605"/>
        <w:gridCol w:w="643"/>
        <w:gridCol w:w="566"/>
        <w:gridCol w:w="672"/>
        <w:gridCol w:w="614"/>
      </w:tblGrid>
      <w:tr>
        <w:trPr>
          <w:trHeight w:val="322" w:hRule="exact"/>
        </w:trPr>
        <w:tc>
          <w:tcPr>
            <w:tcW w:w="3590" w:type="dxa"/>
            <w:gridSpan w:val="3"/>
            <w:tcBorders>
              <w:left w:val="nil"/>
            </w:tcBorders>
          </w:tcPr>
          <w:p>
            <w:pPr>
              <w:pStyle w:val="TableParagraph"/>
              <w:spacing w:before="2"/>
              <w:ind w:left="1799"/>
              <w:rPr>
                <w:b/>
                <w:sz w:val="24"/>
              </w:rPr>
            </w:pPr>
            <w:r>
              <w:rPr>
                <w:sz w:val="24"/>
              </w:rPr>
              <w:t>Meses del año </w:t>
            </w:r>
            <w:r>
              <w:rPr>
                <w:b/>
                <w:sz w:val="24"/>
              </w:rPr>
              <w:t>→</w:t>
            </w:r>
          </w:p>
        </w:tc>
        <w:tc>
          <w:tcPr>
            <w:tcW w:w="595" w:type="dxa"/>
            <w:tcBorders>
              <w:bottom w:val="single" w:sz="4" w:space="0" w:color="000000"/>
              <w:right w:val="single" w:sz="4" w:space="0" w:color="000000"/>
            </w:tcBorders>
          </w:tcPr>
          <w:p>
            <w:pPr>
              <w:pStyle w:val="TableParagraph"/>
              <w:spacing w:before="2"/>
              <w:ind w:right="13"/>
              <w:jc w:val="center"/>
              <w:rPr>
                <w:sz w:val="24"/>
              </w:rPr>
            </w:pPr>
            <w:r>
              <w:rPr>
                <w:sz w:val="24"/>
              </w:rPr>
              <w:t>1</w:t>
            </w:r>
          </w:p>
        </w:tc>
        <w:tc>
          <w:tcPr>
            <w:tcW w:w="701"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2</w:t>
            </w:r>
          </w:p>
        </w:tc>
        <w:tc>
          <w:tcPr>
            <w:tcW w:w="528" w:type="dxa"/>
            <w:tcBorders>
              <w:left w:val="single" w:sz="4" w:space="0" w:color="000000"/>
              <w:bottom w:val="single" w:sz="4" w:space="0" w:color="000000"/>
              <w:right w:val="single" w:sz="4" w:space="0" w:color="000000"/>
            </w:tcBorders>
          </w:tcPr>
          <w:p>
            <w:pPr>
              <w:pStyle w:val="TableParagraph"/>
              <w:spacing w:before="2"/>
              <w:ind w:left="3"/>
              <w:jc w:val="center"/>
              <w:rPr>
                <w:sz w:val="24"/>
              </w:rPr>
            </w:pPr>
            <w:r>
              <w:rPr>
                <w:sz w:val="24"/>
              </w:rPr>
              <w:t>3</w:t>
            </w:r>
          </w:p>
        </w:tc>
        <w:tc>
          <w:tcPr>
            <w:tcW w:w="610" w:type="dxa"/>
            <w:tcBorders>
              <w:left w:val="single" w:sz="4" w:space="0" w:color="000000"/>
              <w:bottom w:val="single" w:sz="4" w:space="0" w:color="000000"/>
              <w:right w:val="single" w:sz="4" w:space="0" w:color="000000"/>
            </w:tcBorders>
          </w:tcPr>
          <w:p>
            <w:pPr>
              <w:pStyle w:val="TableParagraph"/>
              <w:spacing w:before="2"/>
              <w:ind w:right="4"/>
              <w:jc w:val="center"/>
              <w:rPr>
                <w:sz w:val="24"/>
              </w:rPr>
            </w:pPr>
            <w:r>
              <w:rPr>
                <w:sz w:val="24"/>
              </w:rPr>
              <w:t>4</w:t>
            </w:r>
          </w:p>
        </w:tc>
        <w:tc>
          <w:tcPr>
            <w:tcW w:w="566"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5</w:t>
            </w:r>
          </w:p>
        </w:tc>
        <w:tc>
          <w:tcPr>
            <w:tcW w:w="566" w:type="dxa"/>
            <w:tcBorders>
              <w:left w:val="single" w:sz="4" w:space="0" w:color="000000"/>
              <w:bottom w:val="single" w:sz="4" w:space="0" w:color="000000"/>
              <w:right w:val="single" w:sz="4" w:space="0" w:color="000000"/>
            </w:tcBorders>
          </w:tcPr>
          <w:p>
            <w:pPr>
              <w:pStyle w:val="TableParagraph"/>
              <w:spacing w:before="2"/>
              <w:ind w:right="2"/>
              <w:jc w:val="center"/>
              <w:rPr>
                <w:sz w:val="24"/>
              </w:rPr>
            </w:pPr>
            <w:r>
              <w:rPr>
                <w:sz w:val="24"/>
              </w:rPr>
              <w:t>6</w:t>
            </w:r>
          </w:p>
        </w:tc>
        <w:tc>
          <w:tcPr>
            <w:tcW w:w="595" w:type="dxa"/>
            <w:tcBorders>
              <w:left w:val="single" w:sz="4" w:space="0" w:color="000000"/>
              <w:bottom w:val="single" w:sz="4" w:space="0" w:color="000000"/>
              <w:right w:val="single" w:sz="4" w:space="0" w:color="000000"/>
            </w:tcBorders>
          </w:tcPr>
          <w:p>
            <w:pPr>
              <w:pStyle w:val="TableParagraph"/>
              <w:spacing w:before="2"/>
              <w:ind w:left="4"/>
              <w:jc w:val="center"/>
              <w:rPr>
                <w:sz w:val="24"/>
              </w:rPr>
            </w:pPr>
            <w:r>
              <w:rPr>
                <w:sz w:val="24"/>
              </w:rPr>
              <w:t>7</w:t>
            </w:r>
          </w:p>
        </w:tc>
        <w:tc>
          <w:tcPr>
            <w:tcW w:w="605" w:type="dxa"/>
            <w:tcBorders>
              <w:left w:val="single" w:sz="4" w:space="0" w:color="000000"/>
              <w:bottom w:val="single" w:sz="4" w:space="0" w:color="000000"/>
              <w:right w:val="single" w:sz="4" w:space="0" w:color="000000"/>
            </w:tcBorders>
          </w:tcPr>
          <w:p>
            <w:pPr>
              <w:pStyle w:val="TableParagraph"/>
              <w:spacing w:before="2"/>
              <w:ind w:left="1"/>
              <w:jc w:val="center"/>
              <w:rPr>
                <w:sz w:val="24"/>
              </w:rPr>
            </w:pPr>
            <w:r>
              <w:rPr>
                <w:sz w:val="24"/>
              </w:rPr>
              <w:t>8</w:t>
            </w:r>
          </w:p>
        </w:tc>
        <w:tc>
          <w:tcPr>
            <w:tcW w:w="643"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9</w:t>
            </w:r>
          </w:p>
        </w:tc>
        <w:tc>
          <w:tcPr>
            <w:tcW w:w="566" w:type="dxa"/>
            <w:tcBorders>
              <w:left w:val="single" w:sz="4" w:space="0" w:color="000000"/>
              <w:bottom w:val="single" w:sz="4" w:space="0" w:color="000000"/>
              <w:right w:val="single" w:sz="4" w:space="0" w:color="000000"/>
            </w:tcBorders>
          </w:tcPr>
          <w:p>
            <w:pPr>
              <w:pStyle w:val="TableParagraph"/>
              <w:spacing w:before="2"/>
              <w:ind w:left="135" w:right="137"/>
              <w:jc w:val="center"/>
              <w:rPr>
                <w:sz w:val="24"/>
              </w:rPr>
            </w:pPr>
            <w:r>
              <w:rPr>
                <w:sz w:val="24"/>
              </w:rPr>
              <w:t>10</w:t>
            </w:r>
          </w:p>
        </w:tc>
        <w:tc>
          <w:tcPr>
            <w:tcW w:w="672" w:type="dxa"/>
            <w:tcBorders>
              <w:left w:val="single" w:sz="4" w:space="0" w:color="000000"/>
              <w:bottom w:val="single" w:sz="4" w:space="0" w:color="000000"/>
              <w:right w:val="single" w:sz="4" w:space="0" w:color="000000"/>
            </w:tcBorders>
          </w:tcPr>
          <w:p>
            <w:pPr>
              <w:pStyle w:val="TableParagraph"/>
              <w:spacing w:before="2"/>
              <w:ind w:left="188" w:right="191"/>
              <w:jc w:val="center"/>
              <w:rPr>
                <w:sz w:val="24"/>
              </w:rPr>
            </w:pPr>
            <w:r>
              <w:rPr>
                <w:sz w:val="24"/>
              </w:rPr>
              <w:t>11</w:t>
            </w:r>
          </w:p>
        </w:tc>
        <w:tc>
          <w:tcPr>
            <w:tcW w:w="614" w:type="dxa"/>
            <w:tcBorders>
              <w:left w:val="single" w:sz="4" w:space="0" w:color="000000"/>
              <w:bottom w:val="single" w:sz="4" w:space="0" w:color="000000"/>
              <w:right w:val="nil"/>
            </w:tcBorders>
          </w:tcPr>
          <w:p>
            <w:pPr>
              <w:pStyle w:val="TableParagraph"/>
              <w:spacing w:before="2"/>
              <w:ind w:left="153" w:right="159"/>
              <w:jc w:val="center"/>
              <w:rPr>
                <w:sz w:val="24"/>
              </w:rPr>
            </w:pPr>
            <w:r>
              <w:rPr>
                <w:sz w:val="24"/>
              </w:rPr>
              <w:t>12</w:t>
            </w:r>
          </w:p>
        </w:tc>
      </w:tr>
      <w:tr>
        <w:trPr>
          <w:trHeight w:val="326"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6"/>
              <w:ind w:left="1079" w:right="668"/>
              <w:rPr>
                <w:b/>
                <w:sz w:val="24"/>
              </w:rPr>
            </w:pPr>
            <w:r>
              <w:rPr>
                <w:b/>
                <w:sz w:val="24"/>
              </w:rPr>
              <w:t>Tiempo y cantidad de la alimentación por pastoreo</w:t>
            </w:r>
          </w:p>
        </w:tc>
      </w:tr>
      <w:tr>
        <w:trPr>
          <w:trHeight w:val="557" w:hRule="exact"/>
        </w:trPr>
        <w:tc>
          <w:tcPr>
            <w:tcW w:w="442" w:type="dxa"/>
            <w:vMerge w:val="restart"/>
            <w:tcBorders>
              <w:left w:val="nil"/>
              <w:right w:val="single" w:sz="4" w:space="0" w:color="000000"/>
            </w:tcBorders>
            <w:textDirection w:val="btLr"/>
          </w:tcPr>
          <w:p>
            <w:pPr>
              <w:pStyle w:val="TableParagraph"/>
              <w:spacing w:before="107"/>
              <w:ind w:left="466"/>
              <w:rPr>
                <w:sz w:val="24"/>
              </w:rPr>
            </w:pPr>
            <w:r>
              <w:rPr>
                <w:color w:val="00B050"/>
                <w:sz w:val="24"/>
              </w:rPr>
              <w:t>Pastura</w:t>
            </w:r>
          </w:p>
        </w:tc>
        <w:tc>
          <w:tcPr>
            <w:tcW w:w="3149" w:type="dxa"/>
            <w:gridSpan w:val="2"/>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Cantidad</w:t>
            </w:r>
          </w:p>
          <w:p>
            <w:pPr>
              <w:pStyle w:val="TableParagraph"/>
              <w:spacing w:before="4"/>
              <w:ind w:left="100"/>
              <w:rPr>
                <w:sz w:val="19"/>
              </w:rPr>
            </w:pPr>
            <w:r>
              <w:rPr>
                <w:w w:val="105"/>
                <w:sz w:val="19"/>
              </w:rPr>
              <w:t>(kg/vaca/día)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6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Porcentaje</w:t>
            </w:r>
          </w:p>
          <w:p>
            <w:pPr>
              <w:pStyle w:val="TableParagraph"/>
              <w:spacing w:before="4"/>
              <w:ind w:left="100"/>
              <w:rPr>
                <w:sz w:val="19"/>
              </w:rPr>
            </w:pPr>
            <w:r>
              <w:rPr>
                <w:w w:val="105"/>
                <w:sz w:val="19"/>
              </w:rPr>
              <w:t>(% total de alimento)</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7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right w:val="single" w:sz="4" w:space="0" w:color="000000"/>
            </w:tcBorders>
          </w:tcPr>
          <w:p>
            <w:pPr>
              <w:pStyle w:val="TableParagraph"/>
              <w:spacing w:before="21"/>
              <w:ind w:left="100"/>
              <w:rPr>
                <w:sz w:val="24"/>
              </w:rPr>
            </w:pPr>
            <w:r>
              <w:rPr>
                <w:sz w:val="24"/>
              </w:rPr>
              <w:t>Horas</w:t>
            </w:r>
          </w:p>
          <w:p>
            <w:pPr>
              <w:pStyle w:val="TableParagraph"/>
              <w:spacing w:before="4"/>
              <w:ind w:left="100"/>
              <w:rPr>
                <w:sz w:val="19"/>
              </w:rPr>
            </w:pPr>
            <w:r>
              <w:rPr>
                <w:w w:val="105"/>
                <w:sz w:val="19"/>
              </w:rPr>
              <w:t>(horas/día)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605"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1"/>
              <w:ind w:left="1443" w:right="668" w:hanging="774"/>
              <w:rPr>
                <w:b/>
                <w:sz w:val="24"/>
              </w:rPr>
            </w:pPr>
            <w:r>
              <w:rPr>
                <w:b/>
                <w:sz w:val="24"/>
              </w:rPr>
              <w:t>Cantidad de alimentación de forrajes, concentrados y otros suplementos (kg/vaca/día en Materia Seca)</w:t>
            </w:r>
          </w:p>
        </w:tc>
      </w:tr>
      <w:tr>
        <w:trPr>
          <w:trHeight w:val="461" w:hRule="exact"/>
        </w:trPr>
        <w:tc>
          <w:tcPr>
            <w:tcW w:w="442" w:type="dxa"/>
            <w:vMerge w:val="restart"/>
            <w:tcBorders>
              <w:left w:val="nil"/>
              <w:right w:val="single" w:sz="4" w:space="0" w:color="000000"/>
            </w:tcBorders>
          </w:tcPr>
          <w:p>
            <w:pPr/>
          </w:p>
        </w:tc>
        <w:tc>
          <w:tcPr>
            <w:tcW w:w="2645" w:type="dxa"/>
            <w:vMerge w:val="restart"/>
            <w:tcBorders>
              <w:left w:val="single" w:sz="4" w:space="0" w:color="000000"/>
              <w:right w:val="single" w:sz="4" w:space="0" w:color="000000"/>
            </w:tcBorders>
          </w:tcPr>
          <w:p>
            <w:pPr>
              <w:pStyle w:val="TableParagraph"/>
              <w:spacing w:before="213"/>
              <w:ind w:left="668" w:right="84" w:hanging="571"/>
              <w:rPr>
                <w:sz w:val="24"/>
              </w:rPr>
            </w:pPr>
            <w:r>
              <w:rPr>
                <w:sz w:val="24"/>
              </w:rPr>
              <w:t>Nombre y descripción de los alimentos</w:t>
            </w:r>
          </w:p>
        </w:tc>
        <w:tc>
          <w:tcPr>
            <w:tcW w:w="504" w:type="dxa"/>
            <w:vMerge w:val="restart"/>
            <w:tcBorders>
              <w:left w:val="single" w:sz="4" w:space="0" w:color="000000"/>
            </w:tcBorders>
            <w:textDirection w:val="btLr"/>
          </w:tcPr>
          <w:p>
            <w:pPr>
              <w:pStyle w:val="TableParagraph"/>
              <w:spacing w:line="254" w:lineRule="auto" w:before="6"/>
              <w:ind w:left="49" w:right="56" w:firstLine="18"/>
              <w:rPr>
                <w:rFonts w:ascii="Arial" w:hAnsi="Arial"/>
                <w:sz w:val="17"/>
              </w:rPr>
            </w:pPr>
            <w:r>
              <w:rPr>
                <w:spacing w:val="1"/>
                <w:w w:val="104"/>
                <w:sz w:val="17"/>
              </w:rPr>
              <w:t>Comp</w:t>
            </w:r>
            <w:r>
              <w:rPr>
                <w:w w:val="104"/>
                <w:sz w:val="17"/>
              </w:rPr>
              <w:t>r</w:t>
            </w:r>
            <w:r>
              <w:rPr>
                <w:spacing w:val="1"/>
                <w:w w:val="104"/>
                <w:sz w:val="17"/>
              </w:rPr>
              <w:t>ado? S</w:t>
            </w:r>
            <w:r>
              <w:rPr>
                <w:w w:val="104"/>
                <w:sz w:val="17"/>
              </w:rPr>
              <w:t>I</w:t>
            </w:r>
            <w:r>
              <w:rPr>
                <w:spacing w:val="2"/>
                <w:sz w:val="17"/>
              </w:rPr>
              <w:t> </w:t>
            </w:r>
            <w:r>
              <w:rPr>
                <w:rFonts w:ascii="Arial" w:hAnsi="Arial"/>
                <w:w w:val="279"/>
                <w:sz w:val="17"/>
              </w:rPr>
              <w:t>¨</w:t>
            </w:r>
            <w:r>
              <w:rPr>
                <w:rFonts w:ascii="Arial" w:hAnsi="Arial"/>
                <w:sz w:val="17"/>
              </w:rPr>
              <w:t>  </w:t>
            </w:r>
            <w:r>
              <w:rPr>
                <w:rFonts w:ascii="Arial" w:hAnsi="Arial"/>
                <w:spacing w:val="-18"/>
                <w:sz w:val="17"/>
              </w:rPr>
              <w:t> </w:t>
            </w:r>
            <w:r>
              <w:rPr>
                <w:spacing w:val="1"/>
                <w:w w:val="104"/>
                <w:sz w:val="17"/>
              </w:rPr>
              <w:t>N</w:t>
            </w:r>
            <w:r>
              <w:rPr>
                <w:w w:val="104"/>
                <w:sz w:val="17"/>
              </w:rPr>
              <w:t>O</w:t>
            </w:r>
            <w:r>
              <w:rPr>
                <w:spacing w:val="3"/>
                <w:sz w:val="17"/>
              </w:rPr>
              <w:t> </w:t>
            </w:r>
            <w:r>
              <w:rPr>
                <w:rFonts w:ascii="Arial" w:hAnsi="Arial"/>
                <w:w w:val="279"/>
                <w:sz w:val="17"/>
              </w:rPr>
              <w:t>¨</w:t>
            </w:r>
          </w:p>
        </w:tc>
        <w:tc>
          <w:tcPr>
            <w:tcW w:w="7262" w:type="dxa"/>
            <w:gridSpan w:val="12"/>
            <w:tcBorders>
              <w:top w:val="single" w:sz="4" w:space="0" w:color="000000"/>
              <w:bottom w:val="single" w:sz="4" w:space="0" w:color="000000"/>
              <w:right w:val="nil"/>
            </w:tcBorders>
          </w:tcPr>
          <w:p>
            <w:pPr>
              <w:pStyle w:val="TableParagraph"/>
              <w:spacing w:before="93"/>
              <w:ind w:left="3353" w:right="3368"/>
              <w:jc w:val="center"/>
              <w:rPr>
                <w:sz w:val="24"/>
              </w:rPr>
            </w:pPr>
            <w:r>
              <w:rPr>
                <w:sz w:val="24"/>
              </w:rPr>
              <w:t>2011</w:t>
            </w:r>
          </w:p>
        </w:tc>
      </w:tr>
      <w:tr>
        <w:trPr>
          <w:trHeight w:val="566" w:hRule="exact"/>
        </w:trPr>
        <w:tc>
          <w:tcPr>
            <w:tcW w:w="442" w:type="dxa"/>
            <w:vMerge/>
            <w:tcBorders>
              <w:left w:val="nil"/>
              <w:right w:val="single" w:sz="4" w:space="0" w:color="000000"/>
            </w:tcBorders>
          </w:tcPr>
          <w:p>
            <w:pPr/>
          </w:p>
        </w:tc>
        <w:tc>
          <w:tcPr>
            <w:tcW w:w="2645" w:type="dxa"/>
            <w:vMerge/>
            <w:tcBorders>
              <w:left w:val="single" w:sz="4" w:space="0" w:color="000000"/>
              <w:right w:val="single" w:sz="4" w:space="0" w:color="000000"/>
            </w:tcBorders>
          </w:tcPr>
          <w:p>
            <w:pPr/>
          </w:p>
        </w:tc>
        <w:tc>
          <w:tcPr>
            <w:tcW w:w="504" w:type="dxa"/>
            <w:vMerge/>
            <w:tcBorders>
              <w:left w:val="single" w:sz="4" w:space="0" w:color="000000"/>
            </w:tcBorders>
            <w:textDirection w:val="btLr"/>
          </w:tcPr>
          <w:p>
            <w:pPr/>
          </w:p>
        </w:tc>
        <w:tc>
          <w:tcPr>
            <w:tcW w:w="595" w:type="dxa"/>
            <w:tcBorders>
              <w:top w:val="single" w:sz="4" w:space="0" w:color="000000"/>
              <w:bottom w:val="single" w:sz="4" w:space="0" w:color="000000"/>
              <w:right w:val="single" w:sz="4" w:space="0" w:color="000000"/>
            </w:tcBorders>
          </w:tcPr>
          <w:p>
            <w:pPr>
              <w:pStyle w:val="TableParagraph"/>
              <w:spacing w:before="131"/>
              <w:ind w:right="13"/>
              <w:jc w:val="center"/>
              <w:rPr>
                <w:sz w:val="24"/>
              </w:rPr>
            </w:pPr>
            <w:r>
              <w:rPr>
                <w:sz w:val="24"/>
              </w:rPr>
              <w:t>1</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2</w:t>
            </w:r>
          </w:p>
        </w:tc>
        <w:tc>
          <w:tcPr>
            <w:tcW w:w="528" w:type="dxa"/>
            <w:tcBorders>
              <w:top w:val="single" w:sz="4" w:space="0" w:color="000000"/>
              <w:left w:val="single" w:sz="4" w:space="0" w:color="000000"/>
              <w:bottom w:val="single" w:sz="4" w:space="0" w:color="000000"/>
              <w:right w:val="single" w:sz="4" w:space="0" w:color="000000"/>
            </w:tcBorders>
          </w:tcPr>
          <w:p>
            <w:pPr>
              <w:pStyle w:val="TableParagraph"/>
              <w:spacing w:before="131"/>
              <w:ind w:left="3"/>
              <w:jc w:val="center"/>
              <w:rPr>
                <w:sz w:val="24"/>
              </w:rPr>
            </w:pPr>
            <w:r>
              <w:rPr>
                <w:sz w:val="24"/>
              </w:rPr>
              <w:t>3</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2"/>
              <w:jc w:val="center"/>
              <w:rPr>
                <w:sz w:val="24"/>
              </w:rPr>
            </w:pPr>
            <w:r>
              <w:rPr>
                <w:sz w:val="24"/>
              </w:rPr>
              <w:t>6</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before="131"/>
              <w:ind w:left="4"/>
              <w:jc w:val="center"/>
              <w:rPr>
                <w:sz w:val="24"/>
              </w:rPr>
            </w:pPr>
            <w:r>
              <w:rPr>
                <w:sz w:val="24"/>
              </w:rPr>
              <w:t>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131"/>
              <w:ind w:right="3"/>
              <w:jc w:val="center"/>
              <w:rPr>
                <w:sz w:val="24"/>
              </w:rPr>
            </w:pPr>
            <w:r>
              <w:rPr>
                <w:sz w:val="24"/>
              </w:rPr>
              <w:t>8</w:t>
            </w:r>
          </w:p>
        </w:tc>
        <w:tc>
          <w:tcPr>
            <w:tcW w:w="643"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9</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left="135" w:right="137"/>
              <w:jc w:val="center"/>
              <w:rPr>
                <w:sz w:val="24"/>
              </w:rPr>
            </w:pPr>
            <w:r>
              <w:rPr>
                <w:sz w:val="24"/>
              </w:rPr>
              <w:t>10</w:t>
            </w:r>
          </w:p>
        </w:tc>
        <w:tc>
          <w:tcPr>
            <w:tcW w:w="672" w:type="dxa"/>
            <w:tcBorders>
              <w:top w:val="single" w:sz="4" w:space="0" w:color="000000"/>
              <w:left w:val="single" w:sz="4" w:space="0" w:color="000000"/>
              <w:bottom w:val="single" w:sz="4" w:space="0" w:color="000000"/>
              <w:right w:val="single" w:sz="4" w:space="0" w:color="000000"/>
            </w:tcBorders>
          </w:tcPr>
          <w:p>
            <w:pPr>
              <w:pStyle w:val="TableParagraph"/>
              <w:spacing w:before="131"/>
              <w:ind w:left="188" w:right="191"/>
              <w:jc w:val="center"/>
              <w:rPr>
                <w:sz w:val="24"/>
              </w:rPr>
            </w:pPr>
            <w:r>
              <w:rPr>
                <w:sz w:val="24"/>
              </w:rPr>
              <w:t>11</w:t>
            </w:r>
          </w:p>
        </w:tc>
        <w:tc>
          <w:tcPr>
            <w:tcW w:w="614" w:type="dxa"/>
            <w:tcBorders>
              <w:top w:val="single" w:sz="4" w:space="0" w:color="000000"/>
              <w:left w:val="single" w:sz="4" w:space="0" w:color="000000"/>
              <w:bottom w:val="single" w:sz="4" w:space="0" w:color="000000"/>
              <w:right w:val="nil"/>
            </w:tcBorders>
          </w:tcPr>
          <w:p>
            <w:pPr>
              <w:pStyle w:val="TableParagraph"/>
              <w:spacing w:before="131"/>
              <w:ind w:left="146" w:right="166"/>
              <w:jc w:val="center"/>
              <w:rPr>
                <w:sz w:val="24"/>
              </w:rPr>
            </w:pPr>
            <w:r>
              <w:rPr>
                <w:sz w:val="24"/>
              </w:rPr>
              <w:t>12</w:t>
            </w:r>
          </w:p>
        </w:tc>
      </w:tr>
      <w:tr>
        <w:trPr>
          <w:trHeight w:val="610" w:hRule="exact"/>
        </w:trPr>
        <w:tc>
          <w:tcPr>
            <w:tcW w:w="442" w:type="dxa"/>
            <w:vMerge w:val="restart"/>
            <w:tcBorders>
              <w:left w:val="nil"/>
              <w:right w:val="single" w:sz="4" w:space="0" w:color="000000"/>
            </w:tcBorders>
            <w:textDirection w:val="btLr"/>
          </w:tcPr>
          <w:p>
            <w:pPr>
              <w:pStyle w:val="TableParagraph"/>
              <w:spacing w:before="107"/>
              <w:ind w:left="183"/>
              <w:rPr>
                <w:sz w:val="24"/>
              </w:rPr>
            </w:pPr>
            <w:r>
              <w:rPr>
                <w:color w:val="FF0000"/>
                <w:sz w:val="24"/>
              </w:rPr>
              <w:t>Concentrado</w:t>
            </w:r>
          </w:p>
        </w:tc>
        <w:tc>
          <w:tcPr>
            <w:tcW w:w="2645" w:type="dxa"/>
            <w:tcBorders>
              <w:left w:val="single" w:sz="4" w:space="0" w:color="000000"/>
              <w:bottom w:val="single" w:sz="4" w:space="0" w:color="000000"/>
              <w:right w:val="single" w:sz="4" w:space="0" w:color="000000"/>
            </w:tcBorders>
          </w:tcPr>
          <w:p>
            <w:pPr>
              <w:pStyle w:val="TableParagraph"/>
              <w:tabs>
                <w:tab w:pos="2235" w:val="left" w:leader="none"/>
              </w:tabs>
              <w:spacing w:before="6"/>
              <w:ind w:left="100" w:right="324"/>
              <w:rPr>
                <w:sz w:val="24"/>
              </w:rPr>
            </w:pPr>
            <w:r>
              <w:rPr>
                <w:sz w:val="24"/>
              </w:rPr>
              <w:t>Comercial [</w:t>
              <w:tab/>
              <w:t>] (proporción)</w:t>
            </w:r>
          </w:p>
        </w:tc>
        <w:tc>
          <w:tcPr>
            <w:tcW w:w="504" w:type="dxa"/>
            <w:tcBorders>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1271" w:right="1271"/>
              <w:jc w:val="center"/>
              <w:rPr>
                <w:sz w:val="24"/>
              </w:rPr>
            </w:pPr>
            <w:r>
              <w:rPr>
                <w:color w:val="0070C0"/>
                <w:sz w:val="24"/>
              </w:rPr>
              <w:t>Forraje</w:t>
            </w:r>
          </w:p>
        </w:tc>
        <w:tc>
          <w:tcPr>
            <w:tcW w:w="2645" w:type="dxa"/>
            <w:tcBorders>
              <w:left w:val="single" w:sz="4" w:space="0" w:color="000000"/>
              <w:bottom w:val="single" w:sz="4" w:space="0" w:color="000000"/>
              <w:right w:val="single" w:sz="4" w:space="0" w:color="000000"/>
            </w:tcBorders>
          </w:tcPr>
          <w:p>
            <w:pPr>
              <w:pStyle w:val="TableParagraph"/>
              <w:spacing w:before="6"/>
              <w:ind w:left="100"/>
              <w:rPr>
                <w:sz w:val="24"/>
              </w:rPr>
            </w:pPr>
            <w:r>
              <w:rPr>
                <w:sz w:val="24"/>
              </w:rPr>
              <w:t>Alfalfa (</w:t>
            </w:r>
            <w:r>
              <w:rPr>
                <w:i/>
                <w:sz w:val="24"/>
              </w:rPr>
              <w:t>Medicago sativa</w:t>
            </w:r>
            <w:r>
              <w:rPr>
                <w:sz w:val="24"/>
              </w:rPr>
              <w:t>)</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412"/>
              <w:rPr>
                <w:sz w:val="24"/>
              </w:rPr>
            </w:pPr>
            <w:r>
              <w:rPr>
                <w:sz w:val="24"/>
              </w:rPr>
              <w:t>Ensilado de maíz (</w:t>
            </w:r>
            <w:r>
              <w:rPr>
                <w:i/>
                <w:sz w:val="24"/>
              </w:rPr>
              <w:t>Zea </w:t>
            </w:r>
            <w:r>
              <w:rPr>
                <w:i/>
                <w:sz w:val="24"/>
              </w:rPr>
              <w:t>mays</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Maíz picado</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321"/>
              <w:rPr>
                <w:sz w:val="24"/>
              </w:rPr>
            </w:pPr>
            <w:r>
              <w:rPr>
                <w:sz w:val="24"/>
              </w:rPr>
              <w:t>Heno de avena (</w:t>
            </w:r>
            <w:r>
              <w:rPr>
                <w:i/>
                <w:sz w:val="24"/>
              </w:rPr>
              <w:t>Avena </w:t>
            </w:r>
            <w:r>
              <w:rPr>
                <w:i/>
                <w:sz w:val="24"/>
              </w:rPr>
              <w:t>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6"/>
              <w:ind w:left="100" w:right="84"/>
              <w:rPr>
                <w:sz w:val="24"/>
              </w:rPr>
            </w:pPr>
            <w:r>
              <w:rPr>
                <w:sz w:val="24"/>
              </w:rPr>
              <w:t>Ebo (</w:t>
            </w:r>
            <w:r>
              <w:rPr>
                <w:i/>
                <w:sz w:val="24"/>
              </w:rPr>
              <w:t>Vicia 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Style w:val="TableParagraph"/>
              <w:spacing w:before="2"/>
              <w:ind w:left="100" w:right="84"/>
              <w:rPr>
                <w:sz w:val="24"/>
              </w:rPr>
            </w:pPr>
            <w:r>
              <w:rPr>
                <w:sz w:val="24"/>
              </w:rPr>
              <w:t>Rastrojo de maíz</w:t>
            </w: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222"/>
              <w:rPr>
                <w:sz w:val="24"/>
              </w:rPr>
            </w:pPr>
            <w:r>
              <w:rPr>
                <w:color w:val="E36C0A"/>
                <w:sz w:val="24"/>
              </w:rPr>
              <w:t>Vitaminas y minerales</w:t>
            </w:r>
          </w:p>
        </w:tc>
        <w:tc>
          <w:tcPr>
            <w:tcW w:w="2645" w:type="dxa"/>
            <w:tcBorders>
              <w:left w:val="single" w:sz="4" w:space="0" w:color="000000"/>
              <w:bottom w:val="single" w:sz="4" w:space="0" w:color="000000"/>
              <w:right w:val="single" w:sz="4" w:space="0" w:color="000000"/>
            </w:tcBorders>
          </w:tcPr>
          <w:p>
            <w:pPr>
              <w:pStyle w:val="TableParagraph"/>
              <w:spacing w:before="2"/>
              <w:ind w:left="100" w:right="84"/>
              <w:rPr>
                <w:sz w:val="24"/>
              </w:rPr>
            </w:pPr>
            <w:r>
              <w:rPr>
                <w:sz w:val="24"/>
              </w:rPr>
              <w:t>Suplementos minerales</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Sal</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bl>
    <w:p>
      <w:pPr>
        <w:spacing w:after="0"/>
        <w:sectPr>
          <w:headerReference w:type="default" r:id="rId259"/>
          <w:footerReference w:type="default" r:id="rId260"/>
          <w:pgSz w:w="12240" w:h="15840"/>
          <w:pgMar w:header="0" w:footer="564" w:top="660" w:bottom="760" w:left="580" w:right="540"/>
          <w:pgNumType w:start="177"/>
        </w:sectPr>
      </w:pPr>
    </w:p>
    <w:p>
      <w:pPr>
        <w:spacing w:line="169" w:lineRule="exact" w:before="56"/>
        <w:ind w:left="0" w:right="127" w:firstLine="0"/>
        <w:jc w:val="right"/>
        <w:rPr>
          <w:rFonts w:ascii="Calibri" w:hAnsi="Calibri"/>
          <w:b/>
          <w:i/>
          <w:sz w:val="14"/>
        </w:rPr>
      </w:pPr>
      <w:r>
        <w:rPr/>
        <w:pict>
          <v:group style="position:absolute;margin-left:29.982389pt;margin-top:34.302399pt;width:553pt;height:732.75pt;mso-position-horizontal-relative:page;mso-position-vertical-relative:page;z-index:-305800"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hAnsi="Calibri"/>
          <w:b/>
          <w:i/>
          <w:sz w:val="14"/>
        </w:rPr>
        <w:t>Estimación de las emisiones en bovinos en los sistema de producción lechera en pequeña escala</w:t>
      </w:r>
    </w:p>
    <w:p>
      <w:pPr>
        <w:spacing w:line="169" w:lineRule="exact" w:before="0"/>
        <w:ind w:left="0" w:right="126" w:firstLine="0"/>
        <w:jc w:val="right"/>
        <w:rPr>
          <w:rFonts w:ascii="Calibri" w:hAnsi="Calibri"/>
          <w:b/>
          <w:i/>
          <w:sz w:val="14"/>
        </w:rPr>
      </w:pPr>
      <w:r>
        <w:rPr>
          <w:rFonts w:ascii="Calibri" w:hAnsi="Calibri"/>
          <w:b/>
          <w:i/>
          <w:sz w:val="14"/>
        </w:rPr>
        <w:t>a través del factor de conversión de metano</w:t>
      </w:r>
    </w:p>
    <w:p>
      <w:pPr>
        <w:spacing w:before="2" w:after="6"/>
        <w:ind w:left="0" w:right="127" w:firstLine="0"/>
        <w:jc w:val="right"/>
        <w:rPr>
          <w:rFonts w:ascii="Calibri" w:hAnsi="Calibri"/>
          <w:b/>
          <w:i/>
          <w:sz w:val="14"/>
        </w:rPr>
      </w:pPr>
      <w:r>
        <w:rPr>
          <w:rFonts w:ascii="Calibri" w:hAnsi="Calibri"/>
          <w:b/>
          <w:i/>
          <w:sz w:val="14"/>
        </w:rPr>
        <w:t>M. en E. S. Noé Zúñiga-González</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621"/>
        <w:gridCol w:w="970"/>
        <w:gridCol w:w="595"/>
        <w:gridCol w:w="701"/>
        <w:gridCol w:w="528"/>
        <w:gridCol w:w="610"/>
        <w:gridCol w:w="566"/>
        <w:gridCol w:w="566"/>
        <w:gridCol w:w="595"/>
        <w:gridCol w:w="605"/>
        <w:gridCol w:w="643"/>
        <w:gridCol w:w="566"/>
        <w:gridCol w:w="672"/>
        <w:gridCol w:w="614"/>
      </w:tblGrid>
      <w:tr>
        <w:trPr>
          <w:trHeight w:val="470" w:hRule="exact"/>
        </w:trPr>
        <w:tc>
          <w:tcPr>
            <w:tcW w:w="2621" w:type="dxa"/>
            <w:tcBorders>
              <w:left w:val="nil"/>
              <w:right w:val="single" w:sz="4" w:space="0" w:color="000000"/>
            </w:tcBorders>
            <w:shd w:val="clear" w:color="auto" w:fill="943634"/>
          </w:tcPr>
          <w:p>
            <w:pPr>
              <w:pStyle w:val="TableParagraph"/>
              <w:spacing w:before="74"/>
              <w:ind w:left="105"/>
              <w:rPr>
                <w:sz w:val="24"/>
              </w:rPr>
            </w:pPr>
            <w:r>
              <w:rPr>
                <w:color w:val="FFFFFF"/>
                <w:sz w:val="24"/>
              </w:rPr>
              <w:t>Grupo de alimentación:</w:t>
            </w:r>
          </w:p>
        </w:tc>
        <w:tc>
          <w:tcPr>
            <w:tcW w:w="8232" w:type="dxa"/>
            <w:gridSpan w:val="13"/>
            <w:tcBorders>
              <w:left w:val="single" w:sz="4" w:space="0" w:color="000000"/>
              <w:bottom w:val="single" w:sz="29" w:space="0" w:color="000000"/>
              <w:right w:val="single" w:sz="4" w:space="0" w:color="000000"/>
            </w:tcBorders>
            <w:shd w:val="clear" w:color="auto" w:fill="943634"/>
          </w:tcPr>
          <w:p>
            <w:pPr>
              <w:pStyle w:val="TableParagraph"/>
              <w:spacing w:before="74"/>
              <w:ind w:left="100"/>
              <w:rPr>
                <w:sz w:val="24"/>
              </w:rPr>
            </w:pPr>
            <w:r>
              <w:rPr>
                <w:b/>
                <w:color w:val="FFFFFF"/>
                <w:sz w:val="24"/>
              </w:rPr>
              <w:t>NOVILLAS. </w:t>
            </w:r>
            <w:r>
              <w:rPr>
                <w:color w:val="FFFFFF"/>
                <w:sz w:val="24"/>
              </w:rPr>
              <w:t>Después del 1er. Año de vida.</w:t>
            </w:r>
          </w:p>
        </w:tc>
      </w:tr>
      <w:tr>
        <w:trPr>
          <w:trHeight w:val="427" w:hRule="exact"/>
        </w:trPr>
        <w:tc>
          <w:tcPr>
            <w:tcW w:w="3590" w:type="dxa"/>
            <w:gridSpan w:val="2"/>
            <w:tcBorders>
              <w:left w:val="nil"/>
            </w:tcBorders>
          </w:tcPr>
          <w:p>
            <w:pPr>
              <w:pStyle w:val="TableParagraph"/>
              <w:spacing w:before="54"/>
              <w:ind w:left="1180"/>
              <w:rPr>
                <w:b/>
                <w:sz w:val="24"/>
              </w:rPr>
            </w:pPr>
            <w:r>
              <w:rPr>
                <w:sz w:val="24"/>
              </w:rPr>
              <w:t>Número de animales </w:t>
            </w:r>
            <w:r>
              <w:rPr>
                <w:b/>
                <w:sz w:val="24"/>
              </w:rPr>
              <w:t>→</w:t>
            </w:r>
          </w:p>
        </w:tc>
        <w:tc>
          <w:tcPr>
            <w:tcW w:w="595" w:type="dxa"/>
            <w:tcBorders>
              <w:right w:val="single" w:sz="4" w:space="0" w:color="000000"/>
            </w:tcBorders>
          </w:tcPr>
          <w:p>
            <w:pPr/>
          </w:p>
        </w:tc>
        <w:tc>
          <w:tcPr>
            <w:tcW w:w="701" w:type="dxa"/>
            <w:tcBorders>
              <w:left w:val="single" w:sz="4" w:space="0" w:color="000000"/>
              <w:right w:val="single" w:sz="4" w:space="0" w:color="000000"/>
            </w:tcBorders>
          </w:tcPr>
          <w:p>
            <w:pPr/>
          </w:p>
        </w:tc>
        <w:tc>
          <w:tcPr>
            <w:tcW w:w="528" w:type="dxa"/>
            <w:tcBorders>
              <w:left w:val="single" w:sz="4" w:space="0" w:color="000000"/>
              <w:right w:val="single" w:sz="4" w:space="0" w:color="000000"/>
            </w:tcBorders>
          </w:tcPr>
          <w:p>
            <w:pPr/>
          </w:p>
        </w:tc>
        <w:tc>
          <w:tcPr>
            <w:tcW w:w="610"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95" w:type="dxa"/>
            <w:tcBorders>
              <w:left w:val="single" w:sz="4" w:space="0" w:color="000000"/>
              <w:right w:val="single" w:sz="4" w:space="0" w:color="000000"/>
            </w:tcBorders>
          </w:tcPr>
          <w:p>
            <w:pPr/>
          </w:p>
        </w:tc>
        <w:tc>
          <w:tcPr>
            <w:tcW w:w="605" w:type="dxa"/>
            <w:tcBorders>
              <w:left w:val="single" w:sz="4" w:space="0" w:color="000000"/>
              <w:right w:val="single" w:sz="4" w:space="0" w:color="000000"/>
            </w:tcBorders>
          </w:tcPr>
          <w:p>
            <w:pPr/>
          </w:p>
        </w:tc>
        <w:tc>
          <w:tcPr>
            <w:tcW w:w="643"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672" w:type="dxa"/>
            <w:tcBorders>
              <w:left w:val="single" w:sz="4" w:space="0" w:color="000000"/>
              <w:right w:val="single" w:sz="4" w:space="0" w:color="000000"/>
            </w:tcBorders>
          </w:tcPr>
          <w:p>
            <w:pPr/>
          </w:p>
        </w:tc>
        <w:tc>
          <w:tcPr>
            <w:tcW w:w="614" w:type="dxa"/>
            <w:tcBorders>
              <w:left w:val="single" w:sz="4" w:space="0" w:color="000000"/>
              <w:right w:val="nil"/>
            </w:tcBorders>
          </w:tcPr>
          <w:p>
            <w:pPr/>
          </w:p>
        </w:tc>
      </w:tr>
      <w:tr>
        <w:trPr>
          <w:trHeight w:val="235" w:hRule="exact"/>
        </w:trPr>
        <w:tc>
          <w:tcPr>
            <w:tcW w:w="3590" w:type="dxa"/>
            <w:gridSpan w:val="2"/>
            <w:tcBorders>
              <w:left w:val="nil"/>
              <w:bottom w:val="nil"/>
            </w:tcBorders>
          </w:tcPr>
          <w:p>
            <w:pPr/>
          </w:p>
        </w:tc>
        <w:tc>
          <w:tcPr>
            <w:tcW w:w="7262" w:type="dxa"/>
            <w:gridSpan w:val="12"/>
            <w:tcBorders>
              <w:bottom w:val="nil"/>
              <w:right w:val="nil"/>
            </w:tcBorders>
          </w:tcPr>
          <w:p>
            <w:pPr>
              <w:pStyle w:val="TableParagraph"/>
              <w:spacing w:line="259" w:lineRule="exact" w:before="2"/>
              <w:ind w:left="3353" w:right="3368"/>
              <w:jc w:val="center"/>
              <w:rPr>
                <w:sz w:val="24"/>
              </w:rPr>
            </w:pPr>
            <w:r>
              <w:rPr>
                <w:sz w:val="24"/>
              </w:rPr>
              <w:t>2011</w:t>
            </w:r>
          </w:p>
        </w:tc>
      </w:tr>
    </w:tbl>
    <w:p>
      <w:pPr>
        <w:pStyle w:val="BodyText"/>
        <w:spacing w:before="6"/>
        <w:rPr>
          <w:rFonts w:ascii="Calibri"/>
          <w:b/>
          <w:i/>
          <w:sz w:val="5"/>
        </w:rPr>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2"/>
        <w:gridCol w:w="2645"/>
        <w:gridCol w:w="504"/>
        <w:gridCol w:w="595"/>
        <w:gridCol w:w="701"/>
        <w:gridCol w:w="528"/>
        <w:gridCol w:w="610"/>
        <w:gridCol w:w="566"/>
        <w:gridCol w:w="566"/>
        <w:gridCol w:w="595"/>
        <w:gridCol w:w="605"/>
        <w:gridCol w:w="643"/>
        <w:gridCol w:w="566"/>
        <w:gridCol w:w="672"/>
        <w:gridCol w:w="614"/>
      </w:tblGrid>
      <w:tr>
        <w:trPr>
          <w:trHeight w:val="322" w:hRule="exact"/>
        </w:trPr>
        <w:tc>
          <w:tcPr>
            <w:tcW w:w="3590" w:type="dxa"/>
            <w:gridSpan w:val="3"/>
            <w:tcBorders>
              <w:left w:val="nil"/>
            </w:tcBorders>
          </w:tcPr>
          <w:p>
            <w:pPr>
              <w:pStyle w:val="TableParagraph"/>
              <w:spacing w:before="2"/>
              <w:ind w:left="1799"/>
              <w:rPr>
                <w:b/>
                <w:sz w:val="24"/>
              </w:rPr>
            </w:pPr>
            <w:r>
              <w:rPr>
                <w:sz w:val="24"/>
              </w:rPr>
              <w:t>Meses del año </w:t>
            </w:r>
            <w:r>
              <w:rPr>
                <w:b/>
                <w:sz w:val="24"/>
              </w:rPr>
              <w:t>→</w:t>
            </w:r>
          </w:p>
        </w:tc>
        <w:tc>
          <w:tcPr>
            <w:tcW w:w="595" w:type="dxa"/>
            <w:tcBorders>
              <w:bottom w:val="single" w:sz="4" w:space="0" w:color="000000"/>
              <w:right w:val="single" w:sz="4" w:space="0" w:color="000000"/>
            </w:tcBorders>
          </w:tcPr>
          <w:p>
            <w:pPr>
              <w:pStyle w:val="TableParagraph"/>
              <w:spacing w:before="2"/>
              <w:ind w:right="13"/>
              <w:jc w:val="center"/>
              <w:rPr>
                <w:sz w:val="24"/>
              </w:rPr>
            </w:pPr>
            <w:r>
              <w:rPr>
                <w:sz w:val="24"/>
              </w:rPr>
              <w:t>1</w:t>
            </w:r>
          </w:p>
        </w:tc>
        <w:tc>
          <w:tcPr>
            <w:tcW w:w="701"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2</w:t>
            </w:r>
          </w:p>
        </w:tc>
        <w:tc>
          <w:tcPr>
            <w:tcW w:w="528" w:type="dxa"/>
            <w:tcBorders>
              <w:left w:val="single" w:sz="4" w:space="0" w:color="000000"/>
              <w:bottom w:val="single" w:sz="4" w:space="0" w:color="000000"/>
              <w:right w:val="single" w:sz="4" w:space="0" w:color="000000"/>
            </w:tcBorders>
          </w:tcPr>
          <w:p>
            <w:pPr>
              <w:pStyle w:val="TableParagraph"/>
              <w:spacing w:before="2"/>
              <w:ind w:left="3"/>
              <w:jc w:val="center"/>
              <w:rPr>
                <w:sz w:val="24"/>
              </w:rPr>
            </w:pPr>
            <w:r>
              <w:rPr>
                <w:sz w:val="24"/>
              </w:rPr>
              <w:t>3</w:t>
            </w:r>
          </w:p>
        </w:tc>
        <w:tc>
          <w:tcPr>
            <w:tcW w:w="610" w:type="dxa"/>
            <w:tcBorders>
              <w:left w:val="single" w:sz="4" w:space="0" w:color="000000"/>
              <w:bottom w:val="single" w:sz="4" w:space="0" w:color="000000"/>
              <w:right w:val="single" w:sz="4" w:space="0" w:color="000000"/>
            </w:tcBorders>
          </w:tcPr>
          <w:p>
            <w:pPr>
              <w:pStyle w:val="TableParagraph"/>
              <w:spacing w:before="2"/>
              <w:ind w:right="4"/>
              <w:jc w:val="center"/>
              <w:rPr>
                <w:sz w:val="24"/>
              </w:rPr>
            </w:pPr>
            <w:r>
              <w:rPr>
                <w:sz w:val="24"/>
              </w:rPr>
              <w:t>4</w:t>
            </w:r>
          </w:p>
        </w:tc>
        <w:tc>
          <w:tcPr>
            <w:tcW w:w="566"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5</w:t>
            </w:r>
          </w:p>
        </w:tc>
        <w:tc>
          <w:tcPr>
            <w:tcW w:w="566" w:type="dxa"/>
            <w:tcBorders>
              <w:left w:val="single" w:sz="4" w:space="0" w:color="000000"/>
              <w:bottom w:val="single" w:sz="4" w:space="0" w:color="000000"/>
              <w:right w:val="single" w:sz="4" w:space="0" w:color="000000"/>
            </w:tcBorders>
          </w:tcPr>
          <w:p>
            <w:pPr>
              <w:pStyle w:val="TableParagraph"/>
              <w:spacing w:before="2"/>
              <w:ind w:right="2"/>
              <w:jc w:val="center"/>
              <w:rPr>
                <w:sz w:val="24"/>
              </w:rPr>
            </w:pPr>
            <w:r>
              <w:rPr>
                <w:sz w:val="24"/>
              </w:rPr>
              <w:t>6</w:t>
            </w:r>
          </w:p>
        </w:tc>
        <w:tc>
          <w:tcPr>
            <w:tcW w:w="595" w:type="dxa"/>
            <w:tcBorders>
              <w:left w:val="single" w:sz="4" w:space="0" w:color="000000"/>
              <w:bottom w:val="single" w:sz="4" w:space="0" w:color="000000"/>
              <w:right w:val="single" w:sz="4" w:space="0" w:color="000000"/>
            </w:tcBorders>
          </w:tcPr>
          <w:p>
            <w:pPr>
              <w:pStyle w:val="TableParagraph"/>
              <w:spacing w:before="2"/>
              <w:ind w:left="4"/>
              <w:jc w:val="center"/>
              <w:rPr>
                <w:sz w:val="24"/>
              </w:rPr>
            </w:pPr>
            <w:r>
              <w:rPr>
                <w:sz w:val="24"/>
              </w:rPr>
              <w:t>7</w:t>
            </w:r>
          </w:p>
        </w:tc>
        <w:tc>
          <w:tcPr>
            <w:tcW w:w="605" w:type="dxa"/>
            <w:tcBorders>
              <w:left w:val="single" w:sz="4" w:space="0" w:color="000000"/>
              <w:bottom w:val="single" w:sz="4" w:space="0" w:color="000000"/>
              <w:right w:val="single" w:sz="4" w:space="0" w:color="000000"/>
            </w:tcBorders>
          </w:tcPr>
          <w:p>
            <w:pPr>
              <w:pStyle w:val="TableParagraph"/>
              <w:spacing w:before="2"/>
              <w:ind w:left="1"/>
              <w:jc w:val="center"/>
              <w:rPr>
                <w:sz w:val="24"/>
              </w:rPr>
            </w:pPr>
            <w:r>
              <w:rPr>
                <w:sz w:val="24"/>
              </w:rPr>
              <w:t>8</w:t>
            </w:r>
          </w:p>
        </w:tc>
        <w:tc>
          <w:tcPr>
            <w:tcW w:w="643"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9</w:t>
            </w:r>
          </w:p>
        </w:tc>
        <w:tc>
          <w:tcPr>
            <w:tcW w:w="566" w:type="dxa"/>
            <w:tcBorders>
              <w:left w:val="single" w:sz="4" w:space="0" w:color="000000"/>
              <w:bottom w:val="single" w:sz="4" w:space="0" w:color="000000"/>
              <w:right w:val="single" w:sz="4" w:space="0" w:color="000000"/>
            </w:tcBorders>
          </w:tcPr>
          <w:p>
            <w:pPr>
              <w:pStyle w:val="TableParagraph"/>
              <w:spacing w:before="2"/>
              <w:ind w:left="135" w:right="137"/>
              <w:jc w:val="center"/>
              <w:rPr>
                <w:sz w:val="24"/>
              </w:rPr>
            </w:pPr>
            <w:r>
              <w:rPr>
                <w:sz w:val="24"/>
              </w:rPr>
              <w:t>10</w:t>
            </w:r>
          </w:p>
        </w:tc>
        <w:tc>
          <w:tcPr>
            <w:tcW w:w="672" w:type="dxa"/>
            <w:tcBorders>
              <w:left w:val="single" w:sz="4" w:space="0" w:color="000000"/>
              <w:bottom w:val="single" w:sz="4" w:space="0" w:color="000000"/>
              <w:right w:val="single" w:sz="4" w:space="0" w:color="000000"/>
            </w:tcBorders>
          </w:tcPr>
          <w:p>
            <w:pPr>
              <w:pStyle w:val="TableParagraph"/>
              <w:spacing w:before="2"/>
              <w:ind w:left="188" w:right="191"/>
              <w:jc w:val="center"/>
              <w:rPr>
                <w:sz w:val="24"/>
              </w:rPr>
            </w:pPr>
            <w:r>
              <w:rPr>
                <w:sz w:val="24"/>
              </w:rPr>
              <w:t>11</w:t>
            </w:r>
          </w:p>
        </w:tc>
        <w:tc>
          <w:tcPr>
            <w:tcW w:w="614" w:type="dxa"/>
            <w:tcBorders>
              <w:left w:val="single" w:sz="4" w:space="0" w:color="000000"/>
              <w:bottom w:val="single" w:sz="4" w:space="0" w:color="000000"/>
              <w:right w:val="nil"/>
            </w:tcBorders>
          </w:tcPr>
          <w:p>
            <w:pPr>
              <w:pStyle w:val="TableParagraph"/>
              <w:spacing w:before="2"/>
              <w:ind w:left="153" w:right="159"/>
              <w:jc w:val="center"/>
              <w:rPr>
                <w:sz w:val="24"/>
              </w:rPr>
            </w:pPr>
            <w:r>
              <w:rPr>
                <w:sz w:val="24"/>
              </w:rPr>
              <w:t>12</w:t>
            </w:r>
          </w:p>
        </w:tc>
      </w:tr>
      <w:tr>
        <w:trPr>
          <w:trHeight w:val="326"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6"/>
              <w:ind w:left="1079" w:right="668"/>
              <w:rPr>
                <w:b/>
                <w:sz w:val="24"/>
              </w:rPr>
            </w:pPr>
            <w:r>
              <w:rPr>
                <w:b/>
                <w:sz w:val="24"/>
              </w:rPr>
              <w:t>Tiempo y cantidad de la alimentación por pastoreo</w:t>
            </w:r>
          </w:p>
        </w:tc>
      </w:tr>
      <w:tr>
        <w:trPr>
          <w:trHeight w:val="557" w:hRule="exact"/>
        </w:trPr>
        <w:tc>
          <w:tcPr>
            <w:tcW w:w="442" w:type="dxa"/>
            <w:vMerge w:val="restart"/>
            <w:tcBorders>
              <w:left w:val="nil"/>
              <w:right w:val="single" w:sz="4" w:space="0" w:color="000000"/>
            </w:tcBorders>
            <w:textDirection w:val="btLr"/>
          </w:tcPr>
          <w:p>
            <w:pPr>
              <w:pStyle w:val="TableParagraph"/>
              <w:spacing w:before="107"/>
              <w:ind w:left="466"/>
              <w:rPr>
                <w:sz w:val="24"/>
              </w:rPr>
            </w:pPr>
            <w:r>
              <w:rPr>
                <w:color w:val="00B050"/>
                <w:sz w:val="24"/>
              </w:rPr>
              <w:t>Pastura</w:t>
            </w:r>
          </w:p>
        </w:tc>
        <w:tc>
          <w:tcPr>
            <w:tcW w:w="3149" w:type="dxa"/>
            <w:gridSpan w:val="2"/>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Cantidad</w:t>
            </w:r>
          </w:p>
          <w:p>
            <w:pPr>
              <w:pStyle w:val="TableParagraph"/>
              <w:spacing w:before="4"/>
              <w:ind w:left="100"/>
              <w:rPr>
                <w:sz w:val="19"/>
              </w:rPr>
            </w:pPr>
            <w:r>
              <w:rPr>
                <w:w w:val="105"/>
                <w:sz w:val="19"/>
              </w:rPr>
              <w:t>(kg/vaca/día)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6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Porcentaje</w:t>
            </w:r>
          </w:p>
          <w:p>
            <w:pPr>
              <w:pStyle w:val="TableParagraph"/>
              <w:spacing w:before="4"/>
              <w:ind w:left="100"/>
              <w:rPr>
                <w:sz w:val="19"/>
              </w:rPr>
            </w:pPr>
            <w:r>
              <w:rPr>
                <w:w w:val="105"/>
                <w:sz w:val="19"/>
              </w:rPr>
              <w:t>(% total de alimento)</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7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right w:val="single" w:sz="4" w:space="0" w:color="000000"/>
            </w:tcBorders>
          </w:tcPr>
          <w:p>
            <w:pPr>
              <w:pStyle w:val="TableParagraph"/>
              <w:spacing w:before="21"/>
              <w:ind w:left="100"/>
              <w:rPr>
                <w:sz w:val="24"/>
              </w:rPr>
            </w:pPr>
            <w:r>
              <w:rPr>
                <w:sz w:val="24"/>
              </w:rPr>
              <w:t>Horas</w:t>
            </w:r>
          </w:p>
          <w:p>
            <w:pPr>
              <w:pStyle w:val="TableParagraph"/>
              <w:spacing w:before="4"/>
              <w:ind w:left="100"/>
              <w:rPr>
                <w:sz w:val="19"/>
              </w:rPr>
            </w:pPr>
            <w:r>
              <w:rPr>
                <w:w w:val="105"/>
                <w:sz w:val="19"/>
              </w:rPr>
              <w:t>(horas/día)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605"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1"/>
              <w:ind w:left="1443" w:right="668" w:hanging="774"/>
              <w:rPr>
                <w:b/>
                <w:sz w:val="24"/>
              </w:rPr>
            </w:pPr>
            <w:r>
              <w:rPr>
                <w:b/>
                <w:sz w:val="24"/>
              </w:rPr>
              <w:t>Cantidad de alimentación de forrajes, concentrados y otros suplementos (kg/vaca/día en Materia Seca)</w:t>
            </w:r>
          </w:p>
        </w:tc>
      </w:tr>
      <w:tr>
        <w:trPr>
          <w:trHeight w:val="461" w:hRule="exact"/>
        </w:trPr>
        <w:tc>
          <w:tcPr>
            <w:tcW w:w="442" w:type="dxa"/>
            <w:vMerge w:val="restart"/>
            <w:tcBorders>
              <w:left w:val="nil"/>
              <w:right w:val="single" w:sz="4" w:space="0" w:color="000000"/>
            </w:tcBorders>
          </w:tcPr>
          <w:p>
            <w:pPr/>
          </w:p>
        </w:tc>
        <w:tc>
          <w:tcPr>
            <w:tcW w:w="2645" w:type="dxa"/>
            <w:vMerge w:val="restart"/>
            <w:tcBorders>
              <w:left w:val="single" w:sz="4" w:space="0" w:color="000000"/>
              <w:right w:val="single" w:sz="4" w:space="0" w:color="000000"/>
            </w:tcBorders>
          </w:tcPr>
          <w:p>
            <w:pPr>
              <w:pStyle w:val="TableParagraph"/>
              <w:spacing w:before="213"/>
              <w:ind w:left="668" w:right="84" w:hanging="571"/>
              <w:rPr>
                <w:sz w:val="24"/>
              </w:rPr>
            </w:pPr>
            <w:r>
              <w:rPr>
                <w:sz w:val="24"/>
              </w:rPr>
              <w:t>Nombre y descripción de los alimentos</w:t>
            </w:r>
          </w:p>
        </w:tc>
        <w:tc>
          <w:tcPr>
            <w:tcW w:w="504" w:type="dxa"/>
            <w:vMerge w:val="restart"/>
            <w:tcBorders>
              <w:left w:val="single" w:sz="4" w:space="0" w:color="000000"/>
            </w:tcBorders>
            <w:textDirection w:val="btLr"/>
          </w:tcPr>
          <w:p>
            <w:pPr>
              <w:pStyle w:val="TableParagraph"/>
              <w:spacing w:line="254" w:lineRule="auto" w:before="6"/>
              <w:ind w:left="49" w:right="56" w:firstLine="18"/>
              <w:rPr>
                <w:rFonts w:ascii="Arial" w:hAnsi="Arial"/>
                <w:sz w:val="17"/>
              </w:rPr>
            </w:pPr>
            <w:r>
              <w:rPr>
                <w:spacing w:val="1"/>
                <w:w w:val="104"/>
                <w:sz w:val="17"/>
              </w:rPr>
              <w:t>Comp</w:t>
            </w:r>
            <w:r>
              <w:rPr>
                <w:w w:val="104"/>
                <w:sz w:val="17"/>
              </w:rPr>
              <w:t>r</w:t>
            </w:r>
            <w:r>
              <w:rPr>
                <w:spacing w:val="1"/>
                <w:w w:val="104"/>
                <w:sz w:val="17"/>
              </w:rPr>
              <w:t>ado? S</w:t>
            </w:r>
            <w:r>
              <w:rPr>
                <w:w w:val="104"/>
                <w:sz w:val="17"/>
              </w:rPr>
              <w:t>I</w:t>
            </w:r>
            <w:r>
              <w:rPr>
                <w:spacing w:val="2"/>
                <w:sz w:val="17"/>
              </w:rPr>
              <w:t> </w:t>
            </w:r>
            <w:r>
              <w:rPr>
                <w:rFonts w:ascii="Arial" w:hAnsi="Arial"/>
                <w:w w:val="279"/>
                <w:sz w:val="17"/>
              </w:rPr>
              <w:t>¨</w:t>
            </w:r>
            <w:r>
              <w:rPr>
                <w:rFonts w:ascii="Arial" w:hAnsi="Arial"/>
                <w:sz w:val="17"/>
              </w:rPr>
              <w:t>  </w:t>
            </w:r>
            <w:r>
              <w:rPr>
                <w:rFonts w:ascii="Arial" w:hAnsi="Arial"/>
                <w:spacing w:val="-18"/>
                <w:sz w:val="17"/>
              </w:rPr>
              <w:t> </w:t>
            </w:r>
            <w:r>
              <w:rPr>
                <w:spacing w:val="1"/>
                <w:w w:val="104"/>
                <w:sz w:val="17"/>
              </w:rPr>
              <w:t>N</w:t>
            </w:r>
            <w:r>
              <w:rPr>
                <w:w w:val="104"/>
                <w:sz w:val="17"/>
              </w:rPr>
              <w:t>O</w:t>
            </w:r>
            <w:r>
              <w:rPr>
                <w:spacing w:val="3"/>
                <w:sz w:val="17"/>
              </w:rPr>
              <w:t> </w:t>
            </w:r>
            <w:r>
              <w:rPr>
                <w:rFonts w:ascii="Arial" w:hAnsi="Arial"/>
                <w:w w:val="279"/>
                <w:sz w:val="17"/>
              </w:rPr>
              <w:t>¨</w:t>
            </w:r>
          </w:p>
        </w:tc>
        <w:tc>
          <w:tcPr>
            <w:tcW w:w="7262" w:type="dxa"/>
            <w:gridSpan w:val="12"/>
            <w:tcBorders>
              <w:top w:val="single" w:sz="4" w:space="0" w:color="000000"/>
              <w:bottom w:val="single" w:sz="4" w:space="0" w:color="000000"/>
              <w:right w:val="nil"/>
            </w:tcBorders>
          </w:tcPr>
          <w:p>
            <w:pPr>
              <w:pStyle w:val="TableParagraph"/>
              <w:spacing w:before="93"/>
              <w:ind w:left="3353" w:right="3368"/>
              <w:jc w:val="center"/>
              <w:rPr>
                <w:sz w:val="24"/>
              </w:rPr>
            </w:pPr>
            <w:r>
              <w:rPr>
                <w:sz w:val="24"/>
              </w:rPr>
              <w:t>2011</w:t>
            </w:r>
          </w:p>
        </w:tc>
      </w:tr>
      <w:tr>
        <w:trPr>
          <w:trHeight w:val="566" w:hRule="exact"/>
        </w:trPr>
        <w:tc>
          <w:tcPr>
            <w:tcW w:w="442" w:type="dxa"/>
            <w:vMerge/>
            <w:tcBorders>
              <w:left w:val="nil"/>
              <w:right w:val="single" w:sz="4" w:space="0" w:color="000000"/>
            </w:tcBorders>
          </w:tcPr>
          <w:p>
            <w:pPr/>
          </w:p>
        </w:tc>
        <w:tc>
          <w:tcPr>
            <w:tcW w:w="2645" w:type="dxa"/>
            <w:vMerge/>
            <w:tcBorders>
              <w:left w:val="single" w:sz="4" w:space="0" w:color="000000"/>
              <w:right w:val="single" w:sz="4" w:space="0" w:color="000000"/>
            </w:tcBorders>
          </w:tcPr>
          <w:p>
            <w:pPr/>
          </w:p>
        </w:tc>
        <w:tc>
          <w:tcPr>
            <w:tcW w:w="504" w:type="dxa"/>
            <w:vMerge/>
            <w:tcBorders>
              <w:left w:val="single" w:sz="4" w:space="0" w:color="000000"/>
            </w:tcBorders>
            <w:textDirection w:val="btLr"/>
          </w:tcPr>
          <w:p>
            <w:pPr/>
          </w:p>
        </w:tc>
        <w:tc>
          <w:tcPr>
            <w:tcW w:w="595" w:type="dxa"/>
            <w:tcBorders>
              <w:top w:val="single" w:sz="4" w:space="0" w:color="000000"/>
              <w:bottom w:val="single" w:sz="4" w:space="0" w:color="000000"/>
              <w:right w:val="single" w:sz="4" w:space="0" w:color="000000"/>
            </w:tcBorders>
          </w:tcPr>
          <w:p>
            <w:pPr>
              <w:pStyle w:val="TableParagraph"/>
              <w:spacing w:before="131"/>
              <w:ind w:right="13"/>
              <w:jc w:val="center"/>
              <w:rPr>
                <w:sz w:val="24"/>
              </w:rPr>
            </w:pPr>
            <w:r>
              <w:rPr>
                <w:sz w:val="24"/>
              </w:rPr>
              <w:t>1</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2</w:t>
            </w:r>
          </w:p>
        </w:tc>
        <w:tc>
          <w:tcPr>
            <w:tcW w:w="528" w:type="dxa"/>
            <w:tcBorders>
              <w:top w:val="single" w:sz="4" w:space="0" w:color="000000"/>
              <w:left w:val="single" w:sz="4" w:space="0" w:color="000000"/>
              <w:bottom w:val="single" w:sz="4" w:space="0" w:color="000000"/>
              <w:right w:val="single" w:sz="4" w:space="0" w:color="000000"/>
            </w:tcBorders>
          </w:tcPr>
          <w:p>
            <w:pPr>
              <w:pStyle w:val="TableParagraph"/>
              <w:spacing w:before="131"/>
              <w:ind w:left="3"/>
              <w:jc w:val="center"/>
              <w:rPr>
                <w:sz w:val="24"/>
              </w:rPr>
            </w:pPr>
            <w:r>
              <w:rPr>
                <w:sz w:val="24"/>
              </w:rPr>
              <w:t>3</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2"/>
              <w:jc w:val="center"/>
              <w:rPr>
                <w:sz w:val="24"/>
              </w:rPr>
            </w:pPr>
            <w:r>
              <w:rPr>
                <w:sz w:val="24"/>
              </w:rPr>
              <w:t>6</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before="131"/>
              <w:ind w:left="4"/>
              <w:jc w:val="center"/>
              <w:rPr>
                <w:sz w:val="24"/>
              </w:rPr>
            </w:pPr>
            <w:r>
              <w:rPr>
                <w:sz w:val="24"/>
              </w:rPr>
              <w:t>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131"/>
              <w:ind w:right="3"/>
              <w:jc w:val="center"/>
              <w:rPr>
                <w:sz w:val="24"/>
              </w:rPr>
            </w:pPr>
            <w:r>
              <w:rPr>
                <w:sz w:val="24"/>
              </w:rPr>
              <w:t>8</w:t>
            </w:r>
          </w:p>
        </w:tc>
        <w:tc>
          <w:tcPr>
            <w:tcW w:w="643"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9</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left="135" w:right="137"/>
              <w:jc w:val="center"/>
              <w:rPr>
                <w:sz w:val="24"/>
              </w:rPr>
            </w:pPr>
            <w:r>
              <w:rPr>
                <w:sz w:val="24"/>
              </w:rPr>
              <w:t>10</w:t>
            </w:r>
          </w:p>
        </w:tc>
        <w:tc>
          <w:tcPr>
            <w:tcW w:w="672" w:type="dxa"/>
            <w:tcBorders>
              <w:top w:val="single" w:sz="4" w:space="0" w:color="000000"/>
              <w:left w:val="single" w:sz="4" w:space="0" w:color="000000"/>
              <w:bottom w:val="single" w:sz="4" w:space="0" w:color="000000"/>
              <w:right w:val="single" w:sz="4" w:space="0" w:color="000000"/>
            </w:tcBorders>
          </w:tcPr>
          <w:p>
            <w:pPr>
              <w:pStyle w:val="TableParagraph"/>
              <w:spacing w:before="131"/>
              <w:ind w:left="188" w:right="191"/>
              <w:jc w:val="center"/>
              <w:rPr>
                <w:sz w:val="24"/>
              </w:rPr>
            </w:pPr>
            <w:r>
              <w:rPr>
                <w:sz w:val="24"/>
              </w:rPr>
              <w:t>11</w:t>
            </w:r>
          </w:p>
        </w:tc>
        <w:tc>
          <w:tcPr>
            <w:tcW w:w="614" w:type="dxa"/>
            <w:tcBorders>
              <w:top w:val="single" w:sz="4" w:space="0" w:color="000000"/>
              <w:left w:val="single" w:sz="4" w:space="0" w:color="000000"/>
              <w:bottom w:val="single" w:sz="4" w:space="0" w:color="000000"/>
              <w:right w:val="nil"/>
            </w:tcBorders>
          </w:tcPr>
          <w:p>
            <w:pPr>
              <w:pStyle w:val="TableParagraph"/>
              <w:spacing w:before="131"/>
              <w:ind w:left="146" w:right="166"/>
              <w:jc w:val="center"/>
              <w:rPr>
                <w:sz w:val="24"/>
              </w:rPr>
            </w:pPr>
            <w:r>
              <w:rPr>
                <w:sz w:val="24"/>
              </w:rPr>
              <w:t>12</w:t>
            </w:r>
          </w:p>
        </w:tc>
      </w:tr>
      <w:tr>
        <w:trPr>
          <w:trHeight w:val="610" w:hRule="exact"/>
        </w:trPr>
        <w:tc>
          <w:tcPr>
            <w:tcW w:w="442" w:type="dxa"/>
            <w:vMerge w:val="restart"/>
            <w:tcBorders>
              <w:left w:val="nil"/>
              <w:right w:val="single" w:sz="4" w:space="0" w:color="000000"/>
            </w:tcBorders>
            <w:textDirection w:val="btLr"/>
          </w:tcPr>
          <w:p>
            <w:pPr>
              <w:pStyle w:val="TableParagraph"/>
              <w:spacing w:before="107"/>
              <w:ind w:left="183"/>
              <w:rPr>
                <w:sz w:val="24"/>
              </w:rPr>
            </w:pPr>
            <w:r>
              <w:rPr>
                <w:color w:val="FF0000"/>
                <w:sz w:val="24"/>
              </w:rPr>
              <w:t>Concentrado</w:t>
            </w:r>
          </w:p>
        </w:tc>
        <w:tc>
          <w:tcPr>
            <w:tcW w:w="2645" w:type="dxa"/>
            <w:tcBorders>
              <w:left w:val="single" w:sz="4" w:space="0" w:color="000000"/>
              <w:bottom w:val="single" w:sz="4" w:space="0" w:color="000000"/>
              <w:right w:val="single" w:sz="4" w:space="0" w:color="000000"/>
            </w:tcBorders>
          </w:tcPr>
          <w:p>
            <w:pPr>
              <w:pStyle w:val="TableParagraph"/>
              <w:tabs>
                <w:tab w:pos="2235" w:val="left" w:leader="none"/>
              </w:tabs>
              <w:spacing w:before="6"/>
              <w:ind w:left="100" w:right="324"/>
              <w:rPr>
                <w:sz w:val="24"/>
              </w:rPr>
            </w:pPr>
            <w:r>
              <w:rPr>
                <w:sz w:val="24"/>
              </w:rPr>
              <w:t>Comercial [</w:t>
              <w:tab/>
              <w:t>] (proporción)</w:t>
            </w:r>
          </w:p>
        </w:tc>
        <w:tc>
          <w:tcPr>
            <w:tcW w:w="504" w:type="dxa"/>
            <w:tcBorders>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1271" w:right="1271"/>
              <w:jc w:val="center"/>
              <w:rPr>
                <w:sz w:val="24"/>
              </w:rPr>
            </w:pPr>
            <w:r>
              <w:rPr>
                <w:color w:val="0070C0"/>
                <w:sz w:val="24"/>
              </w:rPr>
              <w:t>Forraje</w:t>
            </w:r>
          </w:p>
        </w:tc>
        <w:tc>
          <w:tcPr>
            <w:tcW w:w="2645" w:type="dxa"/>
            <w:tcBorders>
              <w:left w:val="single" w:sz="4" w:space="0" w:color="000000"/>
              <w:bottom w:val="single" w:sz="4" w:space="0" w:color="000000"/>
              <w:right w:val="single" w:sz="4" w:space="0" w:color="000000"/>
            </w:tcBorders>
          </w:tcPr>
          <w:p>
            <w:pPr>
              <w:pStyle w:val="TableParagraph"/>
              <w:spacing w:before="6"/>
              <w:ind w:left="100"/>
              <w:rPr>
                <w:sz w:val="24"/>
              </w:rPr>
            </w:pPr>
            <w:r>
              <w:rPr>
                <w:sz w:val="24"/>
              </w:rPr>
              <w:t>Alfalfa (</w:t>
            </w:r>
            <w:r>
              <w:rPr>
                <w:i/>
                <w:sz w:val="24"/>
              </w:rPr>
              <w:t>Medicago sativa</w:t>
            </w:r>
            <w:r>
              <w:rPr>
                <w:sz w:val="24"/>
              </w:rPr>
              <w:t>)</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412"/>
              <w:rPr>
                <w:sz w:val="24"/>
              </w:rPr>
            </w:pPr>
            <w:r>
              <w:rPr>
                <w:sz w:val="24"/>
              </w:rPr>
              <w:t>Ensilado de maíz (</w:t>
            </w:r>
            <w:r>
              <w:rPr>
                <w:i/>
                <w:sz w:val="24"/>
              </w:rPr>
              <w:t>Zea </w:t>
            </w:r>
            <w:r>
              <w:rPr>
                <w:i/>
                <w:sz w:val="24"/>
              </w:rPr>
              <w:t>mays</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Maíz picado</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321"/>
              <w:rPr>
                <w:sz w:val="24"/>
              </w:rPr>
            </w:pPr>
            <w:r>
              <w:rPr>
                <w:sz w:val="24"/>
              </w:rPr>
              <w:t>Heno de avena (</w:t>
            </w:r>
            <w:r>
              <w:rPr>
                <w:i/>
                <w:sz w:val="24"/>
              </w:rPr>
              <w:t>Avena </w:t>
            </w:r>
            <w:r>
              <w:rPr>
                <w:i/>
                <w:sz w:val="24"/>
              </w:rPr>
              <w:t>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6"/>
              <w:ind w:left="100" w:right="84"/>
              <w:rPr>
                <w:sz w:val="24"/>
              </w:rPr>
            </w:pPr>
            <w:r>
              <w:rPr>
                <w:sz w:val="24"/>
              </w:rPr>
              <w:t>Ebo (</w:t>
            </w:r>
            <w:r>
              <w:rPr>
                <w:i/>
                <w:sz w:val="24"/>
              </w:rPr>
              <w:t>Vicia 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Style w:val="TableParagraph"/>
              <w:spacing w:before="2"/>
              <w:ind w:left="100" w:right="84"/>
              <w:rPr>
                <w:sz w:val="24"/>
              </w:rPr>
            </w:pPr>
            <w:r>
              <w:rPr>
                <w:sz w:val="24"/>
              </w:rPr>
              <w:t>Rastrojo de maíz</w:t>
            </w: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222"/>
              <w:rPr>
                <w:sz w:val="24"/>
              </w:rPr>
            </w:pPr>
            <w:r>
              <w:rPr>
                <w:color w:val="E36C0A"/>
                <w:sz w:val="24"/>
              </w:rPr>
              <w:t>Vitaminas y minerales</w:t>
            </w:r>
          </w:p>
        </w:tc>
        <w:tc>
          <w:tcPr>
            <w:tcW w:w="2645" w:type="dxa"/>
            <w:tcBorders>
              <w:left w:val="single" w:sz="4" w:space="0" w:color="000000"/>
              <w:bottom w:val="single" w:sz="4" w:space="0" w:color="000000"/>
              <w:right w:val="single" w:sz="4" w:space="0" w:color="000000"/>
            </w:tcBorders>
          </w:tcPr>
          <w:p>
            <w:pPr>
              <w:pStyle w:val="TableParagraph"/>
              <w:spacing w:before="2"/>
              <w:ind w:left="100" w:right="84"/>
              <w:rPr>
                <w:sz w:val="24"/>
              </w:rPr>
            </w:pPr>
            <w:r>
              <w:rPr>
                <w:sz w:val="24"/>
              </w:rPr>
              <w:t>Suplementos minerales</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Sal</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bl>
    <w:p>
      <w:pPr>
        <w:spacing w:after="0"/>
        <w:sectPr>
          <w:headerReference w:type="default" r:id="rId261"/>
          <w:footerReference w:type="default" r:id="rId262"/>
          <w:pgSz w:w="12240" w:h="15840"/>
          <w:pgMar w:header="0" w:footer="564" w:top="660" w:bottom="760" w:left="580" w:right="540"/>
          <w:pgNumType w:start="178"/>
        </w:sectPr>
      </w:pPr>
    </w:p>
    <w:p>
      <w:pPr>
        <w:spacing w:line="169" w:lineRule="exact" w:before="56"/>
        <w:ind w:left="0" w:right="127" w:firstLine="0"/>
        <w:jc w:val="right"/>
        <w:rPr>
          <w:rFonts w:ascii="Calibri" w:hAnsi="Calibri"/>
          <w:b/>
          <w:i/>
          <w:sz w:val="14"/>
        </w:rPr>
      </w:pPr>
      <w:r>
        <w:rPr/>
        <w:pict>
          <v:group style="position:absolute;margin-left:29.982389pt;margin-top:34.302399pt;width:553pt;height:732.75pt;mso-position-horizontal-relative:page;mso-position-vertical-relative:page;z-index:-305776"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hAnsi="Calibri"/>
          <w:b/>
          <w:i/>
          <w:sz w:val="14"/>
        </w:rPr>
        <w:t>Estimación de las emisiones en bovinos en los sistema de producción lechera en pequeña escala</w:t>
      </w:r>
    </w:p>
    <w:p>
      <w:pPr>
        <w:spacing w:line="169" w:lineRule="exact" w:before="0"/>
        <w:ind w:left="0" w:right="126" w:firstLine="0"/>
        <w:jc w:val="right"/>
        <w:rPr>
          <w:rFonts w:ascii="Calibri" w:hAnsi="Calibri"/>
          <w:b/>
          <w:i/>
          <w:sz w:val="14"/>
        </w:rPr>
      </w:pPr>
      <w:r>
        <w:rPr>
          <w:rFonts w:ascii="Calibri" w:hAnsi="Calibri"/>
          <w:b/>
          <w:i/>
          <w:sz w:val="14"/>
        </w:rPr>
        <w:t>a través del factor de conversión de metano</w:t>
      </w:r>
    </w:p>
    <w:p>
      <w:pPr>
        <w:spacing w:before="2" w:after="6"/>
        <w:ind w:left="0" w:right="127" w:firstLine="0"/>
        <w:jc w:val="right"/>
        <w:rPr>
          <w:rFonts w:ascii="Calibri" w:hAnsi="Calibri"/>
          <w:b/>
          <w:i/>
          <w:sz w:val="14"/>
        </w:rPr>
      </w:pPr>
      <w:r>
        <w:rPr>
          <w:rFonts w:ascii="Calibri" w:hAnsi="Calibri"/>
          <w:b/>
          <w:i/>
          <w:sz w:val="14"/>
        </w:rPr>
        <w:t>M. en E. S. Noé Zúñiga-González</w:t>
      </w: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621"/>
        <w:gridCol w:w="970"/>
        <w:gridCol w:w="595"/>
        <w:gridCol w:w="701"/>
        <w:gridCol w:w="528"/>
        <w:gridCol w:w="610"/>
        <w:gridCol w:w="566"/>
        <w:gridCol w:w="566"/>
        <w:gridCol w:w="595"/>
        <w:gridCol w:w="605"/>
        <w:gridCol w:w="643"/>
        <w:gridCol w:w="566"/>
        <w:gridCol w:w="672"/>
        <w:gridCol w:w="614"/>
      </w:tblGrid>
      <w:tr>
        <w:trPr>
          <w:trHeight w:val="470" w:hRule="exact"/>
        </w:trPr>
        <w:tc>
          <w:tcPr>
            <w:tcW w:w="2621" w:type="dxa"/>
            <w:tcBorders>
              <w:left w:val="nil"/>
              <w:right w:val="single" w:sz="4" w:space="0" w:color="000000"/>
            </w:tcBorders>
            <w:shd w:val="clear" w:color="auto" w:fill="943634"/>
          </w:tcPr>
          <w:p>
            <w:pPr>
              <w:pStyle w:val="TableParagraph"/>
              <w:spacing w:before="74"/>
              <w:ind w:left="105"/>
              <w:rPr>
                <w:sz w:val="24"/>
              </w:rPr>
            </w:pPr>
            <w:r>
              <w:rPr>
                <w:color w:val="FFFFFF"/>
                <w:sz w:val="24"/>
              </w:rPr>
              <w:t>Grupo de alimentación:</w:t>
            </w:r>
          </w:p>
        </w:tc>
        <w:tc>
          <w:tcPr>
            <w:tcW w:w="8232" w:type="dxa"/>
            <w:gridSpan w:val="13"/>
            <w:tcBorders>
              <w:left w:val="single" w:sz="4" w:space="0" w:color="000000"/>
              <w:bottom w:val="single" w:sz="29" w:space="0" w:color="000000"/>
              <w:right w:val="single" w:sz="4" w:space="0" w:color="000000"/>
            </w:tcBorders>
            <w:shd w:val="clear" w:color="auto" w:fill="943634"/>
          </w:tcPr>
          <w:p>
            <w:pPr>
              <w:pStyle w:val="TableParagraph"/>
              <w:spacing w:before="74"/>
              <w:ind w:left="100"/>
              <w:rPr>
                <w:sz w:val="24"/>
              </w:rPr>
            </w:pPr>
            <w:r>
              <w:rPr>
                <w:b/>
                <w:color w:val="FFFFFF"/>
                <w:sz w:val="24"/>
              </w:rPr>
              <w:t>VAQUILLAS. </w:t>
            </w:r>
            <w:r>
              <w:rPr>
                <w:color w:val="FFFFFF"/>
                <w:sz w:val="24"/>
              </w:rPr>
              <w:t>Novilla que se diagnosticó como preñada (preñada, 1er. Parto).</w:t>
            </w:r>
          </w:p>
        </w:tc>
      </w:tr>
      <w:tr>
        <w:trPr>
          <w:trHeight w:val="427" w:hRule="exact"/>
        </w:trPr>
        <w:tc>
          <w:tcPr>
            <w:tcW w:w="3590" w:type="dxa"/>
            <w:gridSpan w:val="2"/>
            <w:tcBorders>
              <w:left w:val="nil"/>
            </w:tcBorders>
          </w:tcPr>
          <w:p>
            <w:pPr>
              <w:pStyle w:val="TableParagraph"/>
              <w:spacing w:before="54"/>
              <w:ind w:left="1180"/>
              <w:rPr>
                <w:b/>
                <w:sz w:val="24"/>
              </w:rPr>
            </w:pPr>
            <w:r>
              <w:rPr>
                <w:sz w:val="24"/>
              </w:rPr>
              <w:t>Número de animales </w:t>
            </w:r>
            <w:r>
              <w:rPr>
                <w:b/>
                <w:sz w:val="24"/>
              </w:rPr>
              <w:t>→</w:t>
            </w:r>
          </w:p>
        </w:tc>
        <w:tc>
          <w:tcPr>
            <w:tcW w:w="595" w:type="dxa"/>
            <w:tcBorders>
              <w:right w:val="single" w:sz="4" w:space="0" w:color="000000"/>
            </w:tcBorders>
          </w:tcPr>
          <w:p>
            <w:pPr/>
          </w:p>
        </w:tc>
        <w:tc>
          <w:tcPr>
            <w:tcW w:w="701" w:type="dxa"/>
            <w:tcBorders>
              <w:left w:val="single" w:sz="4" w:space="0" w:color="000000"/>
              <w:right w:val="single" w:sz="4" w:space="0" w:color="000000"/>
            </w:tcBorders>
          </w:tcPr>
          <w:p>
            <w:pPr/>
          </w:p>
        </w:tc>
        <w:tc>
          <w:tcPr>
            <w:tcW w:w="528" w:type="dxa"/>
            <w:tcBorders>
              <w:left w:val="single" w:sz="4" w:space="0" w:color="000000"/>
              <w:right w:val="single" w:sz="4" w:space="0" w:color="000000"/>
            </w:tcBorders>
          </w:tcPr>
          <w:p>
            <w:pPr/>
          </w:p>
        </w:tc>
        <w:tc>
          <w:tcPr>
            <w:tcW w:w="610"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595" w:type="dxa"/>
            <w:tcBorders>
              <w:left w:val="single" w:sz="4" w:space="0" w:color="000000"/>
              <w:right w:val="single" w:sz="4" w:space="0" w:color="000000"/>
            </w:tcBorders>
          </w:tcPr>
          <w:p>
            <w:pPr/>
          </w:p>
        </w:tc>
        <w:tc>
          <w:tcPr>
            <w:tcW w:w="605" w:type="dxa"/>
            <w:tcBorders>
              <w:left w:val="single" w:sz="4" w:space="0" w:color="000000"/>
              <w:right w:val="single" w:sz="4" w:space="0" w:color="000000"/>
            </w:tcBorders>
          </w:tcPr>
          <w:p>
            <w:pPr/>
          </w:p>
        </w:tc>
        <w:tc>
          <w:tcPr>
            <w:tcW w:w="643" w:type="dxa"/>
            <w:tcBorders>
              <w:left w:val="single" w:sz="4" w:space="0" w:color="000000"/>
              <w:right w:val="single" w:sz="4" w:space="0" w:color="000000"/>
            </w:tcBorders>
          </w:tcPr>
          <w:p>
            <w:pPr/>
          </w:p>
        </w:tc>
        <w:tc>
          <w:tcPr>
            <w:tcW w:w="566" w:type="dxa"/>
            <w:tcBorders>
              <w:left w:val="single" w:sz="4" w:space="0" w:color="000000"/>
              <w:right w:val="single" w:sz="4" w:space="0" w:color="000000"/>
            </w:tcBorders>
          </w:tcPr>
          <w:p>
            <w:pPr/>
          </w:p>
        </w:tc>
        <w:tc>
          <w:tcPr>
            <w:tcW w:w="672" w:type="dxa"/>
            <w:tcBorders>
              <w:left w:val="single" w:sz="4" w:space="0" w:color="000000"/>
              <w:right w:val="single" w:sz="4" w:space="0" w:color="000000"/>
            </w:tcBorders>
          </w:tcPr>
          <w:p>
            <w:pPr/>
          </w:p>
        </w:tc>
        <w:tc>
          <w:tcPr>
            <w:tcW w:w="614" w:type="dxa"/>
            <w:tcBorders>
              <w:left w:val="single" w:sz="4" w:space="0" w:color="000000"/>
              <w:right w:val="nil"/>
            </w:tcBorders>
          </w:tcPr>
          <w:p>
            <w:pPr/>
          </w:p>
        </w:tc>
      </w:tr>
      <w:tr>
        <w:trPr>
          <w:trHeight w:val="235" w:hRule="exact"/>
        </w:trPr>
        <w:tc>
          <w:tcPr>
            <w:tcW w:w="3590" w:type="dxa"/>
            <w:gridSpan w:val="2"/>
            <w:tcBorders>
              <w:left w:val="nil"/>
              <w:bottom w:val="nil"/>
            </w:tcBorders>
          </w:tcPr>
          <w:p>
            <w:pPr/>
          </w:p>
        </w:tc>
        <w:tc>
          <w:tcPr>
            <w:tcW w:w="7262" w:type="dxa"/>
            <w:gridSpan w:val="12"/>
            <w:tcBorders>
              <w:bottom w:val="nil"/>
              <w:right w:val="nil"/>
            </w:tcBorders>
          </w:tcPr>
          <w:p>
            <w:pPr>
              <w:pStyle w:val="TableParagraph"/>
              <w:spacing w:line="259" w:lineRule="exact" w:before="2"/>
              <w:ind w:left="3353" w:right="3368"/>
              <w:jc w:val="center"/>
              <w:rPr>
                <w:sz w:val="24"/>
              </w:rPr>
            </w:pPr>
            <w:r>
              <w:rPr>
                <w:sz w:val="24"/>
              </w:rPr>
              <w:t>2011</w:t>
            </w:r>
          </w:p>
        </w:tc>
      </w:tr>
    </w:tbl>
    <w:p>
      <w:pPr>
        <w:pStyle w:val="BodyText"/>
        <w:spacing w:before="6"/>
        <w:rPr>
          <w:rFonts w:ascii="Calibri"/>
          <w:b/>
          <w:i/>
          <w:sz w:val="5"/>
        </w:rPr>
      </w:pPr>
    </w:p>
    <w:tbl>
      <w:tblPr>
        <w:tblW w:w="0" w:type="auto"/>
        <w:jc w:val="left"/>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2"/>
        <w:gridCol w:w="2645"/>
        <w:gridCol w:w="504"/>
        <w:gridCol w:w="595"/>
        <w:gridCol w:w="701"/>
        <w:gridCol w:w="528"/>
        <w:gridCol w:w="610"/>
        <w:gridCol w:w="566"/>
        <w:gridCol w:w="566"/>
        <w:gridCol w:w="595"/>
        <w:gridCol w:w="605"/>
        <w:gridCol w:w="643"/>
        <w:gridCol w:w="566"/>
        <w:gridCol w:w="672"/>
        <w:gridCol w:w="614"/>
      </w:tblGrid>
      <w:tr>
        <w:trPr>
          <w:trHeight w:val="322" w:hRule="exact"/>
        </w:trPr>
        <w:tc>
          <w:tcPr>
            <w:tcW w:w="3590" w:type="dxa"/>
            <w:gridSpan w:val="3"/>
            <w:tcBorders>
              <w:left w:val="nil"/>
            </w:tcBorders>
          </w:tcPr>
          <w:p>
            <w:pPr>
              <w:pStyle w:val="TableParagraph"/>
              <w:spacing w:before="2"/>
              <w:ind w:left="1799"/>
              <w:rPr>
                <w:b/>
                <w:sz w:val="24"/>
              </w:rPr>
            </w:pPr>
            <w:r>
              <w:rPr>
                <w:sz w:val="24"/>
              </w:rPr>
              <w:t>Meses del año </w:t>
            </w:r>
            <w:r>
              <w:rPr>
                <w:b/>
                <w:sz w:val="24"/>
              </w:rPr>
              <w:t>→</w:t>
            </w:r>
          </w:p>
        </w:tc>
        <w:tc>
          <w:tcPr>
            <w:tcW w:w="595" w:type="dxa"/>
            <w:tcBorders>
              <w:bottom w:val="single" w:sz="4" w:space="0" w:color="000000"/>
              <w:right w:val="single" w:sz="4" w:space="0" w:color="000000"/>
            </w:tcBorders>
          </w:tcPr>
          <w:p>
            <w:pPr>
              <w:pStyle w:val="TableParagraph"/>
              <w:spacing w:before="2"/>
              <w:ind w:right="13"/>
              <w:jc w:val="center"/>
              <w:rPr>
                <w:sz w:val="24"/>
              </w:rPr>
            </w:pPr>
            <w:r>
              <w:rPr>
                <w:sz w:val="24"/>
              </w:rPr>
              <w:t>1</w:t>
            </w:r>
          </w:p>
        </w:tc>
        <w:tc>
          <w:tcPr>
            <w:tcW w:w="701"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2</w:t>
            </w:r>
          </w:p>
        </w:tc>
        <w:tc>
          <w:tcPr>
            <w:tcW w:w="528" w:type="dxa"/>
            <w:tcBorders>
              <w:left w:val="single" w:sz="4" w:space="0" w:color="000000"/>
              <w:bottom w:val="single" w:sz="4" w:space="0" w:color="000000"/>
              <w:right w:val="single" w:sz="4" w:space="0" w:color="000000"/>
            </w:tcBorders>
          </w:tcPr>
          <w:p>
            <w:pPr>
              <w:pStyle w:val="TableParagraph"/>
              <w:spacing w:before="2"/>
              <w:ind w:left="3"/>
              <w:jc w:val="center"/>
              <w:rPr>
                <w:sz w:val="24"/>
              </w:rPr>
            </w:pPr>
            <w:r>
              <w:rPr>
                <w:sz w:val="24"/>
              </w:rPr>
              <w:t>3</w:t>
            </w:r>
          </w:p>
        </w:tc>
        <w:tc>
          <w:tcPr>
            <w:tcW w:w="610" w:type="dxa"/>
            <w:tcBorders>
              <w:left w:val="single" w:sz="4" w:space="0" w:color="000000"/>
              <w:bottom w:val="single" w:sz="4" w:space="0" w:color="000000"/>
              <w:right w:val="single" w:sz="4" w:space="0" w:color="000000"/>
            </w:tcBorders>
          </w:tcPr>
          <w:p>
            <w:pPr>
              <w:pStyle w:val="TableParagraph"/>
              <w:spacing w:before="2"/>
              <w:ind w:right="4"/>
              <w:jc w:val="center"/>
              <w:rPr>
                <w:sz w:val="24"/>
              </w:rPr>
            </w:pPr>
            <w:r>
              <w:rPr>
                <w:sz w:val="24"/>
              </w:rPr>
              <w:t>4</w:t>
            </w:r>
          </w:p>
        </w:tc>
        <w:tc>
          <w:tcPr>
            <w:tcW w:w="566"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5</w:t>
            </w:r>
          </w:p>
        </w:tc>
        <w:tc>
          <w:tcPr>
            <w:tcW w:w="566" w:type="dxa"/>
            <w:tcBorders>
              <w:left w:val="single" w:sz="4" w:space="0" w:color="000000"/>
              <w:bottom w:val="single" w:sz="4" w:space="0" w:color="000000"/>
              <w:right w:val="single" w:sz="4" w:space="0" w:color="000000"/>
            </w:tcBorders>
          </w:tcPr>
          <w:p>
            <w:pPr>
              <w:pStyle w:val="TableParagraph"/>
              <w:spacing w:before="2"/>
              <w:ind w:right="2"/>
              <w:jc w:val="center"/>
              <w:rPr>
                <w:sz w:val="24"/>
              </w:rPr>
            </w:pPr>
            <w:r>
              <w:rPr>
                <w:sz w:val="24"/>
              </w:rPr>
              <w:t>6</w:t>
            </w:r>
          </w:p>
        </w:tc>
        <w:tc>
          <w:tcPr>
            <w:tcW w:w="595" w:type="dxa"/>
            <w:tcBorders>
              <w:left w:val="single" w:sz="4" w:space="0" w:color="000000"/>
              <w:bottom w:val="single" w:sz="4" w:space="0" w:color="000000"/>
              <w:right w:val="single" w:sz="4" w:space="0" w:color="000000"/>
            </w:tcBorders>
          </w:tcPr>
          <w:p>
            <w:pPr>
              <w:pStyle w:val="TableParagraph"/>
              <w:spacing w:before="2"/>
              <w:ind w:left="4"/>
              <w:jc w:val="center"/>
              <w:rPr>
                <w:sz w:val="24"/>
              </w:rPr>
            </w:pPr>
            <w:r>
              <w:rPr>
                <w:sz w:val="24"/>
              </w:rPr>
              <w:t>7</w:t>
            </w:r>
          </w:p>
        </w:tc>
        <w:tc>
          <w:tcPr>
            <w:tcW w:w="605" w:type="dxa"/>
            <w:tcBorders>
              <w:left w:val="single" w:sz="4" w:space="0" w:color="000000"/>
              <w:bottom w:val="single" w:sz="4" w:space="0" w:color="000000"/>
              <w:right w:val="single" w:sz="4" w:space="0" w:color="000000"/>
            </w:tcBorders>
          </w:tcPr>
          <w:p>
            <w:pPr>
              <w:pStyle w:val="TableParagraph"/>
              <w:spacing w:before="2"/>
              <w:ind w:left="1"/>
              <w:jc w:val="center"/>
              <w:rPr>
                <w:sz w:val="24"/>
              </w:rPr>
            </w:pPr>
            <w:r>
              <w:rPr>
                <w:sz w:val="24"/>
              </w:rPr>
              <w:t>8</w:t>
            </w:r>
          </w:p>
        </w:tc>
        <w:tc>
          <w:tcPr>
            <w:tcW w:w="643" w:type="dxa"/>
            <w:tcBorders>
              <w:left w:val="single" w:sz="4" w:space="0" w:color="000000"/>
              <w:bottom w:val="single" w:sz="4" w:space="0" w:color="000000"/>
              <w:right w:val="single" w:sz="4" w:space="0" w:color="000000"/>
            </w:tcBorders>
          </w:tcPr>
          <w:p>
            <w:pPr>
              <w:pStyle w:val="TableParagraph"/>
              <w:spacing w:before="2"/>
              <w:ind w:right="1"/>
              <w:jc w:val="center"/>
              <w:rPr>
                <w:sz w:val="24"/>
              </w:rPr>
            </w:pPr>
            <w:r>
              <w:rPr>
                <w:sz w:val="24"/>
              </w:rPr>
              <w:t>9</w:t>
            </w:r>
          </w:p>
        </w:tc>
        <w:tc>
          <w:tcPr>
            <w:tcW w:w="566" w:type="dxa"/>
            <w:tcBorders>
              <w:left w:val="single" w:sz="4" w:space="0" w:color="000000"/>
              <w:bottom w:val="single" w:sz="4" w:space="0" w:color="000000"/>
              <w:right w:val="single" w:sz="4" w:space="0" w:color="000000"/>
            </w:tcBorders>
          </w:tcPr>
          <w:p>
            <w:pPr>
              <w:pStyle w:val="TableParagraph"/>
              <w:spacing w:before="2"/>
              <w:ind w:left="135" w:right="137"/>
              <w:jc w:val="center"/>
              <w:rPr>
                <w:sz w:val="24"/>
              </w:rPr>
            </w:pPr>
            <w:r>
              <w:rPr>
                <w:sz w:val="24"/>
              </w:rPr>
              <w:t>10</w:t>
            </w:r>
          </w:p>
        </w:tc>
        <w:tc>
          <w:tcPr>
            <w:tcW w:w="672" w:type="dxa"/>
            <w:tcBorders>
              <w:left w:val="single" w:sz="4" w:space="0" w:color="000000"/>
              <w:bottom w:val="single" w:sz="4" w:space="0" w:color="000000"/>
              <w:right w:val="single" w:sz="4" w:space="0" w:color="000000"/>
            </w:tcBorders>
          </w:tcPr>
          <w:p>
            <w:pPr>
              <w:pStyle w:val="TableParagraph"/>
              <w:spacing w:before="2"/>
              <w:ind w:left="188" w:right="191"/>
              <w:jc w:val="center"/>
              <w:rPr>
                <w:sz w:val="24"/>
              </w:rPr>
            </w:pPr>
            <w:r>
              <w:rPr>
                <w:sz w:val="24"/>
              </w:rPr>
              <w:t>11</w:t>
            </w:r>
          </w:p>
        </w:tc>
        <w:tc>
          <w:tcPr>
            <w:tcW w:w="614" w:type="dxa"/>
            <w:tcBorders>
              <w:left w:val="single" w:sz="4" w:space="0" w:color="000000"/>
              <w:bottom w:val="single" w:sz="4" w:space="0" w:color="000000"/>
              <w:right w:val="nil"/>
            </w:tcBorders>
          </w:tcPr>
          <w:p>
            <w:pPr>
              <w:pStyle w:val="TableParagraph"/>
              <w:spacing w:before="2"/>
              <w:ind w:left="153" w:right="159"/>
              <w:jc w:val="center"/>
              <w:rPr>
                <w:sz w:val="24"/>
              </w:rPr>
            </w:pPr>
            <w:r>
              <w:rPr>
                <w:sz w:val="24"/>
              </w:rPr>
              <w:t>12</w:t>
            </w:r>
          </w:p>
        </w:tc>
      </w:tr>
      <w:tr>
        <w:trPr>
          <w:trHeight w:val="326"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6"/>
              <w:ind w:left="1079" w:right="668"/>
              <w:rPr>
                <w:b/>
                <w:sz w:val="24"/>
              </w:rPr>
            </w:pPr>
            <w:r>
              <w:rPr>
                <w:b/>
                <w:sz w:val="24"/>
              </w:rPr>
              <w:t>Tiempo y cantidad de la alimentación por pastoreo</w:t>
            </w:r>
          </w:p>
        </w:tc>
      </w:tr>
      <w:tr>
        <w:trPr>
          <w:trHeight w:val="557" w:hRule="exact"/>
        </w:trPr>
        <w:tc>
          <w:tcPr>
            <w:tcW w:w="442" w:type="dxa"/>
            <w:vMerge w:val="restart"/>
            <w:tcBorders>
              <w:left w:val="nil"/>
              <w:right w:val="single" w:sz="4" w:space="0" w:color="000000"/>
            </w:tcBorders>
            <w:textDirection w:val="btLr"/>
          </w:tcPr>
          <w:p>
            <w:pPr>
              <w:pStyle w:val="TableParagraph"/>
              <w:spacing w:before="107"/>
              <w:ind w:left="466"/>
              <w:rPr>
                <w:sz w:val="24"/>
              </w:rPr>
            </w:pPr>
            <w:r>
              <w:rPr>
                <w:color w:val="00B050"/>
                <w:sz w:val="24"/>
              </w:rPr>
              <w:t>Pastura</w:t>
            </w:r>
          </w:p>
        </w:tc>
        <w:tc>
          <w:tcPr>
            <w:tcW w:w="3149" w:type="dxa"/>
            <w:gridSpan w:val="2"/>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Cantidad</w:t>
            </w:r>
          </w:p>
          <w:p>
            <w:pPr>
              <w:pStyle w:val="TableParagraph"/>
              <w:spacing w:before="4"/>
              <w:ind w:left="100"/>
              <w:rPr>
                <w:sz w:val="19"/>
              </w:rPr>
            </w:pPr>
            <w:r>
              <w:rPr>
                <w:w w:val="105"/>
                <w:sz w:val="19"/>
              </w:rPr>
              <w:t>(kg/vaca/día)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6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Porcentaje</w:t>
            </w:r>
          </w:p>
          <w:p>
            <w:pPr>
              <w:pStyle w:val="TableParagraph"/>
              <w:spacing w:before="4"/>
              <w:ind w:left="100"/>
              <w:rPr>
                <w:sz w:val="19"/>
              </w:rPr>
            </w:pPr>
            <w:r>
              <w:rPr>
                <w:w w:val="105"/>
                <w:sz w:val="19"/>
              </w:rPr>
              <w:t>(% total de alimento)</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76" w:hRule="exact"/>
        </w:trPr>
        <w:tc>
          <w:tcPr>
            <w:tcW w:w="442" w:type="dxa"/>
            <w:vMerge/>
            <w:tcBorders>
              <w:left w:val="nil"/>
              <w:right w:val="single" w:sz="4" w:space="0" w:color="000000"/>
            </w:tcBorders>
            <w:textDirection w:val="btLr"/>
          </w:tcPr>
          <w:p>
            <w:pPr/>
          </w:p>
        </w:tc>
        <w:tc>
          <w:tcPr>
            <w:tcW w:w="3149" w:type="dxa"/>
            <w:gridSpan w:val="2"/>
            <w:tcBorders>
              <w:top w:val="single" w:sz="4" w:space="0" w:color="000000"/>
              <w:left w:val="single" w:sz="4" w:space="0" w:color="000000"/>
              <w:right w:val="single" w:sz="4" w:space="0" w:color="000000"/>
            </w:tcBorders>
          </w:tcPr>
          <w:p>
            <w:pPr>
              <w:pStyle w:val="TableParagraph"/>
              <w:spacing w:before="21"/>
              <w:ind w:left="100"/>
              <w:rPr>
                <w:sz w:val="24"/>
              </w:rPr>
            </w:pPr>
            <w:r>
              <w:rPr>
                <w:sz w:val="24"/>
              </w:rPr>
              <w:t>Horas</w:t>
            </w:r>
          </w:p>
          <w:p>
            <w:pPr>
              <w:pStyle w:val="TableParagraph"/>
              <w:spacing w:before="4"/>
              <w:ind w:left="100"/>
              <w:rPr>
                <w:sz w:val="19"/>
              </w:rPr>
            </w:pPr>
            <w:r>
              <w:rPr>
                <w:w w:val="105"/>
                <w:sz w:val="19"/>
              </w:rPr>
              <w:t>(horas/día)</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605" w:hRule="exact"/>
        </w:trPr>
        <w:tc>
          <w:tcPr>
            <w:tcW w:w="3590" w:type="dxa"/>
            <w:gridSpan w:val="3"/>
            <w:tcBorders>
              <w:left w:val="nil"/>
            </w:tcBorders>
          </w:tcPr>
          <w:p>
            <w:pPr/>
          </w:p>
        </w:tc>
        <w:tc>
          <w:tcPr>
            <w:tcW w:w="7262" w:type="dxa"/>
            <w:gridSpan w:val="12"/>
            <w:tcBorders>
              <w:top w:val="single" w:sz="4" w:space="0" w:color="000000"/>
              <w:bottom w:val="single" w:sz="4" w:space="0" w:color="000000"/>
              <w:right w:val="nil"/>
            </w:tcBorders>
          </w:tcPr>
          <w:p>
            <w:pPr>
              <w:pStyle w:val="TableParagraph"/>
              <w:spacing w:before="11"/>
              <w:ind w:left="1443" w:right="668" w:hanging="774"/>
              <w:rPr>
                <w:b/>
                <w:sz w:val="24"/>
              </w:rPr>
            </w:pPr>
            <w:r>
              <w:rPr>
                <w:b/>
                <w:sz w:val="24"/>
              </w:rPr>
              <w:t>Cantidad de alimentación de forrajes, concentrados y otros suplementos (kg/vaca/día en Materia Seca)</w:t>
            </w:r>
          </w:p>
        </w:tc>
      </w:tr>
      <w:tr>
        <w:trPr>
          <w:trHeight w:val="461" w:hRule="exact"/>
        </w:trPr>
        <w:tc>
          <w:tcPr>
            <w:tcW w:w="442" w:type="dxa"/>
            <w:vMerge w:val="restart"/>
            <w:tcBorders>
              <w:left w:val="nil"/>
              <w:right w:val="single" w:sz="4" w:space="0" w:color="000000"/>
            </w:tcBorders>
          </w:tcPr>
          <w:p>
            <w:pPr/>
          </w:p>
        </w:tc>
        <w:tc>
          <w:tcPr>
            <w:tcW w:w="2645" w:type="dxa"/>
            <w:vMerge w:val="restart"/>
            <w:tcBorders>
              <w:left w:val="single" w:sz="4" w:space="0" w:color="000000"/>
              <w:right w:val="single" w:sz="4" w:space="0" w:color="000000"/>
            </w:tcBorders>
          </w:tcPr>
          <w:p>
            <w:pPr>
              <w:pStyle w:val="TableParagraph"/>
              <w:spacing w:before="213"/>
              <w:ind w:left="668" w:right="84" w:hanging="571"/>
              <w:rPr>
                <w:sz w:val="24"/>
              </w:rPr>
            </w:pPr>
            <w:r>
              <w:rPr>
                <w:sz w:val="24"/>
              </w:rPr>
              <w:t>Nombre y descripción de los alimentos</w:t>
            </w:r>
          </w:p>
        </w:tc>
        <w:tc>
          <w:tcPr>
            <w:tcW w:w="504" w:type="dxa"/>
            <w:vMerge w:val="restart"/>
            <w:tcBorders>
              <w:left w:val="single" w:sz="4" w:space="0" w:color="000000"/>
            </w:tcBorders>
            <w:textDirection w:val="btLr"/>
          </w:tcPr>
          <w:p>
            <w:pPr>
              <w:pStyle w:val="TableParagraph"/>
              <w:spacing w:line="254" w:lineRule="auto" w:before="6"/>
              <w:ind w:left="49" w:right="56" w:firstLine="18"/>
              <w:rPr>
                <w:rFonts w:ascii="Arial" w:hAnsi="Arial"/>
                <w:sz w:val="17"/>
              </w:rPr>
            </w:pPr>
            <w:r>
              <w:rPr>
                <w:spacing w:val="1"/>
                <w:w w:val="104"/>
                <w:sz w:val="17"/>
              </w:rPr>
              <w:t>Comp</w:t>
            </w:r>
            <w:r>
              <w:rPr>
                <w:w w:val="104"/>
                <w:sz w:val="17"/>
              </w:rPr>
              <w:t>r</w:t>
            </w:r>
            <w:r>
              <w:rPr>
                <w:spacing w:val="1"/>
                <w:w w:val="104"/>
                <w:sz w:val="17"/>
              </w:rPr>
              <w:t>ado? S</w:t>
            </w:r>
            <w:r>
              <w:rPr>
                <w:w w:val="104"/>
                <w:sz w:val="17"/>
              </w:rPr>
              <w:t>I</w:t>
            </w:r>
            <w:r>
              <w:rPr>
                <w:spacing w:val="2"/>
                <w:sz w:val="17"/>
              </w:rPr>
              <w:t> </w:t>
            </w:r>
            <w:r>
              <w:rPr>
                <w:rFonts w:ascii="Arial" w:hAnsi="Arial"/>
                <w:w w:val="279"/>
                <w:sz w:val="17"/>
              </w:rPr>
              <w:t>¨</w:t>
            </w:r>
            <w:r>
              <w:rPr>
                <w:rFonts w:ascii="Arial" w:hAnsi="Arial"/>
                <w:sz w:val="17"/>
              </w:rPr>
              <w:t>  </w:t>
            </w:r>
            <w:r>
              <w:rPr>
                <w:rFonts w:ascii="Arial" w:hAnsi="Arial"/>
                <w:spacing w:val="-18"/>
                <w:sz w:val="17"/>
              </w:rPr>
              <w:t> </w:t>
            </w:r>
            <w:r>
              <w:rPr>
                <w:spacing w:val="1"/>
                <w:w w:val="104"/>
                <w:sz w:val="17"/>
              </w:rPr>
              <w:t>N</w:t>
            </w:r>
            <w:r>
              <w:rPr>
                <w:w w:val="104"/>
                <w:sz w:val="17"/>
              </w:rPr>
              <w:t>O</w:t>
            </w:r>
            <w:r>
              <w:rPr>
                <w:spacing w:val="3"/>
                <w:sz w:val="17"/>
              </w:rPr>
              <w:t> </w:t>
            </w:r>
            <w:r>
              <w:rPr>
                <w:rFonts w:ascii="Arial" w:hAnsi="Arial"/>
                <w:w w:val="279"/>
                <w:sz w:val="17"/>
              </w:rPr>
              <w:t>¨</w:t>
            </w:r>
          </w:p>
        </w:tc>
        <w:tc>
          <w:tcPr>
            <w:tcW w:w="7262" w:type="dxa"/>
            <w:gridSpan w:val="12"/>
            <w:tcBorders>
              <w:top w:val="single" w:sz="4" w:space="0" w:color="000000"/>
              <w:bottom w:val="single" w:sz="4" w:space="0" w:color="000000"/>
              <w:right w:val="nil"/>
            </w:tcBorders>
          </w:tcPr>
          <w:p>
            <w:pPr>
              <w:pStyle w:val="TableParagraph"/>
              <w:spacing w:before="93"/>
              <w:ind w:left="3353" w:right="3368"/>
              <w:jc w:val="center"/>
              <w:rPr>
                <w:sz w:val="24"/>
              </w:rPr>
            </w:pPr>
            <w:r>
              <w:rPr>
                <w:sz w:val="24"/>
              </w:rPr>
              <w:t>2011</w:t>
            </w:r>
          </w:p>
        </w:tc>
      </w:tr>
      <w:tr>
        <w:trPr>
          <w:trHeight w:val="566" w:hRule="exact"/>
        </w:trPr>
        <w:tc>
          <w:tcPr>
            <w:tcW w:w="442" w:type="dxa"/>
            <w:vMerge/>
            <w:tcBorders>
              <w:left w:val="nil"/>
              <w:right w:val="single" w:sz="4" w:space="0" w:color="000000"/>
            </w:tcBorders>
          </w:tcPr>
          <w:p>
            <w:pPr/>
          </w:p>
        </w:tc>
        <w:tc>
          <w:tcPr>
            <w:tcW w:w="2645" w:type="dxa"/>
            <w:vMerge/>
            <w:tcBorders>
              <w:left w:val="single" w:sz="4" w:space="0" w:color="000000"/>
              <w:right w:val="single" w:sz="4" w:space="0" w:color="000000"/>
            </w:tcBorders>
          </w:tcPr>
          <w:p>
            <w:pPr/>
          </w:p>
        </w:tc>
        <w:tc>
          <w:tcPr>
            <w:tcW w:w="504" w:type="dxa"/>
            <w:vMerge/>
            <w:tcBorders>
              <w:left w:val="single" w:sz="4" w:space="0" w:color="000000"/>
            </w:tcBorders>
            <w:textDirection w:val="btLr"/>
          </w:tcPr>
          <w:p>
            <w:pPr/>
          </w:p>
        </w:tc>
        <w:tc>
          <w:tcPr>
            <w:tcW w:w="595" w:type="dxa"/>
            <w:tcBorders>
              <w:top w:val="single" w:sz="4" w:space="0" w:color="000000"/>
              <w:bottom w:val="single" w:sz="4" w:space="0" w:color="000000"/>
              <w:right w:val="single" w:sz="4" w:space="0" w:color="000000"/>
            </w:tcBorders>
          </w:tcPr>
          <w:p>
            <w:pPr>
              <w:pStyle w:val="TableParagraph"/>
              <w:spacing w:before="131"/>
              <w:ind w:right="13"/>
              <w:jc w:val="center"/>
              <w:rPr>
                <w:sz w:val="24"/>
              </w:rPr>
            </w:pPr>
            <w:r>
              <w:rPr>
                <w:sz w:val="24"/>
              </w:rPr>
              <w:t>1</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2</w:t>
            </w:r>
          </w:p>
        </w:tc>
        <w:tc>
          <w:tcPr>
            <w:tcW w:w="528" w:type="dxa"/>
            <w:tcBorders>
              <w:top w:val="single" w:sz="4" w:space="0" w:color="000000"/>
              <w:left w:val="single" w:sz="4" w:space="0" w:color="000000"/>
              <w:bottom w:val="single" w:sz="4" w:space="0" w:color="000000"/>
              <w:right w:val="single" w:sz="4" w:space="0" w:color="000000"/>
            </w:tcBorders>
          </w:tcPr>
          <w:p>
            <w:pPr>
              <w:pStyle w:val="TableParagraph"/>
              <w:spacing w:before="131"/>
              <w:ind w:left="3"/>
              <w:jc w:val="center"/>
              <w:rPr>
                <w:sz w:val="24"/>
              </w:rPr>
            </w:pPr>
            <w:r>
              <w:rPr>
                <w:sz w:val="24"/>
              </w:rPr>
              <w:t>3</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1"/>
              <w:jc w:val="center"/>
              <w:rPr>
                <w:sz w:val="24"/>
              </w:rPr>
            </w:pPr>
            <w:r>
              <w:rPr>
                <w:sz w:val="24"/>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right="2"/>
              <w:jc w:val="center"/>
              <w:rPr>
                <w:sz w:val="24"/>
              </w:rPr>
            </w:pPr>
            <w:r>
              <w:rPr>
                <w:sz w:val="24"/>
              </w:rPr>
              <w:t>6</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before="131"/>
              <w:ind w:left="4"/>
              <w:jc w:val="center"/>
              <w:rPr>
                <w:sz w:val="24"/>
              </w:rPr>
            </w:pPr>
            <w:r>
              <w:rPr>
                <w:sz w:val="24"/>
              </w:rPr>
              <w:t>7</w:t>
            </w:r>
          </w:p>
        </w:tc>
        <w:tc>
          <w:tcPr>
            <w:tcW w:w="605" w:type="dxa"/>
            <w:tcBorders>
              <w:top w:val="single" w:sz="4" w:space="0" w:color="000000"/>
              <w:left w:val="single" w:sz="4" w:space="0" w:color="000000"/>
              <w:bottom w:val="single" w:sz="4" w:space="0" w:color="000000"/>
              <w:right w:val="single" w:sz="4" w:space="0" w:color="000000"/>
            </w:tcBorders>
          </w:tcPr>
          <w:p>
            <w:pPr>
              <w:pStyle w:val="TableParagraph"/>
              <w:spacing w:before="131"/>
              <w:ind w:right="3"/>
              <w:jc w:val="center"/>
              <w:rPr>
                <w:sz w:val="24"/>
              </w:rPr>
            </w:pPr>
            <w:r>
              <w:rPr>
                <w:sz w:val="24"/>
              </w:rPr>
              <w:t>8</w:t>
            </w:r>
          </w:p>
        </w:tc>
        <w:tc>
          <w:tcPr>
            <w:tcW w:w="643" w:type="dxa"/>
            <w:tcBorders>
              <w:top w:val="single" w:sz="4" w:space="0" w:color="000000"/>
              <w:left w:val="single" w:sz="4" w:space="0" w:color="000000"/>
              <w:bottom w:val="single" w:sz="4" w:space="0" w:color="000000"/>
              <w:right w:val="single" w:sz="4" w:space="0" w:color="000000"/>
            </w:tcBorders>
          </w:tcPr>
          <w:p>
            <w:pPr>
              <w:pStyle w:val="TableParagraph"/>
              <w:spacing w:before="131"/>
              <w:ind w:right="4"/>
              <w:jc w:val="center"/>
              <w:rPr>
                <w:sz w:val="24"/>
              </w:rPr>
            </w:pPr>
            <w:r>
              <w:rPr>
                <w:sz w:val="24"/>
              </w:rPr>
              <w:t>9</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31"/>
              <w:ind w:left="135" w:right="137"/>
              <w:jc w:val="center"/>
              <w:rPr>
                <w:sz w:val="24"/>
              </w:rPr>
            </w:pPr>
            <w:r>
              <w:rPr>
                <w:sz w:val="24"/>
              </w:rPr>
              <w:t>10</w:t>
            </w:r>
          </w:p>
        </w:tc>
        <w:tc>
          <w:tcPr>
            <w:tcW w:w="672" w:type="dxa"/>
            <w:tcBorders>
              <w:top w:val="single" w:sz="4" w:space="0" w:color="000000"/>
              <w:left w:val="single" w:sz="4" w:space="0" w:color="000000"/>
              <w:bottom w:val="single" w:sz="4" w:space="0" w:color="000000"/>
              <w:right w:val="single" w:sz="4" w:space="0" w:color="000000"/>
            </w:tcBorders>
          </w:tcPr>
          <w:p>
            <w:pPr>
              <w:pStyle w:val="TableParagraph"/>
              <w:spacing w:before="131"/>
              <w:ind w:left="188" w:right="191"/>
              <w:jc w:val="center"/>
              <w:rPr>
                <w:sz w:val="24"/>
              </w:rPr>
            </w:pPr>
            <w:r>
              <w:rPr>
                <w:sz w:val="24"/>
              </w:rPr>
              <w:t>11</w:t>
            </w:r>
          </w:p>
        </w:tc>
        <w:tc>
          <w:tcPr>
            <w:tcW w:w="614" w:type="dxa"/>
            <w:tcBorders>
              <w:top w:val="single" w:sz="4" w:space="0" w:color="000000"/>
              <w:left w:val="single" w:sz="4" w:space="0" w:color="000000"/>
              <w:bottom w:val="single" w:sz="4" w:space="0" w:color="000000"/>
              <w:right w:val="nil"/>
            </w:tcBorders>
          </w:tcPr>
          <w:p>
            <w:pPr>
              <w:pStyle w:val="TableParagraph"/>
              <w:spacing w:before="131"/>
              <w:ind w:left="146" w:right="166"/>
              <w:jc w:val="center"/>
              <w:rPr>
                <w:sz w:val="24"/>
              </w:rPr>
            </w:pPr>
            <w:r>
              <w:rPr>
                <w:sz w:val="24"/>
              </w:rPr>
              <w:t>12</w:t>
            </w:r>
          </w:p>
        </w:tc>
      </w:tr>
      <w:tr>
        <w:trPr>
          <w:trHeight w:val="610" w:hRule="exact"/>
        </w:trPr>
        <w:tc>
          <w:tcPr>
            <w:tcW w:w="442" w:type="dxa"/>
            <w:vMerge w:val="restart"/>
            <w:tcBorders>
              <w:left w:val="nil"/>
              <w:right w:val="single" w:sz="4" w:space="0" w:color="000000"/>
            </w:tcBorders>
            <w:textDirection w:val="btLr"/>
          </w:tcPr>
          <w:p>
            <w:pPr>
              <w:pStyle w:val="TableParagraph"/>
              <w:spacing w:before="107"/>
              <w:ind w:left="183"/>
              <w:rPr>
                <w:sz w:val="24"/>
              </w:rPr>
            </w:pPr>
            <w:r>
              <w:rPr>
                <w:color w:val="FF0000"/>
                <w:sz w:val="24"/>
              </w:rPr>
              <w:t>Concentrado</w:t>
            </w:r>
          </w:p>
        </w:tc>
        <w:tc>
          <w:tcPr>
            <w:tcW w:w="2645" w:type="dxa"/>
            <w:tcBorders>
              <w:left w:val="single" w:sz="4" w:space="0" w:color="000000"/>
              <w:bottom w:val="single" w:sz="4" w:space="0" w:color="000000"/>
              <w:right w:val="single" w:sz="4" w:space="0" w:color="000000"/>
            </w:tcBorders>
          </w:tcPr>
          <w:p>
            <w:pPr>
              <w:pStyle w:val="TableParagraph"/>
              <w:tabs>
                <w:tab w:pos="2235" w:val="left" w:leader="none"/>
              </w:tabs>
              <w:spacing w:before="6"/>
              <w:ind w:left="100" w:right="324"/>
              <w:rPr>
                <w:sz w:val="24"/>
              </w:rPr>
            </w:pPr>
            <w:r>
              <w:rPr>
                <w:sz w:val="24"/>
              </w:rPr>
              <w:t>Comercial [</w:t>
              <w:tab/>
              <w:t>] (proporción)</w:t>
            </w:r>
          </w:p>
        </w:tc>
        <w:tc>
          <w:tcPr>
            <w:tcW w:w="504" w:type="dxa"/>
            <w:tcBorders>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1271" w:right="1271"/>
              <w:jc w:val="center"/>
              <w:rPr>
                <w:sz w:val="24"/>
              </w:rPr>
            </w:pPr>
            <w:r>
              <w:rPr>
                <w:color w:val="0070C0"/>
                <w:sz w:val="24"/>
              </w:rPr>
              <w:t>Forraje</w:t>
            </w:r>
          </w:p>
        </w:tc>
        <w:tc>
          <w:tcPr>
            <w:tcW w:w="2645" w:type="dxa"/>
            <w:tcBorders>
              <w:left w:val="single" w:sz="4" w:space="0" w:color="000000"/>
              <w:bottom w:val="single" w:sz="4" w:space="0" w:color="000000"/>
              <w:right w:val="single" w:sz="4" w:space="0" w:color="000000"/>
            </w:tcBorders>
          </w:tcPr>
          <w:p>
            <w:pPr>
              <w:pStyle w:val="TableParagraph"/>
              <w:spacing w:before="6"/>
              <w:ind w:left="100"/>
              <w:rPr>
                <w:sz w:val="24"/>
              </w:rPr>
            </w:pPr>
            <w:r>
              <w:rPr>
                <w:sz w:val="24"/>
              </w:rPr>
              <w:t>Alfalfa (</w:t>
            </w:r>
            <w:r>
              <w:rPr>
                <w:i/>
                <w:sz w:val="24"/>
              </w:rPr>
              <w:t>Medicago sativa</w:t>
            </w:r>
            <w:r>
              <w:rPr>
                <w:sz w:val="24"/>
              </w:rPr>
              <w:t>)</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412"/>
              <w:rPr>
                <w:sz w:val="24"/>
              </w:rPr>
            </w:pPr>
            <w:r>
              <w:rPr>
                <w:sz w:val="24"/>
              </w:rPr>
              <w:t>Ensilado de maíz (</w:t>
            </w:r>
            <w:r>
              <w:rPr>
                <w:i/>
                <w:sz w:val="24"/>
              </w:rPr>
              <w:t>Zea </w:t>
            </w:r>
            <w:r>
              <w:rPr>
                <w:i/>
                <w:sz w:val="24"/>
              </w:rPr>
              <w:t>mays</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Maíz picado</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95"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321"/>
              <w:rPr>
                <w:sz w:val="24"/>
              </w:rPr>
            </w:pPr>
            <w:r>
              <w:rPr>
                <w:sz w:val="24"/>
              </w:rPr>
              <w:t>Heno de avena (</w:t>
            </w:r>
            <w:r>
              <w:rPr>
                <w:i/>
                <w:sz w:val="24"/>
              </w:rPr>
              <w:t>Avena </w:t>
            </w:r>
            <w:r>
              <w:rPr>
                <w:i/>
                <w:sz w:val="24"/>
              </w:rPr>
              <w:t>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39"/>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6"/>
              <w:ind w:left="100" w:right="84"/>
              <w:rPr>
                <w:sz w:val="24"/>
              </w:rPr>
            </w:pPr>
            <w:r>
              <w:rPr>
                <w:sz w:val="24"/>
              </w:rPr>
              <w:t>Ebo (</w:t>
            </w:r>
            <w:r>
              <w:rPr>
                <w:i/>
                <w:sz w:val="24"/>
              </w:rPr>
              <w:t>Vicia sativa</w:t>
            </w:r>
            <w:r>
              <w:rPr>
                <w:sz w:val="24"/>
              </w:rPr>
              <w:t>)</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Style w:val="TableParagraph"/>
              <w:spacing w:before="2"/>
              <w:ind w:left="100" w:right="84"/>
              <w:rPr>
                <w:sz w:val="24"/>
              </w:rPr>
            </w:pPr>
            <w:r>
              <w:rPr>
                <w:sz w:val="24"/>
              </w:rPr>
              <w:t>Rastrojo de maíz</w:t>
            </w:r>
          </w:p>
        </w:tc>
        <w:tc>
          <w:tcPr>
            <w:tcW w:w="504" w:type="dxa"/>
            <w:tcBorders>
              <w:top w:val="single" w:sz="4" w:space="0" w:color="000000"/>
              <w:left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442" w:type="dxa"/>
            <w:vMerge w:val="restart"/>
            <w:tcBorders>
              <w:left w:val="nil"/>
              <w:right w:val="single" w:sz="4" w:space="0" w:color="000000"/>
            </w:tcBorders>
            <w:textDirection w:val="btLr"/>
          </w:tcPr>
          <w:p>
            <w:pPr>
              <w:pStyle w:val="TableParagraph"/>
              <w:spacing w:before="107"/>
              <w:ind w:left="222"/>
              <w:rPr>
                <w:sz w:val="24"/>
              </w:rPr>
            </w:pPr>
            <w:r>
              <w:rPr>
                <w:color w:val="E36C0A"/>
                <w:sz w:val="24"/>
              </w:rPr>
              <w:t>Vitaminas y minerales</w:t>
            </w:r>
          </w:p>
        </w:tc>
        <w:tc>
          <w:tcPr>
            <w:tcW w:w="2645" w:type="dxa"/>
            <w:tcBorders>
              <w:left w:val="single" w:sz="4" w:space="0" w:color="000000"/>
              <w:bottom w:val="single" w:sz="4" w:space="0" w:color="000000"/>
              <w:right w:val="single" w:sz="4" w:space="0" w:color="000000"/>
            </w:tcBorders>
          </w:tcPr>
          <w:p>
            <w:pPr>
              <w:pStyle w:val="TableParagraph"/>
              <w:spacing w:before="2"/>
              <w:ind w:left="100" w:right="84"/>
              <w:rPr>
                <w:sz w:val="24"/>
              </w:rPr>
            </w:pPr>
            <w:r>
              <w:rPr>
                <w:sz w:val="24"/>
              </w:rPr>
              <w:t>Suplementos minerales</w:t>
            </w:r>
          </w:p>
        </w:tc>
        <w:tc>
          <w:tcPr>
            <w:tcW w:w="504" w:type="dxa"/>
            <w:tcBorders>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ight="84"/>
              <w:rPr>
                <w:sz w:val="24"/>
              </w:rPr>
            </w:pPr>
            <w:r>
              <w:rPr>
                <w:sz w:val="24"/>
              </w:rPr>
              <w:t>Sal</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1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3"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bottom w:val="single" w:sz="4" w:space="0" w:color="000000"/>
              <w:right w:val="single" w:sz="4" w:space="0" w:color="000000"/>
            </w:tcBorders>
          </w:tcPr>
          <w:p>
            <w:pP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101"/>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r>
        <w:trPr>
          <w:trHeight w:val="528" w:hRule="exact"/>
        </w:trPr>
        <w:tc>
          <w:tcPr>
            <w:tcW w:w="442" w:type="dxa"/>
            <w:vMerge/>
            <w:tcBorders>
              <w:left w:val="nil"/>
              <w:right w:val="single" w:sz="4" w:space="0" w:color="000000"/>
            </w:tcBorders>
            <w:textDirection w:val="btLr"/>
          </w:tcPr>
          <w:p>
            <w:pPr/>
          </w:p>
        </w:tc>
        <w:tc>
          <w:tcPr>
            <w:tcW w:w="2645" w:type="dxa"/>
            <w:tcBorders>
              <w:top w:val="single" w:sz="4" w:space="0" w:color="000000"/>
              <w:left w:val="single" w:sz="4" w:space="0" w:color="000000"/>
              <w:right w:val="single" w:sz="4" w:space="0" w:color="000000"/>
            </w:tcBorders>
          </w:tcPr>
          <w:p>
            <w:pPr/>
          </w:p>
        </w:tc>
        <w:tc>
          <w:tcPr>
            <w:tcW w:w="504" w:type="dxa"/>
            <w:tcBorders>
              <w:top w:val="single" w:sz="4" w:space="0" w:color="000000"/>
              <w:left w:val="single" w:sz="4" w:space="0" w:color="000000"/>
              <w:right w:val="single" w:sz="4" w:space="0" w:color="000000"/>
            </w:tcBorders>
          </w:tcPr>
          <w:p>
            <w:pPr>
              <w:pStyle w:val="TableParagraph"/>
              <w:spacing w:before="96"/>
              <w:ind w:left="100"/>
              <w:rPr>
                <w:rFonts w:ascii="Arial" w:hAnsi="Arial"/>
                <w:sz w:val="24"/>
              </w:rPr>
            </w:pPr>
            <w:r>
              <w:rPr>
                <w:rFonts w:ascii="Arial" w:hAnsi="Arial"/>
                <w:w w:val="160"/>
                <w:sz w:val="24"/>
              </w:rPr>
              <w:t>£</w:t>
            </w:r>
          </w:p>
        </w:tc>
        <w:tc>
          <w:tcPr>
            <w:tcW w:w="595"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528" w:type="dxa"/>
            <w:tcBorders>
              <w:top w:val="single" w:sz="4" w:space="0" w:color="000000"/>
              <w:left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05" w:type="dxa"/>
            <w:tcBorders>
              <w:top w:val="single" w:sz="4" w:space="0" w:color="000000"/>
              <w:left w:val="single" w:sz="4" w:space="0" w:color="000000"/>
              <w:bottom w:val="single" w:sz="4" w:space="0" w:color="000000"/>
              <w:right w:val="single" w:sz="4" w:space="0" w:color="000000"/>
            </w:tcBorders>
          </w:tcPr>
          <w:p>
            <w:pPr/>
          </w:p>
        </w:tc>
        <w:tc>
          <w:tcPr>
            <w:tcW w:w="643"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672" w:type="dxa"/>
            <w:tcBorders>
              <w:top w:val="single" w:sz="4" w:space="0" w:color="000000"/>
              <w:left w:val="single" w:sz="4" w:space="0" w:color="000000"/>
              <w:bottom w:val="single" w:sz="4" w:space="0" w:color="000000"/>
              <w:right w:val="single" w:sz="4" w:space="0" w:color="000000"/>
            </w:tcBorders>
          </w:tcPr>
          <w:p>
            <w:pPr/>
          </w:p>
        </w:tc>
        <w:tc>
          <w:tcPr>
            <w:tcW w:w="614" w:type="dxa"/>
            <w:tcBorders>
              <w:top w:val="single" w:sz="4" w:space="0" w:color="000000"/>
              <w:left w:val="single" w:sz="4" w:space="0" w:color="000000"/>
              <w:bottom w:val="single" w:sz="4" w:space="0" w:color="000000"/>
              <w:right w:val="single" w:sz="4" w:space="0" w:color="000000"/>
            </w:tcBorders>
          </w:tcPr>
          <w:p>
            <w:pPr/>
          </w:p>
        </w:tc>
      </w:tr>
    </w:tbl>
    <w:p>
      <w:pPr>
        <w:spacing w:after="0"/>
        <w:sectPr>
          <w:headerReference w:type="default" r:id="rId263"/>
          <w:footerReference w:type="default" r:id="rId264"/>
          <w:pgSz w:w="12240" w:h="15840"/>
          <w:pgMar w:header="0" w:footer="564" w:top="660" w:bottom="760" w:left="580" w:right="540"/>
          <w:pgNumType w:start="179"/>
        </w:sectPr>
      </w:pPr>
    </w:p>
    <w:p>
      <w:pPr>
        <w:spacing w:line="169" w:lineRule="exact" w:before="56"/>
        <w:ind w:left="0" w:right="107" w:firstLine="0"/>
        <w:jc w:val="right"/>
        <w:rPr>
          <w:rFonts w:ascii="Calibri" w:hAnsi="Calibri"/>
          <w:b/>
          <w:i/>
          <w:sz w:val="14"/>
        </w:rPr>
      </w:pPr>
      <w:r>
        <w:rPr>
          <w:rFonts w:ascii="Calibri" w:hAnsi="Calibri"/>
          <w:b/>
          <w:i/>
          <w:sz w:val="14"/>
        </w:rPr>
        <w:t>Estimación de las emisiones en bovinos en los sistema de producción lechera en pequeña escala</w:t>
      </w:r>
    </w:p>
    <w:p>
      <w:pPr>
        <w:spacing w:line="169" w:lineRule="exact" w:before="0"/>
        <w:ind w:left="0" w:right="106" w:firstLine="0"/>
        <w:jc w:val="right"/>
        <w:rPr>
          <w:rFonts w:ascii="Calibri" w:hAnsi="Calibri"/>
          <w:b/>
          <w:i/>
          <w:sz w:val="14"/>
        </w:rPr>
      </w:pPr>
      <w:r>
        <w:rPr>
          <w:rFonts w:ascii="Calibri" w:hAnsi="Calibri"/>
          <w:b/>
          <w:i/>
          <w:sz w:val="14"/>
        </w:rPr>
        <w:t>a través del factor de conversión de metano</w:t>
      </w:r>
    </w:p>
    <w:p>
      <w:pPr>
        <w:spacing w:before="2"/>
        <w:ind w:left="0" w:right="107" w:firstLine="0"/>
        <w:jc w:val="right"/>
        <w:rPr>
          <w:rFonts w:ascii="Calibri" w:hAnsi="Calibri"/>
          <w:b/>
          <w:i/>
          <w:sz w:val="14"/>
        </w:rPr>
      </w:pPr>
      <w:r>
        <w:rPr>
          <w:rFonts w:ascii="Calibri" w:hAnsi="Calibri"/>
          <w:b/>
          <w:i/>
          <w:sz w:val="14"/>
        </w:rPr>
        <w:t>M. en E. S. Noé Zúñiga-González</w:t>
      </w:r>
    </w:p>
    <w:p>
      <w:pPr>
        <w:pStyle w:val="Heading7"/>
        <w:numPr>
          <w:ilvl w:val="1"/>
          <w:numId w:val="18"/>
        </w:numPr>
        <w:tabs>
          <w:tab w:pos="821" w:val="left" w:leader="none"/>
        </w:tabs>
        <w:spacing w:line="240" w:lineRule="auto" w:before="7" w:after="0"/>
        <w:ind w:left="820" w:right="107" w:hanging="709"/>
        <w:jc w:val="both"/>
      </w:pPr>
      <w:r>
        <w:rPr/>
        <w:pict>
          <v:group style="position:absolute;margin-left:57.587391pt;margin-top:73.450798pt;width:496.85pt;height:547.7pt;mso-position-horizontal-relative:page;mso-position-vertical-relative:paragraph;z-index:-305728" coordorigin="1152,1469" coordsize="9937,10954">
            <v:shape style="position:absolute;left:1181;top:1484;width:9893;height:2" coordorigin="1181,1484" coordsize="9893,0" path="m1181,1484l4118,1484m4118,1484l4147,1484m4147,1484l11073,1484e" filled="false" stroked="true" strokeweight="1.44pt" strokecolor="#000000">
              <v:path arrowok="t"/>
            </v:shape>
            <v:line style="position:absolute" from="4123,1498" to="4123,2376" stroked="true" strokeweight=".48pt" strokecolor="#000000"/>
            <v:shape style="position:absolute;left:1181;top:2391;width:9893;height:2" coordorigin="1181,2391" coordsize="9893,0" path="m1181,2391l4118,2391m4118,2391l4147,2391m4147,2391l11073,2391e" filled="false" stroked="true" strokeweight="1.44pt" strokecolor="#000000">
              <v:path arrowok="t"/>
            </v:shape>
            <v:shape style="position:absolute;left:1181;top:3831;width:9893;height:1426" coordorigin="1181,3831" coordsize="9893,1426" path="m1181,3831l4118,3831m4128,3831l11073,3831m1181,5256l4118,5256m4128,5256l11073,5256e" filled="false" stroked="true" strokeweight=".48pt" strokecolor="#000000">
              <v:path arrowok="t"/>
            </v:shape>
            <v:shape style="position:absolute;left:1181;top:6687;width:9893;height:2" coordorigin="1181,6687" coordsize="9893,0" path="m1181,6687l4118,6687m4128,6687l11073,6687e" filled="false" stroked="true" strokeweight=".48pt" strokecolor="#000000">
              <v:path arrowok="t"/>
            </v:shape>
            <v:shape style="position:absolute;left:1181;top:8112;width:9893;height:2" coordorigin="1181,8112" coordsize="9893,0" path="m1181,8112l4118,8112m4128,8112l11073,8112e" filled="false" stroked="true" strokeweight=".48pt" strokecolor="#000000">
              <v:path arrowok="t"/>
            </v:shape>
            <v:shape style="position:absolute;left:1181;top:9543;width:9893;height:1426" coordorigin="1181,9543" coordsize="9893,1426" path="m1181,9543l4118,9543m4128,9543l11073,9543m1181,10968l4118,10968m4128,10968l11073,10968e" filled="false" stroked="true" strokeweight=".48pt" strokecolor="#000000">
              <v:path arrowok="t"/>
            </v:shape>
            <v:line style="position:absolute" from="1166,12408" to="4118,12408" stroked="true" strokeweight="1.44pt" strokecolor="#000000"/>
            <v:line style="position:absolute" from="4123,2405" to="4123,12394" stroked="true" strokeweight=".48pt" strokecolor="#000000"/>
            <v:shape style="position:absolute;left:4118;top:12408;width:6956;height:2" coordorigin="4118,12408" coordsize="6956,0" path="m4118,12408l4147,12408m4147,12408l11073,12408e" filled="false" stroked="true" strokeweight="1.44pt" strokecolor="#000000">
              <v:path arrowok="t"/>
            </v:shape>
            <w10:wrap type="none"/>
          </v:group>
        </w:pict>
      </w:r>
      <w:r>
        <w:rPr>
          <w:i/>
        </w:rPr>
        <w:t>Rellene el siguiente cuadro con la composición de los alimentoscompuestos reportados en las tablas </w:t>
      </w:r>
      <w:r>
        <w:rPr/>
        <w:t>antes de la sección B.1. Además, aquí se podría definir algunos otros alimentos que no tienen una composición estándar de acuerdo con NRC (2001).</w:t>
      </w:r>
    </w:p>
    <w:p>
      <w:pPr>
        <w:pStyle w:val="BodyText"/>
        <w:rPr>
          <w:rFonts w:ascii="Calibri"/>
          <w:b/>
          <w:i/>
          <w:sz w:val="20"/>
        </w:rPr>
      </w:pPr>
    </w:p>
    <w:p>
      <w:pPr>
        <w:pStyle w:val="BodyText"/>
        <w:spacing w:before="6"/>
        <w:rPr>
          <w:rFonts w:ascii="Calibri"/>
          <w:b/>
          <w:i/>
          <w:sz w:val="25"/>
        </w:rPr>
      </w:pPr>
    </w:p>
    <w:p>
      <w:pPr>
        <w:spacing w:after="0"/>
        <w:rPr>
          <w:rFonts w:ascii="Calibri"/>
          <w:sz w:val="25"/>
        </w:rPr>
        <w:sectPr>
          <w:headerReference w:type="default" r:id="rId265"/>
          <w:footerReference w:type="default" r:id="rId266"/>
          <w:pgSz w:w="12240" w:h="15840"/>
          <w:pgMar w:header="0" w:footer="564" w:top="660" w:bottom="760" w:left="580" w:right="560"/>
        </w:sectPr>
      </w:pPr>
    </w:p>
    <w:p>
      <w:pPr>
        <w:pStyle w:val="BodyText"/>
        <w:spacing w:before="203"/>
        <w:ind w:left="711" w:right="-20"/>
        <w:rPr>
          <w:rFonts w:ascii="Calibri"/>
        </w:rPr>
      </w:pPr>
      <w:r>
        <w:rPr/>
        <w:pict>
          <v:group style="position:absolute;margin-left:29.982389pt;margin-top:34.302399pt;width:553pt;height:732.75pt;mso-position-horizontal-relative:page;mso-position-vertical-relative:page;z-index:-305752"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rPr>
        <w:t>Nombre de la Mezcla o alimentos</w:t>
      </w:r>
    </w:p>
    <w:p>
      <w:pPr>
        <w:pStyle w:val="BodyText"/>
        <w:spacing w:before="59"/>
        <w:ind w:left="649" w:right="744"/>
        <w:rPr>
          <w:rFonts w:ascii="Calibri" w:hAnsi="Calibri"/>
        </w:rPr>
      </w:pPr>
      <w:r>
        <w:rPr/>
        <w:br w:type="column"/>
      </w:r>
      <w:r>
        <w:rPr>
          <w:rFonts w:ascii="Calibri" w:hAnsi="Calibri"/>
        </w:rPr>
        <w:t>Composición (como porcentaje de materia seca). Por favor, incluya todos los datos (y unidades) disponibles, tales como: proteína cruda, FDN, TDN, almidón, RUP, RDP, fósforo y otros nutrientes.</w:t>
      </w:r>
    </w:p>
    <w:p>
      <w:pPr>
        <w:spacing w:after="0"/>
        <w:rPr>
          <w:rFonts w:ascii="Calibri" w:hAnsi="Calibri"/>
        </w:rPr>
        <w:sectPr>
          <w:type w:val="continuous"/>
          <w:pgSz w:w="12240" w:h="15840"/>
          <w:pgMar w:top="1420" w:bottom="280" w:left="580" w:right="560"/>
          <w:cols w:num="2" w:equalWidth="0">
            <w:col w:w="2964" w:space="40"/>
            <w:col w:w="8096"/>
          </w:cols>
        </w:sectPr>
      </w:pPr>
    </w:p>
    <w:p>
      <w:pPr>
        <w:spacing w:line="169" w:lineRule="exact" w:before="56"/>
        <w:ind w:left="0" w:right="107" w:firstLine="0"/>
        <w:jc w:val="right"/>
        <w:rPr>
          <w:rFonts w:ascii="Calibri" w:hAnsi="Calibri"/>
          <w:b/>
          <w:i/>
          <w:sz w:val="14"/>
        </w:rPr>
      </w:pPr>
      <w:r>
        <w:rPr/>
        <w:pict>
          <v:group style="position:absolute;margin-left:29.982389pt;margin-top:34.302399pt;width:553pt;height:732.75pt;mso-position-horizontal-relative:page;mso-position-vertical-relative:page;z-index:-305704"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hAnsi="Calibri"/>
          <w:b/>
          <w:i/>
          <w:sz w:val="14"/>
        </w:rPr>
        <w:t>Estimación de las emisiones en bovinos en los sistema de producción lechera en pequeña escala</w:t>
      </w:r>
    </w:p>
    <w:p>
      <w:pPr>
        <w:spacing w:line="169" w:lineRule="exact" w:before="0"/>
        <w:ind w:left="0" w:right="106" w:firstLine="0"/>
        <w:jc w:val="right"/>
        <w:rPr>
          <w:rFonts w:ascii="Calibri" w:hAnsi="Calibri"/>
          <w:b/>
          <w:i/>
          <w:sz w:val="14"/>
        </w:rPr>
      </w:pPr>
      <w:r>
        <w:rPr>
          <w:rFonts w:ascii="Calibri" w:hAnsi="Calibri"/>
          <w:b/>
          <w:i/>
          <w:sz w:val="14"/>
        </w:rPr>
        <w:t>a través del factor de conversión de metano</w:t>
      </w:r>
    </w:p>
    <w:p>
      <w:pPr>
        <w:spacing w:before="2"/>
        <w:ind w:left="0" w:right="107" w:firstLine="0"/>
        <w:jc w:val="right"/>
        <w:rPr>
          <w:rFonts w:ascii="Calibri" w:hAnsi="Calibri"/>
          <w:b/>
          <w:i/>
          <w:sz w:val="14"/>
        </w:rPr>
      </w:pPr>
      <w:r>
        <w:rPr>
          <w:rFonts w:ascii="Calibri" w:hAnsi="Calibri"/>
          <w:b/>
          <w:i/>
          <w:sz w:val="14"/>
        </w:rPr>
        <w:t>M. en E. S. Noé Zúñiga-González</w:t>
      </w:r>
    </w:p>
    <w:p>
      <w:pPr>
        <w:pStyle w:val="Heading7"/>
      </w:pPr>
      <w:r>
        <w:rPr>
          <w:i/>
        </w:rPr>
        <w:t>Rellene el siguiente cuadro sobre los precios de los alimentos (utilizado en las dietas se definen en las tablas </w:t>
      </w:r>
      <w:r>
        <w:rPr/>
        <w:t>antes de la sección B.1.). Incluir todos los alimentos utilizados antes en la sección B.1., Si se compran o no. Para no comprar la alimentación, utilice la mejor estimación del precio.</w:t>
      </w:r>
    </w:p>
    <w:p>
      <w:pPr>
        <w:pStyle w:val="BodyText"/>
        <w:spacing w:before="10"/>
        <w:rPr>
          <w:rFonts w:ascii="Calibri"/>
          <w:b/>
          <w:i/>
          <w:sz w:val="23"/>
        </w:rPr>
      </w:pPr>
    </w:p>
    <w:tbl>
      <w:tblPr>
        <w:tblW w:w="0" w:type="auto"/>
        <w:jc w:val="left"/>
        <w:tblInd w:w="4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94"/>
        <w:gridCol w:w="5102"/>
        <w:gridCol w:w="2410"/>
        <w:gridCol w:w="2194"/>
      </w:tblGrid>
      <w:tr>
        <w:trPr>
          <w:trHeight w:val="907" w:hRule="exact"/>
        </w:trPr>
        <w:tc>
          <w:tcPr>
            <w:tcW w:w="394" w:type="dxa"/>
            <w:tcBorders>
              <w:left w:val="nil"/>
              <w:right w:val="single" w:sz="4" w:space="0" w:color="000000"/>
            </w:tcBorders>
          </w:tcPr>
          <w:p>
            <w:pPr/>
          </w:p>
        </w:tc>
        <w:tc>
          <w:tcPr>
            <w:tcW w:w="5102" w:type="dxa"/>
            <w:tcBorders>
              <w:left w:val="single" w:sz="4" w:space="0" w:color="000000"/>
              <w:right w:val="single" w:sz="4" w:space="0" w:color="000000"/>
            </w:tcBorders>
          </w:tcPr>
          <w:p>
            <w:pPr>
              <w:pStyle w:val="TableParagraph"/>
              <w:spacing w:before="150"/>
              <w:ind w:left="538"/>
              <w:rPr>
                <w:sz w:val="24"/>
              </w:rPr>
            </w:pPr>
            <w:r>
              <w:rPr>
                <w:sz w:val="24"/>
              </w:rPr>
              <w:t>Nombre del alimento / breve descripción</w:t>
            </w:r>
          </w:p>
        </w:tc>
        <w:tc>
          <w:tcPr>
            <w:tcW w:w="2410" w:type="dxa"/>
            <w:tcBorders>
              <w:left w:val="single" w:sz="4" w:space="0" w:color="000000"/>
              <w:right w:val="single" w:sz="4" w:space="0" w:color="000000"/>
            </w:tcBorders>
          </w:tcPr>
          <w:p>
            <w:pPr>
              <w:pStyle w:val="TableParagraph"/>
              <w:spacing w:before="2"/>
              <w:ind w:left="840" w:right="845"/>
              <w:jc w:val="center"/>
              <w:rPr>
                <w:sz w:val="24"/>
              </w:rPr>
            </w:pPr>
            <w:r>
              <w:rPr>
                <w:sz w:val="24"/>
              </w:rPr>
              <w:t>unidad</w:t>
            </w:r>
          </w:p>
          <w:p>
            <w:pPr>
              <w:pStyle w:val="TableParagraph"/>
              <w:ind w:left="25" w:right="31" w:hanging="1"/>
              <w:jc w:val="center"/>
              <w:rPr>
                <w:sz w:val="24"/>
              </w:rPr>
            </w:pPr>
            <w:r>
              <w:rPr>
                <w:sz w:val="24"/>
              </w:rPr>
              <w:t>(por ejemplo, kg, toneladas métricas, etc)</w:t>
            </w:r>
          </w:p>
        </w:tc>
        <w:tc>
          <w:tcPr>
            <w:tcW w:w="2194" w:type="dxa"/>
            <w:tcBorders>
              <w:left w:val="single" w:sz="4" w:space="0" w:color="000000"/>
              <w:right w:val="single" w:sz="4" w:space="0" w:color="000000"/>
            </w:tcBorders>
          </w:tcPr>
          <w:p>
            <w:pPr>
              <w:pStyle w:val="TableParagraph"/>
              <w:spacing w:before="2"/>
              <w:ind w:left="22" w:right="28"/>
              <w:jc w:val="center"/>
              <w:rPr>
                <w:sz w:val="24"/>
              </w:rPr>
            </w:pPr>
            <w:r>
              <w:rPr>
                <w:sz w:val="24"/>
              </w:rPr>
              <w:t>Precio promedio ($/unidad de material seca)</w:t>
            </w:r>
          </w:p>
        </w:tc>
      </w:tr>
      <w:tr>
        <w:trPr>
          <w:trHeight w:val="523" w:hRule="exact"/>
        </w:trPr>
        <w:tc>
          <w:tcPr>
            <w:tcW w:w="394" w:type="dxa"/>
            <w:vMerge w:val="restart"/>
            <w:tcBorders>
              <w:left w:val="nil"/>
              <w:right w:val="single" w:sz="4" w:space="0" w:color="000000"/>
            </w:tcBorders>
            <w:textDirection w:val="btLr"/>
          </w:tcPr>
          <w:p>
            <w:pPr>
              <w:pStyle w:val="TableParagraph"/>
              <w:spacing w:before="107"/>
              <w:ind w:left="910"/>
              <w:rPr>
                <w:sz w:val="24"/>
              </w:rPr>
            </w:pPr>
            <w:r>
              <w:rPr>
                <w:color w:val="984806"/>
                <w:sz w:val="24"/>
              </w:rPr>
              <w:t>Concentrados</w:t>
            </w:r>
          </w:p>
        </w:tc>
        <w:tc>
          <w:tcPr>
            <w:tcW w:w="5102" w:type="dxa"/>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Concentrado comercial 18% Proteína</w:t>
            </w:r>
          </w:p>
        </w:tc>
        <w:tc>
          <w:tcPr>
            <w:tcW w:w="2410" w:type="dxa"/>
            <w:tcBorders>
              <w:left w:val="single" w:sz="4" w:space="0" w:color="000000"/>
              <w:bottom w:val="single" w:sz="4" w:space="0" w:color="000000"/>
              <w:right w:val="single" w:sz="4" w:space="0" w:color="000000"/>
            </w:tcBorders>
          </w:tcPr>
          <w:p>
            <w:pPr>
              <w:pStyle w:val="TableParagraph"/>
              <w:spacing w:before="107"/>
              <w:ind w:left="840" w:right="842"/>
              <w:jc w:val="center"/>
              <w:rPr>
                <w:sz w:val="24"/>
              </w:rPr>
            </w:pPr>
            <w:r>
              <w:rPr>
                <w:sz w:val="24"/>
              </w:rPr>
              <w:t>kg.</w:t>
            </w:r>
          </w:p>
        </w:tc>
        <w:tc>
          <w:tcPr>
            <w:tcW w:w="2194" w:type="dxa"/>
            <w:tcBorders>
              <w:left w:val="single" w:sz="4" w:space="0" w:color="000000"/>
              <w:bottom w:val="single" w:sz="4" w:space="0" w:color="000000"/>
              <w:right w:val="single" w:sz="4" w:space="0" w:color="000000"/>
            </w:tcBorders>
          </w:tcPr>
          <w:p>
            <w:pPr/>
          </w:p>
        </w:tc>
      </w:tr>
      <w:tr>
        <w:trPr>
          <w:trHeight w:val="538"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6"/>
              <w:ind w:left="100"/>
              <w:rPr>
                <w:sz w:val="24"/>
              </w:rPr>
            </w:pPr>
            <w:r>
              <w:rPr>
                <w:sz w:val="24"/>
              </w:rPr>
              <w:t>Grano de maíz en tierra (Ground corn grain)</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131"/>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Salvado de trigo</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126"/>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47"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right w:val="single" w:sz="4" w:space="0" w:color="000000"/>
            </w:tcBorders>
          </w:tcPr>
          <w:p>
            <w:pPr/>
          </w:p>
        </w:tc>
        <w:tc>
          <w:tcPr>
            <w:tcW w:w="2410" w:type="dxa"/>
            <w:tcBorders>
              <w:top w:val="single" w:sz="4" w:space="0" w:color="000000"/>
              <w:left w:val="single" w:sz="4" w:space="0" w:color="000000"/>
              <w:right w:val="single" w:sz="4" w:space="0" w:color="000000"/>
            </w:tcBorders>
          </w:tcPr>
          <w:p>
            <w:pPr/>
          </w:p>
        </w:tc>
        <w:tc>
          <w:tcPr>
            <w:tcW w:w="2194" w:type="dxa"/>
            <w:tcBorders>
              <w:top w:val="single" w:sz="4" w:space="0" w:color="000000"/>
              <w:left w:val="single" w:sz="4" w:space="0" w:color="000000"/>
              <w:right w:val="single" w:sz="4" w:space="0" w:color="000000"/>
            </w:tcBorders>
          </w:tcPr>
          <w:p>
            <w:pPr/>
          </w:p>
        </w:tc>
      </w:tr>
      <w:tr>
        <w:trPr>
          <w:trHeight w:val="523" w:hRule="exact"/>
        </w:trPr>
        <w:tc>
          <w:tcPr>
            <w:tcW w:w="394" w:type="dxa"/>
            <w:vMerge w:val="restart"/>
            <w:tcBorders>
              <w:left w:val="nil"/>
              <w:right w:val="single" w:sz="4" w:space="0" w:color="000000"/>
            </w:tcBorders>
            <w:textDirection w:val="btLr"/>
          </w:tcPr>
          <w:p>
            <w:pPr>
              <w:pStyle w:val="TableParagraph"/>
              <w:spacing w:before="107"/>
              <w:ind w:left="1179" w:right="1178"/>
              <w:jc w:val="center"/>
              <w:rPr>
                <w:sz w:val="24"/>
              </w:rPr>
            </w:pPr>
            <w:r>
              <w:rPr>
                <w:color w:val="00B050"/>
                <w:sz w:val="24"/>
              </w:rPr>
              <w:t>Forrajes</w:t>
            </w:r>
          </w:p>
        </w:tc>
        <w:tc>
          <w:tcPr>
            <w:tcW w:w="5102" w:type="dxa"/>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Alfalfa (</w:t>
            </w:r>
            <w:r>
              <w:rPr>
                <w:i/>
                <w:sz w:val="24"/>
              </w:rPr>
              <w:t>Medicago sativa</w:t>
            </w:r>
            <w:r>
              <w:rPr>
                <w:sz w:val="24"/>
              </w:rPr>
              <w:t>)</w:t>
            </w:r>
          </w:p>
        </w:tc>
        <w:tc>
          <w:tcPr>
            <w:tcW w:w="2410" w:type="dxa"/>
            <w:tcBorders>
              <w:left w:val="single" w:sz="4" w:space="0" w:color="000000"/>
              <w:bottom w:val="single" w:sz="4" w:space="0" w:color="000000"/>
              <w:right w:val="single" w:sz="4" w:space="0" w:color="000000"/>
            </w:tcBorders>
          </w:tcPr>
          <w:p>
            <w:pPr>
              <w:pStyle w:val="TableParagraph"/>
              <w:spacing w:before="107"/>
              <w:ind w:left="840" w:right="842"/>
              <w:jc w:val="center"/>
              <w:rPr>
                <w:sz w:val="24"/>
              </w:rPr>
            </w:pPr>
            <w:r>
              <w:rPr>
                <w:sz w:val="24"/>
              </w:rPr>
              <w:t>kg.</w:t>
            </w:r>
          </w:p>
        </w:tc>
        <w:tc>
          <w:tcPr>
            <w:tcW w:w="2194" w:type="dxa"/>
            <w:tcBorders>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Ensilado de maíz (</w:t>
            </w:r>
            <w:r>
              <w:rPr>
                <w:i/>
                <w:sz w:val="24"/>
              </w:rPr>
              <w:t>Zea mays</w:t>
            </w:r>
            <w:r>
              <w:rPr>
                <w:sz w:val="24"/>
              </w:rPr>
              <w:t>)</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126"/>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Maíz picado</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126"/>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8"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6"/>
              <w:ind w:left="100"/>
              <w:rPr>
                <w:sz w:val="24"/>
              </w:rPr>
            </w:pPr>
            <w:r>
              <w:rPr>
                <w:sz w:val="24"/>
              </w:rPr>
              <w:t>Heno de avena (</w:t>
            </w:r>
            <w:r>
              <w:rPr>
                <w:i/>
                <w:sz w:val="24"/>
              </w:rPr>
              <w:t>Avena sativa</w:t>
            </w:r>
            <w:r>
              <w:rPr>
                <w:sz w:val="24"/>
              </w:rPr>
              <w:t>)</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131"/>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Ebo (</w:t>
            </w:r>
            <w:r>
              <w:rPr>
                <w:i/>
                <w:sz w:val="24"/>
              </w:rPr>
              <w:t>Vicia sativa</w:t>
            </w:r>
            <w:r>
              <w:rPr>
                <w:sz w:val="24"/>
              </w:rPr>
              <w:t>)</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126"/>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42"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right w:val="single" w:sz="4" w:space="0" w:color="000000"/>
            </w:tcBorders>
          </w:tcPr>
          <w:p>
            <w:pPr>
              <w:pStyle w:val="TableParagraph"/>
              <w:spacing w:before="21"/>
              <w:ind w:left="100"/>
              <w:rPr>
                <w:sz w:val="24"/>
              </w:rPr>
            </w:pPr>
            <w:r>
              <w:rPr>
                <w:sz w:val="24"/>
              </w:rPr>
              <w:t>Rastrojo de maíz</w:t>
            </w:r>
          </w:p>
        </w:tc>
        <w:tc>
          <w:tcPr>
            <w:tcW w:w="2410" w:type="dxa"/>
            <w:tcBorders>
              <w:top w:val="single" w:sz="4" w:space="0" w:color="000000"/>
              <w:left w:val="single" w:sz="4" w:space="0" w:color="000000"/>
              <w:right w:val="single" w:sz="4" w:space="0" w:color="000000"/>
            </w:tcBorders>
          </w:tcPr>
          <w:p>
            <w:pPr>
              <w:pStyle w:val="TableParagraph"/>
              <w:spacing w:before="126"/>
              <w:ind w:left="840" w:right="842"/>
              <w:jc w:val="center"/>
              <w:rPr>
                <w:sz w:val="24"/>
              </w:rPr>
            </w:pPr>
            <w:r>
              <w:rPr>
                <w:sz w:val="24"/>
              </w:rPr>
              <w:t>kg.</w:t>
            </w:r>
          </w:p>
        </w:tc>
        <w:tc>
          <w:tcPr>
            <w:tcW w:w="2194" w:type="dxa"/>
            <w:tcBorders>
              <w:top w:val="single" w:sz="4" w:space="0" w:color="000000"/>
              <w:left w:val="single" w:sz="4" w:space="0" w:color="000000"/>
              <w:right w:val="single" w:sz="4" w:space="0" w:color="000000"/>
            </w:tcBorders>
          </w:tcPr>
          <w:p>
            <w:pPr/>
          </w:p>
        </w:tc>
      </w:tr>
      <w:tr>
        <w:trPr>
          <w:trHeight w:val="523" w:hRule="exact"/>
        </w:trPr>
        <w:tc>
          <w:tcPr>
            <w:tcW w:w="394" w:type="dxa"/>
            <w:vMerge w:val="restart"/>
            <w:tcBorders>
              <w:left w:val="nil"/>
              <w:right w:val="single" w:sz="4" w:space="0" w:color="000000"/>
            </w:tcBorders>
            <w:textDirection w:val="btLr"/>
          </w:tcPr>
          <w:p>
            <w:pPr>
              <w:pStyle w:val="TableParagraph"/>
              <w:spacing w:before="107"/>
              <w:ind w:left="227"/>
              <w:rPr>
                <w:sz w:val="24"/>
              </w:rPr>
            </w:pPr>
            <w:r>
              <w:rPr>
                <w:color w:val="00B0F0"/>
                <w:sz w:val="24"/>
              </w:rPr>
              <w:t>Vitaminas y Min.</w:t>
            </w:r>
          </w:p>
        </w:tc>
        <w:tc>
          <w:tcPr>
            <w:tcW w:w="5102" w:type="dxa"/>
            <w:tcBorders>
              <w:left w:val="single" w:sz="4" w:space="0" w:color="000000"/>
              <w:bottom w:val="single" w:sz="4" w:space="0" w:color="000000"/>
              <w:right w:val="single" w:sz="4" w:space="0" w:color="000000"/>
            </w:tcBorders>
          </w:tcPr>
          <w:p>
            <w:pPr/>
          </w:p>
        </w:tc>
        <w:tc>
          <w:tcPr>
            <w:tcW w:w="2410" w:type="dxa"/>
            <w:tcBorders>
              <w:left w:val="single" w:sz="4" w:space="0" w:color="000000"/>
              <w:bottom w:val="single" w:sz="4" w:space="0" w:color="000000"/>
              <w:right w:val="single" w:sz="4" w:space="0" w:color="000000"/>
            </w:tcBorders>
          </w:tcPr>
          <w:p>
            <w:pPr/>
          </w:p>
        </w:tc>
        <w:tc>
          <w:tcPr>
            <w:tcW w:w="2194" w:type="dxa"/>
            <w:tcBorders>
              <w:left w:val="single" w:sz="4" w:space="0" w:color="000000"/>
              <w:bottom w:val="single" w:sz="4" w:space="0" w:color="000000"/>
              <w:right w:val="single" w:sz="4" w:space="0" w:color="000000"/>
            </w:tcBorders>
          </w:tcPr>
          <w:p>
            <w:pPr/>
          </w:p>
        </w:tc>
      </w:tr>
      <w:tr>
        <w:trPr>
          <w:trHeight w:val="538"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bl>
    <w:p>
      <w:pPr>
        <w:spacing w:after="0"/>
        <w:sectPr>
          <w:headerReference w:type="default" r:id="rId267"/>
          <w:footerReference w:type="default" r:id="rId268"/>
          <w:pgSz w:w="12240" w:h="15840"/>
          <w:pgMar w:header="0" w:footer="564" w:top="660" w:bottom="760" w:left="580" w:right="56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
        <w:gridCol w:w="1961"/>
        <w:gridCol w:w="1349"/>
        <w:gridCol w:w="1457"/>
        <w:gridCol w:w="1171"/>
        <w:gridCol w:w="1174"/>
        <w:gridCol w:w="1246"/>
        <w:gridCol w:w="1248"/>
        <w:gridCol w:w="1270"/>
      </w:tblGrid>
      <w:tr>
        <w:trPr>
          <w:trHeight w:val="542" w:hRule="exact"/>
        </w:trPr>
        <w:tc>
          <w:tcPr>
            <w:tcW w:w="11050" w:type="dxa"/>
            <w:gridSpan w:val="9"/>
          </w:tcPr>
          <w:p>
            <w:pPr>
              <w:pStyle w:val="TableParagraph"/>
              <w:spacing w:line="169" w:lineRule="exact" w:before="6"/>
              <w:ind w:right="76"/>
              <w:jc w:val="right"/>
              <w:rPr>
                <w:b/>
                <w:i/>
                <w:sz w:val="14"/>
              </w:rPr>
            </w:pPr>
            <w:r>
              <w:rPr>
                <w:b/>
                <w:i/>
                <w:sz w:val="14"/>
              </w:rPr>
              <w:t>Estimación de las emisiones en bovinos en los sistema de producción lechera en pequeña escala</w:t>
            </w:r>
          </w:p>
          <w:p>
            <w:pPr>
              <w:pStyle w:val="TableParagraph"/>
              <w:spacing w:line="169" w:lineRule="exact"/>
              <w:ind w:right="76"/>
              <w:jc w:val="right"/>
              <w:rPr>
                <w:b/>
                <w:i/>
                <w:sz w:val="14"/>
              </w:rPr>
            </w:pPr>
            <w:r>
              <w:rPr>
                <w:b/>
                <w:i/>
                <w:sz w:val="14"/>
              </w:rPr>
              <w:t>a través del factor de conversión de metano</w:t>
            </w:r>
          </w:p>
          <w:p>
            <w:pPr>
              <w:pStyle w:val="TableParagraph"/>
              <w:spacing w:before="2"/>
              <w:ind w:right="76"/>
              <w:jc w:val="right"/>
              <w:rPr>
                <w:b/>
                <w:i/>
                <w:sz w:val="14"/>
              </w:rPr>
            </w:pPr>
            <w:r>
              <w:rPr>
                <w:b/>
                <w:i/>
                <w:sz w:val="14"/>
              </w:rPr>
              <w:t>M. en E. S. Noé Zúñiga-González</w:t>
            </w:r>
          </w:p>
        </w:tc>
      </w:tr>
      <w:tr>
        <w:trPr>
          <w:trHeight w:val="389" w:hRule="exact"/>
        </w:trPr>
        <w:tc>
          <w:tcPr>
            <w:tcW w:w="11050" w:type="dxa"/>
            <w:gridSpan w:val="9"/>
            <w:tcBorders>
              <w:left w:val="double" w:sz="4" w:space="0" w:color="000000"/>
              <w:right w:val="double" w:sz="5" w:space="0" w:color="000000"/>
            </w:tcBorders>
            <w:shd w:val="clear" w:color="auto" w:fill="943634"/>
          </w:tcPr>
          <w:p>
            <w:pPr>
              <w:pStyle w:val="TableParagraph"/>
              <w:tabs>
                <w:tab w:pos="3027" w:val="left" w:leader="none"/>
              </w:tabs>
              <w:spacing w:before="7"/>
              <w:ind w:left="2176"/>
              <w:rPr>
                <w:b/>
                <w:sz w:val="28"/>
              </w:rPr>
            </w:pPr>
            <w:r>
              <w:rPr>
                <w:rFonts w:ascii="Times New Roman" w:hAnsi="Times New Roman"/>
                <w:b/>
                <w:color w:val="FFFFFF"/>
                <w:sz w:val="28"/>
              </w:rPr>
              <w:t>B.</w:t>
              <w:tab/>
            </w:r>
            <w:r>
              <w:rPr>
                <w:b/>
                <w:color w:val="FFFFFF"/>
                <w:sz w:val="28"/>
              </w:rPr>
              <w:t>PRODUCCIÓN DE LECHE, COMPOSICIÓN, Y</w:t>
            </w:r>
            <w:r>
              <w:rPr>
                <w:b/>
                <w:color w:val="FFFFFF"/>
                <w:spacing w:val="-22"/>
                <w:sz w:val="28"/>
              </w:rPr>
              <w:t> </w:t>
            </w:r>
            <w:r>
              <w:rPr>
                <w:b/>
                <w:color w:val="FFFFFF"/>
                <w:sz w:val="28"/>
              </w:rPr>
              <w:t>PRECIO</w:t>
            </w:r>
          </w:p>
        </w:tc>
      </w:tr>
      <w:tr>
        <w:trPr>
          <w:trHeight w:val="725" w:hRule="exact"/>
        </w:trPr>
        <w:tc>
          <w:tcPr>
            <w:tcW w:w="11050" w:type="dxa"/>
            <w:gridSpan w:val="9"/>
            <w:tcBorders>
              <w:bottom w:val="single" w:sz="12" w:space="0" w:color="000000"/>
            </w:tcBorders>
          </w:tcPr>
          <w:p>
            <w:pPr>
              <w:pStyle w:val="TableParagraph"/>
              <w:tabs>
                <w:tab w:pos="790" w:val="left" w:leader="none"/>
              </w:tabs>
              <w:spacing w:before="113"/>
              <w:ind w:left="790" w:right="76" w:hanging="709"/>
              <w:rPr>
                <w:b/>
                <w:i/>
                <w:sz w:val="24"/>
              </w:rPr>
            </w:pPr>
            <w:r>
              <w:rPr>
                <w:rFonts w:ascii="Times New Roman" w:hAnsi="Times New Roman"/>
                <w:b/>
                <w:sz w:val="24"/>
              </w:rPr>
              <w:t>B.3.</w:t>
              <w:tab/>
            </w:r>
            <w:r>
              <w:rPr>
                <w:b/>
                <w:i/>
                <w:sz w:val="24"/>
              </w:rPr>
              <w:t>Complete la tabla para el año 2011 con la producción de leche, componentes de la leche,  </w:t>
            </w:r>
            <w:r>
              <w:rPr>
                <w:b/>
                <w:i/>
                <w:spacing w:val="10"/>
                <w:sz w:val="24"/>
              </w:rPr>
              <w:t> </w:t>
            </w:r>
            <w:r>
              <w:rPr>
                <w:b/>
                <w:i/>
                <w:sz w:val="24"/>
              </w:rPr>
              <w:t>recuento</w:t>
            </w:r>
            <w:r>
              <w:rPr>
                <w:b/>
                <w:i/>
                <w:spacing w:val="7"/>
                <w:sz w:val="24"/>
              </w:rPr>
              <w:t> </w:t>
            </w:r>
            <w:r>
              <w:rPr>
                <w:b/>
                <w:i/>
                <w:sz w:val="24"/>
              </w:rPr>
              <w:t>de</w:t>
            </w:r>
            <w:r>
              <w:rPr>
                <w:b/>
                <w:i/>
                <w:sz w:val="24"/>
              </w:rPr>
              <w:t> células somáticas (SCC), y el precio de la leche. Llenar tanto como sea posible.</w:t>
            </w:r>
          </w:p>
        </w:tc>
      </w:tr>
      <w:tr>
        <w:trPr>
          <w:trHeight w:val="317" w:hRule="exact"/>
        </w:trPr>
        <w:tc>
          <w:tcPr>
            <w:tcW w:w="3485" w:type="dxa"/>
            <w:gridSpan w:val="3"/>
            <w:vMerge w:val="restart"/>
            <w:tcBorders>
              <w:top w:val="single" w:sz="12" w:space="0" w:color="000000"/>
              <w:right w:val="single" w:sz="12" w:space="0" w:color="000000"/>
            </w:tcBorders>
          </w:tcPr>
          <w:p>
            <w:pPr/>
          </w:p>
        </w:tc>
        <w:tc>
          <w:tcPr>
            <w:tcW w:w="7565" w:type="dxa"/>
            <w:gridSpan w:val="6"/>
            <w:tcBorders>
              <w:top w:val="single" w:sz="12" w:space="0" w:color="000000"/>
              <w:left w:val="single" w:sz="2" w:space="0" w:color="000000"/>
            </w:tcBorders>
          </w:tcPr>
          <w:p>
            <w:pPr>
              <w:pStyle w:val="TableParagraph"/>
              <w:spacing w:line="291" w:lineRule="exact"/>
              <w:ind w:left="3254" w:right="3270"/>
              <w:jc w:val="center"/>
              <w:rPr>
                <w:sz w:val="24"/>
              </w:rPr>
            </w:pPr>
            <w:r>
              <w:rPr>
                <w:sz w:val="24"/>
              </w:rPr>
              <w:t>AÑO 2011</w:t>
            </w:r>
          </w:p>
        </w:tc>
      </w:tr>
      <w:tr>
        <w:trPr>
          <w:trHeight w:val="331" w:hRule="exact"/>
        </w:trPr>
        <w:tc>
          <w:tcPr>
            <w:tcW w:w="3485" w:type="dxa"/>
            <w:gridSpan w:val="3"/>
            <w:vMerge/>
            <w:tcBorders>
              <w:bottom w:val="single" w:sz="12" w:space="0" w:color="000000"/>
              <w:right w:val="single" w:sz="12" w:space="0" w:color="000000"/>
            </w:tcBorders>
          </w:tcPr>
          <w:p>
            <w:pPr/>
          </w:p>
        </w:tc>
        <w:tc>
          <w:tcPr>
            <w:tcW w:w="1457" w:type="dxa"/>
            <w:tcBorders>
              <w:left w:val="single" w:sz="12" w:space="0" w:color="000000"/>
              <w:bottom w:val="single" w:sz="12" w:space="0" w:color="000000"/>
            </w:tcBorders>
          </w:tcPr>
          <w:p>
            <w:pPr>
              <w:pStyle w:val="TableParagraph"/>
              <w:spacing w:before="12"/>
              <w:ind w:left="430"/>
              <w:rPr>
                <w:sz w:val="24"/>
              </w:rPr>
            </w:pPr>
            <w:r>
              <w:rPr>
                <w:sz w:val="24"/>
              </w:rPr>
              <w:t>Enero</w:t>
            </w:r>
          </w:p>
        </w:tc>
        <w:tc>
          <w:tcPr>
            <w:tcW w:w="1171" w:type="dxa"/>
            <w:tcBorders>
              <w:bottom w:val="single" w:sz="12" w:space="0" w:color="000000"/>
            </w:tcBorders>
          </w:tcPr>
          <w:p>
            <w:pPr>
              <w:pStyle w:val="TableParagraph"/>
              <w:spacing w:before="12"/>
              <w:ind w:left="180" w:right="172"/>
              <w:jc w:val="center"/>
              <w:rPr>
                <w:sz w:val="24"/>
              </w:rPr>
            </w:pPr>
            <w:r>
              <w:rPr>
                <w:sz w:val="24"/>
              </w:rPr>
              <w:t>Febrero</w:t>
            </w:r>
          </w:p>
        </w:tc>
        <w:tc>
          <w:tcPr>
            <w:tcW w:w="1174" w:type="dxa"/>
            <w:tcBorders>
              <w:bottom w:val="single" w:sz="12" w:space="0" w:color="000000"/>
            </w:tcBorders>
          </w:tcPr>
          <w:p>
            <w:pPr>
              <w:pStyle w:val="TableParagraph"/>
              <w:spacing w:before="12"/>
              <w:ind w:left="273"/>
              <w:rPr>
                <w:sz w:val="24"/>
              </w:rPr>
            </w:pPr>
            <w:r>
              <w:rPr>
                <w:sz w:val="24"/>
              </w:rPr>
              <w:t>Marzo</w:t>
            </w:r>
          </w:p>
        </w:tc>
        <w:tc>
          <w:tcPr>
            <w:tcW w:w="1246" w:type="dxa"/>
            <w:tcBorders>
              <w:bottom w:val="single" w:sz="12" w:space="0" w:color="000000"/>
            </w:tcBorders>
          </w:tcPr>
          <w:p>
            <w:pPr>
              <w:pStyle w:val="TableParagraph"/>
              <w:spacing w:before="12"/>
              <w:ind w:left="392"/>
              <w:rPr>
                <w:sz w:val="24"/>
              </w:rPr>
            </w:pPr>
            <w:r>
              <w:rPr>
                <w:sz w:val="24"/>
              </w:rPr>
              <w:t>Abril</w:t>
            </w:r>
          </w:p>
        </w:tc>
        <w:tc>
          <w:tcPr>
            <w:tcW w:w="1248" w:type="dxa"/>
            <w:tcBorders>
              <w:bottom w:val="single" w:sz="12" w:space="0" w:color="000000"/>
            </w:tcBorders>
          </w:tcPr>
          <w:p>
            <w:pPr>
              <w:pStyle w:val="TableParagraph"/>
              <w:spacing w:before="12"/>
              <w:ind w:left="346"/>
              <w:rPr>
                <w:sz w:val="24"/>
              </w:rPr>
            </w:pPr>
            <w:r>
              <w:rPr>
                <w:sz w:val="24"/>
              </w:rPr>
              <w:t>Mayo</w:t>
            </w:r>
          </w:p>
        </w:tc>
        <w:tc>
          <w:tcPr>
            <w:tcW w:w="1270" w:type="dxa"/>
            <w:tcBorders>
              <w:bottom w:val="single" w:sz="12" w:space="0" w:color="000000"/>
            </w:tcBorders>
          </w:tcPr>
          <w:p>
            <w:pPr>
              <w:pStyle w:val="TableParagraph"/>
              <w:spacing w:before="12"/>
              <w:ind w:left="369"/>
              <w:rPr>
                <w:sz w:val="24"/>
              </w:rPr>
            </w:pPr>
            <w:r>
              <w:rPr>
                <w:sz w:val="24"/>
              </w:rPr>
              <w:t>Junio</w:t>
            </w:r>
          </w:p>
        </w:tc>
      </w:tr>
      <w:tr>
        <w:trPr>
          <w:trHeight w:val="528" w:hRule="exact"/>
        </w:trPr>
        <w:tc>
          <w:tcPr>
            <w:tcW w:w="2136" w:type="dxa"/>
            <w:gridSpan w:val="2"/>
            <w:tcBorders>
              <w:top w:val="single" w:sz="12" w:space="0" w:color="000000"/>
            </w:tcBorders>
          </w:tcPr>
          <w:p>
            <w:pPr>
              <w:pStyle w:val="TableParagraph"/>
              <w:spacing w:before="103"/>
              <w:ind w:left="119" w:right="565"/>
              <w:rPr>
                <w:sz w:val="24"/>
              </w:rPr>
            </w:pPr>
            <w:r>
              <w:rPr>
                <w:sz w:val="24"/>
              </w:rPr>
              <w:t>ProteÍna</w:t>
            </w:r>
          </w:p>
        </w:tc>
        <w:tc>
          <w:tcPr>
            <w:tcW w:w="1349" w:type="dxa"/>
            <w:tcBorders>
              <w:top w:val="single" w:sz="12" w:space="0" w:color="000000"/>
              <w:right w:val="single" w:sz="12" w:space="0" w:color="000000"/>
            </w:tcBorders>
          </w:tcPr>
          <w:p>
            <w:pPr>
              <w:pStyle w:val="TableParagraph"/>
              <w:spacing w:before="103"/>
              <w:ind w:left="105"/>
              <w:rPr>
                <w:sz w:val="24"/>
              </w:rPr>
            </w:pPr>
            <w:r>
              <w:rPr>
                <w:sz w:val="24"/>
              </w:rPr>
              <w:t>(%)</w:t>
            </w:r>
          </w:p>
        </w:tc>
        <w:tc>
          <w:tcPr>
            <w:tcW w:w="1457" w:type="dxa"/>
            <w:tcBorders>
              <w:top w:val="single" w:sz="12" w:space="0" w:color="000000"/>
              <w:left w:val="single" w:sz="12" w:space="0" w:color="000000"/>
              <w:right w:val="single" w:sz="2" w:space="0" w:color="000000"/>
            </w:tcBorders>
          </w:tcPr>
          <w:p>
            <w:pPr/>
          </w:p>
        </w:tc>
        <w:tc>
          <w:tcPr>
            <w:tcW w:w="1171" w:type="dxa"/>
            <w:tcBorders>
              <w:top w:val="single" w:sz="12" w:space="0" w:color="000000"/>
              <w:left w:val="single" w:sz="2" w:space="0" w:color="000000"/>
              <w:right w:val="single" w:sz="2" w:space="0" w:color="000000"/>
            </w:tcBorders>
          </w:tcPr>
          <w:p>
            <w:pPr/>
          </w:p>
        </w:tc>
        <w:tc>
          <w:tcPr>
            <w:tcW w:w="1174" w:type="dxa"/>
            <w:tcBorders>
              <w:top w:val="single" w:sz="12" w:space="0" w:color="000000"/>
              <w:left w:val="single" w:sz="2" w:space="0" w:color="000000"/>
              <w:right w:val="single" w:sz="12" w:space="0" w:color="000000"/>
            </w:tcBorders>
          </w:tcPr>
          <w:p>
            <w:pPr/>
          </w:p>
        </w:tc>
        <w:tc>
          <w:tcPr>
            <w:tcW w:w="1246" w:type="dxa"/>
            <w:tcBorders>
              <w:top w:val="single" w:sz="12" w:space="0" w:color="000000"/>
              <w:left w:val="single" w:sz="12" w:space="0" w:color="000000"/>
              <w:bottom w:val="single" w:sz="2" w:space="0" w:color="000000"/>
              <w:right w:val="single" w:sz="2" w:space="0" w:color="000000"/>
            </w:tcBorders>
          </w:tcPr>
          <w:p>
            <w:pPr/>
          </w:p>
        </w:tc>
        <w:tc>
          <w:tcPr>
            <w:tcW w:w="1248" w:type="dxa"/>
            <w:tcBorders>
              <w:top w:val="single" w:sz="12" w:space="0" w:color="000000"/>
              <w:left w:val="single" w:sz="2" w:space="0" w:color="000000"/>
              <w:bottom w:val="single" w:sz="2" w:space="0" w:color="000000"/>
              <w:right w:val="single" w:sz="2" w:space="0" w:color="000000"/>
            </w:tcBorders>
          </w:tcPr>
          <w:p>
            <w:pPr/>
          </w:p>
        </w:tc>
        <w:tc>
          <w:tcPr>
            <w:tcW w:w="1270" w:type="dxa"/>
            <w:tcBorders>
              <w:top w:val="single" w:sz="12" w:space="0" w:color="000000"/>
              <w:left w:val="single" w:sz="2" w:space="0" w:color="000000"/>
              <w:bottom w:val="single" w:sz="2" w:space="0" w:color="000000"/>
            </w:tcBorders>
          </w:tcPr>
          <w:p>
            <w:pPr/>
          </w:p>
        </w:tc>
      </w:tr>
      <w:tr>
        <w:trPr>
          <w:trHeight w:val="533" w:hRule="exact"/>
        </w:trPr>
        <w:tc>
          <w:tcPr>
            <w:tcW w:w="2136" w:type="dxa"/>
            <w:gridSpan w:val="2"/>
            <w:tcBorders>
              <w:bottom w:val="single" w:sz="12" w:space="0" w:color="000000"/>
            </w:tcBorders>
          </w:tcPr>
          <w:p>
            <w:pPr/>
          </w:p>
        </w:tc>
        <w:tc>
          <w:tcPr>
            <w:tcW w:w="1349" w:type="dxa"/>
            <w:tcBorders>
              <w:bottom w:val="single" w:sz="12" w:space="0" w:color="000000"/>
              <w:right w:val="single" w:sz="12" w:space="0" w:color="000000"/>
            </w:tcBorders>
          </w:tcPr>
          <w:p>
            <w:pPr/>
          </w:p>
        </w:tc>
        <w:tc>
          <w:tcPr>
            <w:tcW w:w="1457" w:type="dxa"/>
            <w:tcBorders>
              <w:left w:val="single" w:sz="12" w:space="0" w:color="000000"/>
              <w:bottom w:val="single" w:sz="12" w:space="0" w:color="000000"/>
              <w:right w:val="single" w:sz="2" w:space="0" w:color="000000"/>
            </w:tcBorders>
          </w:tcPr>
          <w:p>
            <w:pPr/>
          </w:p>
        </w:tc>
        <w:tc>
          <w:tcPr>
            <w:tcW w:w="1171" w:type="dxa"/>
            <w:tcBorders>
              <w:left w:val="single" w:sz="2" w:space="0" w:color="000000"/>
              <w:bottom w:val="single" w:sz="12" w:space="0" w:color="000000"/>
              <w:right w:val="single" w:sz="2" w:space="0" w:color="000000"/>
            </w:tcBorders>
          </w:tcPr>
          <w:p>
            <w:pPr/>
          </w:p>
        </w:tc>
        <w:tc>
          <w:tcPr>
            <w:tcW w:w="1174" w:type="dxa"/>
            <w:tcBorders>
              <w:left w:val="single" w:sz="2" w:space="0" w:color="000000"/>
              <w:bottom w:val="single" w:sz="12" w:space="0" w:color="000000"/>
              <w:right w:val="single" w:sz="12" w:space="0" w:color="000000"/>
            </w:tcBorders>
          </w:tcPr>
          <w:p>
            <w:pPr/>
          </w:p>
        </w:tc>
        <w:tc>
          <w:tcPr>
            <w:tcW w:w="1246" w:type="dxa"/>
            <w:tcBorders>
              <w:top w:val="single" w:sz="2" w:space="0" w:color="000000"/>
              <w:left w:val="single" w:sz="12" w:space="0" w:color="000000"/>
              <w:bottom w:val="single" w:sz="12" w:space="0" w:color="000000"/>
              <w:right w:val="single" w:sz="2" w:space="0" w:color="000000"/>
            </w:tcBorders>
          </w:tcPr>
          <w:p>
            <w:pPr/>
          </w:p>
        </w:tc>
        <w:tc>
          <w:tcPr>
            <w:tcW w:w="1248" w:type="dxa"/>
            <w:tcBorders>
              <w:top w:val="single" w:sz="2" w:space="0" w:color="000000"/>
              <w:left w:val="single" w:sz="2" w:space="0" w:color="000000"/>
              <w:bottom w:val="single" w:sz="12" w:space="0" w:color="000000"/>
              <w:right w:val="single" w:sz="2" w:space="0" w:color="000000"/>
            </w:tcBorders>
          </w:tcPr>
          <w:p>
            <w:pPr/>
          </w:p>
        </w:tc>
        <w:tc>
          <w:tcPr>
            <w:tcW w:w="1270" w:type="dxa"/>
            <w:tcBorders>
              <w:top w:val="single" w:sz="2" w:space="0" w:color="000000"/>
              <w:left w:val="single" w:sz="2" w:space="0" w:color="000000"/>
              <w:bottom w:val="single" w:sz="12" w:space="0" w:color="000000"/>
            </w:tcBorders>
          </w:tcPr>
          <w:p>
            <w:pPr/>
          </w:p>
        </w:tc>
      </w:tr>
      <w:tr>
        <w:trPr>
          <w:trHeight w:val="11270" w:hRule="exact"/>
        </w:trPr>
        <w:tc>
          <w:tcPr>
            <w:tcW w:w="175" w:type="dxa"/>
            <w:tcBorders>
              <w:top w:val="single" w:sz="12" w:space="0" w:color="000000"/>
              <w:right w:val="nil"/>
            </w:tcBorders>
          </w:tcPr>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rPr>
                <w:b/>
                <w:i/>
                <w:sz w:val="12"/>
              </w:rPr>
            </w:pPr>
          </w:p>
          <w:p>
            <w:pPr>
              <w:pStyle w:val="TableParagraph"/>
              <w:spacing w:before="91"/>
              <w:ind w:left="81"/>
              <w:rPr>
                <w:sz w:val="13"/>
              </w:rPr>
            </w:pPr>
            <w:r>
              <w:rPr>
                <w:w w:val="99"/>
                <w:sz w:val="13"/>
              </w:rPr>
              <w:t>8</w:t>
            </w:r>
          </w:p>
        </w:tc>
        <w:tc>
          <w:tcPr>
            <w:tcW w:w="4766" w:type="dxa"/>
            <w:gridSpan w:val="3"/>
            <w:tcBorders>
              <w:top w:val="single" w:sz="12" w:space="0" w:color="000000"/>
              <w:left w:val="nil"/>
              <w:right w:val="nil"/>
            </w:tcBorders>
          </w:tcPr>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rPr>
                <w:b/>
                <w:i/>
                <w:sz w:val="16"/>
              </w:rPr>
            </w:pPr>
          </w:p>
          <w:p>
            <w:pPr>
              <w:pStyle w:val="TableParagraph"/>
              <w:spacing w:before="5"/>
              <w:rPr>
                <w:b/>
                <w:i/>
                <w:sz w:val="13"/>
              </w:rPr>
            </w:pPr>
          </w:p>
          <w:p>
            <w:pPr>
              <w:pStyle w:val="TableParagraph"/>
              <w:ind w:left="23"/>
              <w:rPr>
                <w:sz w:val="16"/>
              </w:rPr>
            </w:pPr>
            <w:r>
              <w:rPr>
                <w:sz w:val="16"/>
              </w:rPr>
              <w:t>Esto se puede considerar a cero en animales maduros.</w:t>
            </w:r>
          </w:p>
        </w:tc>
        <w:tc>
          <w:tcPr>
            <w:tcW w:w="1171" w:type="dxa"/>
            <w:tcBorders>
              <w:top w:val="single" w:sz="12" w:space="0" w:color="000000"/>
              <w:left w:val="nil"/>
              <w:right w:val="nil"/>
            </w:tcBorders>
          </w:tcPr>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spacing w:before="11"/>
              <w:rPr>
                <w:b/>
                <w:i/>
                <w:sz w:val="17"/>
              </w:rPr>
            </w:pPr>
          </w:p>
          <w:p>
            <w:pPr>
              <w:pStyle w:val="TableParagraph"/>
              <w:ind w:left="397" w:right="398"/>
              <w:jc w:val="center"/>
              <w:rPr>
                <w:sz w:val="21"/>
              </w:rPr>
            </w:pPr>
            <w:r>
              <w:rPr>
                <w:w w:val="105"/>
                <w:sz w:val="21"/>
              </w:rPr>
              <w:t>182</w:t>
            </w:r>
          </w:p>
        </w:tc>
        <w:tc>
          <w:tcPr>
            <w:tcW w:w="1174" w:type="dxa"/>
            <w:tcBorders>
              <w:top w:val="single" w:sz="12" w:space="0" w:color="000000"/>
              <w:left w:val="nil"/>
              <w:right w:val="nil"/>
            </w:tcBorders>
          </w:tcPr>
          <w:p>
            <w:pPr/>
          </w:p>
        </w:tc>
        <w:tc>
          <w:tcPr>
            <w:tcW w:w="1246" w:type="dxa"/>
            <w:tcBorders>
              <w:top w:val="single" w:sz="12" w:space="0" w:color="000000"/>
              <w:left w:val="nil"/>
              <w:right w:val="nil"/>
            </w:tcBorders>
          </w:tcPr>
          <w:p>
            <w:pPr/>
          </w:p>
        </w:tc>
        <w:tc>
          <w:tcPr>
            <w:tcW w:w="1248" w:type="dxa"/>
            <w:tcBorders>
              <w:top w:val="single" w:sz="12" w:space="0" w:color="000000"/>
              <w:left w:val="nil"/>
              <w:right w:val="nil"/>
            </w:tcBorders>
          </w:tcPr>
          <w:p>
            <w:pPr/>
          </w:p>
        </w:tc>
        <w:tc>
          <w:tcPr>
            <w:tcW w:w="1270" w:type="dxa"/>
            <w:tcBorders>
              <w:top w:val="single" w:sz="12" w:space="0" w:color="000000"/>
              <w:left w:val="nil"/>
            </w:tcBorders>
          </w:tcPr>
          <w:p>
            <w:pPr/>
          </w:p>
        </w:tc>
      </w:tr>
    </w:tbl>
    <w:p>
      <w:pPr>
        <w:rPr>
          <w:sz w:val="2"/>
          <w:szCs w:val="2"/>
        </w:rPr>
      </w:pPr>
      <w:r>
        <w:rPr/>
        <w:pict>
          <v:line style="position:absolute;mso-position-horizontal-relative:page;mso-position-vertical-relative:page;z-index:-305680" from="33.1124pt,750.472412pt" to="580.0724pt,750.472412pt" stroked="true" strokeweight=".47999pt" strokecolor="#000000">
            <w10:wrap type="none"/>
          </v:line>
        </w:pict>
      </w:r>
      <w:r>
        <w:rPr/>
        <w:pict>
          <v:line style="position:absolute;mso-position-horizontal-relative:page;mso-position-vertical-relative:page;z-index:-305656" from="34.552391pt,718.552368pt" to="178.552401pt,718.552368pt" stroked="true" strokeweight=".48001pt" strokecolor="#000000">
            <w10:wrap type="none"/>
          </v:line>
        </w:pict>
      </w:r>
      <w:r>
        <w:rPr/>
        <w:pict>
          <v:shape style="position:absolute;margin-left:33.832390pt;margin-top:218.392395pt;width:545.550pt;height:105.15pt;mso-position-horizontal-relative:page;mso-position-vertical-relative:page;z-index:6400"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22"/>
                    <w:gridCol w:w="1315"/>
                    <w:gridCol w:w="1236"/>
                    <w:gridCol w:w="1238"/>
                    <w:gridCol w:w="1241"/>
                    <w:gridCol w:w="1236"/>
                    <w:gridCol w:w="1238"/>
                    <w:gridCol w:w="1241"/>
                  </w:tblGrid>
                  <w:tr>
                    <w:trPr>
                      <w:trHeight w:val="312" w:hRule="exact"/>
                    </w:trPr>
                    <w:tc>
                      <w:tcPr>
                        <w:tcW w:w="3437" w:type="dxa"/>
                        <w:gridSpan w:val="2"/>
                        <w:vMerge w:val="restart"/>
                        <w:tcBorders>
                          <w:left w:val="nil"/>
                        </w:tcBorders>
                      </w:tcPr>
                      <w:p>
                        <w:pPr/>
                      </w:p>
                    </w:tc>
                    <w:tc>
                      <w:tcPr>
                        <w:tcW w:w="7430" w:type="dxa"/>
                        <w:gridSpan w:val="6"/>
                        <w:tcBorders>
                          <w:left w:val="single" w:sz="2" w:space="0" w:color="000000"/>
                          <w:bottom w:val="single" w:sz="4" w:space="0" w:color="000000"/>
                          <w:right w:val="nil"/>
                        </w:tcBorders>
                      </w:tcPr>
                      <w:p>
                        <w:pPr>
                          <w:pStyle w:val="TableParagraph"/>
                          <w:spacing w:before="2"/>
                          <w:ind w:left="3197" w:right="3197"/>
                          <w:jc w:val="center"/>
                          <w:rPr>
                            <w:sz w:val="24"/>
                          </w:rPr>
                        </w:pPr>
                        <w:r>
                          <w:rPr>
                            <w:sz w:val="24"/>
                          </w:rPr>
                          <w:t>AÑO 2011</w:t>
                        </w:r>
                      </w:p>
                    </w:tc>
                  </w:tr>
                  <w:tr>
                    <w:trPr>
                      <w:trHeight w:val="629" w:hRule="exact"/>
                    </w:trPr>
                    <w:tc>
                      <w:tcPr>
                        <w:tcW w:w="3437" w:type="dxa"/>
                        <w:gridSpan w:val="2"/>
                        <w:vMerge/>
                        <w:tcBorders>
                          <w:left w:val="nil"/>
                        </w:tcBorders>
                      </w:tcPr>
                      <w:p>
                        <w:pPr/>
                      </w:p>
                    </w:tc>
                    <w:tc>
                      <w:tcPr>
                        <w:tcW w:w="1236" w:type="dxa"/>
                        <w:tcBorders>
                          <w:top w:val="single" w:sz="4" w:space="0" w:color="000000"/>
                          <w:right w:val="single" w:sz="4" w:space="0" w:color="000000"/>
                        </w:tcBorders>
                      </w:tcPr>
                      <w:p>
                        <w:pPr>
                          <w:pStyle w:val="TableParagraph"/>
                          <w:spacing w:before="170"/>
                          <w:ind w:left="386"/>
                          <w:rPr>
                            <w:sz w:val="24"/>
                          </w:rPr>
                        </w:pPr>
                        <w:r>
                          <w:rPr>
                            <w:sz w:val="24"/>
                          </w:rPr>
                          <w:t>Julio</w:t>
                        </w:r>
                      </w:p>
                    </w:tc>
                    <w:tc>
                      <w:tcPr>
                        <w:tcW w:w="1238" w:type="dxa"/>
                        <w:tcBorders>
                          <w:top w:val="single" w:sz="4" w:space="0" w:color="000000"/>
                          <w:left w:val="single" w:sz="4" w:space="0" w:color="000000"/>
                          <w:right w:val="single" w:sz="4" w:space="0" w:color="000000"/>
                        </w:tcBorders>
                      </w:tcPr>
                      <w:p>
                        <w:pPr>
                          <w:pStyle w:val="TableParagraph"/>
                          <w:spacing w:before="170"/>
                          <w:ind w:left="274" w:right="114"/>
                          <w:rPr>
                            <w:sz w:val="24"/>
                          </w:rPr>
                        </w:pPr>
                        <w:r>
                          <w:rPr>
                            <w:sz w:val="24"/>
                          </w:rPr>
                          <w:t>Agosto</w:t>
                        </w:r>
                      </w:p>
                    </w:tc>
                    <w:tc>
                      <w:tcPr>
                        <w:tcW w:w="1241" w:type="dxa"/>
                        <w:tcBorders>
                          <w:top w:val="single" w:sz="4" w:space="0" w:color="000000"/>
                          <w:left w:val="single" w:sz="4" w:space="0" w:color="000000"/>
                        </w:tcBorders>
                      </w:tcPr>
                      <w:p>
                        <w:pPr>
                          <w:pStyle w:val="TableParagraph"/>
                          <w:spacing w:before="170"/>
                          <w:ind w:left="406"/>
                          <w:rPr>
                            <w:sz w:val="24"/>
                          </w:rPr>
                        </w:pPr>
                        <w:r>
                          <w:rPr>
                            <w:sz w:val="24"/>
                          </w:rPr>
                          <w:t>Sep.</w:t>
                        </w:r>
                      </w:p>
                    </w:tc>
                    <w:tc>
                      <w:tcPr>
                        <w:tcW w:w="1236" w:type="dxa"/>
                        <w:tcBorders>
                          <w:top w:val="single" w:sz="4" w:space="0" w:color="000000"/>
                          <w:right w:val="single" w:sz="4" w:space="0" w:color="000000"/>
                        </w:tcBorders>
                      </w:tcPr>
                      <w:p>
                        <w:pPr>
                          <w:pStyle w:val="TableParagraph"/>
                          <w:spacing w:before="170"/>
                          <w:ind w:left="204"/>
                          <w:rPr>
                            <w:sz w:val="24"/>
                          </w:rPr>
                        </w:pPr>
                        <w:r>
                          <w:rPr>
                            <w:sz w:val="24"/>
                          </w:rPr>
                          <w:t>Octubre</w:t>
                        </w:r>
                      </w:p>
                    </w:tc>
                    <w:tc>
                      <w:tcPr>
                        <w:tcW w:w="1238" w:type="dxa"/>
                        <w:tcBorders>
                          <w:top w:val="single" w:sz="4" w:space="0" w:color="000000"/>
                          <w:left w:val="single" w:sz="4" w:space="0" w:color="000000"/>
                          <w:right w:val="single" w:sz="4" w:space="0" w:color="000000"/>
                        </w:tcBorders>
                      </w:tcPr>
                      <w:p>
                        <w:pPr>
                          <w:pStyle w:val="TableParagraph"/>
                          <w:spacing w:before="26"/>
                          <w:ind w:left="554" w:right="112" w:hanging="424"/>
                          <w:rPr>
                            <w:sz w:val="24"/>
                          </w:rPr>
                        </w:pPr>
                        <w:r>
                          <w:rPr>
                            <w:sz w:val="24"/>
                          </w:rPr>
                          <w:t>Noviembr e</w:t>
                        </w:r>
                      </w:p>
                    </w:tc>
                    <w:tc>
                      <w:tcPr>
                        <w:tcW w:w="1241" w:type="dxa"/>
                        <w:tcBorders>
                          <w:top w:val="single" w:sz="4" w:space="0" w:color="000000"/>
                          <w:left w:val="single" w:sz="4" w:space="0" w:color="000000"/>
                          <w:right w:val="nil"/>
                        </w:tcBorders>
                      </w:tcPr>
                      <w:p>
                        <w:pPr>
                          <w:pStyle w:val="TableParagraph"/>
                          <w:spacing w:before="170"/>
                          <w:ind w:left="114"/>
                          <w:rPr>
                            <w:sz w:val="24"/>
                          </w:rPr>
                        </w:pPr>
                        <w:r>
                          <w:rPr>
                            <w:sz w:val="24"/>
                          </w:rPr>
                          <w:t>Diciembre</w:t>
                        </w:r>
                      </w:p>
                    </w:tc>
                  </w:tr>
                  <w:tr>
                    <w:trPr>
                      <w:trHeight w:val="605" w:hRule="exact"/>
                    </w:trPr>
                    <w:tc>
                      <w:tcPr>
                        <w:tcW w:w="2122" w:type="dxa"/>
                        <w:tcBorders>
                          <w:left w:val="nil"/>
                          <w:bottom w:val="single" w:sz="4" w:space="0" w:color="000000"/>
                          <w:right w:val="single" w:sz="4" w:space="0" w:color="000000"/>
                        </w:tcBorders>
                      </w:tcPr>
                      <w:p>
                        <w:pPr>
                          <w:pStyle w:val="TableParagraph"/>
                          <w:spacing w:before="2"/>
                          <w:ind w:left="120" w:right="555"/>
                          <w:rPr>
                            <w:sz w:val="24"/>
                          </w:rPr>
                        </w:pPr>
                        <w:r>
                          <w:rPr>
                            <w:sz w:val="24"/>
                          </w:rPr>
                          <w:t>Proteína</w:t>
                        </w:r>
                      </w:p>
                    </w:tc>
                    <w:tc>
                      <w:tcPr>
                        <w:tcW w:w="1315" w:type="dxa"/>
                        <w:tcBorders>
                          <w:left w:val="single" w:sz="4" w:space="0" w:color="000000"/>
                          <w:bottom w:val="single" w:sz="4" w:space="0" w:color="000000"/>
                        </w:tcBorders>
                      </w:tcPr>
                      <w:p>
                        <w:pPr>
                          <w:pStyle w:val="TableParagraph"/>
                          <w:spacing w:before="146"/>
                          <w:ind w:left="100"/>
                          <w:rPr>
                            <w:sz w:val="24"/>
                          </w:rPr>
                        </w:pPr>
                        <w:r>
                          <w:rPr>
                            <w:sz w:val="24"/>
                          </w:rPr>
                          <w:t>(%)</w:t>
                        </w:r>
                      </w:p>
                    </w:tc>
                    <w:tc>
                      <w:tcPr>
                        <w:tcW w:w="1236" w:type="dxa"/>
                        <w:tcBorders>
                          <w:bottom w:val="single" w:sz="4" w:space="0" w:color="000000"/>
                          <w:right w:val="single" w:sz="2" w:space="0" w:color="000000"/>
                        </w:tcBorders>
                      </w:tcPr>
                      <w:p>
                        <w:pPr/>
                      </w:p>
                    </w:tc>
                    <w:tc>
                      <w:tcPr>
                        <w:tcW w:w="1238" w:type="dxa"/>
                        <w:tcBorders>
                          <w:left w:val="single" w:sz="2" w:space="0" w:color="000000"/>
                          <w:bottom w:val="single" w:sz="4" w:space="0" w:color="000000"/>
                          <w:right w:val="single" w:sz="2" w:space="0" w:color="000000"/>
                        </w:tcBorders>
                      </w:tcPr>
                      <w:p>
                        <w:pPr/>
                      </w:p>
                    </w:tc>
                    <w:tc>
                      <w:tcPr>
                        <w:tcW w:w="1241" w:type="dxa"/>
                        <w:tcBorders>
                          <w:left w:val="single" w:sz="2" w:space="0" w:color="000000"/>
                          <w:bottom w:val="single" w:sz="4" w:space="0" w:color="000000"/>
                        </w:tcBorders>
                      </w:tcPr>
                      <w:p>
                        <w:pPr/>
                      </w:p>
                    </w:tc>
                    <w:tc>
                      <w:tcPr>
                        <w:tcW w:w="1236" w:type="dxa"/>
                        <w:tcBorders>
                          <w:bottom w:val="single" w:sz="4" w:space="0" w:color="000000"/>
                          <w:right w:val="single" w:sz="2" w:space="0" w:color="000000"/>
                        </w:tcBorders>
                      </w:tcPr>
                      <w:p>
                        <w:pPr/>
                      </w:p>
                    </w:tc>
                    <w:tc>
                      <w:tcPr>
                        <w:tcW w:w="1238" w:type="dxa"/>
                        <w:tcBorders>
                          <w:left w:val="single" w:sz="2" w:space="0" w:color="000000"/>
                          <w:bottom w:val="single" w:sz="4" w:space="0" w:color="000000"/>
                          <w:right w:val="single" w:sz="2" w:space="0" w:color="000000"/>
                        </w:tcBorders>
                      </w:tcPr>
                      <w:p>
                        <w:pPr/>
                      </w:p>
                    </w:tc>
                    <w:tc>
                      <w:tcPr>
                        <w:tcW w:w="1241" w:type="dxa"/>
                        <w:tcBorders>
                          <w:left w:val="single" w:sz="2" w:space="0" w:color="000000"/>
                          <w:bottom w:val="single" w:sz="4" w:space="0" w:color="000000"/>
                          <w:right w:val="nil"/>
                        </w:tcBorders>
                      </w:tcPr>
                      <w:p>
                        <w:pPr/>
                      </w:p>
                    </w:tc>
                  </w:tr>
                  <w:tr>
                    <w:trPr>
                      <w:trHeight w:val="528" w:hRule="exact"/>
                    </w:trPr>
                    <w:tc>
                      <w:tcPr>
                        <w:tcW w:w="2122" w:type="dxa"/>
                        <w:tcBorders>
                          <w:top w:val="single" w:sz="4" w:space="0" w:color="000000"/>
                          <w:left w:val="nil"/>
                          <w:right w:val="single" w:sz="4" w:space="0" w:color="000000"/>
                        </w:tcBorders>
                      </w:tcPr>
                      <w:p>
                        <w:pPr/>
                      </w:p>
                    </w:tc>
                    <w:tc>
                      <w:tcPr>
                        <w:tcW w:w="1315" w:type="dxa"/>
                        <w:tcBorders>
                          <w:top w:val="single" w:sz="4" w:space="0" w:color="000000"/>
                          <w:left w:val="single" w:sz="4" w:space="0" w:color="000000"/>
                        </w:tcBorders>
                      </w:tcPr>
                      <w:p>
                        <w:pPr/>
                      </w:p>
                    </w:tc>
                    <w:tc>
                      <w:tcPr>
                        <w:tcW w:w="1236" w:type="dxa"/>
                        <w:tcBorders>
                          <w:top w:val="single" w:sz="4" w:space="0" w:color="000000"/>
                          <w:right w:val="single" w:sz="2" w:space="0" w:color="000000"/>
                        </w:tcBorders>
                      </w:tcPr>
                      <w:p>
                        <w:pPr/>
                      </w:p>
                    </w:tc>
                    <w:tc>
                      <w:tcPr>
                        <w:tcW w:w="1238" w:type="dxa"/>
                        <w:tcBorders>
                          <w:top w:val="single" w:sz="4" w:space="0" w:color="000000"/>
                          <w:left w:val="single" w:sz="2" w:space="0" w:color="000000"/>
                          <w:right w:val="single" w:sz="2" w:space="0" w:color="000000"/>
                        </w:tcBorders>
                      </w:tcPr>
                      <w:p>
                        <w:pPr/>
                      </w:p>
                    </w:tc>
                    <w:tc>
                      <w:tcPr>
                        <w:tcW w:w="1241" w:type="dxa"/>
                        <w:tcBorders>
                          <w:top w:val="single" w:sz="4" w:space="0" w:color="000000"/>
                          <w:left w:val="single" w:sz="2" w:space="0" w:color="000000"/>
                        </w:tcBorders>
                      </w:tcPr>
                      <w:p>
                        <w:pPr/>
                      </w:p>
                    </w:tc>
                    <w:tc>
                      <w:tcPr>
                        <w:tcW w:w="1236" w:type="dxa"/>
                        <w:tcBorders>
                          <w:top w:val="single" w:sz="4" w:space="0" w:color="000000"/>
                          <w:right w:val="single" w:sz="2" w:space="0" w:color="000000"/>
                        </w:tcBorders>
                      </w:tcPr>
                      <w:p>
                        <w:pPr/>
                      </w:p>
                    </w:tc>
                    <w:tc>
                      <w:tcPr>
                        <w:tcW w:w="1238" w:type="dxa"/>
                        <w:tcBorders>
                          <w:top w:val="single" w:sz="4" w:space="0" w:color="000000"/>
                          <w:left w:val="single" w:sz="2" w:space="0" w:color="000000"/>
                          <w:right w:val="single" w:sz="2" w:space="0" w:color="000000"/>
                        </w:tcBorders>
                      </w:tcPr>
                      <w:p>
                        <w:pPr/>
                      </w:p>
                    </w:tc>
                    <w:tc>
                      <w:tcPr>
                        <w:tcW w:w="1241" w:type="dxa"/>
                        <w:tcBorders>
                          <w:top w:val="single" w:sz="4" w:space="0" w:color="000000"/>
                          <w:left w:val="single" w:sz="2" w:space="0" w:color="000000"/>
                          <w:right w:val="nil"/>
                        </w:tcBorders>
                      </w:tcPr>
                      <w:p>
                        <w:pPr/>
                      </w:p>
                    </w:tc>
                  </w:tr>
                </w:tbl>
                <w:p>
                  <w:pPr>
                    <w:pStyle w:val="BodyText"/>
                  </w:pPr>
                </w:p>
              </w:txbxContent>
            </v:textbox>
            <w10:wrap type="none"/>
          </v:shape>
        </w:pict>
      </w:r>
      <w:r>
        <w:rPr/>
        <w:pict>
          <v:shape style="position:absolute;margin-left:34.552391pt;margin-top:338.392395pt;width:544.8pt;height:221.8pt;mso-position-horizontal-relative:page;mso-position-vertical-relative:page;z-index:6424"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07"/>
                    <w:gridCol w:w="1315"/>
                    <w:gridCol w:w="629"/>
                    <w:gridCol w:w="610"/>
                    <w:gridCol w:w="619"/>
                    <w:gridCol w:w="619"/>
                    <w:gridCol w:w="557"/>
                    <w:gridCol w:w="682"/>
                    <w:gridCol w:w="643"/>
                    <w:gridCol w:w="595"/>
                    <w:gridCol w:w="682"/>
                    <w:gridCol w:w="557"/>
                    <w:gridCol w:w="667"/>
                    <w:gridCol w:w="571"/>
                  </w:tblGrid>
                  <w:tr>
                    <w:trPr>
                      <w:trHeight w:val="312" w:hRule="exact"/>
                    </w:trPr>
                    <w:tc>
                      <w:tcPr>
                        <w:tcW w:w="3422" w:type="dxa"/>
                        <w:gridSpan w:val="2"/>
                        <w:vMerge w:val="restart"/>
                        <w:tcBorders>
                          <w:left w:val="nil"/>
                        </w:tcBorders>
                      </w:tcPr>
                      <w:p>
                        <w:pPr/>
                      </w:p>
                    </w:tc>
                    <w:tc>
                      <w:tcPr>
                        <w:tcW w:w="7430" w:type="dxa"/>
                        <w:gridSpan w:val="12"/>
                        <w:tcBorders>
                          <w:left w:val="single" w:sz="2" w:space="0" w:color="000000"/>
                          <w:bottom w:val="single" w:sz="4" w:space="0" w:color="000000"/>
                          <w:right w:val="nil"/>
                        </w:tcBorders>
                      </w:tcPr>
                      <w:p>
                        <w:pPr>
                          <w:pStyle w:val="TableParagraph"/>
                          <w:spacing w:before="2"/>
                          <w:ind w:left="3197" w:right="3197"/>
                          <w:jc w:val="center"/>
                          <w:rPr>
                            <w:sz w:val="24"/>
                          </w:rPr>
                        </w:pPr>
                        <w:r>
                          <w:rPr>
                            <w:sz w:val="24"/>
                          </w:rPr>
                          <w:t>AÑO 2011</w:t>
                        </w:r>
                      </w:p>
                    </w:tc>
                  </w:tr>
                  <w:tr>
                    <w:trPr>
                      <w:trHeight w:val="331" w:hRule="exact"/>
                    </w:trPr>
                    <w:tc>
                      <w:tcPr>
                        <w:tcW w:w="3422" w:type="dxa"/>
                        <w:gridSpan w:val="2"/>
                        <w:vMerge/>
                        <w:tcBorders>
                          <w:left w:val="nil"/>
                        </w:tcBorders>
                      </w:tcPr>
                      <w:p>
                        <w:pPr/>
                      </w:p>
                    </w:tc>
                    <w:tc>
                      <w:tcPr>
                        <w:tcW w:w="629" w:type="dxa"/>
                        <w:tcBorders>
                          <w:top w:val="single" w:sz="4" w:space="0" w:color="000000"/>
                          <w:right w:val="single" w:sz="4" w:space="0" w:color="000000"/>
                        </w:tcBorders>
                      </w:tcPr>
                      <w:p>
                        <w:pPr>
                          <w:pStyle w:val="TableParagraph"/>
                          <w:spacing w:before="21"/>
                          <w:ind w:right="5"/>
                          <w:jc w:val="center"/>
                          <w:rPr>
                            <w:b/>
                            <w:sz w:val="24"/>
                          </w:rPr>
                        </w:pPr>
                        <w:r>
                          <w:rPr>
                            <w:b/>
                            <w:sz w:val="24"/>
                          </w:rPr>
                          <w:t>E</w:t>
                        </w:r>
                      </w:p>
                    </w:tc>
                    <w:tc>
                      <w:tcPr>
                        <w:tcW w:w="610" w:type="dxa"/>
                        <w:tcBorders>
                          <w:top w:val="single" w:sz="4" w:space="0" w:color="000000"/>
                          <w:left w:val="single" w:sz="4" w:space="0" w:color="000000"/>
                          <w:right w:val="single" w:sz="4" w:space="0" w:color="000000"/>
                        </w:tcBorders>
                      </w:tcPr>
                      <w:p>
                        <w:pPr>
                          <w:pStyle w:val="TableParagraph"/>
                          <w:spacing w:before="21"/>
                          <w:ind w:right="1"/>
                          <w:jc w:val="center"/>
                          <w:rPr>
                            <w:b/>
                            <w:sz w:val="24"/>
                          </w:rPr>
                        </w:pPr>
                        <w:r>
                          <w:rPr>
                            <w:b/>
                            <w:sz w:val="24"/>
                          </w:rPr>
                          <w:t>F</w:t>
                        </w:r>
                      </w:p>
                    </w:tc>
                    <w:tc>
                      <w:tcPr>
                        <w:tcW w:w="619" w:type="dxa"/>
                        <w:tcBorders>
                          <w:top w:val="single" w:sz="4" w:space="0" w:color="000000"/>
                          <w:left w:val="single" w:sz="4" w:space="0" w:color="000000"/>
                          <w:right w:val="single" w:sz="4" w:space="0" w:color="000000"/>
                        </w:tcBorders>
                      </w:tcPr>
                      <w:p>
                        <w:pPr>
                          <w:pStyle w:val="TableParagraph"/>
                          <w:spacing w:before="21"/>
                          <w:ind w:left="196"/>
                          <w:rPr>
                            <w:b/>
                            <w:sz w:val="24"/>
                          </w:rPr>
                        </w:pPr>
                        <w:r>
                          <w:rPr>
                            <w:b/>
                            <w:sz w:val="24"/>
                          </w:rPr>
                          <w:t>M</w:t>
                        </w:r>
                      </w:p>
                    </w:tc>
                    <w:tc>
                      <w:tcPr>
                        <w:tcW w:w="619" w:type="dxa"/>
                        <w:tcBorders>
                          <w:top w:val="single" w:sz="4" w:space="0" w:color="000000"/>
                          <w:left w:val="single" w:sz="4" w:space="0" w:color="000000"/>
                          <w:right w:val="single" w:sz="4" w:space="0" w:color="000000"/>
                        </w:tcBorders>
                      </w:tcPr>
                      <w:p>
                        <w:pPr>
                          <w:pStyle w:val="TableParagraph"/>
                          <w:spacing w:before="21"/>
                          <w:ind w:right="2"/>
                          <w:jc w:val="center"/>
                          <w:rPr>
                            <w:b/>
                            <w:sz w:val="24"/>
                          </w:rPr>
                        </w:pPr>
                        <w:r>
                          <w:rPr>
                            <w:b/>
                            <w:sz w:val="24"/>
                          </w:rPr>
                          <w:t>A</w:t>
                        </w:r>
                      </w:p>
                    </w:tc>
                    <w:tc>
                      <w:tcPr>
                        <w:tcW w:w="557" w:type="dxa"/>
                        <w:tcBorders>
                          <w:top w:val="single" w:sz="4" w:space="0" w:color="000000"/>
                          <w:left w:val="single" w:sz="4" w:space="0" w:color="000000"/>
                          <w:right w:val="single" w:sz="4" w:space="0" w:color="000000"/>
                        </w:tcBorders>
                      </w:tcPr>
                      <w:p>
                        <w:pPr>
                          <w:pStyle w:val="TableParagraph"/>
                          <w:spacing w:before="21"/>
                          <w:ind w:left="166"/>
                          <w:rPr>
                            <w:b/>
                            <w:sz w:val="24"/>
                          </w:rPr>
                        </w:pPr>
                        <w:r>
                          <w:rPr>
                            <w:b/>
                            <w:sz w:val="24"/>
                          </w:rPr>
                          <w:t>M</w:t>
                        </w:r>
                      </w:p>
                    </w:tc>
                    <w:tc>
                      <w:tcPr>
                        <w:tcW w:w="682" w:type="dxa"/>
                        <w:tcBorders>
                          <w:top w:val="single" w:sz="4" w:space="0" w:color="000000"/>
                          <w:left w:val="single" w:sz="4" w:space="0" w:color="000000"/>
                        </w:tcBorders>
                      </w:tcPr>
                      <w:p>
                        <w:pPr>
                          <w:pStyle w:val="TableParagraph"/>
                          <w:spacing w:before="21"/>
                          <w:ind w:left="4"/>
                          <w:jc w:val="center"/>
                          <w:rPr>
                            <w:b/>
                            <w:sz w:val="24"/>
                          </w:rPr>
                        </w:pPr>
                        <w:r>
                          <w:rPr>
                            <w:b/>
                            <w:sz w:val="24"/>
                          </w:rPr>
                          <w:t>J</w:t>
                        </w:r>
                      </w:p>
                    </w:tc>
                    <w:tc>
                      <w:tcPr>
                        <w:tcW w:w="643" w:type="dxa"/>
                        <w:tcBorders>
                          <w:top w:val="single" w:sz="4" w:space="0" w:color="000000"/>
                          <w:right w:val="single" w:sz="4" w:space="0" w:color="000000"/>
                        </w:tcBorders>
                      </w:tcPr>
                      <w:p>
                        <w:pPr>
                          <w:pStyle w:val="TableParagraph"/>
                          <w:spacing w:before="21"/>
                          <w:ind w:right="12"/>
                          <w:jc w:val="center"/>
                          <w:rPr>
                            <w:b/>
                            <w:sz w:val="24"/>
                          </w:rPr>
                        </w:pPr>
                        <w:r>
                          <w:rPr>
                            <w:b/>
                            <w:sz w:val="24"/>
                          </w:rPr>
                          <w:t>J</w:t>
                        </w:r>
                      </w:p>
                    </w:tc>
                    <w:tc>
                      <w:tcPr>
                        <w:tcW w:w="595" w:type="dxa"/>
                        <w:tcBorders>
                          <w:top w:val="single" w:sz="4" w:space="0" w:color="000000"/>
                          <w:left w:val="single" w:sz="4" w:space="0" w:color="000000"/>
                          <w:right w:val="single" w:sz="4" w:space="0" w:color="000000"/>
                        </w:tcBorders>
                      </w:tcPr>
                      <w:p>
                        <w:pPr>
                          <w:pStyle w:val="TableParagraph"/>
                          <w:spacing w:before="21"/>
                          <w:ind w:right="3"/>
                          <w:jc w:val="center"/>
                          <w:rPr>
                            <w:b/>
                            <w:sz w:val="24"/>
                          </w:rPr>
                        </w:pPr>
                        <w:r>
                          <w:rPr>
                            <w:b/>
                            <w:sz w:val="24"/>
                          </w:rPr>
                          <w:t>A</w:t>
                        </w:r>
                      </w:p>
                    </w:tc>
                    <w:tc>
                      <w:tcPr>
                        <w:tcW w:w="682" w:type="dxa"/>
                        <w:tcBorders>
                          <w:top w:val="single" w:sz="4" w:space="0" w:color="000000"/>
                          <w:left w:val="single" w:sz="4" w:space="0" w:color="000000"/>
                          <w:right w:val="single" w:sz="4" w:space="0" w:color="000000"/>
                        </w:tcBorders>
                      </w:tcPr>
                      <w:p>
                        <w:pPr>
                          <w:pStyle w:val="TableParagraph"/>
                          <w:spacing w:before="21"/>
                          <w:ind w:right="1"/>
                          <w:jc w:val="center"/>
                          <w:rPr>
                            <w:b/>
                            <w:sz w:val="24"/>
                          </w:rPr>
                        </w:pPr>
                        <w:r>
                          <w:rPr>
                            <w:b/>
                            <w:sz w:val="24"/>
                          </w:rPr>
                          <w:t>S</w:t>
                        </w:r>
                      </w:p>
                    </w:tc>
                    <w:tc>
                      <w:tcPr>
                        <w:tcW w:w="557" w:type="dxa"/>
                        <w:tcBorders>
                          <w:top w:val="single" w:sz="4" w:space="0" w:color="000000"/>
                          <w:left w:val="single" w:sz="4" w:space="0" w:color="000000"/>
                          <w:right w:val="single" w:sz="4" w:space="0" w:color="000000"/>
                        </w:tcBorders>
                      </w:tcPr>
                      <w:p>
                        <w:pPr>
                          <w:pStyle w:val="TableParagraph"/>
                          <w:spacing w:before="21"/>
                          <w:ind w:right="4"/>
                          <w:jc w:val="center"/>
                          <w:rPr>
                            <w:b/>
                            <w:sz w:val="24"/>
                          </w:rPr>
                        </w:pPr>
                        <w:r>
                          <w:rPr>
                            <w:b/>
                            <w:sz w:val="24"/>
                          </w:rPr>
                          <w:t>O</w:t>
                        </w:r>
                      </w:p>
                    </w:tc>
                    <w:tc>
                      <w:tcPr>
                        <w:tcW w:w="667" w:type="dxa"/>
                        <w:tcBorders>
                          <w:top w:val="single" w:sz="4" w:space="0" w:color="000000"/>
                          <w:left w:val="single" w:sz="4" w:space="0" w:color="000000"/>
                          <w:right w:val="single" w:sz="4" w:space="0" w:color="000000"/>
                        </w:tcBorders>
                      </w:tcPr>
                      <w:p>
                        <w:pPr>
                          <w:pStyle w:val="TableParagraph"/>
                          <w:spacing w:before="21"/>
                          <w:ind w:right="1"/>
                          <w:jc w:val="center"/>
                          <w:rPr>
                            <w:b/>
                            <w:sz w:val="24"/>
                          </w:rPr>
                        </w:pPr>
                        <w:r>
                          <w:rPr>
                            <w:b/>
                            <w:sz w:val="24"/>
                          </w:rPr>
                          <w:t>N</w:t>
                        </w:r>
                      </w:p>
                    </w:tc>
                    <w:tc>
                      <w:tcPr>
                        <w:tcW w:w="571" w:type="dxa"/>
                        <w:tcBorders>
                          <w:top w:val="single" w:sz="4" w:space="0" w:color="000000"/>
                          <w:left w:val="single" w:sz="4" w:space="0" w:color="000000"/>
                          <w:right w:val="nil"/>
                        </w:tcBorders>
                      </w:tcPr>
                      <w:p>
                        <w:pPr>
                          <w:pStyle w:val="TableParagraph"/>
                          <w:spacing w:before="21"/>
                          <w:ind w:right="9"/>
                          <w:jc w:val="center"/>
                          <w:rPr>
                            <w:b/>
                            <w:sz w:val="24"/>
                          </w:rPr>
                        </w:pPr>
                        <w:r>
                          <w:rPr>
                            <w:b/>
                            <w:sz w:val="24"/>
                          </w:rPr>
                          <w:t>D</w:t>
                        </w:r>
                      </w:p>
                    </w:tc>
                  </w:tr>
                  <w:tr>
                    <w:trPr>
                      <w:trHeight w:val="533" w:hRule="exact"/>
                    </w:trPr>
                    <w:tc>
                      <w:tcPr>
                        <w:tcW w:w="2107" w:type="dxa"/>
                        <w:tcBorders>
                          <w:left w:val="nil"/>
                          <w:bottom w:val="single" w:sz="4" w:space="0" w:color="000000"/>
                          <w:right w:val="single" w:sz="4" w:space="0" w:color="000000"/>
                        </w:tcBorders>
                      </w:tcPr>
                      <w:p>
                        <w:pPr>
                          <w:pStyle w:val="TableParagraph"/>
                          <w:spacing w:before="112"/>
                          <w:ind w:left="105" w:right="540"/>
                          <w:rPr>
                            <w:sz w:val="24"/>
                          </w:rPr>
                        </w:pPr>
                        <w:r>
                          <w:rPr>
                            <w:sz w:val="24"/>
                          </w:rPr>
                          <w:t>Peso</w:t>
                        </w:r>
                      </w:p>
                    </w:tc>
                    <w:tc>
                      <w:tcPr>
                        <w:tcW w:w="1315" w:type="dxa"/>
                        <w:tcBorders>
                          <w:left w:val="single" w:sz="4" w:space="0" w:color="000000"/>
                          <w:bottom w:val="single" w:sz="4" w:space="0" w:color="000000"/>
                        </w:tcBorders>
                      </w:tcPr>
                      <w:p>
                        <w:pPr>
                          <w:pStyle w:val="TableParagraph"/>
                          <w:spacing w:before="112"/>
                          <w:ind w:left="100"/>
                          <w:rPr>
                            <w:sz w:val="24"/>
                          </w:rPr>
                        </w:pPr>
                        <w:r>
                          <w:rPr>
                            <w:sz w:val="24"/>
                          </w:rPr>
                          <w:t>(kg.)</w:t>
                        </w:r>
                      </w:p>
                    </w:tc>
                    <w:tc>
                      <w:tcPr>
                        <w:tcW w:w="629" w:type="dxa"/>
                        <w:tcBorders>
                          <w:bottom w:val="single" w:sz="4" w:space="0" w:color="000000"/>
                          <w:right w:val="single" w:sz="4" w:space="0" w:color="000000"/>
                        </w:tcBorders>
                      </w:tcPr>
                      <w:p>
                        <w:pPr/>
                      </w:p>
                    </w:tc>
                    <w:tc>
                      <w:tcPr>
                        <w:tcW w:w="610" w:type="dxa"/>
                        <w:tcBorders>
                          <w:left w:val="single" w:sz="4" w:space="0" w:color="000000"/>
                          <w:bottom w:val="single" w:sz="4" w:space="0" w:color="000000"/>
                          <w:right w:val="single" w:sz="4" w:space="0" w:color="000000"/>
                        </w:tcBorders>
                      </w:tcPr>
                      <w:p>
                        <w:pPr/>
                      </w:p>
                    </w:tc>
                    <w:tc>
                      <w:tcPr>
                        <w:tcW w:w="619" w:type="dxa"/>
                        <w:tcBorders>
                          <w:left w:val="single" w:sz="4" w:space="0" w:color="000000"/>
                          <w:bottom w:val="single" w:sz="4" w:space="0" w:color="000000"/>
                          <w:right w:val="single" w:sz="4" w:space="0" w:color="000000"/>
                        </w:tcBorders>
                      </w:tcPr>
                      <w:p>
                        <w:pPr/>
                      </w:p>
                    </w:tc>
                    <w:tc>
                      <w:tcPr>
                        <w:tcW w:w="619" w:type="dxa"/>
                        <w:tcBorders>
                          <w:left w:val="single" w:sz="4" w:space="0" w:color="000000"/>
                          <w:bottom w:val="single" w:sz="4" w:space="0" w:color="000000"/>
                          <w:right w:val="single" w:sz="4" w:space="0" w:color="000000"/>
                        </w:tcBorders>
                      </w:tcPr>
                      <w:p>
                        <w:pPr/>
                      </w:p>
                    </w:tc>
                    <w:tc>
                      <w:tcPr>
                        <w:tcW w:w="557" w:type="dxa"/>
                        <w:tcBorders>
                          <w:left w:val="single" w:sz="4" w:space="0" w:color="000000"/>
                          <w:bottom w:val="single" w:sz="4" w:space="0" w:color="000000"/>
                          <w:right w:val="single" w:sz="4" w:space="0" w:color="000000"/>
                        </w:tcBorders>
                      </w:tcPr>
                      <w:p>
                        <w:pPr/>
                      </w:p>
                    </w:tc>
                    <w:tc>
                      <w:tcPr>
                        <w:tcW w:w="682" w:type="dxa"/>
                        <w:tcBorders>
                          <w:left w:val="single" w:sz="4" w:space="0" w:color="000000"/>
                          <w:bottom w:val="single" w:sz="4" w:space="0" w:color="000000"/>
                        </w:tcBorders>
                      </w:tcPr>
                      <w:p>
                        <w:pPr/>
                      </w:p>
                    </w:tc>
                    <w:tc>
                      <w:tcPr>
                        <w:tcW w:w="643" w:type="dxa"/>
                        <w:tcBorders>
                          <w:bottom w:val="single" w:sz="4" w:space="0" w:color="000000"/>
                          <w:right w:val="single" w:sz="4" w:space="0" w:color="000000"/>
                        </w:tcBorders>
                      </w:tcPr>
                      <w:p>
                        <w:pPr/>
                      </w:p>
                    </w:tc>
                    <w:tc>
                      <w:tcPr>
                        <w:tcW w:w="595" w:type="dxa"/>
                        <w:tcBorders>
                          <w:left w:val="single" w:sz="4" w:space="0" w:color="000000"/>
                          <w:bottom w:val="single" w:sz="4" w:space="0" w:color="000000"/>
                          <w:right w:val="single" w:sz="4" w:space="0" w:color="000000"/>
                        </w:tcBorders>
                      </w:tcPr>
                      <w:p>
                        <w:pPr/>
                      </w:p>
                    </w:tc>
                    <w:tc>
                      <w:tcPr>
                        <w:tcW w:w="682" w:type="dxa"/>
                        <w:tcBorders>
                          <w:left w:val="single" w:sz="4" w:space="0" w:color="000000"/>
                          <w:bottom w:val="single" w:sz="4" w:space="0" w:color="000000"/>
                          <w:right w:val="single" w:sz="4" w:space="0" w:color="000000"/>
                        </w:tcBorders>
                      </w:tcPr>
                      <w:p>
                        <w:pPr/>
                      </w:p>
                    </w:tc>
                    <w:tc>
                      <w:tcPr>
                        <w:tcW w:w="557" w:type="dxa"/>
                        <w:tcBorders>
                          <w:left w:val="single" w:sz="4" w:space="0" w:color="000000"/>
                          <w:bottom w:val="single" w:sz="4" w:space="0" w:color="000000"/>
                          <w:right w:val="single" w:sz="4" w:space="0" w:color="000000"/>
                        </w:tcBorders>
                      </w:tcPr>
                      <w:p>
                        <w:pPr/>
                      </w:p>
                    </w:tc>
                    <w:tc>
                      <w:tcPr>
                        <w:tcW w:w="667" w:type="dxa"/>
                        <w:tcBorders>
                          <w:left w:val="single" w:sz="4" w:space="0" w:color="000000"/>
                          <w:bottom w:val="single" w:sz="4" w:space="0" w:color="000000"/>
                          <w:right w:val="single" w:sz="4" w:space="0" w:color="000000"/>
                        </w:tcBorders>
                      </w:tcPr>
                      <w:p>
                        <w:pPr/>
                      </w:p>
                    </w:tc>
                    <w:tc>
                      <w:tcPr>
                        <w:tcW w:w="571" w:type="dxa"/>
                        <w:tcBorders>
                          <w:left w:val="single" w:sz="4" w:space="0" w:color="000000"/>
                          <w:bottom w:val="single" w:sz="4" w:space="0" w:color="000000"/>
                          <w:right w:val="nil"/>
                        </w:tcBorders>
                      </w:tcPr>
                      <w:p>
                        <w:pPr/>
                      </w:p>
                    </w:tc>
                  </w:tr>
                  <w:tr>
                    <w:trPr>
                      <w:trHeight w:val="595" w:hRule="exact"/>
                    </w:trPr>
                    <w:tc>
                      <w:tcPr>
                        <w:tcW w:w="2107" w:type="dxa"/>
                        <w:tcBorders>
                          <w:top w:val="single" w:sz="4" w:space="0" w:color="000000"/>
                          <w:left w:val="nil"/>
                          <w:bottom w:val="single" w:sz="4" w:space="0" w:color="000000"/>
                          <w:right w:val="single" w:sz="4" w:space="0" w:color="000000"/>
                        </w:tcBorders>
                      </w:tcPr>
                      <w:p>
                        <w:pPr>
                          <w:pStyle w:val="TableParagraph"/>
                          <w:spacing w:line="211" w:lineRule="auto" w:before="29"/>
                          <w:ind w:left="105" w:right="200"/>
                          <w:rPr>
                            <w:sz w:val="16"/>
                          </w:rPr>
                        </w:pPr>
                        <w:r>
                          <w:rPr>
                            <w:sz w:val="24"/>
                          </w:rPr>
                          <w:t>Aumento de peso promedio por día</w:t>
                        </w:r>
                        <w:r>
                          <w:rPr>
                            <w:position w:val="11"/>
                            <w:sz w:val="16"/>
                          </w:rPr>
                          <w:t>8</w:t>
                        </w:r>
                      </w:p>
                    </w:tc>
                    <w:tc>
                      <w:tcPr>
                        <w:tcW w:w="1315" w:type="dxa"/>
                        <w:tcBorders>
                          <w:top w:val="single" w:sz="4" w:space="0" w:color="000000"/>
                          <w:left w:val="single" w:sz="4" w:space="0" w:color="000000"/>
                          <w:bottom w:val="single" w:sz="4" w:space="0" w:color="000000"/>
                        </w:tcBorders>
                      </w:tcPr>
                      <w:p>
                        <w:pPr>
                          <w:pStyle w:val="TableParagraph"/>
                          <w:spacing w:before="146"/>
                          <w:ind w:left="100"/>
                          <w:rPr>
                            <w:sz w:val="24"/>
                          </w:rPr>
                        </w:pPr>
                        <w:r>
                          <w:rPr>
                            <w:sz w:val="24"/>
                          </w:rPr>
                          <w:t>(L/vaca/d)</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4" w:space="0" w:color="000000"/>
                        </w:tcBorders>
                      </w:tcPr>
                      <w:p>
                        <w:pPr/>
                      </w:p>
                    </w:tc>
                    <w:tc>
                      <w:tcPr>
                        <w:tcW w:w="667" w:type="dxa"/>
                        <w:tcBorders>
                          <w:top w:val="single" w:sz="4" w:space="0" w:color="000000"/>
                          <w:left w:val="single" w:sz="4"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888" w:hRule="exact"/>
                    </w:trPr>
                    <w:tc>
                      <w:tcPr>
                        <w:tcW w:w="2107" w:type="dxa"/>
                        <w:tcBorders>
                          <w:top w:val="single" w:sz="4" w:space="0" w:color="000000"/>
                          <w:left w:val="nil"/>
                          <w:bottom w:val="single" w:sz="4" w:space="0" w:color="000000"/>
                          <w:right w:val="single" w:sz="4" w:space="0" w:color="000000"/>
                        </w:tcBorders>
                      </w:tcPr>
                      <w:p>
                        <w:pPr>
                          <w:pStyle w:val="TableParagraph"/>
                          <w:spacing w:before="2"/>
                          <w:ind w:left="105" w:right="263"/>
                          <w:rPr>
                            <w:sz w:val="24"/>
                          </w:rPr>
                        </w:pPr>
                        <w:r>
                          <w:rPr>
                            <w:sz w:val="24"/>
                          </w:rPr>
                          <w:t>Cantidad de trabajo promedio relizado por día.</w:t>
                        </w:r>
                      </w:p>
                    </w:tc>
                    <w:tc>
                      <w:tcPr>
                        <w:tcW w:w="1315" w:type="dxa"/>
                        <w:tcBorders>
                          <w:top w:val="single" w:sz="4" w:space="0" w:color="000000"/>
                          <w:left w:val="single" w:sz="4" w:space="0" w:color="000000"/>
                          <w:bottom w:val="single" w:sz="4" w:space="0" w:color="000000"/>
                        </w:tcBorders>
                      </w:tcPr>
                      <w:p>
                        <w:pPr>
                          <w:pStyle w:val="TableParagraph"/>
                          <w:spacing w:before="1"/>
                          <w:rPr>
                            <w:b/>
                            <w:i/>
                            <w:sz w:val="24"/>
                          </w:rPr>
                        </w:pPr>
                      </w:p>
                      <w:p>
                        <w:pPr>
                          <w:pStyle w:val="TableParagraph"/>
                          <w:ind w:left="100"/>
                          <w:rPr>
                            <w:sz w:val="24"/>
                          </w:rPr>
                        </w:pPr>
                        <w:r>
                          <w:rPr>
                            <w:sz w:val="24"/>
                          </w:rPr>
                          <w:t>(horas/día)</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595" w:hRule="exact"/>
                    </w:trPr>
                    <w:tc>
                      <w:tcPr>
                        <w:tcW w:w="2107" w:type="dxa"/>
                        <w:tcBorders>
                          <w:top w:val="single" w:sz="4" w:space="0" w:color="000000"/>
                          <w:left w:val="nil"/>
                          <w:bottom w:val="single" w:sz="4" w:space="0" w:color="000000"/>
                          <w:right w:val="single" w:sz="4" w:space="0" w:color="000000"/>
                        </w:tcBorders>
                      </w:tcPr>
                      <w:p>
                        <w:pPr>
                          <w:pStyle w:val="TableParagraph"/>
                          <w:spacing w:before="2"/>
                          <w:ind w:left="105" w:right="354"/>
                          <w:rPr>
                            <w:sz w:val="24"/>
                          </w:rPr>
                        </w:pPr>
                        <w:r>
                          <w:rPr>
                            <w:sz w:val="24"/>
                          </w:rPr>
                          <w:t>Digestibilidad de alimento.</w:t>
                        </w:r>
                      </w:p>
                    </w:tc>
                    <w:tc>
                      <w:tcPr>
                        <w:tcW w:w="1315" w:type="dxa"/>
                        <w:tcBorders>
                          <w:top w:val="single" w:sz="4" w:space="0" w:color="000000"/>
                          <w:left w:val="single" w:sz="4" w:space="0" w:color="000000"/>
                          <w:bottom w:val="single" w:sz="4" w:space="0" w:color="000000"/>
                        </w:tcBorders>
                      </w:tcPr>
                      <w:p>
                        <w:pPr>
                          <w:pStyle w:val="TableParagraph"/>
                          <w:spacing w:before="150"/>
                          <w:ind w:left="100"/>
                          <w:rPr>
                            <w:sz w:val="24"/>
                          </w:rPr>
                        </w:pPr>
                        <w:r>
                          <w:rPr>
                            <w:sz w:val="24"/>
                          </w:rPr>
                          <w:t>(%)</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547" w:hRule="exact"/>
                    </w:trPr>
                    <w:tc>
                      <w:tcPr>
                        <w:tcW w:w="2107" w:type="dxa"/>
                        <w:vMerge w:val="restart"/>
                        <w:tcBorders>
                          <w:top w:val="single" w:sz="4" w:space="0" w:color="000000"/>
                          <w:left w:val="nil"/>
                          <w:right w:val="single" w:sz="4" w:space="0" w:color="000000"/>
                        </w:tcBorders>
                      </w:tcPr>
                      <w:p>
                        <w:pPr>
                          <w:pStyle w:val="TableParagraph"/>
                          <w:spacing w:before="6"/>
                          <w:rPr>
                            <w:b/>
                            <w:i/>
                            <w:sz w:val="22"/>
                          </w:rPr>
                        </w:pPr>
                      </w:p>
                      <w:p>
                        <w:pPr>
                          <w:pStyle w:val="TableParagraph"/>
                          <w:spacing w:before="1"/>
                          <w:ind w:left="105" w:right="866"/>
                          <w:rPr>
                            <w:sz w:val="24"/>
                          </w:rPr>
                        </w:pPr>
                        <w:r>
                          <w:rPr>
                            <w:sz w:val="24"/>
                          </w:rPr>
                          <w:t>Situación alimentaria</w:t>
                        </w:r>
                      </w:p>
                    </w:tc>
                    <w:tc>
                      <w:tcPr>
                        <w:tcW w:w="1315" w:type="dxa"/>
                        <w:tcBorders>
                          <w:top w:val="single" w:sz="4" w:space="0" w:color="000000"/>
                          <w:left w:val="single" w:sz="4" w:space="0" w:color="000000"/>
                          <w:bottom w:val="single" w:sz="4" w:space="0" w:color="000000"/>
                        </w:tcBorders>
                      </w:tcPr>
                      <w:p>
                        <w:pPr>
                          <w:pStyle w:val="TableParagraph"/>
                          <w:spacing w:before="2"/>
                          <w:ind w:left="100"/>
                          <w:rPr>
                            <w:sz w:val="24"/>
                          </w:rPr>
                        </w:pPr>
                        <w:r>
                          <w:rPr>
                            <w:sz w:val="24"/>
                          </w:rPr>
                          <w:t>(Confinado</w:t>
                        </w:r>
                      </w:p>
                      <w:p>
                        <w:pPr>
                          <w:pStyle w:val="TableParagraph"/>
                          <w:spacing w:before="4"/>
                          <w:ind w:left="100"/>
                          <w:rPr>
                            <w:sz w:val="19"/>
                          </w:rPr>
                        </w:pPr>
                        <w:r>
                          <w:rPr>
                            <w:w w:val="105"/>
                            <w:sz w:val="19"/>
                          </w:rPr>
                          <w:t>Hrs/día)</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r>
                    <w:trPr>
                      <w:trHeight w:val="605" w:hRule="exact"/>
                    </w:trPr>
                    <w:tc>
                      <w:tcPr>
                        <w:tcW w:w="2107" w:type="dxa"/>
                        <w:vMerge/>
                        <w:tcBorders>
                          <w:left w:val="nil"/>
                          <w:right w:val="single" w:sz="4" w:space="0" w:color="000000"/>
                        </w:tcBorders>
                      </w:tcPr>
                      <w:p>
                        <w:pPr/>
                      </w:p>
                    </w:tc>
                    <w:tc>
                      <w:tcPr>
                        <w:tcW w:w="1315" w:type="dxa"/>
                        <w:tcBorders>
                          <w:top w:val="single" w:sz="4" w:space="0" w:color="000000"/>
                          <w:left w:val="single" w:sz="4" w:space="0" w:color="000000"/>
                        </w:tcBorders>
                      </w:tcPr>
                      <w:p>
                        <w:pPr>
                          <w:pStyle w:val="TableParagraph"/>
                          <w:spacing w:before="2"/>
                          <w:ind w:left="100" w:right="233"/>
                          <w:rPr>
                            <w:sz w:val="24"/>
                          </w:rPr>
                        </w:pPr>
                        <w:r>
                          <w:rPr>
                            <w:sz w:val="24"/>
                          </w:rPr>
                          <w:t>(Pastoreo Hrs/día)</w:t>
                        </w:r>
                      </w:p>
                    </w:tc>
                    <w:tc>
                      <w:tcPr>
                        <w:tcW w:w="629" w:type="dxa"/>
                        <w:tcBorders>
                          <w:top w:val="single" w:sz="4" w:space="0" w:color="000000"/>
                          <w:bottom w:val="single" w:sz="4" w:space="0" w:color="000000"/>
                          <w:right w:val="single" w:sz="4" w:space="0" w:color="000000"/>
                        </w:tcBorders>
                      </w:tcPr>
                      <w:p>
                        <w:pPr/>
                      </w:p>
                    </w:tc>
                    <w:tc>
                      <w:tcPr>
                        <w:tcW w:w="610" w:type="dxa"/>
                        <w:tcBorders>
                          <w:top w:val="single" w:sz="4" w:space="0" w:color="000000"/>
                          <w:left w:val="single" w:sz="4" w:space="0" w:color="000000"/>
                          <w:bottom w:val="single" w:sz="4" w:space="0" w:color="000000"/>
                          <w:right w:val="single" w:sz="2" w:space="0" w:color="000000"/>
                        </w:tcBorders>
                      </w:tcPr>
                      <w:p>
                        <w:pPr/>
                      </w:p>
                    </w:tc>
                    <w:tc>
                      <w:tcPr>
                        <w:tcW w:w="619" w:type="dxa"/>
                        <w:tcBorders>
                          <w:top w:val="single" w:sz="4" w:space="0" w:color="000000"/>
                          <w:left w:val="single" w:sz="2" w:space="0" w:color="000000"/>
                          <w:bottom w:val="single" w:sz="4" w:space="0" w:color="000000"/>
                          <w:right w:val="single" w:sz="4" w:space="0" w:color="000000"/>
                        </w:tcBorders>
                      </w:tcPr>
                      <w:p>
                        <w:pPr/>
                      </w:p>
                    </w:tc>
                    <w:tc>
                      <w:tcPr>
                        <w:tcW w:w="619" w:type="dxa"/>
                        <w:tcBorders>
                          <w:top w:val="single" w:sz="4" w:space="0" w:color="000000"/>
                          <w:left w:val="single" w:sz="4" w:space="0" w:color="000000"/>
                          <w:bottom w:val="single" w:sz="4" w:space="0" w:color="000000"/>
                          <w:right w:val="single" w:sz="2" w:space="0" w:color="000000"/>
                        </w:tcBorders>
                      </w:tcPr>
                      <w:p>
                        <w:pPr/>
                      </w:p>
                    </w:tc>
                    <w:tc>
                      <w:tcPr>
                        <w:tcW w:w="557" w:type="dxa"/>
                        <w:tcBorders>
                          <w:top w:val="single" w:sz="4" w:space="0" w:color="000000"/>
                          <w:left w:val="single" w:sz="2"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tcBorders>
                      </w:tcPr>
                      <w:p>
                        <w:pPr/>
                      </w:p>
                    </w:tc>
                    <w:tc>
                      <w:tcPr>
                        <w:tcW w:w="643" w:type="dxa"/>
                        <w:tcBorders>
                          <w:top w:val="single" w:sz="4" w:space="0" w:color="000000"/>
                          <w:bottom w:val="single" w:sz="4" w:space="0" w:color="000000"/>
                          <w:right w:val="single" w:sz="4" w:space="0" w:color="000000"/>
                        </w:tcBorders>
                      </w:tcPr>
                      <w:p>
                        <w:pPr/>
                      </w:p>
                    </w:tc>
                    <w:tc>
                      <w:tcPr>
                        <w:tcW w:w="595" w:type="dxa"/>
                        <w:tcBorders>
                          <w:top w:val="single" w:sz="4" w:space="0" w:color="000000"/>
                          <w:left w:val="single" w:sz="4" w:space="0" w:color="000000"/>
                          <w:bottom w:val="single" w:sz="4" w:space="0" w:color="000000"/>
                          <w:right w:val="single" w:sz="2" w:space="0" w:color="000000"/>
                        </w:tcBorders>
                      </w:tcPr>
                      <w:p>
                        <w:pPr/>
                      </w:p>
                    </w:tc>
                    <w:tc>
                      <w:tcPr>
                        <w:tcW w:w="682" w:type="dxa"/>
                        <w:tcBorders>
                          <w:top w:val="single" w:sz="4" w:space="0" w:color="000000"/>
                          <w:left w:val="single" w:sz="2"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2" w:space="0" w:color="000000"/>
                        </w:tcBorders>
                      </w:tcPr>
                      <w:p>
                        <w:pPr/>
                      </w:p>
                    </w:tc>
                    <w:tc>
                      <w:tcPr>
                        <w:tcW w:w="667" w:type="dxa"/>
                        <w:tcBorders>
                          <w:top w:val="single" w:sz="4" w:space="0" w:color="000000"/>
                          <w:left w:val="single" w:sz="2" w:space="0" w:color="000000"/>
                          <w:bottom w:val="single" w:sz="4" w:space="0" w:color="000000"/>
                          <w:right w:val="single" w:sz="4" w:space="0" w:color="000000"/>
                        </w:tcBorders>
                      </w:tcPr>
                      <w:p>
                        <w:pPr/>
                      </w:p>
                    </w:tc>
                    <w:tc>
                      <w:tcPr>
                        <w:tcW w:w="571" w:type="dxa"/>
                        <w:tcBorders>
                          <w:top w:val="single" w:sz="4" w:space="0" w:color="000000"/>
                          <w:left w:val="single" w:sz="4" w:space="0" w:color="000000"/>
                          <w:bottom w:val="single" w:sz="4" w:space="0" w:color="000000"/>
                          <w:right w:val="nil"/>
                        </w:tcBorders>
                      </w:tcPr>
                      <w:p>
                        <w:pPr/>
                      </w:p>
                    </w:tc>
                  </w:tr>
                </w:tbl>
                <w:p>
                  <w:pPr>
                    <w:pStyle w:val="BodyText"/>
                  </w:pPr>
                </w:p>
              </w:txbxContent>
            </v:textbox>
            <w10:wrap type="none"/>
          </v:shape>
        </w:pict>
      </w:r>
    </w:p>
    <w:p>
      <w:pPr>
        <w:spacing w:after="0"/>
        <w:rPr>
          <w:sz w:val="2"/>
          <w:szCs w:val="2"/>
        </w:rPr>
        <w:sectPr>
          <w:headerReference w:type="default" r:id="rId269"/>
          <w:footerReference w:type="default" r:id="rId270"/>
          <w:pgSz w:w="12240" w:h="15840"/>
          <w:pgMar w:header="0" w:footer="0" w:top="700" w:bottom="280" w:left="480" w:right="440"/>
        </w:sectPr>
      </w:pPr>
    </w:p>
    <w:p>
      <w:pPr>
        <w:spacing w:line="169" w:lineRule="exact" w:before="56"/>
        <w:ind w:left="0" w:right="107" w:firstLine="0"/>
        <w:jc w:val="right"/>
        <w:rPr>
          <w:rFonts w:ascii="Calibri" w:hAnsi="Calibri"/>
          <w:b/>
          <w:i/>
          <w:sz w:val="14"/>
        </w:rPr>
      </w:pPr>
      <w:r>
        <w:rPr>
          <w:rFonts w:ascii="Calibri" w:hAnsi="Calibri"/>
          <w:b/>
          <w:i/>
          <w:sz w:val="14"/>
        </w:rPr>
        <w:t>Estimación de las emisiones en bovinos en los sistema de producción lechera en pequeña escala</w:t>
      </w:r>
    </w:p>
    <w:p>
      <w:pPr>
        <w:spacing w:line="169" w:lineRule="exact" w:before="0"/>
        <w:ind w:left="0" w:right="106" w:firstLine="0"/>
        <w:jc w:val="right"/>
        <w:rPr>
          <w:rFonts w:ascii="Calibri" w:hAnsi="Calibri"/>
          <w:b/>
          <w:i/>
          <w:sz w:val="14"/>
        </w:rPr>
      </w:pPr>
      <w:r>
        <w:rPr>
          <w:rFonts w:ascii="Calibri" w:hAnsi="Calibri"/>
          <w:b/>
          <w:i/>
          <w:sz w:val="14"/>
        </w:rPr>
        <w:t>a través del factor de conversión de metano</w:t>
      </w:r>
    </w:p>
    <w:p>
      <w:pPr>
        <w:spacing w:before="2"/>
        <w:ind w:left="0" w:right="107" w:firstLine="0"/>
        <w:jc w:val="right"/>
        <w:rPr>
          <w:rFonts w:ascii="Calibri" w:hAnsi="Calibri"/>
          <w:b/>
          <w:i/>
          <w:sz w:val="14"/>
        </w:rPr>
      </w:pPr>
      <w:r>
        <w:rPr>
          <w:rFonts w:ascii="Calibri" w:hAnsi="Calibri"/>
          <w:b/>
          <w:i/>
          <w:sz w:val="14"/>
        </w:rPr>
        <w:t>M. en E. S. Noé Zúñiga-González</w:t>
      </w:r>
    </w:p>
    <w:p>
      <w:pPr>
        <w:pStyle w:val="Heading7"/>
        <w:numPr>
          <w:ilvl w:val="1"/>
          <w:numId w:val="19"/>
        </w:numPr>
        <w:tabs>
          <w:tab w:pos="821" w:val="left" w:leader="none"/>
        </w:tabs>
        <w:spacing w:line="240" w:lineRule="auto" w:before="7" w:after="0"/>
        <w:ind w:left="820" w:right="107" w:hanging="709"/>
        <w:jc w:val="both"/>
      </w:pPr>
      <w:r>
        <w:rPr/>
        <w:pict>
          <v:group style="position:absolute;margin-left:58.062389pt;margin-top:73.450798pt;width:496.35pt;height:547pt;mso-position-horizontal-relative:page;mso-position-vertical-relative:paragraph;z-index:-305560" coordorigin="1161,1469" coordsize="9927,10940">
            <v:shape style="position:absolute;left:1181;top:1484;width:9893;height:2" coordorigin="1181,1484" coordsize="9893,0" path="m1181,1484l4118,1484m4118,1484l4147,1484m4147,1484l11073,1484e" filled="false" stroked="true" strokeweight="1.44pt" strokecolor="#000000">
              <v:path arrowok="t"/>
            </v:shape>
            <v:line style="position:absolute" from="4123,1498" to="4123,2376" stroked="true" strokeweight=".48pt" strokecolor="#000000"/>
            <v:shape style="position:absolute;left:1181;top:2391;width:9893;height:2" coordorigin="1181,2391" coordsize="9893,0" path="m1181,2391l4118,2391m4118,2391l4147,2391m4147,2391l11073,2391e" filled="false" stroked="true" strokeweight="1.44pt" strokecolor="#000000">
              <v:path arrowok="t"/>
            </v:shape>
            <v:shape style="position:absolute;left:1181;top:3831;width:9893;height:1426" coordorigin="1181,3831" coordsize="9893,1426" path="m1181,3831l4118,3831m4128,3831l11073,3831m1181,5256l4118,5256m4128,5256l11073,5256e" filled="false" stroked="true" strokeweight=".48pt" strokecolor="#000000">
              <v:path arrowok="t"/>
            </v:shape>
            <v:shape style="position:absolute;left:1181;top:6687;width:9893;height:2" coordorigin="1181,6687" coordsize="9893,0" path="m1181,6687l4118,6687m4128,6687l11073,6687e" filled="false" stroked="true" strokeweight=".48pt" strokecolor="#000000">
              <v:path arrowok="t"/>
            </v:shape>
            <v:shape style="position:absolute;left:1181;top:8112;width:9893;height:2" coordorigin="1181,8112" coordsize="9893,0" path="m1181,8112l4118,8112m4128,8112l11073,8112e" filled="false" stroked="true" strokeweight=".48pt" strokecolor="#000000">
              <v:path arrowok="t"/>
            </v:shape>
            <v:shape style="position:absolute;left:1181;top:9543;width:9893;height:1426" coordorigin="1181,9543" coordsize="9893,1426" path="m1181,9543l4118,9543m4128,9543l11073,9543m1181,10968l4118,10968m4128,10968l11073,10968e" filled="false" stroked="true" strokeweight=".48pt" strokecolor="#000000">
              <v:path arrowok="t"/>
            </v:shape>
            <v:line style="position:absolute" from="1166,12399" to="4118,12399" stroked="true" strokeweight=".48pt" strokecolor="#000000"/>
            <v:line style="position:absolute" from="4123,2405" to="4123,12404" stroked="true" strokeweight=".48pt" strokecolor="#000000"/>
            <v:line style="position:absolute" from="4128,12399" to="11073,12399" stroked="true" strokeweight=".48pt" strokecolor="#000000"/>
            <w10:wrap type="none"/>
          </v:group>
        </w:pict>
      </w:r>
      <w:r>
        <w:rPr>
          <w:i/>
        </w:rPr>
        <w:t>Rellene el siguiente cuadro con la composición de los alimentos compuestos reportados en las tablas </w:t>
      </w:r>
      <w:r>
        <w:rPr/>
        <w:t>antes de la sección B.1. Además, aquí se podría definir algunos otros alimentos que no tienen una composición estándar de acuerdo con NRC (2001).</w:t>
      </w:r>
    </w:p>
    <w:p>
      <w:pPr>
        <w:pStyle w:val="BodyText"/>
        <w:rPr>
          <w:rFonts w:ascii="Calibri"/>
          <w:b/>
          <w:i/>
          <w:sz w:val="20"/>
        </w:rPr>
      </w:pPr>
    </w:p>
    <w:p>
      <w:pPr>
        <w:pStyle w:val="BodyText"/>
        <w:spacing w:before="6"/>
        <w:rPr>
          <w:rFonts w:ascii="Calibri"/>
          <w:b/>
          <w:i/>
          <w:sz w:val="25"/>
        </w:rPr>
      </w:pPr>
    </w:p>
    <w:p>
      <w:pPr>
        <w:spacing w:after="0"/>
        <w:rPr>
          <w:rFonts w:ascii="Calibri"/>
          <w:sz w:val="25"/>
        </w:rPr>
        <w:sectPr>
          <w:headerReference w:type="default" r:id="rId271"/>
          <w:footerReference w:type="default" r:id="rId272"/>
          <w:pgSz w:w="12240" w:h="15840"/>
          <w:pgMar w:header="0" w:footer="564" w:top="660" w:bottom="760" w:left="580" w:right="560"/>
          <w:pgNumType w:start="183"/>
        </w:sectPr>
      </w:pPr>
    </w:p>
    <w:p>
      <w:pPr>
        <w:pStyle w:val="BodyText"/>
        <w:spacing w:before="203"/>
        <w:ind w:left="711" w:right="-19"/>
        <w:rPr>
          <w:rFonts w:ascii="Calibri"/>
        </w:rPr>
      </w:pPr>
      <w:r>
        <w:rPr/>
        <w:pict>
          <v:group style="position:absolute;margin-left:29.982389pt;margin-top:34.302399pt;width:553pt;height:732.75pt;mso-position-horizontal-relative:page;mso-position-vertical-relative:page;z-index:-305584"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rPr>
        <w:t>Nombre de la mezcla o alimentos</w:t>
      </w:r>
    </w:p>
    <w:p>
      <w:pPr>
        <w:pStyle w:val="BodyText"/>
        <w:spacing w:before="59"/>
        <w:ind w:left="663" w:right="743"/>
        <w:rPr>
          <w:rFonts w:ascii="Calibri" w:hAnsi="Calibri"/>
        </w:rPr>
      </w:pPr>
      <w:r>
        <w:rPr/>
        <w:br w:type="column"/>
      </w:r>
      <w:r>
        <w:rPr>
          <w:rFonts w:ascii="Calibri" w:hAnsi="Calibri"/>
        </w:rPr>
        <w:t>Composición (como porcentaje de materia seca). Por favor, incluya todos los datos (y unidades) disponibles, tales como: proteína cruda, FDN, TDN, almidón, RUP, RDP, fósforo y otros nutrientes.</w:t>
      </w:r>
    </w:p>
    <w:p>
      <w:pPr>
        <w:spacing w:after="0"/>
        <w:rPr>
          <w:rFonts w:ascii="Calibri" w:hAnsi="Calibri"/>
        </w:rPr>
        <w:sectPr>
          <w:type w:val="continuous"/>
          <w:pgSz w:w="12240" w:h="15840"/>
          <w:pgMar w:top="1420" w:bottom="280" w:left="580" w:right="560"/>
          <w:cols w:num="2" w:equalWidth="0">
            <w:col w:w="2951" w:space="40"/>
            <w:col w:w="8109"/>
          </w:cols>
        </w:sectPr>
      </w:pPr>
    </w:p>
    <w:p>
      <w:pPr>
        <w:spacing w:line="169" w:lineRule="exact" w:before="56"/>
        <w:ind w:left="0" w:right="107" w:firstLine="0"/>
        <w:jc w:val="right"/>
        <w:rPr>
          <w:rFonts w:ascii="Calibri" w:hAnsi="Calibri"/>
          <w:b/>
          <w:i/>
          <w:sz w:val="14"/>
        </w:rPr>
      </w:pPr>
      <w:r>
        <w:rPr/>
        <w:pict>
          <v:group style="position:absolute;margin-left:29.982389pt;margin-top:34.302399pt;width:553pt;height:732.75pt;mso-position-horizontal-relative:page;mso-position-vertical-relative:page;z-index:-305536" coordorigin="600,686" coordsize="11060,14655">
            <v:line style="position:absolute" from="662,15009" to="11601,15009" stroked="true" strokeweight=".47999pt" strokecolor="#000000"/>
            <v:line style="position:absolute" from="609,696" to="11649,696" stroked="true" strokeweight=".48pt" strokecolor="#000000"/>
            <v:line style="position:absolute" from="605,691" to="605,15336" stroked="true" strokeweight=".48pt" strokecolor="#000000"/>
            <v:line style="position:absolute" from="11654,691" to="11654,15336" stroked="true" strokeweight=".48pt" strokecolor="#000000"/>
            <v:line style="position:absolute" from="609,15331" to="11649,15331" stroked="true" strokeweight=".47999pt" strokecolor="#000000"/>
            <w10:wrap type="none"/>
          </v:group>
        </w:pict>
      </w:r>
      <w:r>
        <w:rPr>
          <w:rFonts w:ascii="Calibri" w:hAnsi="Calibri"/>
          <w:b/>
          <w:i/>
          <w:sz w:val="14"/>
        </w:rPr>
        <w:t>Estimación de las emisiones en bovinos en los sistema de producción lechera en pequeña escala</w:t>
      </w:r>
    </w:p>
    <w:p>
      <w:pPr>
        <w:spacing w:line="169" w:lineRule="exact" w:before="0"/>
        <w:ind w:left="0" w:right="106" w:firstLine="0"/>
        <w:jc w:val="right"/>
        <w:rPr>
          <w:rFonts w:ascii="Calibri" w:hAnsi="Calibri"/>
          <w:b/>
          <w:i/>
          <w:sz w:val="14"/>
        </w:rPr>
      </w:pPr>
      <w:r>
        <w:rPr>
          <w:rFonts w:ascii="Calibri" w:hAnsi="Calibri"/>
          <w:b/>
          <w:i/>
          <w:sz w:val="14"/>
        </w:rPr>
        <w:t>a través del factor de conversión de metano</w:t>
      </w:r>
    </w:p>
    <w:p>
      <w:pPr>
        <w:spacing w:before="2"/>
        <w:ind w:left="0" w:right="107" w:firstLine="0"/>
        <w:jc w:val="right"/>
        <w:rPr>
          <w:rFonts w:ascii="Calibri" w:hAnsi="Calibri"/>
          <w:b/>
          <w:i/>
          <w:sz w:val="14"/>
        </w:rPr>
      </w:pPr>
      <w:r>
        <w:rPr>
          <w:rFonts w:ascii="Calibri" w:hAnsi="Calibri"/>
          <w:b/>
          <w:i/>
          <w:sz w:val="14"/>
        </w:rPr>
        <w:t>M. en E. S. Noé Zúñiga-González</w:t>
      </w:r>
    </w:p>
    <w:p>
      <w:pPr>
        <w:pStyle w:val="Heading7"/>
        <w:numPr>
          <w:ilvl w:val="1"/>
          <w:numId w:val="19"/>
        </w:numPr>
        <w:tabs>
          <w:tab w:pos="821" w:val="left" w:leader="none"/>
        </w:tabs>
        <w:spacing w:line="240" w:lineRule="auto" w:before="7" w:after="0"/>
        <w:ind w:left="820" w:right="107" w:hanging="709"/>
        <w:jc w:val="both"/>
      </w:pPr>
      <w:r>
        <w:rPr>
          <w:i/>
        </w:rPr>
        <w:t>Rellene el siguiente cuadro sobre los precios de los alimentos (utilizado en las dietas se definen en las </w:t>
      </w:r>
      <w:r>
        <w:rPr/>
        <w:t>tablas antes de la sección B.1.). Incluir todos los alimentos utilizados antes en la sección B.1., Si se compran o no. Para no comprar la alimentación, utilice la mejor estimación del precio.</w:t>
      </w:r>
    </w:p>
    <w:p>
      <w:pPr>
        <w:pStyle w:val="BodyText"/>
        <w:spacing w:before="10"/>
        <w:rPr>
          <w:rFonts w:ascii="Calibri"/>
          <w:b/>
          <w:i/>
          <w:sz w:val="23"/>
        </w:rPr>
      </w:pPr>
    </w:p>
    <w:tbl>
      <w:tblPr>
        <w:tblW w:w="0" w:type="auto"/>
        <w:jc w:val="left"/>
        <w:tblInd w:w="4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94"/>
        <w:gridCol w:w="5102"/>
        <w:gridCol w:w="2410"/>
        <w:gridCol w:w="2194"/>
      </w:tblGrid>
      <w:tr>
        <w:trPr>
          <w:trHeight w:val="907" w:hRule="exact"/>
        </w:trPr>
        <w:tc>
          <w:tcPr>
            <w:tcW w:w="394" w:type="dxa"/>
            <w:tcBorders>
              <w:left w:val="nil"/>
              <w:right w:val="single" w:sz="4" w:space="0" w:color="000000"/>
            </w:tcBorders>
          </w:tcPr>
          <w:p>
            <w:pPr/>
          </w:p>
        </w:tc>
        <w:tc>
          <w:tcPr>
            <w:tcW w:w="5102" w:type="dxa"/>
            <w:tcBorders>
              <w:left w:val="single" w:sz="4" w:space="0" w:color="000000"/>
              <w:right w:val="single" w:sz="4" w:space="0" w:color="000000"/>
            </w:tcBorders>
          </w:tcPr>
          <w:p>
            <w:pPr>
              <w:pStyle w:val="TableParagraph"/>
              <w:spacing w:before="150"/>
              <w:ind w:left="538"/>
              <w:rPr>
                <w:sz w:val="24"/>
              </w:rPr>
            </w:pPr>
            <w:r>
              <w:rPr>
                <w:sz w:val="24"/>
              </w:rPr>
              <w:t>Nombre del alimento / breve descripción</w:t>
            </w:r>
          </w:p>
        </w:tc>
        <w:tc>
          <w:tcPr>
            <w:tcW w:w="2410" w:type="dxa"/>
            <w:tcBorders>
              <w:left w:val="single" w:sz="4" w:space="0" w:color="000000"/>
              <w:right w:val="single" w:sz="4" w:space="0" w:color="000000"/>
            </w:tcBorders>
          </w:tcPr>
          <w:p>
            <w:pPr>
              <w:pStyle w:val="TableParagraph"/>
              <w:spacing w:before="2"/>
              <w:ind w:left="840" w:right="845"/>
              <w:jc w:val="center"/>
              <w:rPr>
                <w:sz w:val="24"/>
              </w:rPr>
            </w:pPr>
            <w:r>
              <w:rPr>
                <w:sz w:val="24"/>
              </w:rPr>
              <w:t>unidad</w:t>
            </w:r>
          </w:p>
          <w:p>
            <w:pPr>
              <w:pStyle w:val="TableParagraph"/>
              <w:ind w:left="25" w:right="31" w:hanging="1"/>
              <w:jc w:val="center"/>
              <w:rPr>
                <w:sz w:val="24"/>
              </w:rPr>
            </w:pPr>
            <w:r>
              <w:rPr>
                <w:sz w:val="24"/>
              </w:rPr>
              <w:t>(por ejemplo, kg, toneladas métricas, etc)</w:t>
            </w:r>
          </w:p>
        </w:tc>
        <w:tc>
          <w:tcPr>
            <w:tcW w:w="2194" w:type="dxa"/>
            <w:tcBorders>
              <w:left w:val="single" w:sz="4" w:space="0" w:color="000000"/>
              <w:right w:val="single" w:sz="4" w:space="0" w:color="000000"/>
            </w:tcBorders>
          </w:tcPr>
          <w:p>
            <w:pPr>
              <w:pStyle w:val="TableParagraph"/>
              <w:spacing w:before="2"/>
              <w:ind w:left="22" w:right="28" w:hanging="1"/>
              <w:jc w:val="center"/>
              <w:rPr>
                <w:sz w:val="24"/>
              </w:rPr>
            </w:pPr>
            <w:r>
              <w:rPr>
                <w:sz w:val="24"/>
              </w:rPr>
              <w:t>Precio promedio ($/unidad de material seca)</w:t>
            </w:r>
          </w:p>
        </w:tc>
      </w:tr>
      <w:tr>
        <w:trPr>
          <w:trHeight w:val="523" w:hRule="exact"/>
        </w:trPr>
        <w:tc>
          <w:tcPr>
            <w:tcW w:w="394" w:type="dxa"/>
            <w:vMerge w:val="restart"/>
            <w:tcBorders>
              <w:left w:val="nil"/>
              <w:right w:val="single" w:sz="4" w:space="0" w:color="000000"/>
            </w:tcBorders>
            <w:textDirection w:val="btLr"/>
          </w:tcPr>
          <w:p>
            <w:pPr>
              <w:pStyle w:val="TableParagraph"/>
              <w:spacing w:before="107"/>
              <w:ind w:left="910"/>
              <w:rPr>
                <w:sz w:val="24"/>
              </w:rPr>
            </w:pPr>
            <w:r>
              <w:rPr>
                <w:color w:val="984806"/>
                <w:sz w:val="24"/>
              </w:rPr>
              <w:t>Concentrados</w:t>
            </w:r>
          </w:p>
        </w:tc>
        <w:tc>
          <w:tcPr>
            <w:tcW w:w="5102" w:type="dxa"/>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Concentrado comercial 18% Proteína</w:t>
            </w:r>
          </w:p>
        </w:tc>
        <w:tc>
          <w:tcPr>
            <w:tcW w:w="2410" w:type="dxa"/>
            <w:tcBorders>
              <w:left w:val="single" w:sz="4" w:space="0" w:color="000000"/>
              <w:bottom w:val="single" w:sz="4" w:space="0" w:color="000000"/>
              <w:right w:val="single" w:sz="4" w:space="0" w:color="000000"/>
            </w:tcBorders>
          </w:tcPr>
          <w:p>
            <w:pPr>
              <w:pStyle w:val="TableParagraph"/>
              <w:spacing w:before="107"/>
              <w:ind w:left="840" w:right="842"/>
              <w:jc w:val="center"/>
              <w:rPr>
                <w:sz w:val="24"/>
              </w:rPr>
            </w:pPr>
            <w:r>
              <w:rPr>
                <w:sz w:val="24"/>
              </w:rPr>
              <w:t>kg.</w:t>
            </w:r>
          </w:p>
        </w:tc>
        <w:tc>
          <w:tcPr>
            <w:tcW w:w="2194" w:type="dxa"/>
            <w:tcBorders>
              <w:left w:val="single" w:sz="4" w:space="0" w:color="000000"/>
              <w:bottom w:val="single" w:sz="4" w:space="0" w:color="000000"/>
              <w:right w:val="single" w:sz="4" w:space="0" w:color="000000"/>
            </w:tcBorders>
          </w:tcPr>
          <w:p>
            <w:pPr/>
          </w:p>
        </w:tc>
      </w:tr>
      <w:tr>
        <w:trPr>
          <w:trHeight w:val="538"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6"/>
              <w:ind w:left="100"/>
              <w:rPr>
                <w:sz w:val="24"/>
              </w:rPr>
            </w:pPr>
            <w:r>
              <w:rPr>
                <w:sz w:val="24"/>
              </w:rPr>
              <w:t>Grano de maíz en tierra (Ground corn grain)</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131"/>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Salvado de trigo</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126"/>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47"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right w:val="single" w:sz="4" w:space="0" w:color="000000"/>
            </w:tcBorders>
          </w:tcPr>
          <w:p>
            <w:pPr/>
          </w:p>
        </w:tc>
        <w:tc>
          <w:tcPr>
            <w:tcW w:w="2410" w:type="dxa"/>
            <w:tcBorders>
              <w:top w:val="single" w:sz="4" w:space="0" w:color="000000"/>
              <w:left w:val="single" w:sz="4" w:space="0" w:color="000000"/>
              <w:right w:val="single" w:sz="4" w:space="0" w:color="000000"/>
            </w:tcBorders>
          </w:tcPr>
          <w:p>
            <w:pPr/>
          </w:p>
        </w:tc>
        <w:tc>
          <w:tcPr>
            <w:tcW w:w="2194" w:type="dxa"/>
            <w:tcBorders>
              <w:top w:val="single" w:sz="4" w:space="0" w:color="000000"/>
              <w:left w:val="single" w:sz="4" w:space="0" w:color="000000"/>
              <w:right w:val="single" w:sz="4" w:space="0" w:color="000000"/>
            </w:tcBorders>
          </w:tcPr>
          <w:p>
            <w:pPr/>
          </w:p>
        </w:tc>
      </w:tr>
      <w:tr>
        <w:trPr>
          <w:trHeight w:val="523" w:hRule="exact"/>
        </w:trPr>
        <w:tc>
          <w:tcPr>
            <w:tcW w:w="394" w:type="dxa"/>
            <w:vMerge w:val="restart"/>
            <w:tcBorders>
              <w:left w:val="nil"/>
              <w:right w:val="single" w:sz="4" w:space="0" w:color="000000"/>
            </w:tcBorders>
            <w:textDirection w:val="btLr"/>
          </w:tcPr>
          <w:p>
            <w:pPr>
              <w:pStyle w:val="TableParagraph"/>
              <w:spacing w:before="107"/>
              <w:ind w:left="1179" w:right="1178"/>
              <w:jc w:val="center"/>
              <w:rPr>
                <w:sz w:val="24"/>
              </w:rPr>
            </w:pPr>
            <w:r>
              <w:rPr>
                <w:color w:val="00B050"/>
                <w:sz w:val="24"/>
              </w:rPr>
              <w:t>Forrajes</w:t>
            </w:r>
          </w:p>
        </w:tc>
        <w:tc>
          <w:tcPr>
            <w:tcW w:w="5102" w:type="dxa"/>
            <w:tcBorders>
              <w:left w:val="single" w:sz="4" w:space="0" w:color="000000"/>
              <w:bottom w:val="single" w:sz="4" w:space="0" w:color="000000"/>
              <w:right w:val="single" w:sz="4" w:space="0" w:color="000000"/>
            </w:tcBorders>
          </w:tcPr>
          <w:p>
            <w:pPr>
              <w:pStyle w:val="TableParagraph"/>
              <w:spacing w:before="2"/>
              <w:ind w:left="100"/>
              <w:rPr>
                <w:sz w:val="24"/>
              </w:rPr>
            </w:pPr>
            <w:r>
              <w:rPr>
                <w:sz w:val="24"/>
              </w:rPr>
              <w:t>Alfalfa (</w:t>
            </w:r>
            <w:r>
              <w:rPr>
                <w:i/>
                <w:sz w:val="24"/>
              </w:rPr>
              <w:t>Medicago sativa</w:t>
            </w:r>
            <w:r>
              <w:rPr>
                <w:sz w:val="24"/>
              </w:rPr>
              <w:t>)</w:t>
            </w:r>
          </w:p>
        </w:tc>
        <w:tc>
          <w:tcPr>
            <w:tcW w:w="2410" w:type="dxa"/>
            <w:tcBorders>
              <w:left w:val="single" w:sz="4" w:space="0" w:color="000000"/>
              <w:bottom w:val="single" w:sz="4" w:space="0" w:color="000000"/>
              <w:right w:val="single" w:sz="4" w:space="0" w:color="000000"/>
            </w:tcBorders>
          </w:tcPr>
          <w:p>
            <w:pPr>
              <w:pStyle w:val="TableParagraph"/>
              <w:spacing w:before="2"/>
              <w:ind w:left="840" w:right="842"/>
              <w:jc w:val="center"/>
              <w:rPr>
                <w:sz w:val="24"/>
              </w:rPr>
            </w:pPr>
            <w:r>
              <w:rPr>
                <w:sz w:val="24"/>
              </w:rPr>
              <w:t>kg.</w:t>
            </w:r>
          </w:p>
        </w:tc>
        <w:tc>
          <w:tcPr>
            <w:tcW w:w="2194" w:type="dxa"/>
            <w:tcBorders>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Ensilado de maíz (</w:t>
            </w:r>
            <w:r>
              <w:rPr>
                <w:i/>
                <w:sz w:val="24"/>
              </w:rPr>
              <w:t>Zea mays</w:t>
            </w:r>
            <w:r>
              <w:rPr>
                <w:sz w:val="24"/>
              </w:rPr>
              <w:t>)</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21"/>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Maíz picado</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21"/>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8"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6"/>
              <w:ind w:left="100"/>
              <w:rPr>
                <w:sz w:val="24"/>
              </w:rPr>
            </w:pPr>
            <w:r>
              <w:rPr>
                <w:sz w:val="24"/>
              </w:rPr>
              <w:t>Heno de avena (</w:t>
            </w:r>
            <w:r>
              <w:rPr>
                <w:i/>
                <w:sz w:val="24"/>
              </w:rPr>
              <w:t>Avena sativa</w:t>
            </w:r>
            <w:r>
              <w:rPr>
                <w:sz w:val="24"/>
              </w:rPr>
              <w:t>)</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26"/>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Style w:val="TableParagraph"/>
              <w:spacing w:before="21"/>
              <w:ind w:left="100"/>
              <w:rPr>
                <w:sz w:val="24"/>
              </w:rPr>
            </w:pPr>
            <w:r>
              <w:rPr>
                <w:sz w:val="24"/>
              </w:rPr>
              <w:t>Ebo (</w:t>
            </w:r>
            <w:r>
              <w:rPr>
                <w:i/>
                <w:sz w:val="24"/>
              </w:rPr>
              <w:t>Vicia sativa</w:t>
            </w:r>
            <w:r>
              <w:rPr>
                <w:sz w:val="24"/>
              </w:rPr>
              <w:t>)</w:t>
            </w:r>
          </w:p>
        </w:tc>
        <w:tc>
          <w:tcPr>
            <w:tcW w:w="2410" w:type="dxa"/>
            <w:tcBorders>
              <w:top w:val="single" w:sz="4" w:space="0" w:color="000000"/>
              <w:left w:val="single" w:sz="4" w:space="0" w:color="000000"/>
              <w:bottom w:val="single" w:sz="4" w:space="0" w:color="000000"/>
              <w:right w:val="single" w:sz="4" w:space="0" w:color="000000"/>
            </w:tcBorders>
          </w:tcPr>
          <w:p>
            <w:pPr>
              <w:pStyle w:val="TableParagraph"/>
              <w:spacing w:before="21"/>
              <w:ind w:left="840" w:right="842"/>
              <w:jc w:val="center"/>
              <w:rPr>
                <w:sz w:val="24"/>
              </w:rPr>
            </w:pPr>
            <w:r>
              <w:rPr>
                <w:sz w:val="24"/>
              </w:rPr>
              <w:t>kg.</w:t>
            </w: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42"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right w:val="single" w:sz="4" w:space="0" w:color="000000"/>
            </w:tcBorders>
          </w:tcPr>
          <w:p>
            <w:pPr>
              <w:pStyle w:val="TableParagraph"/>
              <w:spacing w:before="21"/>
              <w:ind w:left="100"/>
              <w:rPr>
                <w:sz w:val="24"/>
              </w:rPr>
            </w:pPr>
            <w:r>
              <w:rPr>
                <w:sz w:val="24"/>
              </w:rPr>
              <w:t>Rastrojo de maíz</w:t>
            </w:r>
          </w:p>
        </w:tc>
        <w:tc>
          <w:tcPr>
            <w:tcW w:w="2410" w:type="dxa"/>
            <w:tcBorders>
              <w:top w:val="single" w:sz="4" w:space="0" w:color="000000"/>
              <w:left w:val="single" w:sz="4" w:space="0" w:color="000000"/>
              <w:right w:val="single" w:sz="4" w:space="0" w:color="000000"/>
            </w:tcBorders>
          </w:tcPr>
          <w:p>
            <w:pPr>
              <w:pStyle w:val="TableParagraph"/>
              <w:spacing w:before="21"/>
              <w:ind w:left="840" w:right="842"/>
              <w:jc w:val="center"/>
              <w:rPr>
                <w:sz w:val="24"/>
              </w:rPr>
            </w:pPr>
            <w:r>
              <w:rPr>
                <w:sz w:val="24"/>
              </w:rPr>
              <w:t>kg.</w:t>
            </w:r>
          </w:p>
        </w:tc>
        <w:tc>
          <w:tcPr>
            <w:tcW w:w="2194" w:type="dxa"/>
            <w:tcBorders>
              <w:top w:val="single" w:sz="4" w:space="0" w:color="000000"/>
              <w:left w:val="single" w:sz="4" w:space="0" w:color="000000"/>
              <w:right w:val="single" w:sz="4" w:space="0" w:color="000000"/>
            </w:tcBorders>
          </w:tcPr>
          <w:p>
            <w:pPr/>
          </w:p>
        </w:tc>
      </w:tr>
      <w:tr>
        <w:trPr>
          <w:trHeight w:val="523" w:hRule="exact"/>
        </w:trPr>
        <w:tc>
          <w:tcPr>
            <w:tcW w:w="394" w:type="dxa"/>
            <w:vMerge w:val="restart"/>
            <w:tcBorders>
              <w:left w:val="nil"/>
              <w:right w:val="single" w:sz="4" w:space="0" w:color="000000"/>
            </w:tcBorders>
            <w:textDirection w:val="btLr"/>
          </w:tcPr>
          <w:p>
            <w:pPr>
              <w:pStyle w:val="TableParagraph"/>
              <w:spacing w:before="107"/>
              <w:ind w:left="227"/>
              <w:rPr>
                <w:sz w:val="24"/>
              </w:rPr>
            </w:pPr>
            <w:r>
              <w:rPr>
                <w:color w:val="00B0F0"/>
                <w:sz w:val="24"/>
              </w:rPr>
              <w:t>Vitaminas y Min.</w:t>
            </w:r>
          </w:p>
        </w:tc>
        <w:tc>
          <w:tcPr>
            <w:tcW w:w="5102" w:type="dxa"/>
            <w:tcBorders>
              <w:left w:val="single" w:sz="4" w:space="0" w:color="000000"/>
              <w:bottom w:val="single" w:sz="4" w:space="0" w:color="000000"/>
              <w:right w:val="single" w:sz="4" w:space="0" w:color="000000"/>
            </w:tcBorders>
          </w:tcPr>
          <w:p>
            <w:pPr/>
          </w:p>
        </w:tc>
        <w:tc>
          <w:tcPr>
            <w:tcW w:w="2410" w:type="dxa"/>
            <w:tcBorders>
              <w:left w:val="single" w:sz="4" w:space="0" w:color="000000"/>
              <w:bottom w:val="single" w:sz="4" w:space="0" w:color="000000"/>
              <w:right w:val="single" w:sz="4" w:space="0" w:color="000000"/>
            </w:tcBorders>
          </w:tcPr>
          <w:p>
            <w:pPr/>
          </w:p>
        </w:tc>
        <w:tc>
          <w:tcPr>
            <w:tcW w:w="2194" w:type="dxa"/>
            <w:tcBorders>
              <w:left w:val="single" w:sz="4" w:space="0" w:color="000000"/>
              <w:bottom w:val="single" w:sz="4" w:space="0" w:color="000000"/>
              <w:right w:val="single" w:sz="4" w:space="0" w:color="000000"/>
            </w:tcBorders>
          </w:tcPr>
          <w:p>
            <w:pPr/>
          </w:p>
        </w:tc>
      </w:tr>
      <w:tr>
        <w:trPr>
          <w:trHeight w:val="538"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r>
        <w:trPr>
          <w:trHeight w:val="533" w:hRule="exact"/>
        </w:trPr>
        <w:tc>
          <w:tcPr>
            <w:tcW w:w="394" w:type="dxa"/>
            <w:vMerge/>
            <w:tcBorders>
              <w:left w:val="nil"/>
              <w:right w:val="single" w:sz="4" w:space="0" w:color="000000"/>
            </w:tcBorders>
            <w:textDirection w:val="btLr"/>
          </w:tcPr>
          <w:p>
            <w:pPr/>
          </w:p>
        </w:tc>
        <w:tc>
          <w:tcPr>
            <w:tcW w:w="5102" w:type="dxa"/>
            <w:tcBorders>
              <w:top w:val="single" w:sz="4" w:space="0" w:color="000000"/>
              <w:left w:val="single" w:sz="4" w:space="0" w:color="000000"/>
              <w:bottom w:val="single" w:sz="4" w:space="0" w:color="000000"/>
              <w:right w:val="single" w:sz="4" w:space="0" w:color="000000"/>
            </w:tcBorders>
          </w:tcPr>
          <w:p>
            <w:pPr/>
          </w:p>
        </w:tc>
        <w:tc>
          <w:tcPr>
            <w:tcW w:w="2410" w:type="dxa"/>
            <w:tcBorders>
              <w:top w:val="single" w:sz="4" w:space="0" w:color="000000"/>
              <w:left w:val="single" w:sz="4" w:space="0" w:color="000000"/>
              <w:bottom w:val="single" w:sz="4" w:space="0" w:color="000000"/>
              <w:right w:val="single" w:sz="4" w:space="0" w:color="000000"/>
            </w:tcBorders>
          </w:tcPr>
          <w:p>
            <w:pPr/>
          </w:p>
        </w:tc>
        <w:tc>
          <w:tcPr>
            <w:tcW w:w="2194" w:type="dxa"/>
            <w:tcBorders>
              <w:top w:val="single" w:sz="4" w:space="0" w:color="000000"/>
              <w:left w:val="single" w:sz="4" w:space="0" w:color="000000"/>
              <w:bottom w:val="single" w:sz="4" w:space="0" w:color="000000"/>
              <w:right w:val="single" w:sz="4" w:space="0" w:color="000000"/>
            </w:tcBorders>
          </w:tcPr>
          <w:p>
            <w:pPr/>
          </w:p>
        </w:tc>
      </w:tr>
    </w:tbl>
    <w:p>
      <w:pPr>
        <w:pStyle w:val="BodyText"/>
        <w:rPr>
          <w:rFonts w:ascii="Calibri"/>
          <w:b/>
          <w:i/>
        </w:rPr>
      </w:pPr>
    </w:p>
    <w:p>
      <w:pPr>
        <w:pStyle w:val="BodyText"/>
        <w:spacing w:before="3"/>
        <w:rPr>
          <w:rFonts w:ascii="Calibri"/>
          <w:b/>
          <w:i/>
          <w:sz w:val="25"/>
        </w:rPr>
      </w:pPr>
    </w:p>
    <w:p>
      <w:pPr>
        <w:pStyle w:val="ListParagraph"/>
        <w:numPr>
          <w:ilvl w:val="1"/>
          <w:numId w:val="19"/>
        </w:numPr>
        <w:tabs>
          <w:tab w:pos="819" w:val="left" w:leader="none"/>
          <w:tab w:pos="821" w:val="left" w:leader="none"/>
        </w:tabs>
        <w:spacing w:line="240" w:lineRule="auto" w:before="0" w:after="0"/>
        <w:ind w:left="820" w:right="0" w:hanging="709"/>
        <w:jc w:val="left"/>
        <w:rPr>
          <w:rFonts w:ascii="Calibri"/>
          <w:b/>
          <w:i/>
          <w:sz w:val="24"/>
        </w:rPr>
      </w:pPr>
      <w:r>
        <w:rPr>
          <w:rFonts w:ascii="Calibri"/>
          <w:b/>
          <w:i/>
          <w:sz w:val="24"/>
        </w:rPr>
        <w:t>Usos de cualquier aditivo alimenticio (alimentos) en la</w:t>
      </w:r>
      <w:r>
        <w:rPr>
          <w:rFonts w:ascii="Calibri"/>
          <w:b/>
          <w:i/>
          <w:spacing w:val="-6"/>
          <w:sz w:val="24"/>
        </w:rPr>
        <w:t> </w:t>
      </w:r>
      <w:r>
        <w:rPr>
          <w:rFonts w:ascii="Calibri"/>
          <w:b/>
          <w:i/>
          <w:sz w:val="24"/>
        </w:rPr>
        <w:t>granja:</w:t>
      </w:r>
    </w:p>
    <w:p>
      <w:pPr>
        <w:pStyle w:val="BodyText"/>
        <w:spacing w:before="10"/>
        <w:rPr>
          <w:rFonts w:ascii="Calibri"/>
          <w:b/>
          <w:i/>
          <w:sz w:val="23"/>
        </w:rPr>
      </w:pPr>
    </w:p>
    <w:tbl>
      <w:tblPr>
        <w:tblW w:w="0" w:type="auto"/>
        <w:jc w:val="left"/>
        <w:tblInd w:w="17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44"/>
        <w:gridCol w:w="1896"/>
        <w:gridCol w:w="1886"/>
        <w:gridCol w:w="2707"/>
        <w:gridCol w:w="2275"/>
      </w:tblGrid>
      <w:tr>
        <w:trPr>
          <w:trHeight w:val="614" w:hRule="exact"/>
        </w:trPr>
        <w:tc>
          <w:tcPr>
            <w:tcW w:w="1944" w:type="dxa"/>
            <w:tcBorders>
              <w:left w:val="nil"/>
              <w:right w:val="single" w:sz="4" w:space="0" w:color="000000"/>
            </w:tcBorders>
          </w:tcPr>
          <w:p>
            <w:pPr>
              <w:pStyle w:val="TableParagraph"/>
              <w:spacing w:before="146"/>
              <w:ind w:left="81" w:right="68"/>
              <w:jc w:val="center"/>
              <w:rPr>
                <w:sz w:val="24"/>
              </w:rPr>
            </w:pPr>
            <w:r>
              <w:rPr>
                <w:sz w:val="24"/>
              </w:rPr>
              <w:t>BST</w:t>
            </w:r>
          </w:p>
        </w:tc>
        <w:tc>
          <w:tcPr>
            <w:tcW w:w="1896" w:type="dxa"/>
            <w:tcBorders>
              <w:left w:val="single" w:sz="4" w:space="0" w:color="000000"/>
              <w:right w:val="single" w:sz="4" w:space="0" w:color="000000"/>
            </w:tcBorders>
          </w:tcPr>
          <w:p>
            <w:pPr>
              <w:pStyle w:val="TableParagraph"/>
              <w:spacing w:before="146"/>
              <w:ind w:left="270" w:right="272"/>
              <w:jc w:val="center"/>
              <w:rPr>
                <w:sz w:val="24"/>
              </w:rPr>
            </w:pPr>
            <w:r>
              <w:rPr>
                <w:sz w:val="24"/>
              </w:rPr>
              <w:t>Monensina</w:t>
            </w:r>
          </w:p>
        </w:tc>
        <w:tc>
          <w:tcPr>
            <w:tcW w:w="1886" w:type="dxa"/>
            <w:tcBorders>
              <w:left w:val="single" w:sz="4" w:space="0" w:color="000000"/>
              <w:right w:val="single" w:sz="4" w:space="0" w:color="000000"/>
            </w:tcBorders>
          </w:tcPr>
          <w:p>
            <w:pPr>
              <w:pStyle w:val="TableParagraph"/>
              <w:spacing w:before="146"/>
              <w:ind w:left="99" w:right="103"/>
              <w:jc w:val="center"/>
              <w:rPr>
                <w:sz w:val="24"/>
              </w:rPr>
            </w:pPr>
            <w:r>
              <w:rPr>
                <w:sz w:val="24"/>
              </w:rPr>
              <w:t>Grasa en la dieta</w:t>
            </w:r>
          </w:p>
        </w:tc>
        <w:tc>
          <w:tcPr>
            <w:tcW w:w="2707" w:type="dxa"/>
            <w:tcBorders>
              <w:left w:val="single" w:sz="4" w:space="0" w:color="000000"/>
              <w:right w:val="single" w:sz="4" w:space="0" w:color="000000"/>
            </w:tcBorders>
          </w:tcPr>
          <w:p>
            <w:pPr>
              <w:pStyle w:val="TableParagraph"/>
              <w:spacing w:before="2"/>
              <w:ind w:left="732" w:right="589" w:hanging="125"/>
              <w:rPr>
                <w:sz w:val="24"/>
              </w:rPr>
            </w:pPr>
            <w:r>
              <w:rPr>
                <w:sz w:val="24"/>
              </w:rPr>
              <w:t>Suplemento de aminoácidos</w:t>
            </w:r>
          </w:p>
        </w:tc>
        <w:tc>
          <w:tcPr>
            <w:tcW w:w="2275" w:type="dxa"/>
            <w:tcBorders>
              <w:left w:val="single" w:sz="4" w:space="0" w:color="000000"/>
              <w:right w:val="nil"/>
            </w:tcBorders>
          </w:tcPr>
          <w:p>
            <w:pPr>
              <w:pStyle w:val="TableParagraph"/>
              <w:tabs>
                <w:tab w:pos="2082" w:val="left" w:leader="none"/>
              </w:tabs>
              <w:spacing w:before="146"/>
              <w:ind w:left="105"/>
              <w:rPr>
                <w:rFonts w:ascii="Times New Roman"/>
                <w:sz w:val="24"/>
              </w:rPr>
            </w:pPr>
            <w:r>
              <w:rPr>
                <w:sz w:val="24"/>
              </w:rPr>
              <w:t>Otros: </w:t>
            </w:r>
            <w:r>
              <w:rPr>
                <w:rFonts w:ascii="Times New Roman"/>
                <w:sz w:val="24"/>
                <w:u w:val="single"/>
              </w:rPr>
              <w:t> </w:t>
              <w:tab/>
            </w:r>
          </w:p>
        </w:tc>
      </w:tr>
      <w:tr>
        <w:trPr>
          <w:trHeight w:val="374" w:hRule="exact"/>
        </w:trPr>
        <w:tc>
          <w:tcPr>
            <w:tcW w:w="1944" w:type="dxa"/>
            <w:tcBorders>
              <w:left w:val="nil"/>
              <w:right w:val="single" w:sz="4" w:space="0" w:color="000000"/>
            </w:tcBorders>
          </w:tcPr>
          <w:p>
            <w:pPr>
              <w:pStyle w:val="TableParagraph"/>
              <w:spacing w:before="26"/>
              <w:ind w:left="81" w:right="34"/>
              <w:jc w:val="center"/>
              <w:rPr>
                <w:sz w:val="24"/>
              </w:rPr>
            </w:pPr>
            <w:r>
              <w:rPr>
                <w:rFonts w:ascii="Arial" w:hAnsi="Arial"/>
                <w:w w:val="140"/>
                <w:sz w:val="24"/>
              </w:rPr>
              <w:t>£ </w:t>
            </w:r>
            <w:r>
              <w:rPr>
                <w:w w:val="120"/>
                <w:sz w:val="24"/>
              </w:rPr>
              <w:t>SI  </w:t>
            </w:r>
            <w:r>
              <w:rPr>
                <w:rFonts w:ascii="Arial" w:hAnsi="Arial"/>
                <w:w w:val="140"/>
                <w:sz w:val="24"/>
              </w:rPr>
              <w:t>£ </w:t>
            </w:r>
            <w:r>
              <w:rPr>
                <w:w w:val="120"/>
                <w:sz w:val="24"/>
              </w:rPr>
              <w:t>NO</w:t>
            </w:r>
          </w:p>
        </w:tc>
        <w:tc>
          <w:tcPr>
            <w:tcW w:w="1896" w:type="dxa"/>
            <w:tcBorders>
              <w:left w:val="single" w:sz="4" w:space="0" w:color="000000"/>
              <w:right w:val="single" w:sz="4" w:space="0" w:color="000000"/>
            </w:tcBorders>
          </w:tcPr>
          <w:p>
            <w:pPr>
              <w:pStyle w:val="TableParagraph"/>
              <w:spacing w:before="26"/>
              <w:ind w:left="301" w:right="272"/>
              <w:jc w:val="center"/>
              <w:rPr>
                <w:sz w:val="24"/>
              </w:rPr>
            </w:pPr>
            <w:r>
              <w:rPr>
                <w:rFonts w:ascii="Arial" w:hAnsi="Arial"/>
                <w:w w:val="140"/>
                <w:sz w:val="24"/>
              </w:rPr>
              <w:t>£ </w:t>
            </w:r>
            <w:r>
              <w:rPr>
                <w:w w:val="120"/>
                <w:sz w:val="24"/>
              </w:rPr>
              <w:t>SI  </w:t>
            </w:r>
            <w:r>
              <w:rPr>
                <w:rFonts w:ascii="Arial" w:hAnsi="Arial"/>
                <w:w w:val="140"/>
                <w:sz w:val="24"/>
              </w:rPr>
              <w:t>£ </w:t>
            </w:r>
            <w:r>
              <w:rPr>
                <w:w w:val="120"/>
                <w:sz w:val="24"/>
              </w:rPr>
              <w:t>NO</w:t>
            </w:r>
          </w:p>
        </w:tc>
        <w:tc>
          <w:tcPr>
            <w:tcW w:w="1886" w:type="dxa"/>
            <w:tcBorders>
              <w:left w:val="single" w:sz="4" w:space="0" w:color="000000"/>
              <w:right w:val="single" w:sz="4" w:space="0" w:color="000000"/>
            </w:tcBorders>
          </w:tcPr>
          <w:p>
            <w:pPr>
              <w:pStyle w:val="TableParagraph"/>
              <w:spacing w:before="26"/>
              <w:ind w:left="99" w:right="72"/>
              <w:jc w:val="center"/>
              <w:rPr>
                <w:sz w:val="24"/>
              </w:rPr>
            </w:pPr>
            <w:r>
              <w:rPr>
                <w:rFonts w:ascii="Arial" w:hAnsi="Arial"/>
                <w:w w:val="140"/>
                <w:sz w:val="24"/>
              </w:rPr>
              <w:t>£ </w:t>
            </w:r>
            <w:r>
              <w:rPr>
                <w:w w:val="120"/>
                <w:sz w:val="24"/>
              </w:rPr>
              <w:t>SI  </w:t>
            </w:r>
            <w:r>
              <w:rPr>
                <w:rFonts w:ascii="Arial" w:hAnsi="Arial"/>
                <w:w w:val="140"/>
                <w:sz w:val="24"/>
              </w:rPr>
              <w:t>£ </w:t>
            </w:r>
            <w:r>
              <w:rPr>
                <w:w w:val="120"/>
                <w:sz w:val="24"/>
              </w:rPr>
              <w:t>NO</w:t>
            </w:r>
          </w:p>
        </w:tc>
        <w:tc>
          <w:tcPr>
            <w:tcW w:w="2707" w:type="dxa"/>
            <w:tcBorders>
              <w:left w:val="single" w:sz="4" w:space="0" w:color="000000"/>
              <w:right w:val="single" w:sz="4" w:space="0" w:color="000000"/>
            </w:tcBorders>
          </w:tcPr>
          <w:p>
            <w:pPr>
              <w:pStyle w:val="TableParagraph"/>
              <w:spacing w:before="26"/>
              <w:ind w:left="773" w:right="589"/>
              <w:rPr>
                <w:sz w:val="24"/>
              </w:rPr>
            </w:pPr>
            <w:r>
              <w:rPr>
                <w:rFonts w:ascii="Arial" w:hAnsi="Arial"/>
                <w:w w:val="140"/>
                <w:sz w:val="24"/>
              </w:rPr>
              <w:t>£ </w:t>
            </w:r>
            <w:r>
              <w:rPr>
                <w:w w:val="120"/>
                <w:sz w:val="24"/>
              </w:rPr>
              <w:t>SI  </w:t>
            </w:r>
            <w:r>
              <w:rPr>
                <w:rFonts w:ascii="Arial" w:hAnsi="Arial"/>
                <w:w w:val="140"/>
                <w:sz w:val="24"/>
              </w:rPr>
              <w:t>£ </w:t>
            </w:r>
            <w:r>
              <w:rPr>
                <w:w w:val="120"/>
                <w:sz w:val="24"/>
              </w:rPr>
              <w:t>NO</w:t>
            </w:r>
          </w:p>
        </w:tc>
        <w:tc>
          <w:tcPr>
            <w:tcW w:w="2275" w:type="dxa"/>
            <w:tcBorders>
              <w:left w:val="single" w:sz="4" w:space="0" w:color="000000"/>
              <w:right w:val="nil"/>
            </w:tcBorders>
          </w:tcPr>
          <w:p>
            <w:pPr/>
          </w:p>
        </w:tc>
      </w:tr>
    </w:tbl>
    <w:p>
      <w:pPr>
        <w:spacing w:after="0"/>
        <w:sectPr>
          <w:headerReference w:type="default" r:id="rId273"/>
          <w:footerReference w:type="default" r:id="rId274"/>
          <w:pgSz w:w="12240" w:h="15840"/>
          <w:pgMar w:header="0" w:footer="564" w:top="660" w:bottom="760" w:left="580" w:right="560"/>
          <w:pgNumType w:start="184"/>
        </w:sectPr>
      </w:pPr>
    </w:p>
    <w:p>
      <w:pPr>
        <w:pStyle w:val="BodyText"/>
        <w:spacing w:before="7"/>
        <w:rPr>
          <w:rFonts w:ascii="Calibri"/>
          <w:b/>
          <w:i/>
          <w:sz w:val="11"/>
        </w:rPr>
      </w:pPr>
    </w:p>
    <w:p>
      <w:pPr>
        <w:spacing w:line="319" w:lineRule="exact" w:before="64"/>
        <w:ind w:left="276" w:right="85" w:firstLine="0"/>
        <w:jc w:val="left"/>
        <w:rPr>
          <w:b/>
          <w:sz w:val="28"/>
        </w:rPr>
      </w:pPr>
      <w:r>
        <w:rPr>
          <w:b/>
          <w:sz w:val="28"/>
        </w:rPr>
        <w:t>ANEXO II.</w:t>
      </w:r>
    </w:p>
    <w:p>
      <w:pPr>
        <w:pStyle w:val="BodyText"/>
        <w:spacing w:line="274" w:lineRule="exact" w:before="3"/>
        <w:ind w:left="276" w:right="85"/>
      </w:pPr>
      <w:r>
        <w:rPr/>
        <w:t>Ecuación utilizada para la estimación de la ingesta de Energía Bruta (GE) de las diferentes subcategorías animales del hato (IPCC, 2006).</w:t>
      </w:r>
    </w:p>
    <w:p>
      <w:pPr>
        <w:pStyle w:val="BodyText"/>
        <w:spacing w:before="7"/>
        <w:rPr>
          <w:sz w:val="23"/>
        </w:rPr>
      </w:pPr>
    </w:p>
    <w:p>
      <w:pPr>
        <w:spacing w:before="0"/>
        <w:ind w:left="276" w:right="85" w:firstLine="0"/>
        <w:jc w:val="left"/>
        <w:rPr>
          <w:b/>
          <w:sz w:val="24"/>
        </w:rPr>
      </w:pPr>
      <w:r>
        <w:rPr/>
        <w:pict>
          <v:group style="position:absolute;margin-left:204.978394pt;margin-top:27.528904pt;width:265.2pt;height:54.45pt;mso-position-horizontal-relative:page;mso-position-vertical-relative:paragraph;z-index:6592" coordorigin="4100,551" coordsize="5304,1089">
            <v:line style="position:absolute" from="4107,1632" to="4176,1632" stroked="true" strokeweight=".7pt" strokecolor="#000000"/>
            <v:line style="position:absolute" from="4119,627" to="4119,1625" stroked="true" strokeweight="1.289pt" strokecolor="#000000"/>
            <v:line style="position:absolute" from="4107,620" to="4176,620" stroked="true" strokeweight=".7pt" strokecolor="#000000"/>
            <v:shape style="position:absolute;left:4229;top:615;width:92;height:475" coordorigin="4229,615" coordsize="92,475" path="m4314,615l4268,674,4244,734,4231,809,4229,853,4231,896,4244,971,4268,1031,4314,1090,4320,1082,4306,1066,4293,1047,4263,966,4253,894,4252,852,4253,811,4263,739,4282,682,4320,623,4314,615xe" filled="true" fillcolor="#000000" stroked="false">
              <v:path arrowok="t"/>
              <v:fill type="solid"/>
            </v:shape>
            <v:line style="position:absolute" from="4325,852" to="8193,852" stroked="true" strokeweight=".72pt" strokecolor="#000000"/>
            <v:shape style="position:absolute;left:8201;top:615;width:92;height:475" coordorigin="8201,615" coordsize="92,475" path="m8208,615l8201,623,8215,639,8228,658,8259,739,8268,811,8269,853,8268,894,8259,966,8240,1024,8201,1082,8208,1090,8254,1031,8278,971,8291,896,8292,852,8291,809,8278,734,8254,674,8224,631,8208,615xe" filled="true" fillcolor="#000000" stroked="false">
              <v:path arrowok="t"/>
              <v:fill type="solid"/>
            </v:shape>
            <v:line style="position:absolute" from="6489,1399" to="7017,1399" stroked="true" strokeweight=".72pt" strokecolor="#000000"/>
            <v:shape style="position:absolute;left:8617;top:615;width:92;height:475" coordorigin="8617,615" coordsize="92,475" path="m8701,615l8655,674,8631,734,8618,809,8617,853,8618,896,8631,971,8655,1031,8701,1090,8708,1082,8693,1066,8681,1047,8650,966,8641,894,8639,852,8641,811,8650,739,8669,682,8708,623,8701,615xe" filled="true" fillcolor="#000000" stroked="false">
              <v:path arrowok="t"/>
              <v:fill type="solid"/>
            </v:shape>
            <v:line style="position:absolute" from="8717,852" to="9182,852" stroked="true" strokeweight=".72pt" strokecolor="#000000"/>
            <v:shape style="position:absolute;left:9190;top:615;width:92;height:475" coordorigin="9190,615" coordsize="92,475" path="m9197,615l9190,623,9204,639,9217,658,9247,739,9257,811,9258,853,9257,894,9247,966,9229,1024,9190,1082,9197,1090,9243,1031,9267,971,9279,896,9281,852,9279,809,9267,734,9243,674,9213,631,9197,615xe" filled="true" fillcolor="#000000" stroked="false">
              <v:path arrowok="t"/>
              <v:fill type="solid"/>
            </v:shape>
            <v:line style="position:absolute" from="4185,1125" to="9326,1125" stroked="true" strokeweight=".72pt" strokecolor="#000000"/>
            <v:line style="position:absolute" from="9327,1632" to="9396,1632" stroked="true" strokeweight=".7pt" strokecolor="#000000"/>
            <v:line style="position:absolute" from="9383,627" to="9383,1625" stroked="true" strokeweight="1.289pt" strokecolor="#000000"/>
            <v:line style="position:absolute" from="9327,620" to="9396,620" stroked="true" strokeweight=".7pt" strokecolor="#000000"/>
            <v:shape style="position:absolute;left:4326;top:551;width:3854;height:1083" type="#_x0000_t202" filled="false" stroked="false">
              <v:textbox inset="0,0,0,0">
                <w:txbxContent>
                  <w:p>
                    <w:pPr>
                      <w:spacing w:line="272" w:lineRule="exact" w:before="0"/>
                      <w:ind w:left="0" w:right="0" w:firstLine="0"/>
                      <w:jc w:val="center"/>
                      <w:rPr>
                        <w:rFonts w:ascii="Cambria Math"/>
                        <w:sz w:val="17"/>
                      </w:rPr>
                    </w:pPr>
                    <w:r>
                      <w:rPr>
                        <w:rFonts w:ascii="Cambria Math"/>
                        <w:spacing w:val="-5"/>
                        <w:w w:val="115"/>
                        <w:sz w:val="24"/>
                      </w:rPr>
                      <w:t>EC</w:t>
                    </w:r>
                    <w:r>
                      <w:rPr>
                        <w:rFonts w:ascii="Cambria Math"/>
                        <w:spacing w:val="-5"/>
                        <w:w w:val="115"/>
                        <w:position w:val="-4"/>
                        <w:sz w:val="17"/>
                      </w:rPr>
                      <w:t>F  </w:t>
                    </w:r>
                    <w:r>
                      <w:rPr>
                        <w:rFonts w:ascii="Cambria Math"/>
                        <w:w w:val="105"/>
                        <w:sz w:val="24"/>
                      </w:rPr>
                      <w:t>+ </w:t>
                    </w:r>
                    <w:r>
                      <w:rPr>
                        <w:rFonts w:ascii="Cambria Math"/>
                        <w:spacing w:val="-5"/>
                        <w:w w:val="105"/>
                        <w:sz w:val="24"/>
                      </w:rPr>
                      <w:t>EC</w:t>
                    </w:r>
                    <w:r>
                      <w:rPr>
                        <w:rFonts w:ascii="Cambria Math"/>
                        <w:spacing w:val="-5"/>
                        <w:w w:val="105"/>
                        <w:position w:val="-4"/>
                        <w:sz w:val="17"/>
                      </w:rPr>
                      <w:t>H  </w:t>
                    </w:r>
                    <w:r>
                      <w:rPr>
                        <w:rFonts w:ascii="Cambria Math"/>
                        <w:w w:val="105"/>
                        <w:sz w:val="24"/>
                      </w:rPr>
                      <w:t>+ </w:t>
                    </w:r>
                    <w:r>
                      <w:rPr>
                        <w:rFonts w:ascii="Cambria Math"/>
                        <w:spacing w:val="-5"/>
                        <w:w w:val="105"/>
                        <w:sz w:val="24"/>
                      </w:rPr>
                      <w:t>EC</w:t>
                    </w:r>
                    <w:r>
                      <w:rPr>
                        <w:rFonts w:ascii="Cambria Math"/>
                        <w:spacing w:val="-5"/>
                        <w:w w:val="105"/>
                        <w:position w:val="-4"/>
                        <w:sz w:val="17"/>
                      </w:rPr>
                      <w:t>I  </w:t>
                    </w:r>
                    <w:r>
                      <w:rPr>
                        <w:rFonts w:ascii="Cambria Math"/>
                        <w:w w:val="105"/>
                        <w:sz w:val="24"/>
                      </w:rPr>
                      <w:t>+ EC</w:t>
                    </w:r>
                    <w:r>
                      <w:rPr>
                        <w:rFonts w:ascii="Cambria Math"/>
                        <w:w w:val="105"/>
                        <w:position w:val="-4"/>
                        <w:sz w:val="17"/>
                      </w:rPr>
                      <w:t>JKHLHMN  </w:t>
                    </w:r>
                    <w:r>
                      <w:rPr>
                        <w:rFonts w:ascii="Cambria Math"/>
                        <w:w w:val="105"/>
                        <w:sz w:val="24"/>
                      </w:rPr>
                      <w:t>+ </w:t>
                    </w:r>
                    <w:r>
                      <w:rPr>
                        <w:rFonts w:ascii="Cambria Math"/>
                        <w:spacing w:val="-5"/>
                        <w:w w:val="105"/>
                        <w:sz w:val="24"/>
                      </w:rPr>
                      <w:t>EC</w:t>
                    </w:r>
                    <w:r>
                      <w:rPr>
                        <w:rFonts w:ascii="Cambria Math"/>
                        <w:spacing w:val="-5"/>
                        <w:w w:val="105"/>
                        <w:position w:val="-4"/>
                        <w:sz w:val="17"/>
                      </w:rPr>
                      <w:t>O</w:t>
                    </w:r>
                  </w:p>
                  <w:p>
                    <w:pPr>
                      <w:spacing w:line="271" w:lineRule="exact" w:before="0"/>
                      <w:ind w:left="7" w:right="0" w:firstLine="0"/>
                      <w:jc w:val="center"/>
                      <w:rPr>
                        <w:rFonts w:ascii="Cambria Math"/>
                        <w:sz w:val="24"/>
                      </w:rPr>
                    </w:pPr>
                    <w:r>
                      <w:rPr>
                        <w:rFonts w:ascii="Cambria Math"/>
                        <w:w w:val="120"/>
                        <w:sz w:val="24"/>
                      </w:rPr>
                      <w:t>PCQ</w:t>
                    </w:r>
                  </w:p>
                  <w:p>
                    <w:pPr>
                      <w:spacing w:line="262" w:lineRule="exact" w:before="23"/>
                      <w:ind w:left="2228" w:right="1156" w:hanging="66"/>
                      <w:jc w:val="left"/>
                      <w:rPr>
                        <w:rFonts w:ascii="Cambria Math"/>
                        <w:sz w:val="24"/>
                      </w:rPr>
                    </w:pPr>
                    <w:r>
                      <w:rPr>
                        <w:rFonts w:ascii="Cambria Math"/>
                        <w:w w:val="105"/>
                        <w:sz w:val="24"/>
                      </w:rPr>
                      <w:t>TC% 100</w:t>
                    </w:r>
                  </w:p>
                </w:txbxContent>
              </v:textbox>
              <w10:wrap type="none"/>
            </v:shape>
            <v:shape style="position:absolute;left:8365;top:725;width:180;height:240" type="#_x0000_t202" filled="false" stroked="false">
              <v:textbox inset="0,0,0,0">
                <w:txbxContent>
                  <w:p>
                    <w:pPr>
                      <w:spacing w:line="240" w:lineRule="exact" w:before="0"/>
                      <w:ind w:left="0" w:right="0" w:firstLine="0"/>
                      <w:jc w:val="left"/>
                      <w:rPr>
                        <w:rFonts w:ascii="Cambria Math"/>
                        <w:sz w:val="24"/>
                      </w:rPr>
                    </w:pPr>
                    <w:r>
                      <w:rPr>
                        <w:rFonts w:ascii="Cambria Math"/>
                        <w:sz w:val="24"/>
                      </w:rPr>
                      <w:t>+</w:t>
                    </w:r>
                  </w:p>
                </w:txbxContent>
              </v:textbox>
              <w10:wrap type="none"/>
            </v:shape>
            <v:shape style="position:absolute;left:8716;top:551;width:454;height:535" type="#_x0000_t202" filled="false" stroked="false">
              <v:textbox inset="0,0,0,0">
                <w:txbxContent>
                  <w:p>
                    <w:pPr>
                      <w:spacing w:line="271" w:lineRule="exact" w:before="0"/>
                      <w:ind w:left="0" w:right="-13" w:firstLine="18"/>
                      <w:jc w:val="left"/>
                      <w:rPr>
                        <w:rFonts w:ascii="Cambria Math"/>
                        <w:sz w:val="16"/>
                      </w:rPr>
                    </w:pPr>
                    <w:r>
                      <w:rPr>
                        <w:rFonts w:ascii="Cambria Math"/>
                        <w:w w:val="115"/>
                        <w:sz w:val="24"/>
                      </w:rPr>
                      <w:t>EC</w:t>
                    </w:r>
                    <w:r>
                      <w:rPr>
                        <w:rFonts w:ascii="Cambria Math"/>
                        <w:w w:val="115"/>
                        <w:position w:val="-4"/>
                        <w:sz w:val="16"/>
                      </w:rPr>
                      <w:t>R</w:t>
                    </w:r>
                  </w:p>
                  <w:p>
                    <w:pPr>
                      <w:spacing w:line="264" w:lineRule="exact" w:before="0"/>
                      <w:ind w:left="0" w:right="-15" w:firstLine="0"/>
                      <w:jc w:val="left"/>
                      <w:rPr>
                        <w:rFonts w:ascii="Cambria Math"/>
                        <w:sz w:val="24"/>
                      </w:rPr>
                    </w:pPr>
                    <w:r>
                      <w:rPr>
                        <w:rFonts w:ascii="Cambria Math"/>
                        <w:w w:val="115"/>
                        <w:sz w:val="24"/>
                      </w:rPr>
                      <w:t>PCS</w:t>
                    </w:r>
                  </w:p>
                </w:txbxContent>
              </v:textbox>
              <w10:wrap type="none"/>
            </v:shape>
            <w10:wrap type="none"/>
          </v:group>
        </w:pict>
      </w:r>
      <w:r>
        <w:rPr>
          <w:b/>
          <w:sz w:val="24"/>
        </w:rPr>
        <w:t>Ecuación (1)</w:t>
      </w:r>
    </w:p>
    <w:p>
      <w:pPr>
        <w:pStyle w:val="BodyText"/>
        <w:rPr>
          <w:b/>
        </w:rPr>
      </w:pPr>
    </w:p>
    <w:p>
      <w:pPr>
        <w:pStyle w:val="BodyText"/>
        <w:rPr>
          <w:b/>
        </w:rPr>
      </w:pPr>
    </w:p>
    <w:p>
      <w:pPr>
        <w:pStyle w:val="BodyText"/>
        <w:spacing w:before="138"/>
        <w:ind w:left="1686" w:right="85"/>
        <w:rPr>
          <w:rFonts w:ascii="Cambria Math"/>
        </w:rPr>
      </w:pPr>
      <w:r>
        <w:rPr>
          <w:rFonts w:ascii="Cambria Math"/>
          <w:w w:val="110"/>
        </w:rPr>
        <w:t>SC =</w:t>
      </w:r>
    </w:p>
    <w:p>
      <w:pPr>
        <w:pStyle w:val="BodyText"/>
        <w:rPr>
          <w:rFonts w:ascii="Cambria Math"/>
          <w:sz w:val="20"/>
        </w:rPr>
      </w:pPr>
    </w:p>
    <w:p>
      <w:pPr>
        <w:pStyle w:val="BodyText"/>
        <w:rPr>
          <w:rFonts w:ascii="Cambria Math"/>
          <w:sz w:val="20"/>
        </w:rPr>
      </w:pPr>
    </w:p>
    <w:p>
      <w:pPr>
        <w:pStyle w:val="Heading6"/>
        <w:spacing w:line="257" w:lineRule="exact" w:before="203"/>
        <w:ind w:right="85"/>
        <w:jc w:val="left"/>
      </w:pPr>
      <w:r>
        <w:rPr/>
        <w:t>Donde:</w:t>
      </w:r>
    </w:p>
    <w:p>
      <w:pPr>
        <w:spacing w:line="276" w:lineRule="exact" w:before="0"/>
        <w:ind w:left="276" w:right="85" w:firstLine="0"/>
        <w:jc w:val="left"/>
        <w:rPr>
          <w:b/>
          <w:sz w:val="24"/>
        </w:rPr>
      </w:pPr>
      <w:r>
        <w:rPr>
          <w:b/>
          <w:sz w:val="24"/>
        </w:rPr>
        <w:t>GE = energía bruta, MJ día</w:t>
      </w:r>
      <w:r>
        <w:rPr>
          <w:b/>
          <w:position w:val="11"/>
          <w:sz w:val="16"/>
        </w:rPr>
        <w:t>-1</w:t>
      </w:r>
      <w:r>
        <w:rPr>
          <w:b/>
          <w:sz w:val="24"/>
        </w:rPr>
        <w:t>.</w:t>
      </w:r>
    </w:p>
    <w:p>
      <w:pPr>
        <w:pStyle w:val="BodyText"/>
        <w:spacing w:line="274" w:lineRule="exact" w:before="24"/>
        <w:ind w:left="276" w:right="704"/>
      </w:pPr>
      <w:r>
        <w:rPr/>
        <w:t>NE</w:t>
      </w:r>
      <w:r>
        <w:rPr>
          <w:position w:val="-2"/>
          <w:sz w:val="16"/>
        </w:rPr>
        <w:t>m </w:t>
      </w:r>
      <w:r>
        <w:rPr/>
        <w:t>= energía neta requerida por el animal para mantenimiento, MJ día</w:t>
      </w:r>
      <w:r>
        <w:rPr>
          <w:position w:val="11"/>
          <w:sz w:val="16"/>
        </w:rPr>
        <w:t>-1</w:t>
      </w:r>
      <w:r>
        <w:rPr/>
        <w:t>. NE</w:t>
      </w:r>
      <w:r>
        <w:rPr>
          <w:position w:val="-2"/>
          <w:sz w:val="16"/>
        </w:rPr>
        <w:t>a </w:t>
      </w:r>
      <w:r>
        <w:rPr/>
        <w:t>= energía neta para actividad animal, MJ día</w:t>
      </w:r>
      <w:r>
        <w:rPr>
          <w:position w:val="11"/>
          <w:sz w:val="16"/>
        </w:rPr>
        <w:t>-1</w:t>
      </w:r>
      <w:r>
        <w:rPr/>
        <w:t>.</w:t>
      </w:r>
    </w:p>
    <w:p>
      <w:pPr>
        <w:pStyle w:val="BodyText"/>
        <w:spacing w:line="274" w:lineRule="exact" w:before="4"/>
        <w:ind w:left="276" w:right="3549"/>
      </w:pPr>
      <w:r>
        <w:rPr/>
        <w:t>NE</w:t>
      </w:r>
      <w:r>
        <w:rPr>
          <w:position w:val="-2"/>
          <w:sz w:val="16"/>
        </w:rPr>
        <w:t>l </w:t>
      </w:r>
      <w:r>
        <w:rPr/>
        <w:t>= energía neta para lactancia, MJ día</w:t>
      </w:r>
      <w:r>
        <w:rPr>
          <w:position w:val="11"/>
          <w:sz w:val="16"/>
        </w:rPr>
        <w:t>-1</w:t>
      </w:r>
      <w:r>
        <w:rPr/>
        <w:t>. NE</w:t>
      </w:r>
      <w:r>
        <w:rPr>
          <w:position w:val="-2"/>
          <w:sz w:val="16"/>
        </w:rPr>
        <w:t>trabajo </w:t>
      </w:r>
      <w:r>
        <w:rPr/>
        <w:t>= energía neta para trabajo, MJ día</w:t>
      </w:r>
      <w:r>
        <w:rPr>
          <w:position w:val="11"/>
          <w:sz w:val="16"/>
        </w:rPr>
        <w:t>-1</w:t>
      </w:r>
      <w:r>
        <w:rPr/>
        <w:t>.</w:t>
      </w:r>
    </w:p>
    <w:p>
      <w:pPr>
        <w:pStyle w:val="BodyText"/>
        <w:spacing w:line="274" w:lineRule="exact" w:before="4"/>
        <w:ind w:left="276" w:right="3029"/>
      </w:pPr>
      <w:r>
        <w:rPr/>
        <w:t>NE</w:t>
      </w:r>
      <w:r>
        <w:rPr>
          <w:position w:val="-2"/>
          <w:sz w:val="16"/>
        </w:rPr>
        <w:t>p </w:t>
      </w:r>
      <w:r>
        <w:rPr/>
        <w:t>= energía neta requerida para preñez, MJ día</w:t>
      </w:r>
      <w:r>
        <w:rPr>
          <w:position w:val="11"/>
          <w:sz w:val="16"/>
        </w:rPr>
        <w:t>-1</w:t>
      </w:r>
      <w:r>
        <w:rPr/>
        <w:t>. NE</w:t>
      </w:r>
      <w:r>
        <w:rPr>
          <w:position w:val="-2"/>
          <w:sz w:val="16"/>
        </w:rPr>
        <w:t>g </w:t>
      </w:r>
      <w:r>
        <w:rPr/>
        <w:t>= energía neta para el crecimiento, MJ día</w:t>
      </w:r>
      <w:r>
        <w:rPr>
          <w:position w:val="11"/>
          <w:sz w:val="16"/>
        </w:rPr>
        <w:t>-1</w:t>
      </w:r>
      <w:r>
        <w:rPr/>
        <w:t>.</w:t>
      </w:r>
    </w:p>
    <w:p>
      <w:pPr>
        <w:pStyle w:val="BodyText"/>
        <w:spacing w:line="274" w:lineRule="exact" w:before="4"/>
        <w:ind w:left="276" w:right="85"/>
      </w:pPr>
      <w:r>
        <w:rPr/>
        <w:t>REM = relación entre la energía neta disponible en una dieta para mantenimiento y la energía digerible consumida.</w:t>
      </w:r>
    </w:p>
    <w:p>
      <w:pPr>
        <w:pStyle w:val="BodyText"/>
        <w:spacing w:line="274" w:lineRule="exact" w:before="4"/>
        <w:ind w:left="276" w:right="85"/>
      </w:pPr>
      <w:r>
        <w:rPr/>
        <w:t>REG = relación entre la energía neta disponible en una dieta para crecimiento y la energía digerible consumida.</w:t>
      </w:r>
    </w:p>
    <w:p>
      <w:pPr>
        <w:pStyle w:val="BodyText"/>
        <w:spacing w:before="7"/>
        <w:rPr>
          <w:sz w:val="23"/>
        </w:rPr>
      </w:pPr>
    </w:p>
    <w:p>
      <w:pPr>
        <w:pStyle w:val="Heading6"/>
        <w:spacing w:line="260" w:lineRule="exact"/>
        <w:ind w:right="85"/>
        <w:jc w:val="left"/>
      </w:pPr>
      <w:r>
        <w:rPr/>
        <w:t>DE% = energía digerible expresada como porcentaje de la energía bruta.</w:t>
      </w:r>
    </w:p>
    <w:p>
      <w:pPr>
        <w:pStyle w:val="BodyText"/>
        <w:spacing w:line="276" w:lineRule="exact"/>
        <w:ind w:left="276" w:right="85"/>
      </w:pPr>
      <w:r>
        <w:rPr/>
        <w:t>Energía neta requerida por el animal para su mantenimiento (MJ día</w:t>
      </w:r>
      <w:r>
        <w:rPr>
          <w:position w:val="11"/>
          <w:sz w:val="16"/>
        </w:rPr>
        <w:t>-1</w:t>
      </w:r>
      <w:r>
        <w:rPr/>
        <w:t>):</w:t>
      </w:r>
    </w:p>
    <w:p>
      <w:pPr>
        <w:spacing w:line="300" w:lineRule="exact" w:before="0"/>
        <w:ind w:left="276" w:right="85" w:firstLine="0"/>
        <w:jc w:val="left"/>
        <w:rPr>
          <w:b/>
          <w:sz w:val="24"/>
        </w:rPr>
      </w:pPr>
      <w:r>
        <w:rPr>
          <w:b/>
          <w:sz w:val="24"/>
        </w:rPr>
        <w:t>NE</w:t>
      </w:r>
      <w:r>
        <w:rPr>
          <w:b/>
          <w:position w:val="-2"/>
          <w:sz w:val="16"/>
        </w:rPr>
        <w:t>m  </w:t>
      </w:r>
      <w:r>
        <w:rPr>
          <w:b/>
          <w:sz w:val="24"/>
        </w:rPr>
        <w:t>= </w:t>
      </w:r>
      <w:r>
        <w:rPr>
          <w:b/>
          <w:i/>
          <w:sz w:val="24"/>
        </w:rPr>
        <w:t>Cfi </w:t>
      </w:r>
      <w:r>
        <w:rPr>
          <w:b/>
          <w:sz w:val="24"/>
        </w:rPr>
        <w:t>• (Peso)</w:t>
      </w:r>
      <w:r>
        <w:rPr>
          <w:b/>
          <w:position w:val="11"/>
          <w:sz w:val="16"/>
        </w:rPr>
        <w:t>0,75</w:t>
      </w:r>
      <w:r>
        <w:rPr>
          <w:b/>
          <w:sz w:val="24"/>
        </w:rPr>
        <w:t>,</w:t>
      </w:r>
    </w:p>
    <w:p>
      <w:pPr>
        <w:pStyle w:val="BodyText"/>
        <w:spacing w:line="271" w:lineRule="exact"/>
        <w:ind w:left="276" w:right="85"/>
      </w:pPr>
      <w:r>
        <w:rPr>
          <w:i/>
        </w:rPr>
        <w:t>Cfi </w:t>
      </w:r>
      <w:r>
        <w:rPr/>
        <w:t>= coeficiente que varía para cada categoría de animales</w:t>
      </w:r>
    </w:p>
    <w:p>
      <w:pPr>
        <w:pStyle w:val="BodyText"/>
        <w:spacing w:before="11"/>
        <w:rPr>
          <w:sz w:val="20"/>
        </w:rPr>
      </w:pPr>
    </w:p>
    <w:p>
      <w:pPr>
        <w:pStyle w:val="Heading6"/>
        <w:spacing w:line="310" w:lineRule="exact"/>
        <w:ind w:right="85"/>
        <w:jc w:val="left"/>
      </w:pPr>
      <w:r>
        <w:rPr/>
        <w:t>Energía Neta para Actividad (MJ día</w:t>
      </w:r>
      <w:r>
        <w:rPr>
          <w:position w:val="11"/>
          <w:sz w:val="16"/>
        </w:rPr>
        <w:t>-1</w:t>
      </w:r>
      <w:r>
        <w:rPr/>
        <w:t>):</w:t>
      </w:r>
    </w:p>
    <w:p>
      <w:pPr>
        <w:spacing w:line="283" w:lineRule="exact" w:before="0"/>
        <w:ind w:left="276" w:right="85" w:firstLine="0"/>
        <w:jc w:val="left"/>
        <w:rPr>
          <w:sz w:val="16"/>
        </w:rPr>
      </w:pPr>
      <w:r>
        <w:rPr>
          <w:sz w:val="24"/>
        </w:rPr>
        <w:t>NE</w:t>
      </w:r>
      <w:r>
        <w:rPr>
          <w:position w:val="-2"/>
          <w:sz w:val="16"/>
        </w:rPr>
        <w:t>a </w:t>
      </w:r>
      <w:r>
        <w:rPr>
          <w:sz w:val="24"/>
        </w:rPr>
        <w:t>= C</w:t>
      </w:r>
      <w:r>
        <w:rPr>
          <w:position w:val="-2"/>
          <w:sz w:val="16"/>
        </w:rPr>
        <w:t>a </w:t>
      </w:r>
      <w:r>
        <w:rPr>
          <w:sz w:val="24"/>
        </w:rPr>
        <w:t>• EN</w:t>
      </w:r>
      <w:r>
        <w:rPr>
          <w:position w:val="-2"/>
          <w:sz w:val="16"/>
        </w:rPr>
        <w:t>m</w:t>
      </w:r>
    </w:p>
    <w:p>
      <w:pPr>
        <w:pStyle w:val="BodyText"/>
        <w:spacing w:line="274" w:lineRule="exact"/>
        <w:ind w:left="276" w:right="85"/>
      </w:pPr>
      <w:r>
        <w:rPr/>
        <w:t>Ca = coeficiente correspondiente a la situación alimentaria del animal (confinados, gastan muy poca o ninguna energía en procura de alimento).</w:t>
      </w:r>
    </w:p>
    <w:p>
      <w:pPr>
        <w:pStyle w:val="BodyText"/>
        <w:spacing w:before="7"/>
        <w:rPr>
          <w:sz w:val="20"/>
        </w:rPr>
      </w:pPr>
    </w:p>
    <w:p>
      <w:pPr>
        <w:pStyle w:val="Heading6"/>
        <w:spacing w:line="295" w:lineRule="exact"/>
        <w:ind w:right="85"/>
        <w:jc w:val="left"/>
      </w:pPr>
      <w:r>
        <w:rPr/>
        <w:t>Energía Neta para Crecimiento (MJ día</w:t>
      </w:r>
      <w:r>
        <w:rPr>
          <w:position w:val="11"/>
          <w:sz w:val="16"/>
        </w:rPr>
        <w:t>-1</w:t>
      </w:r>
      <w:r>
        <w:rPr/>
        <w:t>):</w:t>
      </w:r>
    </w:p>
    <w:p>
      <w:pPr>
        <w:spacing w:line="300" w:lineRule="exact" w:before="0"/>
        <w:ind w:left="276" w:right="85" w:firstLine="0"/>
        <w:jc w:val="left"/>
        <w:rPr>
          <w:sz w:val="16"/>
        </w:rPr>
      </w:pPr>
      <w:r>
        <w:rPr>
          <w:sz w:val="24"/>
        </w:rPr>
        <w:t>NE</w:t>
      </w:r>
      <w:r>
        <w:rPr>
          <w:position w:val="-2"/>
          <w:sz w:val="16"/>
        </w:rPr>
        <w:t>g </w:t>
      </w:r>
      <w:r>
        <w:rPr>
          <w:sz w:val="24"/>
        </w:rPr>
        <w:t>= 22.02 </w:t>
      </w:r>
      <w:r>
        <w:rPr>
          <w:b/>
          <w:sz w:val="24"/>
        </w:rPr>
        <w:t>• </w:t>
      </w:r>
      <w:r>
        <w:rPr>
          <w:sz w:val="24"/>
        </w:rPr>
        <w:t>(BW/(C • MW)</w:t>
      </w:r>
      <w:r>
        <w:rPr>
          <w:position w:val="11"/>
          <w:sz w:val="16"/>
        </w:rPr>
        <w:t>0.75 </w:t>
      </w:r>
      <w:r>
        <w:rPr>
          <w:sz w:val="24"/>
        </w:rPr>
        <w:t>• (WG)</w:t>
      </w:r>
      <w:r>
        <w:rPr>
          <w:position w:val="11"/>
          <w:sz w:val="16"/>
        </w:rPr>
        <w:t>1.097</w:t>
      </w:r>
    </w:p>
    <w:p>
      <w:pPr>
        <w:pStyle w:val="BodyText"/>
        <w:spacing w:line="268" w:lineRule="exact"/>
        <w:ind w:left="276" w:right="85"/>
      </w:pPr>
      <w:r>
        <w:rPr/>
        <w:t>BW = peso corporal vivo promedio (BW) de los animales de la población (kg).</w:t>
      </w:r>
    </w:p>
    <w:p>
      <w:pPr>
        <w:pStyle w:val="BodyText"/>
        <w:spacing w:line="274" w:lineRule="exact" w:before="8"/>
        <w:ind w:left="276" w:right="85"/>
      </w:pPr>
      <w:r>
        <w:rPr/>
        <w:t>C = es un coeficiente con un valor de 0,8 para hembras, 1,0 para castrados y 1,2 para toros.</w:t>
      </w:r>
    </w:p>
    <w:p>
      <w:pPr>
        <w:pStyle w:val="BodyText"/>
        <w:spacing w:line="274" w:lineRule="exact" w:before="4"/>
        <w:ind w:left="276" w:right="85"/>
      </w:pPr>
      <w:r>
        <w:rPr/>
        <w:t>MW = peso corporal vivo y maduro de una hembra adulta en condición corporal moderada (kg).</w:t>
      </w:r>
    </w:p>
    <w:p>
      <w:pPr>
        <w:pStyle w:val="BodyText"/>
        <w:spacing w:line="274" w:lineRule="exact"/>
        <w:ind w:left="276" w:right="85"/>
      </w:pPr>
      <w:r>
        <w:rPr/>
        <w:t>WG = aumento de peso diario promedio de los animales de la población (kg día</w:t>
      </w:r>
      <w:r>
        <w:rPr>
          <w:position w:val="11"/>
          <w:sz w:val="16"/>
        </w:rPr>
        <w:t>-1</w:t>
      </w:r>
      <w:r>
        <w:rPr/>
        <w:t>).</w:t>
      </w:r>
    </w:p>
    <w:p>
      <w:pPr>
        <w:pStyle w:val="Heading6"/>
        <w:spacing w:line="292" w:lineRule="exact" w:before="241"/>
        <w:ind w:right="85"/>
        <w:jc w:val="left"/>
      </w:pPr>
      <w:r>
        <w:rPr/>
        <w:t>Energía Neta para Lactancia (MJ día</w:t>
      </w:r>
      <w:r>
        <w:rPr>
          <w:position w:val="11"/>
          <w:sz w:val="16"/>
        </w:rPr>
        <w:t>-1</w:t>
      </w:r>
      <w:r>
        <w:rPr/>
        <w:t>):</w:t>
      </w:r>
    </w:p>
    <w:p>
      <w:pPr>
        <w:pStyle w:val="BodyText"/>
        <w:spacing w:line="300" w:lineRule="exact"/>
        <w:ind w:left="276" w:right="85"/>
      </w:pPr>
      <w:r>
        <w:rPr/>
        <w:t>NE</w:t>
      </w:r>
      <w:r>
        <w:rPr>
          <w:position w:val="-2"/>
          <w:sz w:val="16"/>
        </w:rPr>
        <w:t>l </w:t>
      </w:r>
      <w:r>
        <w:rPr/>
        <w:t>= kg leche día</w:t>
      </w:r>
      <w:r>
        <w:rPr>
          <w:position w:val="11"/>
          <w:sz w:val="16"/>
        </w:rPr>
        <w:t>-1 </w:t>
      </w:r>
      <w:r>
        <w:rPr/>
        <w:t>• (1.47 + 0.40 • Grasa)</w:t>
      </w:r>
    </w:p>
    <w:p>
      <w:pPr>
        <w:pStyle w:val="BodyText"/>
        <w:spacing w:line="271" w:lineRule="exact"/>
        <w:ind w:left="276" w:right="85"/>
      </w:pPr>
      <w:r>
        <w:rPr/>
        <w:t>Leche = cantidad de leche producida, kg de leche día-1</w:t>
      </w:r>
    </w:p>
    <w:p>
      <w:pPr>
        <w:spacing w:after="0" w:line="271" w:lineRule="exact"/>
        <w:sectPr>
          <w:headerReference w:type="default" r:id="rId275"/>
          <w:footerReference w:type="default" r:id="rId276"/>
          <w:pgSz w:w="12240" w:h="15840"/>
          <w:pgMar w:header="0" w:footer="0" w:top="1500" w:bottom="280" w:left="1720" w:right="1300"/>
        </w:sectPr>
      </w:pPr>
    </w:p>
    <w:p>
      <w:pPr>
        <w:pStyle w:val="BodyText"/>
        <w:spacing w:before="6"/>
        <w:rPr>
          <w:sz w:val="14"/>
        </w:rPr>
      </w:pPr>
    </w:p>
    <w:p>
      <w:pPr>
        <w:pStyle w:val="Heading6"/>
        <w:spacing w:before="79"/>
        <w:jc w:val="left"/>
      </w:pPr>
      <w:r>
        <w:rPr/>
        <w:t>Energía Neta para trabajo (MJ día</w:t>
      </w:r>
      <w:r>
        <w:rPr>
          <w:position w:val="11"/>
          <w:sz w:val="16"/>
        </w:rPr>
        <w:t>-1</w:t>
      </w:r>
      <w:r>
        <w:rPr/>
        <w:t>):</w:t>
      </w:r>
    </w:p>
    <w:p>
      <w:pPr>
        <w:spacing w:line="281" w:lineRule="exact" w:before="2"/>
        <w:ind w:left="276" w:right="0" w:firstLine="0"/>
        <w:jc w:val="left"/>
        <w:rPr>
          <w:sz w:val="24"/>
        </w:rPr>
      </w:pPr>
      <w:r>
        <w:rPr>
          <w:sz w:val="24"/>
        </w:rPr>
        <w:t>NE</w:t>
      </w:r>
      <w:r>
        <w:rPr>
          <w:position w:val="-2"/>
          <w:sz w:val="16"/>
        </w:rPr>
        <w:t>trabajo </w:t>
      </w:r>
      <w:r>
        <w:rPr>
          <w:sz w:val="24"/>
        </w:rPr>
        <w:t>= 0,10 • NEm • Horas</w:t>
      </w:r>
    </w:p>
    <w:p>
      <w:pPr>
        <w:pStyle w:val="BodyText"/>
        <w:spacing w:line="268" w:lineRule="exact"/>
        <w:ind w:left="276"/>
      </w:pPr>
      <w:r>
        <w:rPr/>
        <w:t>Horas = Cantidad de horas de trabajo por día.</w:t>
      </w:r>
    </w:p>
    <w:p>
      <w:pPr>
        <w:pStyle w:val="BodyText"/>
        <w:spacing w:before="11"/>
        <w:rPr>
          <w:sz w:val="20"/>
        </w:rPr>
      </w:pPr>
    </w:p>
    <w:p>
      <w:pPr>
        <w:pStyle w:val="Heading6"/>
        <w:jc w:val="left"/>
      </w:pPr>
      <w:r>
        <w:rPr/>
        <w:t>Energía Neta requerida para la Preñez (MJ día</w:t>
      </w:r>
      <w:r>
        <w:rPr>
          <w:position w:val="11"/>
          <w:sz w:val="16"/>
        </w:rPr>
        <w:t>-1</w:t>
      </w:r>
      <w:r>
        <w:rPr/>
        <w:t>):</w:t>
      </w:r>
    </w:p>
    <w:p>
      <w:pPr>
        <w:spacing w:line="282" w:lineRule="exact" w:before="1"/>
        <w:ind w:left="276" w:right="0" w:firstLine="0"/>
        <w:jc w:val="left"/>
        <w:rPr>
          <w:sz w:val="16"/>
        </w:rPr>
      </w:pPr>
      <w:r>
        <w:rPr>
          <w:position w:val="3"/>
          <w:sz w:val="24"/>
        </w:rPr>
        <w:t>NE</w:t>
      </w:r>
      <w:r>
        <w:rPr>
          <w:sz w:val="16"/>
        </w:rPr>
        <w:t>p </w:t>
      </w:r>
      <w:r>
        <w:rPr>
          <w:position w:val="3"/>
          <w:sz w:val="24"/>
        </w:rPr>
        <w:t>= C</w:t>
      </w:r>
      <w:r>
        <w:rPr>
          <w:sz w:val="16"/>
        </w:rPr>
        <w:t>preñez </w:t>
      </w:r>
      <w:r>
        <w:rPr>
          <w:b/>
          <w:position w:val="3"/>
          <w:sz w:val="24"/>
        </w:rPr>
        <w:t>• </w:t>
      </w:r>
      <w:r>
        <w:rPr>
          <w:position w:val="3"/>
          <w:sz w:val="24"/>
        </w:rPr>
        <w:t>NE</w:t>
      </w:r>
      <w:r>
        <w:rPr>
          <w:sz w:val="16"/>
        </w:rPr>
        <w:t>m</w:t>
      </w:r>
    </w:p>
    <w:p>
      <w:pPr>
        <w:pStyle w:val="BodyText"/>
        <w:spacing w:line="230" w:lineRule="auto" w:before="2"/>
        <w:ind w:left="276"/>
      </w:pPr>
      <w:r>
        <w:rPr/>
        <w:t>C</w:t>
      </w:r>
      <w:r>
        <w:rPr>
          <w:position w:val="-2"/>
          <w:sz w:val="16"/>
        </w:rPr>
        <w:t>preñez </w:t>
      </w:r>
      <w:r>
        <w:rPr/>
        <w:t>= Coeficiente de preñez, requisito de mantenimiento para la preñez basándose en la energía requerida para la gestación.</w:t>
      </w:r>
    </w:p>
    <w:p>
      <w:pPr>
        <w:pStyle w:val="BodyText"/>
        <w:spacing w:before="8"/>
      </w:pPr>
    </w:p>
    <w:p>
      <w:pPr>
        <w:pStyle w:val="Heading6"/>
        <w:spacing w:line="274" w:lineRule="exact"/>
        <w:jc w:val="left"/>
      </w:pPr>
      <w:r>
        <w:rPr/>
        <w:t>REM es la relación entre la energía neta disponible en una dieta para mantenimiento y la energía digerible consumida.</w:t>
      </w:r>
    </w:p>
    <w:p>
      <w:pPr>
        <w:spacing w:line="273" w:lineRule="exact" w:before="0"/>
        <w:ind w:left="276" w:right="0" w:firstLine="0"/>
        <w:jc w:val="left"/>
        <w:rPr>
          <w:sz w:val="24"/>
        </w:rPr>
      </w:pPr>
      <w:r>
        <w:rPr>
          <w:sz w:val="24"/>
        </w:rPr>
        <w:t>REM = 1.123 – (4.092) </w:t>
      </w:r>
      <w:r>
        <w:rPr>
          <w:b/>
          <w:sz w:val="24"/>
        </w:rPr>
        <w:t>• </w:t>
      </w:r>
      <w:r>
        <w:rPr>
          <w:sz w:val="24"/>
        </w:rPr>
        <w:t>10</w:t>
      </w:r>
      <w:r>
        <w:rPr>
          <w:position w:val="11"/>
          <w:sz w:val="16"/>
        </w:rPr>
        <w:t>-3 </w:t>
      </w:r>
      <w:r>
        <w:rPr>
          <w:b/>
          <w:sz w:val="24"/>
        </w:rPr>
        <w:t>• </w:t>
      </w:r>
      <w:r>
        <w:rPr>
          <w:sz w:val="24"/>
        </w:rPr>
        <w:t>DE%) + [1.126 </w:t>
      </w:r>
      <w:r>
        <w:rPr>
          <w:b/>
          <w:sz w:val="24"/>
        </w:rPr>
        <w:t>• </w:t>
      </w:r>
      <w:r>
        <w:rPr>
          <w:sz w:val="24"/>
        </w:rPr>
        <w:t>10</w:t>
      </w:r>
      <w:r>
        <w:rPr>
          <w:position w:val="11"/>
          <w:sz w:val="16"/>
        </w:rPr>
        <w:t>-5 </w:t>
      </w:r>
      <w:r>
        <w:rPr>
          <w:b/>
          <w:sz w:val="24"/>
        </w:rPr>
        <w:t>• </w:t>
      </w:r>
      <w:r>
        <w:rPr>
          <w:sz w:val="24"/>
        </w:rPr>
        <w:t>(DE%)</w:t>
      </w:r>
      <w:r>
        <w:rPr>
          <w:position w:val="11"/>
          <w:sz w:val="16"/>
        </w:rPr>
        <w:t>2</w:t>
      </w:r>
      <w:r>
        <w:rPr>
          <w:sz w:val="24"/>
        </w:rPr>
        <w:t>] – (25.4/DE%)</w:t>
      </w:r>
    </w:p>
    <w:p>
      <w:pPr>
        <w:pStyle w:val="BodyText"/>
        <w:spacing w:line="275" w:lineRule="exact"/>
        <w:ind w:left="276"/>
      </w:pPr>
      <w:r>
        <w:rPr/>
        <w:t>DE% = energía digerible expresada como porcentaje de la energía bruta</w:t>
      </w:r>
    </w:p>
    <w:p>
      <w:pPr>
        <w:pStyle w:val="BodyText"/>
      </w:pPr>
    </w:p>
    <w:p>
      <w:pPr>
        <w:pStyle w:val="Heading6"/>
        <w:spacing w:line="242" w:lineRule="auto"/>
        <w:ind w:right="129"/>
        <w:jc w:val="left"/>
      </w:pPr>
      <w:r>
        <w:rPr/>
        <w:t>REG</w:t>
      </w:r>
      <w:r>
        <w:rPr>
          <w:spacing w:val="-13"/>
        </w:rPr>
        <w:t> </w:t>
      </w:r>
      <w:r>
        <w:rPr/>
        <w:t>es</w:t>
      </w:r>
      <w:r>
        <w:rPr>
          <w:spacing w:val="-13"/>
        </w:rPr>
        <w:t> </w:t>
      </w:r>
      <w:r>
        <w:rPr/>
        <w:t>la</w:t>
      </w:r>
      <w:r>
        <w:rPr>
          <w:spacing w:val="-13"/>
        </w:rPr>
        <w:t> </w:t>
      </w:r>
      <w:r>
        <w:rPr/>
        <w:t>relación</w:t>
      </w:r>
      <w:r>
        <w:rPr>
          <w:spacing w:val="-13"/>
        </w:rPr>
        <w:t> </w:t>
      </w:r>
      <w:r>
        <w:rPr/>
        <w:t>entre</w:t>
      </w:r>
      <w:r>
        <w:rPr>
          <w:spacing w:val="-13"/>
        </w:rPr>
        <w:t> </w:t>
      </w:r>
      <w:r>
        <w:rPr/>
        <w:t>la</w:t>
      </w:r>
      <w:r>
        <w:rPr>
          <w:spacing w:val="-13"/>
        </w:rPr>
        <w:t> </w:t>
      </w:r>
      <w:r>
        <w:rPr/>
        <w:t>energía</w:t>
      </w:r>
      <w:r>
        <w:rPr>
          <w:spacing w:val="-13"/>
        </w:rPr>
        <w:t> </w:t>
      </w:r>
      <w:r>
        <w:rPr/>
        <w:t>neta</w:t>
      </w:r>
      <w:r>
        <w:rPr>
          <w:spacing w:val="-13"/>
        </w:rPr>
        <w:t> </w:t>
      </w:r>
      <w:r>
        <w:rPr/>
        <w:t>disponible</w:t>
      </w:r>
      <w:r>
        <w:rPr>
          <w:spacing w:val="-13"/>
        </w:rPr>
        <w:t> </w:t>
      </w:r>
      <w:r>
        <w:rPr/>
        <w:t>en</w:t>
      </w:r>
      <w:r>
        <w:rPr>
          <w:spacing w:val="-13"/>
        </w:rPr>
        <w:t> </w:t>
      </w:r>
      <w:r>
        <w:rPr/>
        <w:t>la</w:t>
      </w:r>
      <w:r>
        <w:rPr>
          <w:spacing w:val="-13"/>
        </w:rPr>
        <w:t> </w:t>
      </w:r>
      <w:r>
        <w:rPr/>
        <w:t>dieta</w:t>
      </w:r>
      <w:r>
        <w:rPr>
          <w:spacing w:val="-13"/>
        </w:rPr>
        <w:t> </w:t>
      </w:r>
      <w:r>
        <w:rPr/>
        <w:t>para</w:t>
      </w:r>
      <w:r>
        <w:rPr>
          <w:spacing w:val="-13"/>
        </w:rPr>
        <w:t> </w:t>
      </w:r>
      <w:r>
        <w:rPr/>
        <w:t>crecimiento y la energía digerible</w:t>
      </w:r>
      <w:r>
        <w:rPr>
          <w:spacing w:val="-7"/>
        </w:rPr>
        <w:t> </w:t>
      </w:r>
      <w:r>
        <w:rPr/>
        <w:t>consumida.</w:t>
      </w:r>
    </w:p>
    <w:p>
      <w:pPr>
        <w:spacing w:line="271" w:lineRule="exact" w:before="0"/>
        <w:ind w:left="276" w:right="0" w:firstLine="0"/>
        <w:jc w:val="left"/>
        <w:rPr>
          <w:sz w:val="24"/>
        </w:rPr>
      </w:pPr>
      <w:r>
        <w:rPr>
          <w:sz w:val="24"/>
        </w:rPr>
        <w:t>REG = 1.164 – (5.160) </w:t>
      </w:r>
      <w:r>
        <w:rPr>
          <w:b/>
          <w:sz w:val="24"/>
        </w:rPr>
        <w:t>• </w:t>
      </w:r>
      <w:r>
        <w:rPr>
          <w:sz w:val="24"/>
        </w:rPr>
        <w:t>10</w:t>
      </w:r>
      <w:r>
        <w:rPr>
          <w:position w:val="11"/>
          <w:sz w:val="16"/>
        </w:rPr>
        <w:t>-3 </w:t>
      </w:r>
      <w:r>
        <w:rPr>
          <w:b/>
          <w:sz w:val="24"/>
        </w:rPr>
        <w:t>• </w:t>
      </w:r>
      <w:r>
        <w:rPr>
          <w:sz w:val="24"/>
        </w:rPr>
        <w:t>DE%) + [1.380 </w:t>
      </w:r>
      <w:r>
        <w:rPr>
          <w:b/>
          <w:sz w:val="24"/>
        </w:rPr>
        <w:t>• </w:t>
      </w:r>
      <w:r>
        <w:rPr>
          <w:sz w:val="24"/>
        </w:rPr>
        <w:t>10</w:t>
      </w:r>
      <w:r>
        <w:rPr>
          <w:position w:val="11"/>
          <w:sz w:val="16"/>
        </w:rPr>
        <w:t>-5 </w:t>
      </w:r>
      <w:r>
        <w:rPr>
          <w:b/>
          <w:sz w:val="24"/>
        </w:rPr>
        <w:t>• </w:t>
      </w:r>
      <w:r>
        <w:rPr>
          <w:sz w:val="24"/>
        </w:rPr>
        <w:t>(DE%)</w:t>
      </w:r>
      <w:r>
        <w:rPr>
          <w:position w:val="11"/>
          <w:sz w:val="16"/>
        </w:rPr>
        <w:t>2</w:t>
      </w:r>
      <w:r>
        <w:rPr>
          <w:sz w:val="24"/>
        </w:rPr>
        <w:t>] – (37.4/DE%)</w:t>
      </w:r>
    </w:p>
    <w:p>
      <w:pPr>
        <w:pStyle w:val="BodyText"/>
        <w:spacing w:before="2"/>
        <w:ind w:left="276"/>
      </w:pPr>
      <w:r>
        <w:rPr/>
        <w:t>DE% = energía digerible expresada como porcentaje de la energía bruta.</w:t>
      </w:r>
    </w:p>
    <w:p>
      <w:pPr>
        <w:pStyle w:val="BodyText"/>
        <w:spacing w:before="11"/>
        <w:rPr>
          <w:sz w:val="17"/>
        </w:rPr>
      </w:pPr>
    </w:p>
    <w:p>
      <w:pPr>
        <w:spacing w:after="0"/>
        <w:rPr>
          <w:sz w:val="17"/>
        </w:rPr>
        <w:sectPr>
          <w:headerReference w:type="default" r:id="rId277"/>
          <w:footerReference w:type="default" r:id="rId278"/>
          <w:pgSz w:w="12240" w:h="15840"/>
          <w:pgMar w:header="741" w:footer="739" w:top="1680" w:bottom="920" w:left="1720" w:right="1260"/>
          <w:pgNumType w:start="186"/>
        </w:sectPr>
      </w:pPr>
    </w:p>
    <w:p>
      <w:pPr>
        <w:pStyle w:val="Heading6"/>
        <w:spacing w:before="69"/>
        <w:ind w:right="-19"/>
        <w:jc w:val="left"/>
      </w:pPr>
      <w:r>
        <w:rPr/>
        <w:t>Ecuación (2)</w:t>
      </w:r>
    </w:p>
    <w:p>
      <w:pPr>
        <w:pStyle w:val="BodyText"/>
        <w:spacing w:before="6"/>
        <w:rPr>
          <w:b/>
          <w:sz w:val="51"/>
        </w:rPr>
      </w:pPr>
      <w:r>
        <w:rPr/>
        <w:br w:type="column"/>
      </w:r>
      <w:r>
        <w:rPr>
          <w:b/>
          <w:sz w:val="51"/>
        </w:rPr>
      </w:r>
    </w:p>
    <w:p>
      <w:pPr>
        <w:pStyle w:val="BodyText"/>
        <w:tabs>
          <w:tab w:pos="1031" w:val="left" w:leader="none"/>
          <w:tab w:pos="1540" w:val="left" w:leader="none"/>
        </w:tabs>
        <w:spacing w:line="294" w:lineRule="exact"/>
        <w:ind w:left="276"/>
        <w:rPr>
          <w:rFonts w:ascii="Cambria Math" w:hAnsi="Cambria Math"/>
        </w:rPr>
      </w:pPr>
      <w:r>
        <w:rPr/>
        <w:pict>
          <v:group style="position:absolute;margin-left:288.0625pt;margin-top:4.734558pt;width:3.95pt;height:44.05pt;mso-position-horizontal-relative:page;mso-position-vertical-relative:paragraph;z-index:6616" coordorigin="5761,95" coordsize="79,881">
            <v:line style="position:absolute" from="5767,969" to="5833,969" stroked="true" strokeweight=".6pt" strokecolor="#000000"/>
            <v:line style="position:absolute" from="5779,107" to="5779,963" stroked="true" strokeweight="1.218700pt" strokecolor="#000000"/>
            <v:line style="position:absolute" from="5767,101" to="5833,101" stroked="true" strokeweight=".6pt" strokecolor="#000000"/>
            <w10:wrap type="none"/>
          </v:group>
        </w:pict>
      </w:r>
      <w:r>
        <w:rPr/>
        <w:pict>
          <v:group style="position:absolute;margin-left:321.904205pt;margin-top:5.121858pt;width:29.5pt;height:19.8pt;mso-position-horizontal-relative:page;mso-position-vertical-relative:paragraph;z-index:-305392" coordorigin="6438,102" coordsize="590,396">
            <v:shape style="position:absolute;left:6438;top:102;width:90;height:396" coordorigin="6438,102" coordsize="90,396" path="m6524,102l6474,151,6444,233,6438,300,6440,335,6451,397,6488,470,6524,498,6527,489,6512,477,6499,461,6470,393,6460,300,6462,267,6471,207,6500,139,6527,112,6524,102xe" filled="true" fillcolor="#000000" stroked="false">
              <v:path arrowok="t"/>
              <v:fill type="solid"/>
            </v:shape>
            <v:line style="position:absolute" from="6533,299" to="6931,299" stroked="true" strokeweight=".72pt" strokecolor="#000000"/>
            <v:shape style="position:absolute;left:6939;top:102;width:90;height:396" coordorigin="6939,102" coordsize="90,396" path="m6943,102l6939,112,6954,124,6967,139,6996,207,7005,267,7006,300,7005,334,6988,419,6954,477,6939,489,6943,498,6992,450,7022,367,7028,300,7027,266,7015,203,6978,131,6961,114,6943,102xe" filled="true" fillcolor="#000000" stroked="false">
              <v:path arrowok="t"/>
              <v:fill type="solid"/>
            </v:shape>
            <w10:wrap type="none"/>
          </v:group>
        </w:pict>
      </w:r>
      <w:r>
        <w:rPr/>
        <w:pict>
          <v:group style="position:absolute;margin-left:382.996094pt;margin-top:4.734558pt;width:3.95pt;height:44.05pt;mso-position-horizontal-relative:page;mso-position-vertical-relative:paragraph;z-index:-305368" coordorigin="7660,95" coordsize="79,881">
            <v:line style="position:absolute" from="7666,969" to="7732,969" stroked="true" strokeweight=".6pt" strokecolor="#000000"/>
            <v:line style="position:absolute" from="7720,107" to="7720,963" stroked="true" strokeweight="1.218800pt" strokecolor="#000000"/>
            <v:line style="position:absolute" from="7666,101" to="7732,101" stroked="true" strokeweight=".6pt" strokecolor="#000000"/>
            <w10:wrap type="none"/>
          </v:group>
        </w:pict>
      </w:r>
      <w:r>
        <w:rPr>
          <w:rFonts w:ascii="Cambria Math" w:hAnsi="Cambria Math"/>
          <w:w w:val="110"/>
        </w:rPr>
        <w:t>SC </w:t>
      </w:r>
      <w:r>
        <w:rPr>
          <w:rFonts w:ascii="Cambria Math" w:hAnsi="Cambria Math"/>
          <w:spacing w:val="2"/>
          <w:w w:val="110"/>
        </w:rPr>
        <w:t> </w:t>
      </w:r>
      <w:r>
        <w:rPr>
          <w:rFonts w:ascii="Cambria Math" w:hAnsi="Cambria Math"/>
          <w:w w:val="110"/>
        </w:rPr>
        <w:t>•</w:t>
        <w:tab/>
      </w:r>
      <w:r>
        <w:rPr>
          <w:rFonts w:ascii="Cambria Math" w:hAnsi="Cambria Math"/>
          <w:spacing w:val="-20"/>
          <w:w w:val="125"/>
          <w:position w:val="14"/>
        </w:rPr>
        <w:t>Z</w:t>
      </w:r>
      <w:r>
        <w:rPr>
          <w:rFonts w:ascii="Cambria Math" w:hAnsi="Cambria Math"/>
          <w:spacing w:val="-20"/>
          <w:w w:val="125"/>
          <w:position w:val="9"/>
          <w:sz w:val="16"/>
        </w:rPr>
        <w:t>F</w:t>
        <w:tab/>
      </w:r>
      <w:r>
        <w:rPr>
          <w:rFonts w:ascii="Cambria Math" w:hAnsi="Cambria Math"/>
          <w:w w:val="105"/>
        </w:rPr>
        <w:t>•</w:t>
      </w:r>
      <w:r>
        <w:rPr>
          <w:rFonts w:ascii="Cambria Math" w:hAnsi="Cambria Math"/>
          <w:spacing w:val="-28"/>
          <w:w w:val="105"/>
        </w:rPr>
        <w:t> </w:t>
      </w:r>
      <w:r>
        <w:rPr>
          <w:rFonts w:ascii="Cambria Math" w:hAnsi="Cambria Math"/>
          <w:w w:val="105"/>
        </w:rPr>
        <w:t>365</w:t>
      </w:r>
    </w:p>
    <w:p>
      <w:pPr>
        <w:spacing w:after="0" w:line="294" w:lineRule="exact"/>
        <w:rPr>
          <w:rFonts w:ascii="Cambria Math" w:hAnsi="Cambria Math"/>
        </w:rPr>
        <w:sectPr>
          <w:type w:val="continuous"/>
          <w:pgSz w:w="12240" w:h="15840"/>
          <w:pgMar w:top="1420" w:bottom="280" w:left="1720" w:right="1260"/>
          <w:cols w:num="2" w:equalWidth="0">
            <w:col w:w="1704" w:space="2139"/>
            <w:col w:w="5417"/>
          </w:cols>
        </w:sectPr>
      </w:pPr>
    </w:p>
    <w:p>
      <w:pPr>
        <w:pStyle w:val="BodyText"/>
        <w:spacing w:before="82"/>
        <w:jc w:val="right"/>
        <w:rPr>
          <w:rFonts w:ascii="Cambria Math"/>
        </w:rPr>
      </w:pPr>
      <w:r>
        <w:rPr>
          <w:rFonts w:ascii="Cambria Math"/>
          <w:w w:val="105"/>
        </w:rPr>
        <w:t>CX =</w:t>
      </w:r>
    </w:p>
    <w:p>
      <w:pPr>
        <w:pStyle w:val="BodyText"/>
        <w:tabs>
          <w:tab w:pos="692" w:val="left" w:leader="none"/>
          <w:tab w:pos="1824" w:val="left" w:leader="none"/>
        </w:tabs>
        <w:spacing w:line="245" w:lineRule="exact"/>
        <w:ind w:right="3133"/>
        <w:jc w:val="center"/>
        <w:rPr>
          <w:rFonts w:ascii="Cambria Math"/>
        </w:rPr>
      </w:pPr>
      <w:r>
        <w:rPr/>
        <w:br w:type="column"/>
      </w:r>
      <w:r>
        <w:rPr>
          <w:rFonts w:ascii="Times New Roman"/>
          <w:u w:val="single"/>
        </w:rPr>
        <w:t> </w:t>
        <w:tab/>
      </w:r>
      <w:r>
        <w:rPr>
          <w:rFonts w:ascii="Cambria Math"/>
          <w:u w:val="single"/>
        </w:rPr>
        <w:t>100</w:t>
        <w:tab/>
      </w:r>
    </w:p>
    <w:p>
      <w:pPr>
        <w:pStyle w:val="BodyText"/>
        <w:spacing w:line="279" w:lineRule="exact"/>
        <w:ind w:right="3138"/>
        <w:jc w:val="center"/>
        <w:rPr>
          <w:rFonts w:ascii="Cambria Math"/>
        </w:rPr>
      </w:pPr>
      <w:r>
        <w:rPr>
          <w:rFonts w:ascii="Cambria Math"/>
        </w:rPr>
        <w:t>55.65</w:t>
      </w:r>
    </w:p>
    <w:p>
      <w:pPr>
        <w:spacing w:after="0" w:line="279" w:lineRule="exact"/>
        <w:jc w:val="center"/>
        <w:rPr>
          <w:rFonts w:ascii="Cambria Math"/>
        </w:rPr>
        <w:sectPr>
          <w:type w:val="continuous"/>
          <w:pgSz w:w="12240" w:h="15840"/>
          <w:pgMar w:top="1420" w:bottom="280" w:left="1720" w:right="1260"/>
          <w:cols w:num="2" w:equalWidth="0">
            <w:col w:w="3903" w:space="40"/>
            <w:col w:w="5317"/>
          </w:cols>
        </w:sectPr>
      </w:pPr>
    </w:p>
    <w:p>
      <w:pPr>
        <w:pStyle w:val="BodyText"/>
        <w:rPr>
          <w:rFonts w:ascii="Cambria Math"/>
          <w:sz w:val="20"/>
        </w:rPr>
      </w:pPr>
    </w:p>
    <w:p>
      <w:pPr>
        <w:pStyle w:val="Heading6"/>
        <w:spacing w:line="260" w:lineRule="exact" w:before="195"/>
      </w:pPr>
      <w:r>
        <w:rPr/>
        <w:t>Donde:</w:t>
      </w:r>
    </w:p>
    <w:p>
      <w:pPr>
        <w:pStyle w:val="BodyText"/>
        <w:spacing w:line="274" w:lineRule="exact" w:before="24"/>
        <w:ind w:left="276" w:right="3766"/>
        <w:rPr>
          <w:sz w:val="16"/>
        </w:rPr>
      </w:pPr>
      <w:r>
        <w:rPr/>
        <w:t>EF = factor de emisión, kg. CH</w:t>
      </w:r>
      <w:r>
        <w:rPr>
          <w:position w:val="-2"/>
          <w:sz w:val="16"/>
        </w:rPr>
        <w:t>4 </w:t>
      </w:r>
      <w:r>
        <w:rPr/>
        <w:t>cabeza</w:t>
      </w:r>
      <w:r>
        <w:rPr>
          <w:position w:val="11"/>
          <w:sz w:val="16"/>
        </w:rPr>
        <w:t>-1 </w:t>
      </w:r>
      <w:r>
        <w:rPr/>
        <w:t>año</w:t>
      </w:r>
      <w:r>
        <w:rPr>
          <w:position w:val="11"/>
          <w:sz w:val="16"/>
        </w:rPr>
        <w:t>-1</w:t>
      </w:r>
      <w:r>
        <w:rPr/>
        <w:t>. GE = ingesta de energía bruta, MJ cabeza</w:t>
      </w:r>
      <w:r>
        <w:rPr>
          <w:position w:val="11"/>
          <w:sz w:val="16"/>
        </w:rPr>
        <w:t>-1 </w:t>
      </w:r>
      <w:r>
        <w:rPr/>
        <w:t>día</w:t>
      </w:r>
      <w:r>
        <w:rPr>
          <w:position w:val="11"/>
          <w:sz w:val="16"/>
        </w:rPr>
        <w:t>-1</w:t>
      </w:r>
    </w:p>
    <w:p>
      <w:pPr>
        <w:pStyle w:val="BodyText"/>
        <w:spacing w:line="228" w:lineRule="auto" w:before="9"/>
        <w:ind w:left="276" w:right="144"/>
        <w:jc w:val="both"/>
      </w:pPr>
      <w:r>
        <w:rPr/>
        <w:t>Ym = factor de conversión en CH</w:t>
      </w:r>
      <w:r>
        <w:rPr>
          <w:position w:val="-2"/>
          <w:sz w:val="16"/>
        </w:rPr>
        <w:t>4</w:t>
      </w:r>
      <w:r>
        <w:rPr/>
        <w:t>, porcentaje de la GE del alimento convertida en CH</w:t>
      </w:r>
      <w:r>
        <w:rPr>
          <w:position w:val="-2"/>
          <w:sz w:val="16"/>
        </w:rPr>
        <w:t>4</w:t>
      </w:r>
      <w:r>
        <w:rPr/>
        <w:t>. (Para lechero se utilizó 6.5 % ± 1 % y la ecuación de Cambra-López </w:t>
      </w:r>
      <w:r>
        <w:rPr>
          <w:i/>
        </w:rPr>
        <w:t>et al.</w:t>
      </w:r>
      <w:r>
        <w:rPr/>
        <w:t>, (2006)).</w:t>
      </w:r>
    </w:p>
    <w:p>
      <w:pPr>
        <w:pStyle w:val="BodyText"/>
        <w:ind w:left="276"/>
        <w:jc w:val="both"/>
      </w:pPr>
      <w:r>
        <w:rPr/>
        <w:t>365 = Días del año.</w:t>
      </w:r>
    </w:p>
    <w:p>
      <w:pPr>
        <w:pStyle w:val="BodyText"/>
        <w:spacing w:before="2"/>
        <w:ind w:left="276"/>
        <w:jc w:val="both"/>
      </w:pPr>
      <w:r>
        <w:rPr/>
        <w:t>El factor 55.65 (MJ/kg CH</w:t>
      </w:r>
      <w:r>
        <w:rPr>
          <w:position w:val="-2"/>
          <w:sz w:val="16"/>
        </w:rPr>
        <w:t>4</w:t>
      </w:r>
      <w:r>
        <w:rPr/>
        <w:t>) es el contenido de energía del metano.</w:t>
      </w:r>
    </w:p>
    <w:p>
      <w:pPr>
        <w:pStyle w:val="BodyText"/>
        <w:spacing w:before="10"/>
        <w:rPr>
          <w:sz w:val="22"/>
        </w:rPr>
      </w:pPr>
    </w:p>
    <w:p>
      <w:pPr>
        <w:pStyle w:val="Heading6"/>
        <w:spacing w:line="257" w:lineRule="exact"/>
      </w:pPr>
      <w:r>
        <w:rPr/>
        <w:t>Ecuación (3)</w:t>
      </w:r>
    </w:p>
    <w:p>
      <w:pPr>
        <w:pStyle w:val="BodyText"/>
        <w:spacing w:line="292" w:lineRule="exact"/>
        <w:ind w:left="276"/>
        <w:jc w:val="both"/>
      </w:pPr>
      <w:r>
        <w:rPr/>
        <w:t>Ym = -0.0038 </w:t>
      </w:r>
      <w:r>
        <w:rPr>
          <w:b/>
        </w:rPr>
        <w:t>• </w:t>
      </w:r>
      <w:r>
        <w:rPr/>
        <w:t>DE</w:t>
      </w:r>
      <w:r>
        <w:rPr>
          <w:position w:val="11"/>
          <w:sz w:val="16"/>
        </w:rPr>
        <w:t>2 </w:t>
      </w:r>
      <w:r>
        <w:rPr/>
        <w:t>+ 0.3501 </w:t>
      </w:r>
      <w:r>
        <w:rPr>
          <w:b/>
        </w:rPr>
        <w:t>• </w:t>
      </w:r>
      <w:r>
        <w:rPr/>
        <w:t>DE – 0.8111</w:t>
      </w:r>
    </w:p>
    <w:p>
      <w:pPr>
        <w:pStyle w:val="Heading6"/>
        <w:spacing w:line="275" w:lineRule="exact" w:before="2"/>
      </w:pPr>
      <w:r>
        <w:rPr/>
        <w:t>Donde:</w:t>
      </w:r>
    </w:p>
    <w:p>
      <w:pPr>
        <w:pStyle w:val="BodyText"/>
        <w:spacing w:line="283" w:lineRule="exact"/>
        <w:ind w:left="276"/>
        <w:jc w:val="both"/>
        <w:rPr>
          <w:sz w:val="16"/>
        </w:rPr>
      </w:pPr>
      <w:r>
        <w:rPr/>
        <w:t>Ym = factor de conversión en CH</w:t>
      </w:r>
      <w:r>
        <w:rPr>
          <w:position w:val="-2"/>
          <w:sz w:val="16"/>
        </w:rPr>
        <w:t>4</w:t>
      </w:r>
    </w:p>
    <w:p>
      <w:pPr>
        <w:pStyle w:val="BodyText"/>
        <w:spacing w:line="271" w:lineRule="exact"/>
        <w:ind w:left="276"/>
        <w:jc w:val="both"/>
      </w:pPr>
      <w:r>
        <w:rPr/>
        <w:t>DE = digestibilidad de energía (%GE).</w:t>
      </w:r>
    </w:p>
    <w:p>
      <w:pPr>
        <w:pStyle w:val="BodyText"/>
      </w:pPr>
    </w:p>
    <w:p>
      <w:pPr>
        <w:pStyle w:val="Heading6"/>
      </w:pPr>
      <w:r>
        <w:rPr/>
        <w:t>Ecuación (4)</w:t>
      </w:r>
    </w:p>
    <w:p>
      <w:pPr>
        <w:pStyle w:val="BodyText"/>
        <w:spacing w:before="8"/>
        <w:rPr>
          <w:b/>
          <w:sz w:val="25"/>
        </w:rPr>
      </w:pPr>
    </w:p>
    <w:p>
      <w:pPr>
        <w:tabs>
          <w:tab w:pos="2585" w:val="left" w:leader="none"/>
        </w:tabs>
        <w:spacing w:before="0"/>
        <w:ind w:left="113" w:right="0" w:firstLine="0"/>
        <w:jc w:val="center"/>
        <w:rPr>
          <w:rFonts w:ascii="Cambria Math" w:hAnsi="Cambria Math"/>
          <w:sz w:val="17"/>
        </w:rPr>
      </w:pPr>
      <w:r>
        <w:rPr/>
        <w:pict>
          <v:shape style="position:absolute;margin-left:359.424805pt;margin-top:-3.42967pt;width:14.75pt;height:22.95pt;mso-position-horizontal-relative:page;mso-position-vertical-relative:paragraph;z-index:-305344" coordorigin="7188,-69" coordsize="295,459" path="m7476,-69l7193,-69,7193,-57,7353,155,7188,378,7188,390,7477,390,7479,356,7229,356,7380,151,7380,137,7240,-53,7476,-53,7476,-69xm7483,304l7465,304,7463,319,7460,331,7456,340,7453,346,7448,352,7441,356,7479,356,7483,304xm7476,-53l7436,-53,7444,-48,7450,-39,7454,-31,7457,-22,7459,-11,7461,1,7476,1,7476,-53xe" filled="true" fillcolor="#000000" stroked="false">
            <v:path arrowok="t"/>
            <v:fill type="solid"/>
            <w10:wrap type="none"/>
          </v:shape>
        </w:pict>
      </w:r>
      <w:r>
        <w:rPr>
          <w:rFonts w:ascii="Cambria Math" w:hAnsi="Cambria Math"/>
          <w:w w:val="122"/>
          <w:position w:val="5"/>
          <w:sz w:val="24"/>
        </w:rPr>
        <w:t>^</w:t>
      </w:r>
      <w:r>
        <w:rPr>
          <w:rFonts w:ascii="Cambria Math" w:hAnsi="Cambria Math"/>
          <w:spacing w:val="-1"/>
          <w:w w:val="122"/>
          <w:position w:val="5"/>
          <w:sz w:val="24"/>
        </w:rPr>
        <w:t>_</w:t>
      </w:r>
      <w:r>
        <w:rPr>
          <w:rFonts w:ascii="Cambria Math" w:hAnsi="Cambria Math"/>
          <w:spacing w:val="-1"/>
          <w:w w:val="138"/>
          <w:position w:val="5"/>
          <w:sz w:val="24"/>
        </w:rPr>
        <w:t>`</w:t>
      </w:r>
      <w:r>
        <w:rPr>
          <w:rFonts w:ascii="Cambria Math" w:hAnsi="Cambria Math"/>
          <w:w w:val="84"/>
          <w:position w:val="5"/>
          <w:sz w:val="24"/>
        </w:rPr>
        <w:t>ab</w:t>
      </w:r>
      <w:r>
        <w:rPr>
          <w:rFonts w:ascii="Cambria Math" w:hAnsi="Cambria Math"/>
          <w:spacing w:val="7"/>
          <w:position w:val="5"/>
          <w:sz w:val="24"/>
        </w:rPr>
        <w:t> </w:t>
      </w:r>
      <w:r>
        <w:rPr>
          <w:rFonts w:ascii="Cambria Math" w:hAnsi="Cambria Math"/>
          <w:w w:val="133"/>
          <w:position w:val="5"/>
          <w:sz w:val="24"/>
        </w:rPr>
        <w:t>c</w:t>
      </w:r>
      <w:r>
        <w:rPr>
          <w:rFonts w:ascii="Cambria Math" w:hAnsi="Cambria Math"/>
          <w:spacing w:val="-15"/>
          <w:w w:val="133"/>
          <w:position w:val="5"/>
          <w:sz w:val="24"/>
        </w:rPr>
        <w:t>d</w:t>
      </w:r>
      <w:r>
        <w:rPr>
          <w:rFonts w:ascii="Cambria Math" w:hAnsi="Cambria Math"/>
          <w:w w:val="92"/>
          <w:sz w:val="17"/>
        </w:rPr>
        <w:t>#</w:t>
      </w:r>
      <w:r>
        <w:rPr>
          <w:rFonts w:ascii="Cambria Math" w:hAnsi="Cambria Math"/>
          <w:spacing w:val="1"/>
          <w:sz w:val="17"/>
        </w:rPr>
        <w:t> </w:t>
      </w:r>
      <w:r>
        <w:rPr>
          <w:rFonts w:ascii="Cambria Math" w:hAnsi="Cambria Math"/>
          <w:spacing w:val="1"/>
          <w:w w:val="155"/>
          <w:sz w:val="17"/>
        </w:rPr>
        <w:t>ef</w:t>
      </w:r>
      <w:r>
        <w:rPr>
          <w:rFonts w:ascii="Cambria Math" w:hAnsi="Cambria Math"/>
          <w:w w:val="155"/>
          <w:sz w:val="17"/>
        </w:rPr>
        <w:t>J</w:t>
      </w:r>
      <w:r>
        <w:rPr>
          <w:rFonts w:ascii="Cambria Math" w:hAnsi="Cambria Math"/>
          <w:w w:val="98"/>
          <w:sz w:val="17"/>
        </w:rPr>
        <w:t>é</w:t>
      </w:r>
      <w:r>
        <w:rPr>
          <w:rFonts w:ascii="Cambria Math" w:hAnsi="Cambria Math"/>
          <w:spacing w:val="1"/>
          <w:w w:val="73"/>
          <w:sz w:val="17"/>
        </w:rPr>
        <w:t>K</w:t>
      </w:r>
      <w:r>
        <w:rPr>
          <w:rFonts w:ascii="Cambria Math" w:hAnsi="Cambria Math"/>
          <w:w w:val="73"/>
          <w:sz w:val="17"/>
        </w:rPr>
        <w:t>h</w:t>
      </w:r>
      <w:r>
        <w:rPr>
          <w:rFonts w:ascii="Cambria Math" w:hAnsi="Cambria Math"/>
          <w:w w:val="179"/>
          <w:sz w:val="17"/>
        </w:rPr>
        <w:t>i</w:t>
      </w:r>
      <w:r>
        <w:rPr>
          <w:rFonts w:ascii="Cambria Math" w:hAnsi="Cambria Math"/>
          <w:w w:val="85"/>
          <w:sz w:val="17"/>
        </w:rPr>
        <w:t>N</w:t>
      </w:r>
      <w:r>
        <w:rPr>
          <w:rFonts w:ascii="Cambria Math" w:hAnsi="Cambria Math"/>
          <w:sz w:val="17"/>
        </w:rPr>
        <w:t> </w:t>
      </w:r>
      <w:r>
        <w:rPr>
          <w:rFonts w:ascii="Cambria Math" w:hAnsi="Cambria Math"/>
          <w:spacing w:val="6"/>
          <w:sz w:val="17"/>
        </w:rPr>
        <w:t> </w:t>
      </w:r>
      <w:r>
        <w:rPr>
          <w:rFonts w:ascii="Cambria Math" w:hAnsi="Cambria Math"/>
          <w:position w:val="5"/>
          <w:sz w:val="24"/>
        </w:rPr>
        <w:t>=</w:t>
        <w:tab/>
      </w:r>
      <w:r>
        <w:rPr>
          <w:rFonts w:ascii="Cambria Math" w:hAnsi="Cambria Math"/>
          <w:spacing w:val="-13"/>
          <w:w w:val="111"/>
          <w:position w:val="5"/>
          <w:sz w:val="24"/>
        </w:rPr>
        <w:t>C</w:t>
      </w:r>
      <w:r>
        <w:rPr>
          <w:rFonts w:ascii="Cambria Math" w:hAnsi="Cambria Math"/>
          <w:w w:val="62"/>
          <w:sz w:val="17"/>
        </w:rPr>
        <w:t>h</w:t>
      </w:r>
    </w:p>
    <w:p>
      <w:pPr>
        <w:spacing w:before="57"/>
        <w:ind w:left="1985" w:right="0" w:firstLine="0"/>
        <w:jc w:val="center"/>
        <w:rPr>
          <w:rFonts w:ascii="Cambria Math"/>
          <w:sz w:val="17"/>
        </w:rPr>
      </w:pPr>
      <w:r>
        <w:rPr>
          <w:rFonts w:ascii="Cambria Math"/>
          <w:w w:val="62"/>
          <w:sz w:val="17"/>
        </w:rPr>
        <w:t>h</w:t>
      </w:r>
    </w:p>
    <w:p>
      <w:pPr>
        <w:spacing w:after="0"/>
        <w:jc w:val="center"/>
        <w:rPr>
          <w:rFonts w:ascii="Cambria Math"/>
          <w:sz w:val="17"/>
        </w:rPr>
        <w:sectPr>
          <w:type w:val="continuous"/>
          <w:pgSz w:w="12240" w:h="15840"/>
          <w:pgMar w:top="1420" w:bottom="280" w:left="1720" w:right="1260"/>
        </w:sectPr>
      </w:pPr>
    </w:p>
    <w:p>
      <w:pPr>
        <w:spacing w:line="288" w:lineRule="exact" w:before="0"/>
        <w:ind w:left="276" w:right="0" w:firstLine="0"/>
        <w:jc w:val="left"/>
        <w:rPr>
          <w:sz w:val="24"/>
        </w:rPr>
      </w:pPr>
      <w:r>
        <w:rPr>
          <w:sz w:val="24"/>
        </w:rPr>
        <w:t>año</w:t>
      </w:r>
      <w:r>
        <w:rPr>
          <w:position w:val="11"/>
          <w:sz w:val="16"/>
        </w:rPr>
        <w:t>-1</w:t>
      </w:r>
      <w:r>
        <w:rPr>
          <w:sz w:val="24"/>
        </w:rPr>
        <w:t>.</w:t>
      </w:r>
    </w:p>
    <w:p>
      <w:pPr>
        <w:pStyle w:val="BodyText"/>
        <w:spacing w:line="288" w:lineRule="exact"/>
        <w:ind w:left="276"/>
      </w:pPr>
      <w:r>
        <w:rPr/>
        <w:t>E</w:t>
      </w:r>
      <w:r>
        <w:rPr>
          <w:position w:val="-2"/>
          <w:sz w:val="16"/>
        </w:rPr>
        <w:t>i  </w:t>
      </w:r>
      <w:r>
        <w:rPr/>
        <w:t>= emisiones de las </w:t>
      </w:r>
      <w:r>
        <w:rPr>
          <w:i/>
        </w:rPr>
        <w:t>i </w:t>
      </w:r>
      <w:r>
        <w:rPr/>
        <w:t>subcategorías de ganado.</w:t>
      </w:r>
    </w:p>
    <w:p>
      <w:pPr>
        <w:spacing w:after="0" w:line="288" w:lineRule="exact"/>
        <w:sectPr>
          <w:headerReference w:type="default" r:id="rId279"/>
          <w:pgSz w:w="12240" w:h="15840"/>
          <w:pgMar w:header="741" w:footer="739" w:top="1680" w:bottom="920" w:left="1720" w:right="1260"/>
        </w:sectPr>
      </w:pPr>
    </w:p>
    <w:p>
      <w:pPr>
        <w:pStyle w:val="BodyText"/>
        <w:spacing w:before="4"/>
        <w:rPr>
          <w:rFonts w:ascii="Times New Roman"/>
          <w:sz w:val="17"/>
        </w:rPr>
      </w:pPr>
    </w:p>
    <w:sectPr>
      <w:headerReference w:type="default" r:id="rId280"/>
      <w:footerReference w:type="default" r:id="rId281"/>
      <w:pgSz w:w="12240" w:h="15840"/>
      <w:pgMar w:header="0" w:footer="0"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 w:name="Lucida Sans Unicode">
    <w:altName w:val="Lucida Sans Unicode"/>
    <w:charset w:val="0"/>
    <w:family w:val="swiss"/>
    <w:pitch w:val="variable"/>
  </w:font>
  <w:font w:name="Candara">
    <w:altName w:val="Candar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1008" from="98.392403pt,742.312378pt" to="543.112403pt,742.312378pt" stroked="true" strokeweight=".47999pt" strokecolor="#000000">
          <w10:wrap type="none"/>
        </v:line>
      </w:pict>
    </w:r>
    <w:r>
      <w:rPr/>
      <w:pict>
        <v:shapetype id="_x0000_t202" o:spt="202" coordsize="21600,21600" path="m,l,21600r21600,l21600,xe">
          <v:stroke joinstyle="miter"/>
          <v:path gradientshapeok="t" o:connecttype="rect"/>
        </v:shapetype>
        <v:shape style="position:absolute;margin-left:316.233002pt;margin-top:744.648376pt;width:9.050pt;height:12.8pt;mso-position-horizontal-relative:page;mso-position-vertical-relative:page;z-index:-31098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480" from="98.392403pt,742.312378pt" to="543.112403pt,742.312378pt" stroked="true" strokeweight=".47999pt" strokecolor="#000000">
          <w10:wrap type="none"/>
        </v:line>
      </w:pict>
    </w:r>
    <w:r>
      <w:rPr/>
      <w:pict>
        <v:shape style="position:absolute;margin-left:314.182312pt;margin-top:744.648376pt;width:13.15pt;height:12.8pt;mso-position-horizontal-relative:page;mso-position-vertical-relative:page;z-index:-310456" type="#_x0000_t202" filled="false" stroked="false">
          <v:textbox inset="0,0,0,0">
            <w:txbxContent>
              <w:p>
                <w:pPr>
                  <w:spacing w:line="245" w:lineRule="exact" w:before="0"/>
                  <w:ind w:left="20" w:right="-1" w:firstLine="0"/>
                  <w:jc w:val="left"/>
                  <w:rPr>
                    <w:rFonts w:ascii="Calibri"/>
                    <w:sz w:val="21"/>
                  </w:rPr>
                </w:pPr>
                <w:r>
                  <w:rPr>
                    <w:rFonts w:ascii="Calibri"/>
                    <w:w w:val="105"/>
                    <w:sz w:val="21"/>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432" from="98.392403pt,742.312378pt" to="543.112403pt,742.312378pt" stroked="true" strokeweight=".47999pt" strokecolor="#000000">
          <w10:wrap type="none"/>
        </v:line>
      </w:pict>
    </w:r>
    <w:r>
      <w:rPr/>
      <w:pict>
        <v:shape style="position:absolute;margin-left:313.182312pt;margin-top:744.648376pt;width:15.2pt;height:12.8pt;mso-position-horizontal-relative:page;mso-position-vertical-relative:page;z-index:-31040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384" from="98.392403pt,742.312378pt" to="543.112403pt,742.312378pt" stroked="true" strokeweight=".47999pt" strokecolor="#000000">
          <w10:wrap type="none"/>
        </v:line>
      </w:pict>
    </w:r>
    <w:r>
      <w:rPr/>
      <w:pict>
        <v:shape style="position:absolute;margin-left:314.182312pt;margin-top:744.648376pt;width:13.15pt;height:12.8pt;mso-position-horizontal-relative:page;mso-position-vertical-relative:page;z-index:-310360" type="#_x0000_t202" filled="false" stroked="false">
          <v:textbox inset="0,0,0,0">
            <w:txbxContent>
              <w:p>
                <w:pPr>
                  <w:spacing w:line="245" w:lineRule="exact" w:before="0"/>
                  <w:ind w:left="20" w:right="-1" w:firstLine="0"/>
                  <w:jc w:val="left"/>
                  <w:rPr>
                    <w:rFonts w:ascii="Calibri"/>
                    <w:sz w:val="21"/>
                  </w:rPr>
                </w:pPr>
                <w:r>
                  <w:rPr>
                    <w:rFonts w:ascii="Calibri"/>
                    <w:w w:val="105"/>
                    <w:sz w:val="21"/>
                  </w:rPr>
                  <w:t>40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336" from="98.392403pt,742.312378pt" to="543.112403pt,742.312378pt" stroked="true" strokeweight=".47999pt" strokecolor="#000000">
          <w10:wrap type="none"/>
        </v:line>
      </w:pict>
    </w:r>
    <w:r>
      <w:rPr/>
      <w:pict>
        <v:shape style="position:absolute;margin-left:313.182312pt;margin-top:744.648376pt;width:15.2pt;height:12.8pt;mso-position-horizontal-relative:page;mso-position-vertical-relative:page;z-index:-31031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41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288" from="98.392403pt,742.312378pt" to="543.112403pt,742.312378pt" stroked="true" strokeweight=".47999pt" strokecolor="#000000">
          <w10:wrap type="none"/>
        </v:line>
      </w:pict>
    </w:r>
    <w:r>
      <w:rPr/>
      <w:pict>
        <v:shape style="position:absolute;margin-left:314.182312pt;margin-top:744.648376pt;width:13.15pt;height:12.8pt;mso-position-horizontal-relative:page;mso-position-vertical-relative:page;z-index:-310264" type="#_x0000_t202" filled="false" stroked="false">
          <v:textbox inset="0,0,0,0">
            <w:txbxContent>
              <w:p>
                <w:pPr>
                  <w:spacing w:line="245" w:lineRule="exact" w:before="0"/>
                  <w:ind w:left="20" w:right="-1" w:firstLine="0"/>
                  <w:jc w:val="left"/>
                  <w:rPr>
                    <w:rFonts w:ascii="Calibri"/>
                    <w:sz w:val="21"/>
                  </w:rPr>
                </w:pPr>
                <w:r>
                  <w:rPr>
                    <w:rFonts w:ascii="Calibri"/>
                    <w:w w:val="105"/>
                    <w:sz w:val="21"/>
                  </w:rPr>
                  <w:t>50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240" from="98.392403pt,742.312378pt" to="543.112403pt,742.312378pt" stroked="true" strokeweight=".47999pt" strokecolor="#000000">
          <w10:wrap type="none"/>
        </v:line>
      </w:pict>
    </w:r>
    <w:r>
      <w:rPr/>
      <w:pict>
        <v:shape style="position:absolute;margin-left:313.182312pt;margin-top:744.648376pt;width:15.2pt;height:12.8pt;mso-position-horizontal-relative:page;mso-position-vertical-relative:page;z-index:-31021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51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192" from="98.392403pt,742.312378pt" to="543.112403pt,742.312378pt" stroked="true" strokeweight=".47999pt" strokecolor="#000000">
          <w10:wrap type="none"/>
        </v:line>
      </w:pict>
    </w:r>
    <w:r>
      <w:rPr/>
      <w:pict>
        <v:shape style="position:absolute;margin-left:314.182312pt;margin-top:744.648376pt;width:13.15pt;height:12.8pt;mso-position-horizontal-relative:page;mso-position-vertical-relative:page;z-index:-310168" type="#_x0000_t202" filled="false" stroked="false">
          <v:textbox inset="0,0,0,0">
            <w:txbxContent>
              <w:p>
                <w:pPr>
                  <w:spacing w:line="245" w:lineRule="exact" w:before="0"/>
                  <w:ind w:left="20" w:right="-1" w:firstLine="0"/>
                  <w:jc w:val="left"/>
                  <w:rPr>
                    <w:rFonts w:ascii="Calibri"/>
                    <w:sz w:val="21"/>
                  </w:rPr>
                </w:pPr>
                <w:r>
                  <w:rPr>
                    <w:rFonts w:ascii="Calibri"/>
                    <w:w w:val="105"/>
                    <w:sz w:val="21"/>
                  </w:rPr>
                  <w:t>60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120" from="98.392403pt,742.312378pt" to="543.112403pt,742.312378pt" stroked="true" strokeweight=".47999pt" strokecolor="#000000">
          <w10:wrap type="none"/>
        </v:line>
      </w:pict>
    </w:r>
    <w:r>
      <w:rPr/>
      <w:pict>
        <v:shape style="position:absolute;margin-left:313.182312pt;margin-top:744.648376pt;width:15.2pt;height:12.8pt;mso-position-horizontal-relative:page;mso-position-vertical-relative:page;z-index:-31009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61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048" from="98.392403pt,742.312378pt" to="543.112403pt,742.312378pt" stroked="true" strokeweight=".47999pt" strokecolor="#000000">
          <w10:wrap type="none"/>
        </v:line>
      </w:pict>
    </w:r>
    <w:r>
      <w:rPr/>
      <w:pict>
        <v:shape style="position:absolute;margin-left:314.182312pt;margin-top:744.648376pt;width:13.15pt;height:12.8pt;mso-position-horizontal-relative:page;mso-position-vertical-relative:page;z-index:-310024" type="#_x0000_t202" filled="false" stroked="false">
          <v:textbox inset="0,0,0,0">
            <w:txbxContent>
              <w:p>
                <w:pPr>
                  <w:spacing w:line="245" w:lineRule="exact" w:before="0"/>
                  <w:ind w:left="20" w:right="-1" w:firstLine="0"/>
                  <w:jc w:val="left"/>
                  <w:rPr>
                    <w:rFonts w:ascii="Calibri"/>
                    <w:sz w:val="21"/>
                  </w:rPr>
                </w:pPr>
                <w:r>
                  <w:rPr>
                    <w:rFonts w:ascii="Calibri"/>
                    <w:w w:val="105"/>
                    <w:sz w:val="21"/>
                  </w:rPr>
                  <w:t>70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000" from="98.392403pt,742.312378pt" to="543.112403pt,742.312378pt" stroked="true" strokeweight=".47999pt" strokecolor="#000000">
          <w10:wrap type="none"/>
        </v:line>
      </w:pict>
    </w:r>
    <w:r>
      <w:rPr/>
      <w:pict>
        <v:shape style="position:absolute;margin-left:313.182312pt;margin-top:744.648376pt;width:15.2pt;height:12.8pt;mso-position-horizontal-relative:page;mso-position-vertical-relative:page;z-index:-30997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864" from="98.392403pt,742.312378pt" to="543.112403pt,742.312378pt" stroked="true" strokeweight=".47999pt" strokecolor="#000000">
          <w10:wrap type="none"/>
        </v:line>
      </w:pict>
    </w:r>
    <w:r>
      <w:rPr/>
      <w:pict>
        <v:shape style="position:absolute;margin-left:312.486694pt;margin-top:744.648376pt;width:16.5pt;height:12.8pt;mso-position-horizontal-relative:page;mso-position-vertical-relative:page;z-index:-31084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952" from="98.392403pt,742.312378pt" to="543.112403pt,742.312378pt" stroked="true" strokeweight=".47999pt" strokecolor="#000000">
          <w10:wrap type="none"/>
        </v:line>
      </w:pict>
    </w:r>
    <w:r>
      <w:rPr/>
      <w:pict>
        <v:shape style="position:absolute;margin-left:314.182312pt;margin-top:744.648376pt;width:13.15pt;height:12.8pt;mso-position-horizontal-relative:page;mso-position-vertical-relative:page;z-index:-309928" type="#_x0000_t202" filled="false" stroked="false">
          <v:textbox inset="0,0,0,0">
            <w:txbxContent>
              <w:p>
                <w:pPr>
                  <w:spacing w:line="245" w:lineRule="exact" w:before="0"/>
                  <w:ind w:left="20" w:right="-1" w:firstLine="0"/>
                  <w:jc w:val="left"/>
                  <w:rPr>
                    <w:rFonts w:ascii="Calibri"/>
                    <w:sz w:val="21"/>
                  </w:rPr>
                </w:pPr>
                <w:r>
                  <w:rPr>
                    <w:rFonts w:ascii="Calibri"/>
                    <w:w w:val="105"/>
                    <w:sz w:val="21"/>
                  </w:rPr>
                  <w:t>80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904" from="98.392403pt,742.312378pt" to="543.112403pt,742.312378pt" stroked="true" strokeweight=".47999pt" strokecolor="#000000">
          <w10:wrap type="none"/>
        </v:line>
      </w:pict>
    </w:r>
    <w:r>
      <w:rPr/>
      <w:pict>
        <v:shape style="position:absolute;margin-left:313.182312pt;margin-top:744.648376pt;width:15.2pt;height:12.8pt;mso-position-horizontal-relative:page;mso-position-vertical-relative:page;z-index:-30988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81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856" from="98.392403pt,742.312378pt" to="543.112403pt,742.312378pt" stroked="true" strokeweight=".47999pt" strokecolor="#000000">
          <w10:wrap type="none"/>
        </v:line>
      </w:pict>
    </w:r>
    <w:r>
      <w:rPr/>
      <w:pict>
        <v:shape style="position:absolute;margin-left:314.182312pt;margin-top:744.648376pt;width:13.15pt;height:12.8pt;mso-position-horizontal-relative:page;mso-position-vertical-relative:page;z-index:-309832" type="#_x0000_t202" filled="false" stroked="false">
          <v:textbox inset="0,0,0,0">
            <w:txbxContent>
              <w:p>
                <w:pPr>
                  <w:spacing w:line="245" w:lineRule="exact" w:before="0"/>
                  <w:ind w:left="20" w:right="-1" w:firstLine="0"/>
                  <w:jc w:val="left"/>
                  <w:rPr>
                    <w:rFonts w:ascii="Calibri"/>
                    <w:sz w:val="21"/>
                  </w:rPr>
                </w:pPr>
                <w:r>
                  <w:rPr>
                    <w:rFonts w:ascii="Calibri"/>
                    <w:w w:val="105"/>
                    <w:sz w:val="21"/>
                  </w:rPr>
                  <w:t>90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808" from="98.392403pt,742.312378pt" to="543.112403pt,742.312378pt" stroked="true" strokeweight=".47999pt" strokecolor="#000000">
          <w10:wrap type="none"/>
        </v:line>
      </w:pict>
    </w:r>
    <w:r>
      <w:rPr/>
      <w:pict>
        <v:shape style="position:absolute;margin-left:313.182312pt;margin-top:744.648376pt;width:15.2pt;height:12.8pt;mso-position-horizontal-relative:page;mso-position-vertical-relative:page;z-index:-30978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91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760" from="98.392403pt,742.312378pt" to="543.112403pt,742.312378pt" stroked="true" strokeweight=".47999pt" strokecolor="#000000">
          <w10:wrap type="none"/>
        </v:line>
      </w:pict>
    </w:r>
    <w:r>
      <w:rPr/>
      <w:pict>
        <v:shape style="position:absolute;margin-left:311.394714pt;margin-top:744.648376pt;width:18.75pt;height:12.8pt;mso-position-horizontal-relative:page;mso-position-vertical-relative:page;z-index:-309736" type="#_x0000_t202" filled="false" stroked="false">
          <v:textbox inset="0,0,0,0">
            <w:txbxContent>
              <w:p>
                <w:pPr>
                  <w:spacing w:line="245" w:lineRule="exact" w:before="0"/>
                  <w:ind w:left="20" w:right="-1" w:firstLine="0"/>
                  <w:jc w:val="left"/>
                  <w:rPr>
                    <w:rFonts w:ascii="Calibri"/>
                    <w:sz w:val="21"/>
                  </w:rPr>
                </w:pPr>
                <w:r>
                  <w:rPr>
                    <w:rFonts w:ascii="Calibri"/>
                    <w:w w:val="105"/>
                    <w:sz w:val="21"/>
                  </w:rPr>
                  <w:t>100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712" from="98.392403pt,742.312378pt" to="543.112403pt,742.312378pt" stroked="true" strokeweight=".47999pt" strokecolor="#000000">
          <w10:wrap type="none"/>
        </v:line>
      </w:pict>
    </w:r>
    <w:r>
      <w:rPr/>
      <w:pict>
        <v:shape style="position:absolute;margin-left:310.394714pt;margin-top:744.648376pt;width:20.75pt;height:12.8pt;mso-position-horizontal-relative:page;mso-position-vertical-relative:page;z-index:-30968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101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664" from="98.392403pt,742.312378pt" to="543.112403pt,742.312378pt" stroked="true" strokeweight=".47999pt" strokecolor="#000000">
          <w10:wrap type="none"/>
        </v:line>
      </w:pict>
    </w:r>
    <w:r>
      <w:rPr/>
      <w:pict>
        <v:shape style="position:absolute;margin-left:311.394714pt;margin-top:744.648376pt;width:18.75pt;height:12.8pt;mso-position-horizontal-relative:page;mso-position-vertical-relative:page;z-index:-309640" type="#_x0000_t202" filled="false" stroked="false">
          <v:textbox inset="0,0,0,0">
            <w:txbxContent>
              <w:p>
                <w:pPr>
                  <w:spacing w:line="245" w:lineRule="exact" w:before="0"/>
                  <w:ind w:left="20" w:right="-1" w:firstLine="0"/>
                  <w:jc w:val="left"/>
                  <w:rPr>
                    <w:rFonts w:ascii="Calibri"/>
                    <w:sz w:val="21"/>
                  </w:rPr>
                </w:pPr>
                <w:r>
                  <w:rPr>
                    <w:rFonts w:ascii="Calibri"/>
                    <w:w w:val="105"/>
                    <w:sz w:val="21"/>
                  </w:rPr>
                  <w:t>110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616" from="98.392403pt,742.312378pt" to="543.112403pt,742.312378pt" stroked="true" strokeweight=".47999pt" strokecolor="#000000">
          <w10:wrap type="none"/>
        </v:line>
      </w:pict>
    </w:r>
    <w:r>
      <w:rPr/>
      <w:pict>
        <v:shape style="position:absolute;margin-left:310.394714pt;margin-top:744.648376pt;width:20.75pt;height:12.8pt;mso-position-horizontal-relative:page;mso-position-vertical-relative:page;z-index:-30959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111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568" from="98.392403pt,742.312378pt" to="543.112403pt,742.312378pt" stroked="true" strokeweight=".47999pt" strokecolor="#000000">
          <w10:wrap type="none"/>
        </v:line>
      </w:pict>
    </w:r>
    <w:r>
      <w:rPr/>
      <w:pict>
        <v:shape style="position:absolute;margin-left:311.394714pt;margin-top:744.648376pt;width:18.75pt;height:12.8pt;mso-position-horizontal-relative:page;mso-position-vertical-relative:page;z-index:-309544" type="#_x0000_t202" filled="false" stroked="false">
          <v:textbox inset="0,0,0,0">
            <w:txbxContent>
              <w:p>
                <w:pPr>
                  <w:spacing w:line="245" w:lineRule="exact" w:before="0"/>
                  <w:ind w:left="20" w:right="-1" w:firstLine="0"/>
                  <w:jc w:val="left"/>
                  <w:rPr>
                    <w:rFonts w:ascii="Calibri"/>
                    <w:sz w:val="21"/>
                  </w:rPr>
                </w:pPr>
                <w:r>
                  <w:rPr>
                    <w:rFonts w:ascii="Calibri"/>
                    <w:w w:val="105"/>
                    <w:sz w:val="21"/>
                  </w:rPr>
                  <w:t>120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520" from="98.392403pt,742.312378pt" to="543.112403pt,742.312378pt" stroked="true" strokeweight=".47999pt" strokecolor="#000000">
          <w10:wrap type="none"/>
        </v:line>
      </w:pict>
    </w:r>
    <w:r>
      <w:rPr/>
      <w:pict>
        <v:shape style="position:absolute;margin-left:310.394714pt;margin-top:744.648376pt;width:20.75pt;height:12.8pt;mso-position-horizontal-relative:page;mso-position-vertical-relative:page;z-index:-30949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121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816" from="98.392403pt,742.312378pt" to="543.112403pt,742.312378pt" stroked="true" strokeweight=".47999pt" strokecolor="#000000">
          <w10:wrap type="none"/>
        </v:line>
      </w:pict>
    </w:r>
    <w:r>
      <w:rPr/>
      <w:pict>
        <v:shape style="position:absolute;margin-left:315.113190pt;margin-top:744.648376pt;width:11.25pt;height:12.8pt;mso-position-horizontal-relative:page;mso-position-vertical-relative:page;z-index:-31079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 roman </w:instrText>
                </w:r>
                <w:r>
                  <w:rPr/>
                  <w:fldChar w:fldCharType="separate"/>
                </w:r>
                <w:r>
                  <w:rPr/>
                  <w:t>ix</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472" from="98.392403pt,742.312378pt" to="543.112403pt,742.312378pt" stroked="true" strokeweight=".47999pt" strokecolor="#000000">
          <w10:wrap type="none"/>
        </v:line>
      </w:pict>
    </w:r>
    <w:r>
      <w:rPr/>
      <w:pict>
        <v:shape style="position:absolute;margin-left:311.394714pt;margin-top:744.648376pt;width:18.75pt;height:12.8pt;mso-position-horizontal-relative:page;mso-position-vertical-relative:page;z-index:-309448" type="#_x0000_t202" filled="false" stroked="false">
          <v:textbox inset="0,0,0,0">
            <w:txbxContent>
              <w:p>
                <w:pPr>
                  <w:spacing w:line="245" w:lineRule="exact" w:before="0"/>
                  <w:ind w:left="20" w:right="-1" w:firstLine="0"/>
                  <w:jc w:val="left"/>
                  <w:rPr>
                    <w:rFonts w:ascii="Calibri"/>
                    <w:sz w:val="21"/>
                  </w:rPr>
                </w:pPr>
                <w:r>
                  <w:rPr>
                    <w:rFonts w:ascii="Calibri"/>
                    <w:w w:val="105"/>
                    <w:sz w:val="21"/>
                  </w:rPr>
                  <w:t>130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424" from="98.392403pt,742.312378pt" to="543.112403pt,742.312378pt" stroked="true" strokeweight=".47999pt" strokecolor="#000000">
          <w10:wrap type="none"/>
        </v:line>
      </w:pict>
    </w:r>
    <w:r>
      <w:rPr/>
      <w:pict>
        <v:shape style="position:absolute;margin-left:310.394714pt;margin-top:744.648376pt;width:20.75pt;height:12.8pt;mso-position-horizontal-relative:page;mso-position-vertical-relative:page;z-index:-30940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131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376" from="98.392403pt,742.312378pt" to="543.112403pt,742.312378pt" stroked="true" strokeweight=".47999pt" strokecolor="#000000">
          <w10:wrap type="none"/>
        </v:line>
      </w:pict>
    </w:r>
    <w:r>
      <w:rPr/>
      <w:pict>
        <v:shape style="position:absolute;margin-left:311.394714pt;margin-top:744.648376pt;width:18.75pt;height:12.8pt;mso-position-horizontal-relative:page;mso-position-vertical-relative:page;z-index:-309352" type="#_x0000_t202" filled="false" stroked="false">
          <v:textbox inset="0,0,0,0">
            <w:txbxContent>
              <w:p>
                <w:pPr>
                  <w:spacing w:line="245" w:lineRule="exact" w:before="0"/>
                  <w:ind w:left="20" w:right="-1" w:firstLine="0"/>
                  <w:jc w:val="left"/>
                  <w:rPr>
                    <w:rFonts w:ascii="Calibri"/>
                    <w:sz w:val="21"/>
                  </w:rPr>
                </w:pPr>
                <w:r>
                  <w:rPr>
                    <w:rFonts w:ascii="Calibri"/>
                    <w:w w:val="105"/>
                    <w:sz w:val="21"/>
                  </w:rPr>
                  <w:t>140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328" from="98.392403pt,742.312378pt" to="543.112403pt,742.312378pt" stroked="true" strokeweight=".47999pt" strokecolor="#000000">
          <w10:wrap type="none"/>
        </v:line>
      </w:pict>
    </w:r>
    <w:r>
      <w:rPr/>
      <w:pict>
        <v:shape style="position:absolute;margin-left:310.394714pt;margin-top:744.648376pt;width:20.75pt;height:12.8pt;mso-position-horizontal-relative:page;mso-position-vertical-relative:page;z-index:-30930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141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280" from="98.392403pt,742.312378pt" to="543.112403pt,742.312378pt" stroked="true" strokeweight=".47999pt" strokecolor="#000000">
          <w10:wrap type="none"/>
        </v:line>
      </w:pict>
    </w:r>
    <w:r>
      <w:rPr/>
      <w:pict>
        <v:shape style="position:absolute;margin-left:311.394714pt;margin-top:744.648376pt;width:18.75pt;height:12.8pt;mso-position-horizontal-relative:page;mso-position-vertical-relative:page;z-index:-309256" type="#_x0000_t202" filled="false" stroked="false">
          <v:textbox inset="0,0,0,0">
            <w:txbxContent>
              <w:p>
                <w:pPr>
                  <w:spacing w:line="245" w:lineRule="exact" w:before="0"/>
                  <w:ind w:left="20" w:right="-1" w:firstLine="0"/>
                  <w:jc w:val="left"/>
                  <w:rPr>
                    <w:rFonts w:ascii="Calibri"/>
                    <w:sz w:val="21"/>
                  </w:rPr>
                </w:pPr>
                <w:r>
                  <w:rPr>
                    <w:rFonts w:ascii="Calibri"/>
                    <w:w w:val="105"/>
                    <w:sz w:val="21"/>
                  </w:rPr>
                  <w:t>150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232" from="98.392403pt,742.312378pt" to="543.112403pt,742.312378pt" stroked="true" strokeweight=".47999pt" strokecolor="#000000">
          <w10:wrap type="none"/>
        </v:line>
      </w:pict>
    </w:r>
    <w:r>
      <w:rPr/>
      <w:pict>
        <v:shape style="position:absolute;margin-left:310.394714pt;margin-top:744.648376pt;width:20.75pt;height:12.8pt;mso-position-horizontal-relative:page;mso-position-vertical-relative:page;z-index:-30920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151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184" from="98.392403pt,742.312378pt" to="543.112403pt,742.312378pt" stroked="true" strokeweight=".47999pt" strokecolor="#000000">
          <w10:wrap type="none"/>
        </v:line>
      </w:pict>
    </w:r>
    <w:r>
      <w:rPr/>
      <w:pict>
        <v:shape style="position:absolute;margin-left:311.394714pt;margin-top:744.648376pt;width:18.75pt;height:12.8pt;mso-position-horizontal-relative:page;mso-position-vertical-relative:page;z-index:-309160" type="#_x0000_t202" filled="false" stroked="false">
          <v:textbox inset="0,0,0,0">
            <w:txbxContent>
              <w:p>
                <w:pPr>
                  <w:spacing w:line="245" w:lineRule="exact" w:before="0"/>
                  <w:ind w:left="20" w:right="-1" w:firstLine="0"/>
                  <w:jc w:val="left"/>
                  <w:rPr>
                    <w:rFonts w:ascii="Calibri"/>
                    <w:sz w:val="21"/>
                  </w:rPr>
                </w:pPr>
                <w:r>
                  <w:rPr>
                    <w:rFonts w:ascii="Calibri"/>
                    <w:w w:val="105"/>
                    <w:sz w:val="21"/>
                  </w:rPr>
                  <w:t>160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136" from="98.392403pt,742.312378pt" to="543.112403pt,742.312378pt" stroked="true" strokeweight=".47999pt" strokecolor="#000000">
          <w10:wrap type="none"/>
        </v:line>
      </w:pict>
    </w:r>
    <w:r>
      <w:rPr/>
      <w:pict>
        <v:shape style="position:absolute;margin-left:310.394714pt;margin-top:744.648376pt;width:20.75pt;height:12.8pt;mso-position-horizontal-relative:page;mso-position-vertical-relative:page;z-index:-30911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161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088" from="98.392403pt,742.312378pt" to="543.112403pt,742.312378pt" stroked="true" strokeweight=".47999pt" strokecolor="#000000">
          <w10:wrap type="none"/>
        </v:line>
      </w:pict>
    </w:r>
    <w:r>
      <w:rPr/>
      <w:pict>
        <v:shape style="position:absolute;margin-left:311.394714pt;margin-top:744.648376pt;width:18.75pt;height:12.8pt;mso-position-horizontal-relative:page;mso-position-vertical-relative:page;z-index:-309064" type="#_x0000_t202" filled="false" stroked="false">
          <v:textbox inset="0,0,0,0">
            <w:txbxContent>
              <w:p>
                <w:pPr>
                  <w:spacing w:line="245" w:lineRule="exact" w:before="0"/>
                  <w:ind w:left="20" w:right="-1" w:firstLine="0"/>
                  <w:jc w:val="left"/>
                  <w:rPr>
                    <w:rFonts w:ascii="Calibri"/>
                    <w:sz w:val="21"/>
                  </w:rPr>
                </w:pPr>
                <w:r>
                  <w:rPr>
                    <w:rFonts w:ascii="Calibri"/>
                    <w:w w:val="105"/>
                    <w:sz w:val="21"/>
                  </w:rPr>
                  <w:t>170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9040" from="98.392403pt,742.312378pt" to="543.112403pt,742.312378pt" stroked="true" strokeweight=".47999pt" strokecolor="#000000">
          <w10:wrap type="none"/>
        </v:line>
      </w:pict>
    </w:r>
    <w:r>
      <w:rPr/>
      <w:pict>
        <v:shape style="position:absolute;margin-left:311.394714pt;margin-top:744.648376pt;width:18.75pt;height:12.8pt;mso-position-horizontal-relative:page;mso-position-vertical-relative:page;z-index:-309016" type="#_x0000_t202" filled="false" stroked="false">
          <v:textbox inset="0,0,0,0">
            <w:txbxContent>
              <w:p>
                <w:pPr>
                  <w:spacing w:line="245" w:lineRule="exact" w:before="0"/>
                  <w:ind w:left="20" w:right="-1" w:firstLine="0"/>
                  <w:jc w:val="left"/>
                  <w:rPr>
                    <w:rFonts w:ascii="Calibri"/>
                    <w:sz w:val="21"/>
                  </w:rPr>
                </w:pPr>
                <w:r>
                  <w:rPr>
                    <w:rFonts w:ascii="Calibri"/>
                    <w:w w:val="105"/>
                    <w:sz w:val="21"/>
                  </w:rPr>
                  <w:t>171</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768" from="98.392403pt,742.312378pt" to="543.112403pt,742.312378pt" stroked="true" strokeweight=".47999pt" strokecolor="#000000">
          <w10:wrap type="none"/>
        </v:line>
      </w:pict>
    </w:r>
    <w:r>
      <w:rPr/>
      <w:pict>
        <v:shape style="position:absolute;margin-left:316.375397pt;margin-top:744.648376pt;width:8.7pt;height:12.8pt;mso-position-horizontal-relative:page;mso-position-vertical-relative:page;z-index:-31074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2"/>
                    <w:sz w:val="21"/>
                  </w:rPr>
                  <w:instrText> PAGE  \* roman </w:instrText>
                </w:r>
                <w:r>
                  <w:rPr/>
                  <w:fldChar w:fldCharType="separate"/>
                </w:r>
                <w:r>
                  <w:rPr/>
                  <w:t>x</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89606pt;margin-top:752.808411pt;width:20.75pt;height:12.8pt;mso-position-horizontal-relative:page;mso-position-vertical-relative:page;z-index:-30899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174</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89606pt;margin-top:752.808411pt;width:20.75pt;height:12.8pt;mso-position-horizontal-relative:page;mso-position-vertical-relative:page;z-index:-30896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175</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89606pt;margin-top:752.808411pt;width:20.75pt;height:12.8pt;mso-position-horizontal-relative:page;mso-position-vertical-relative:page;z-index:-30894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176</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89606pt;margin-top:752.808411pt;width:20.75pt;height:12.8pt;mso-position-horizontal-relative:page;mso-position-vertical-relative:page;z-index:-30892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177</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89606pt;margin-top:752.808411pt;width:20.75pt;height:12.8pt;mso-position-horizontal-relative:page;mso-position-vertical-relative:page;z-index:-30889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178</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89606pt;margin-top:752.808411pt;width:20.75pt;height:12.8pt;mso-position-horizontal-relative:page;mso-position-vertical-relative:page;z-index:-30887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179</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89606pt;margin-top:752.808411pt;width:18.75pt;height:12.8pt;mso-position-horizontal-relative:page;mso-position-vertical-relative:page;z-index:-308848" type="#_x0000_t202" filled="false" stroked="false">
          <v:textbox inset="0,0,0,0">
            <w:txbxContent>
              <w:p>
                <w:pPr>
                  <w:spacing w:line="245" w:lineRule="exact" w:before="0"/>
                  <w:ind w:left="20" w:right="-1" w:firstLine="0"/>
                  <w:jc w:val="left"/>
                  <w:rPr>
                    <w:rFonts w:ascii="Calibri"/>
                    <w:sz w:val="21"/>
                  </w:rPr>
                </w:pPr>
                <w:r>
                  <w:rPr>
                    <w:rFonts w:ascii="Calibri"/>
                    <w:w w:val="105"/>
                    <w:sz w:val="21"/>
                  </w:rPr>
                  <w:t>180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89606pt;margin-top:752.808411pt;width:18.75pt;height:12.8pt;mso-position-horizontal-relative:page;mso-position-vertical-relative:page;z-index:-308824" type="#_x0000_t202" filled="false" stroked="false">
          <v:textbox inset="0,0,0,0">
            <w:txbxContent>
              <w:p>
                <w:pPr>
                  <w:spacing w:line="245" w:lineRule="exact" w:before="0"/>
                  <w:ind w:left="20" w:right="-1" w:firstLine="0"/>
                  <w:jc w:val="left"/>
                  <w:rPr>
                    <w:rFonts w:ascii="Calibri"/>
                    <w:sz w:val="21"/>
                  </w:rPr>
                </w:pPr>
                <w:r>
                  <w:rPr>
                    <w:rFonts w:ascii="Calibri"/>
                    <w:w w:val="105"/>
                    <w:sz w:val="21"/>
                  </w:rPr>
                  <w:t>181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696" from="98.392403pt,742.312378pt" to="543.112403pt,742.312378pt" stroked="true" strokeweight=".47999pt" strokecolor="#000000">
          <w10:wrap type="none"/>
        </v:line>
      </w:pict>
    </w:r>
    <w:r>
      <w:rPr/>
      <w:pict>
        <v:shape style="position:absolute;margin-left:315.969788pt;margin-top:744.648376pt;width:9.5pt;height:12.8pt;mso-position-horizontal-relative:page;mso-position-vertical-relative:page;z-index:-31067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2"/>
                    <w:sz w:val="21"/>
                  </w:rPr>
                  <w:instrText> PAGE </w:instrText>
                </w:r>
                <w:r>
                  <w:rPr/>
                  <w:fldChar w:fldCharType="separate"/>
                </w:r>
                <w:r>
                  <w:rPr/>
                  <w:t>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89606pt;margin-top:752.808411pt;width:20.75pt;height:12.8pt;mso-position-horizontal-relative:page;mso-position-vertical-relative:page;z-index:-30880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183</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189606pt;margin-top:752.808411pt;width:20.75pt;height:12.8pt;mso-position-horizontal-relative:page;mso-position-vertical-relative:page;z-index:-30877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184</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08704" from="98.392403pt,742.312378pt" to="543.112403pt,742.312378pt" stroked="true" strokeweight=".47999pt" strokecolor="#000000">
          <w10:wrap type="none"/>
        </v:line>
      </w:pict>
    </w:r>
    <w:r>
      <w:rPr/>
      <w:pict>
        <v:shape style="position:absolute;margin-left:310.394714pt;margin-top:744.648376pt;width:20.75pt;height:12.8pt;mso-position-horizontal-relative:page;mso-position-vertical-relative:page;z-index:-30868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186</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648" from="98.392403pt,742.312378pt" to="543.112403pt,742.312378pt" stroked="true" strokeweight=".47999pt" strokecolor="#000000">
          <w10:wrap type="none"/>
        </v:line>
      </w:pict>
    </w:r>
    <w:r>
      <w:rPr/>
      <w:pict>
        <v:shape style="position:absolute;margin-left:314.182312pt;margin-top:744.648376pt;width:13.15pt;height:12.8pt;mso-position-horizontal-relative:page;mso-position-vertical-relative:page;z-index:-310624" type="#_x0000_t202" filled="false" stroked="false">
          <v:textbox inset="0,0,0,0">
            <w:txbxContent>
              <w:p>
                <w:pPr>
                  <w:spacing w:line="245" w:lineRule="exact" w:before="0"/>
                  <w:ind w:left="20" w:right="-1" w:firstLine="0"/>
                  <w:jc w:val="left"/>
                  <w:rPr>
                    <w:rFonts w:ascii="Calibri"/>
                    <w:sz w:val="21"/>
                  </w:rPr>
                </w:pPr>
                <w:r>
                  <w:rPr>
                    <w:rFonts w:ascii="Calibri"/>
                    <w:w w:val="105"/>
                    <w:sz w:val="21"/>
                  </w:rPr>
                  <w:t>10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600" from="98.392403pt,742.312378pt" to="543.112403pt,742.312378pt" stroked="true" strokeweight=".47999pt" strokecolor="#000000">
          <w10:wrap type="none"/>
        </v:line>
      </w:pict>
    </w:r>
    <w:r>
      <w:rPr/>
      <w:pict>
        <v:shape style="position:absolute;margin-left:313.182312pt;margin-top:744.648376pt;width:15.2pt;height:12.8pt;mso-position-horizontal-relative:page;mso-position-vertical-relative:page;z-index:-31057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10528" from="98.392403pt,742.312378pt" to="543.112403pt,742.312378pt" stroked="true" strokeweight=".47999pt" strokecolor="#000000">
          <w10:wrap type="none"/>
        </v:line>
      </w:pict>
    </w:r>
    <w:r>
      <w:rPr/>
      <w:pict>
        <v:shape style="position:absolute;margin-left:313.182312pt;margin-top:744.648376pt;width:15.2pt;height:12.8pt;mso-position-horizontal-relative:page;mso-position-vertical-relative:page;z-index:-31050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832413pt;margin-top:73.38485pt;width:192.75pt;height:26pt;mso-position-horizontal-relative:page;mso-position-vertical-relative:page;z-index:-310912" type="#_x0000_t202" filled="false" stroked="false">
          <v:textbox inset="0,0,0,0">
            <w:txbxContent>
              <w:p>
                <w:pPr>
                  <w:spacing w:line="511" w:lineRule="exact" w:before="0"/>
                  <w:ind w:left="20" w:right="0" w:firstLine="0"/>
                  <w:jc w:val="left"/>
                  <w:rPr>
                    <w:b/>
                    <w:sz w:val="48"/>
                  </w:rPr>
                </w:pPr>
                <w:r>
                  <w:rPr>
                    <w:b/>
                    <w:sz w:val="48"/>
                  </w:rPr>
                  <w:t>Índice de figuras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4.151703pt;margin-top:36.043598pt;width:278.55pt;height:26pt;mso-position-horizontal-relative:page;mso-position-vertical-relative:page;z-index:-310144" type="#_x0000_t202" filled="false" stroked="false">
          <v:textbox inset="0,0,0,0">
            <w:txbxContent>
              <w:p>
                <w:pPr>
                  <w:spacing w:line="165" w:lineRule="exact" w:before="0"/>
                  <w:ind w:left="20" w:right="0" w:firstLine="0"/>
                  <w:jc w:val="left"/>
                  <w:rPr>
                    <w:rFonts w:ascii="Calibri" w:hAnsi="Calibri"/>
                    <w:b/>
                    <w:i/>
                    <w:sz w:val="14"/>
                  </w:rPr>
                </w:pPr>
                <w:r>
                  <w:rPr>
                    <w:rFonts w:ascii="Calibri" w:hAnsi="Calibri"/>
                    <w:b/>
                    <w:i/>
                    <w:sz w:val="14"/>
                  </w:rPr>
                  <w:t>Estimación de las emisiones en bovinos en los sistema de producción lechera en pequeña escala</w:t>
                </w:r>
              </w:p>
              <w:p>
                <w:pPr>
                  <w:spacing w:line="169" w:lineRule="exact" w:before="0"/>
                  <w:ind w:left="3006" w:right="0" w:firstLine="0"/>
                  <w:jc w:val="left"/>
                  <w:rPr>
                    <w:rFonts w:ascii="Calibri" w:hAnsi="Calibri"/>
                    <w:b/>
                    <w:i/>
                    <w:sz w:val="14"/>
                  </w:rPr>
                </w:pPr>
                <w:r>
                  <w:rPr>
                    <w:rFonts w:ascii="Calibri" w:hAnsi="Calibri"/>
                    <w:b/>
                    <w:i/>
                    <w:sz w:val="14"/>
                  </w:rPr>
                  <w:t>a través del factor de conversión de metano</w:t>
                </w:r>
              </w:p>
              <w:p>
                <w:pPr>
                  <w:spacing w:before="2"/>
                  <w:ind w:left="3682" w:right="0" w:firstLine="0"/>
                  <w:jc w:val="left"/>
                  <w:rPr>
                    <w:rFonts w:ascii="Calibri" w:hAnsi="Calibri"/>
                    <w:b/>
                    <w:i/>
                    <w:sz w:val="14"/>
                  </w:rPr>
                </w:pPr>
                <w:r>
                  <w:rPr>
                    <w:rFonts w:ascii="Calibri" w:hAnsi="Calibri"/>
                    <w:b/>
                    <w:i/>
                    <w:sz w:val="14"/>
                  </w:rPr>
                  <w:t>M. en E. S. Noé Zúñiga-González</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4.151703pt;margin-top:36.043598pt;width:278.55pt;height:26pt;mso-position-horizontal-relative:page;mso-position-vertical-relative:page;z-index:-310072" type="#_x0000_t202" filled="false" stroked="false">
          <v:textbox inset="0,0,0,0">
            <w:txbxContent>
              <w:p>
                <w:pPr>
                  <w:spacing w:line="165" w:lineRule="exact" w:before="0"/>
                  <w:ind w:left="20" w:right="0" w:firstLine="0"/>
                  <w:jc w:val="left"/>
                  <w:rPr>
                    <w:rFonts w:ascii="Calibri" w:hAnsi="Calibri"/>
                    <w:b/>
                    <w:i/>
                    <w:sz w:val="14"/>
                  </w:rPr>
                </w:pPr>
                <w:r>
                  <w:rPr>
                    <w:rFonts w:ascii="Calibri" w:hAnsi="Calibri"/>
                    <w:b/>
                    <w:i/>
                    <w:sz w:val="14"/>
                  </w:rPr>
                  <w:t>Estimación de las emisiones en bovinos en los sistema de producción lechera en pequeña escala</w:t>
                </w:r>
              </w:p>
              <w:p>
                <w:pPr>
                  <w:spacing w:line="169" w:lineRule="exact" w:before="0"/>
                  <w:ind w:left="3006" w:right="0" w:firstLine="0"/>
                  <w:jc w:val="left"/>
                  <w:rPr>
                    <w:rFonts w:ascii="Calibri" w:hAnsi="Calibri"/>
                    <w:b/>
                    <w:i/>
                    <w:sz w:val="14"/>
                  </w:rPr>
                </w:pPr>
                <w:r>
                  <w:rPr>
                    <w:rFonts w:ascii="Calibri" w:hAnsi="Calibri"/>
                    <w:b/>
                    <w:i/>
                    <w:sz w:val="14"/>
                  </w:rPr>
                  <w:t>a través del factor de conversión de metano</w:t>
                </w:r>
              </w:p>
              <w:p>
                <w:pPr>
                  <w:spacing w:before="2"/>
                  <w:ind w:left="3682" w:right="0" w:firstLine="0"/>
                  <w:jc w:val="left"/>
                  <w:rPr>
                    <w:rFonts w:ascii="Calibri" w:hAnsi="Calibri"/>
                    <w:b/>
                    <w:i/>
                    <w:sz w:val="14"/>
                  </w:rPr>
                </w:pPr>
                <w:r>
                  <w:rPr>
                    <w:rFonts w:ascii="Calibri" w:hAnsi="Calibri"/>
                    <w:b/>
                    <w:i/>
                    <w:sz w:val="14"/>
                  </w:rPr>
                  <w:t>M. en E. S. Noé Zúñiga-González</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832413pt;margin-top:73.38485pt;width:206pt;height:26pt;mso-position-horizontal-relative:page;mso-position-vertical-relative:page;z-index:-310888" type="#_x0000_t202" filled="false" stroked="false">
          <v:textbox inset="0,0,0,0">
            <w:txbxContent>
              <w:p>
                <w:pPr>
                  <w:spacing w:line="511" w:lineRule="exact" w:before="0"/>
                  <w:ind w:left="20" w:right="-2" w:firstLine="0"/>
                  <w:jc w:val="left"/>
                  <w:rPr>
                    <w:b/>
                    <w:sz w:val="48"/>
                  </w:rPr>
                </w:pPr>
                <w:r>
                  <w:rPr>
                    <w:b/>
                    <w:sz w:val="48"/>
                  </w:rPr>
                  <w:t>Índice de cuadros</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2.169312pt;margin-top:36.043598pt;width:280.5pt;height:26pt;mso-position-horizontal-relative:page;mso-position-vertical-relative:page;z-index:-308752" type="#_x0000_t202" filled="false" stroked="false">
          <v:textbox inset="0,0,0,0">
            <w:txbxContent>
              <w:p>
                <w:pPr>
                  <w:spacing w:line="165" w:lineRule="exact" w:before="0"/>
                  <w:ind w:left="20" w:right="-1" w:firstLine="0"/>
                  <w:jc w:val="left"/>
                  <w:rPr>
                    <w:rFonts w:ascii="Calibri" w:hAnsi="Calibri"/>
                    <w:b/>
                    <w:i/>
                    <w:sz w:val="14"/>
                  </w:rPr>
                </w:pPr>
                <w:r>
                  <w:rPr>
                    <w:rFonts w:ascii="Calibri" w:hAnsi="Calibri"/>
                    <w:b/>
                    <w:i/>
                    <w:sz w:val="14"/>
                  </w:rPr>
                  <w:t>Estimación de las Emisiones en Bovinos en los Sistema de Producción Lechera en Pequeña Escala</w:t>
                </w:r>
              </w:p>
              <w:p>
                <w:pPr>
                  <w:spacing w:line="169" w:lineRule="exact" w:before="0"/>
                  <w:ind w:left="2980" w:right="-1" w:firstLine="0"/>
                  <w:jc w:val="left"/>
                  <w:rPr>
                    <w:rFonts w:ascii="Calibri" w:hAnsi="Calibri"/>
                    <w:b/>
                    <w:i/>
                    <w:sz w:val="14"/>
                  </w:rPr>
                </w:pPr>
                <w:r>
                  <w:rPr>
                    <w:rFonts w:ascii="Calibri" w:hAnsi="Calibri"/>
                    <w:b/>
                    <w:i/>
                    <w:sz w:val="14"/>
                  </w:rPr>
                  <w:t>a Través del Factor de Conversión de Metano</w:t>
                </w:r>
              </w:p>
              <w:p>
                <w:pPr>
                  <w:spacing w:before="2"/>
                  <w:ind w:left="3722" w:right="-1" w:firstLine="0"/>
                  <w:jc w:val="left"/>
                  <w:rPr>
                    <w:rFonts w:ascii="Calibri" w:hAnsi="Calibri"/>
                    <w:b/>
                    <w:i/>
                    <w:sz w:val="14"/>
                  </w:rPr>
                </w:pPr>
                <w:r>
                  <w:rPr>
                    <w:rFonts w:ascii="Calibri" w:hAnsi="Calibri"/>
                    <w:b/>
                    <w:i/>
                    <w:sz w:val="14"/>
                  </w:rPr>
                  <w:t>M. en E. S. Noé Zúñiga-González</w:t>
                </w:r>
              </w:p>
            </w:txbxContent>
          </v:textbox>
          <w10:wrap type="none"/>
        </v:shape>
      </w:pict>
    </w:r>
    <w:r>
      <w:rPr/>
      <w:pict>
        <v:shape style="position:absolute;margin-left:98.832413pt;margin-top:71.588623pt;width:262.55pt;height:14pt;mso-position-horizontal-relative:page;mso-position-vertical-relative:page;z-index:-308728" type="#_x0000_t202" filled="false" stroked="false">
          <v:textbox inset="0,0,0,0">
            <w:txbxContent>
              <w:p>
                <w:pPr>
                  <w:pStyle w:val="BodyText"/>
                  <w:spacing w:line="265" w:lineRule="exact"/>
                  <w:ind w:left="20"/>
                </w:pPr>
                <w:r>
                  <w:rPr/>
                  <w:t>Grasa = contenido graso de la leche, % por peso</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2.169312pt;margin-top:36.043598pt;width:280.5pt;height:26pt;mso-position-horizontal-relative:page;mso-position-vertical-relative:page;z-index:-308656" type="#_x0000_t202" filled="false" stroked="false">
          <v:textbox inset="0,0,0,0">
            <w:txbxContent>
              <w:p>
                <w:pPr>
                  <w:spacing w:line="165" w:lineRule="exact" w:before="0"/>
                  <w:ind w:left="20" w:right="-1" w:firstLine="0"/>
                  <w:jc w:val="left"/>
                  <w:rPr>
                    <w:rFonts w:ascii="Calibri" w:hAnsi="Calibri"/>
                    <w:b/>
                    <w:i/>
                    <w:sz w:val="14"/>
                  </w:rPr>
                </w:pPr>
                <w:r>
                  <w:rPr>
                    <w:rFonts w:ascii="Calibri" w:hAnsi="Calibri"/>
                    <w:b/>
                    <w:i/>
                    <w:sz w:val="14"/>
                  </w:rPr>
                  <w:t>Estimación de las Emisiones en Bovinos en los Sistema de Producción Lechera en Pequeña Escala</w:t>
                </w:r>
              </w:p>
              <w:p>
                <w:pPr>
                  <w:spacing w:line="169" w:lineRule="exact" w:before="0"/>
                  <w:ind w:left="2980" w:right="-1" w:firstLine="0"/>
                  <w:jc w:val="left"/>
                  <w:rPr>
                    <w:rFonts w:ascii="Calibri" w:hAnsi="Calibri"/>
                    <w:b/>
                    <w:i/>
                    <w:sz w:val="14"/>
                  </w:rPr>
                </w:pPr>
                <w:r>
                  <w:rPr>
                    <w:rFonts w:ascii="Calibri" w:hAnsi="Calibri"/>
                    <w:b/>
                    <w:i/>
                    <w:sz w:val="14"/>
                  </w:rPr>
                  <w:t>a Través del Factor de Conversión de Metano</w:t>
                </w:r>
              </w:p>
              <w:p>
                <w:pPr>
                  <w:spacing w:before="2"/>
                  <w:ind w:left="3722" w:right="-1" w:firstLine="0"/>
                  <w:jc w:val="left"/>
                  <w:rPr>
                    <w:rFonts w:ascii="Calibri" w:hAnsi="Calibri"/>
                    <w:b/>
                    <w:i/>
                    <w:sz w:val="14"/>
                  </w:rPr>
                </w:pPr>
                <w:r>
                  <w:rPr>
                    <w:rFonts w:ascii="Calibri" w:hAnsi="Calibri"/>
                    <w:b/>
                    <w:i/>
                    <w:sz w:val="14"/>
                  </w:rPr>
                  <w:t>M. en E. S. Noé Zúñiga-González</w:t>
                </w:r>
              </w:p>
            </w:txbxContent>
          </v:textbox>
          <w10:wrap type="none"/>
        </v:shape>
      </w:pict>
    </w:r>
    <w:r>
      <w:rPr/>
      <w:pict>
        <v:shape style="position:absolute;margin-left:98.832413pt;margin-top:71.588623pt;width:443.85pt;height:14.7pt;mso-position-horizontal-relative:page;mso-position-vertical-relative:page;z-index:-308632" type="#_x0000_t202" filled="false" stroked="false">
          <v:textbox inset="0,0,0,0">
            <w:txbxContent>
              <w:p>
                <w:pPr>
                  <w:pStyle w:val="BodyText"/>
                  <w:spacing w:line="278" w:lineRule="exact"/>
                  <w:ind w:left="20"/>
                  <w:rPr>
                    <w:sz w:val="16"/>
                  </w:rPr>
                </w:pPr>
                <w:r>
                  <w:rPr/>
                  <w:t>Total CH</w:t>
                </w:r>
                <w:r>
                  <w:rPr>
                    <w:position w:val="-2"/>
                    <w:sz w:val="16"/>
                  </w:rPr>
                  <w:t>4 Entérico  </w:t>
                </w:r>
                <w:r>
                  <w:rPr/>
                  <w:t>= emisiones totales de metano por fermentación entérica, Gg</w:t>
                </w:r>
                <w:r>
                  <w:rPr>
                    <w:spacing w:val="63"/>
                  </w:rPr>
                  <w:t> </w:t>
                </w:r>
                <w:r>
                  <w:rPr/>
                  <w:t>CH</w:t>
                </w:r>
                <w:r>
                  <w:rPr>
                    <w:position w:val="-2"/>
                    <w:sz w:val="16"/>
                  </w:rPr>
                  <w:t>4</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4.151703pt;margin-top:36.043598pt;width:278.55pt;height:26pt;mso-position-horizontal-relative:page;mso-position-vertical-relative:page;z-index:-310720" type="#_x0000_t202" filled="false" stroked="false">
          <v:textbox inset="0,0,0,0">
            <w:txbxContent>
              <w:p>
                <w:pPr>
                  <w:spacing w:line="165" w:lineRule="exact" w:before="0"/>
                  <w:ind w:left="20" w:right="0" w:firstLine="0"/>
                  <w:jc w:val="left"/>
                  <w:rPr>
                    <w:rFonts w:ascii="Calibri" w:hAnsi="Calibri"/>
                    <w:b/>
                    <w:i/>
                    <w:sz w:val="14"/>
                  </w:rPr>
                </w:pPr>
                <w:r>
                  <w:rPr>
                    <w:rFonts w:ascii="Calibri" w:hAnsi="Calibri"/>
                    <w:b/>
                    <w:i/>
                    <w:sz w:val="14"/>
                  </w:rPr>
                  <w:t>Estimación de las emisiones en bovinos en los sistema de producción lechera en pequeña escala</w:t>
                </w:r>
              </w:p>
              <w:p>
                <w:pPr>
                  <w:spacing w:line="169" w:lineRule="exact" w:before="0"/>
                  <w:ind w:left="3006" w:right="0" w:firstLine="0"/>
                  <w:jc w:val="left"/>
                  <w:rPr>
                    <w:rFonts w:ascii="Calibri" w:hAnsi="Calibri"/>
                    <w:b/>
                    <w:i/>
                    <w:sz w:val="14"/>
                  </w:rPr>
                </w:pPr>
                <w:r>
                  <w:rPr>
                    <w:rFonts w:ascii="Calibri" w:hAnsi="Calibri"/>
                    <w:b/>
                    <w:i/>
                    <w:sz w:val="14"/>
                  </w:rPr>
                  <w:t>a través del factor de conversión de metano</w:t>
                </w:r>
              </w:p>
              <w:p>
                <w:pPr>
                  <w:spacing w:before="2"/>
                  <w:ind w:left="3682" w:right="0" w:firstLine="0"/>
                  <w:jc w:val="left"/>
                  <w:rPr>
                    <w:rFonts w:ascii="Calibri" w:hAnsi="Calibri"/>
                    <w:b/>
                    <w:i/>
                    <w:sz w:val="14"/>
                  </w:rPr>
                </w:pPr>
                <w:r>
                  <w:rPr>
                    <w:rFonts w:ascii="Calibri" w:hAnsi="Calibri"/>
                    <w:b/>
                    <w:i/>
                    <w:sz w:val="14"/>
                  </w:rPr>
                  <w:t>M. en E. S. Noé Zúñiga-González</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4.151703pt;margin-top:36.043598pt;width:278.55pt;height:26pt;mso-position-horizontal-relative:page;mso-position-vertical-relative:page;z-index:-310552" type="#_x0000_t202" filled="false" stroked="false">
          <v:textbox inset="0,0,0,0">
            <w:txbxContent>
              <w:p>
                <w:pPr>
                  <w:spacing w:line="165" w:lineRule="exact" w:before="0"/>
                  <w:ind w:left="20" w:right="0" w:firstLine="0"/>
                  <w:jc w:val="left"/>
                  <w:rPr>
                    <w:rFonts w:ascii="Calibri" w:hAnsi="Calibri"/>
                    <w:b/>
                    <w:i/>
                    <w:sz w:val="14"/>
                  </w:rPr>
                </w:pPr>
                <w:r>
                  <w:rPr>
                    <w:rFonts w:ascii="Calibri" w:hAnsi="Calibri"/>
                    <w:b/>
                    <w:i/>
                    <w:sz w:val="14"/>
                  </w:rPr>
                  <w:t>Estimación de las emisiones en bovinos en los sistema de producción lechera en pequeña escala</w:t>
                </w:r>
              </w:p>
              <w:p>
                <w:pPr>
                  <w:spacing w:line="169" w:lineRule="exact" w:before="0"/>
                  <w:ind w:left="3006" w:right="0" w:firstLine="0"/>
                  <w:jc w:val="left"/>
                  <w:rPr>
                    <w:rFonts w:ascii="Calibri" w:hAnsi="Calibri"/>
                    <w:b/>
                    <w:i/>
                    <w:sz w:val="14"/>
                  </w:rPr>
                </w:pPr>
                <w:r>
                  <w:rPr>
                    <w:rFonts w:ascii="Calibri" w:hAnsi="Calibri"/>
                    <w:b/>
                    <w:i/>
                    <w:sz w:val="14"/>
                  </w:rPr>
                  <w:t>a través del factor de conversión de metano</w:t>
                </w:r>
              </w:p>
              <w:p>
                <w:pPr>
                  <w:spacing w:before="2"/>
                  <w:ind w:left="3682" w:right="0" w:firstLine="0"/>
                  <w:jc w:val="left"/>
                  <w:rPr>
                    <w:rFonts w:ascii="Calibri" w:hAnsi="Calibri"/>
                    <w:b/>
                    <w:i/>
                    <w:sz w:val="14"/>
                  </w:rPr>
                </w:pPr>
                <w:r>
                  <w:rPr>
                    <w:rFonts w:ascii="Calibri" w:hAnsi="Calibri"/>
                    <w:b/>
                    <w:i/>
                    <w:sz w:val="14"/>
                  </w:rPr>
                  <w:t>M. en E. S. Noé Zúñiga-González</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2"/>
      <w:numFmt w:val="upperLetter"/>
      <w:lvlText w:val="%1"/>
      <w:lvlJc w:val="left"/>
      <w:pPr>
        <w:ind w:left="820" w:hanging="709"/>
        <w:jc w:val="left"/>
      </w:pPr>
      <w:rPr>
        <w:rFonts w:hint="default"/>
      </w:rPr>
    </w:lvl>
    <w:lvl w:ilvl="1">
      <w:start w:val="4"/>
      <w:numFmt w:val="decimal"/>
      <w:lvlText w:val="%1.%2."/>
      <w:lvlJc w:val="left"/>
      <w:pPr>
        <w:ind w:left="820" w:hanging="709"/>
        <w:jc w:val="left"/>
      </w:pPr>
      <w:rPr>
        <w:rFonts w:hint="default" w:ascii="Times New Roman" w:hAnsi="Times New Roman" w:eastAsia="Times New Roman" w:cs="Times New Roman"/>
        <w:b/>
        <w:bCs/>
        <w:spacing w:val="-25"/>
        <w:w w:val="100"/>
        <w:sz w:val="24"/>
        <w:szCs w:val="24"/>
      </w:rPr>
    </w:lvl>
    <w:lvl w:ilvl="2">
      <w:start w:val="1"/>
      <w:numFmt w:val="bullet"/>
      <w:lvlText w:val="•"/>
      <w:lvlJc w:val="left"/>
      <w:pPr>
        <w:ind w:left="2876" w:hanging="709"/>
      </w:pPr>
      <w:rPr>
        <w:rFonts w:hint="default"/>
      </w:rPr>
    </w:lvl>
    <w:lvl w:ilvl="3">
      <w:start w:val="1"/>
      <w:numFmt w:val="bullet"/>
      <w:lvlText w:val="•"/>
      <w:lvlJc w:val="left"/>
      <w:pPr>
        <w:ind w:left="3904" w:hanging="709"/>
      </w:pPr>
      <w:rPr>
        <w:rFonts w:hint="default"/>
      </w:rPr>
    </w:lvl>
    <w:lvl w:ilvl="4">
      <w:start w:val="1"/>
      <w:numFmt w:val="bullet"/>
      <w:lvlText w:val="•"/>
      <w:lvlJc w:val="left"/>
      <w:pPr>
        <w:ind w:left="4932" w:hanging="709"/>
      </w:pPr>
      <w:rPr>
        <w:rFonts w:hint="default"/>
      </w:rPr>
    </w:lvl>
    <w:lvl w:ilvl="5">
      <w:start w:val="1"/>
      <w:numFmt w:val="bullet"/>
      <w:lvlText w:val="•"/>
      <w:lvlJc w:val="left"/>
      <w:pPr>
        <w:ind w:left="5960" w:hanging="709"/>
      </w:pPr>
      <w:rPr>
        <w:rFonts w:hint="default"/>
      </w:rPr>
    </w:lvl>
    <w:lvl w:ilvl="6">
      <w:start w:val="1"/>
      <w:numFmt w:val="bullet"/>
      <w:lvlText w:val="•"/>
      <w:lvlJc w:val="left"/>
      <w:pPr>
        <w:ind w:left="6988" w:hanging="709"/>
      </w:pPr>
      <w:rPr>
        <w:rFonts w:hint="default"/>
      </w:rPr>
    </w:lvl>
    <w:lvl w:ilvl="7">
      <w:start w:val="1"/>
      <w:numFmt w:val="bullet"/>
      <w:lvlText w:val="•"/>
      <w:lvlJc w:val="left"/>
      <w:pPr>
        <w:ind w:left="8016" w:hanging="709"/>
      </w:pPr>
      <w:rPr>
        <w:rFonts w:hint="default"/>
      </w:rPr>
    </w:lvl>
    <w:lvl w:ilvl="8">
      <w:start w:val="1"/>
      <w:numFmt w:val="bullet"/>
      <w:lvlText w:val="•"/>
      <w:lvlJc w:val="left"/>
      <w:pPr>
        <w:ind w:left="9044" w:hanging="709"/>
      </w:pPr>
      <w:rPr>
        <w:rFonts w:hint="default"/>
      </w:rPr>
    </w:lvl>
  </w:abstractNum>
  <w:abstractNum w:abstractNumId="17">
    <w:multiLevelType w:val="hybridMultilevel"/>
    <w:lvl w:ilvl="0">
      <w:start w:val="1"/>
      <w:numFmt w:val="upperLetter"/>
      <w:lvlText w:val="%1"/>
      <w:lvlJc w:val="left"/>
      <w:pPr>
        <w:ind w:left="678" w:hanging="567"/>
        <w:jc w:val="left"/>
      </w:pPr>
      <w:rPr>
        <w:rFonts w:hint="default"/>
      </w:rPr>
    </w:lvl>
    <w:lvl w:ilvl="1">
      <w:start w:val="1"/>
      <w:numFmt w:val="decimal"/>
      <w:lvlText w:val="%1.%2."/>
      <w:lvlJc w:val="left"/>
      <w:pPr>
        <w:ind w:left="678" w:hanging="567"/>
        <w:jc w:val="left"/>
      </w:pPr>
      <w:rPr>
        <w:rFonts w:hint="default" w:ascii="Times New Roman" w:hAnsi="Times New Roman" w:eastAsia="Times New Roman" w:cs="Times New Roman"/>
        <w:b/>
        <w:bCs/>
        <w:spacing w:val="-27"/>
        <w:w w:val="100"/>
        <w:sz w:val="24"/>
        <w:szCs w:val="24"/>
      </w:rPr>
    </w:lvl>
    <w:lvl w:ilvl="2">
      <w:start w:val="1"/>
      <w:numFmt w:val="bullet"/>
      <w:lvlText w:val="•"/>
      <w:lvlJc w:val="left"/>
      <w:pPr>
        <w:ind w:left="2768" w:hanging="567"/>
      </w:pPr>
      <w:rPr>
        <w:rFonts w:hint="default"/>
      </w:rPr>
    </w:lvl>
    <w:lvl w:ilvl="3">
      <w:start w:val="1"/>
      <w:numFmt w:val="bullet"/>
      <w:lvlText w:val="•"/>
      <w:lvlJc w:val="left"/>
      <w:pPr>
        <w:ind w:left="3812" w:hanging="567"/>
      </w:pPr>
      <w:rPr>
        <w:rFonts w:hint="default"/>
      </w:rPr>
    </w:lvl>
    <w:lvl w:ilvl="4">
      <w:start w:val="1"/>
      <w:numFmt w:val="bullet"/>
      <w:lvlText w:val="•"/>
      <w:lvlJc w:val="left"/>
      <w:pPr>
        <w:ind w:left="4856" w:hanging="567"/>
      </w:pPr>
      <w:rPr>
        <w:rFonts w:hint="default"/>
      </w:rPr>
    </w:lvl>
    <w:lvl w:ilvl="5">
      <w:start w:val="1"/>
      <w:numFmt w:val="bullet"/>
      <w:lvlText w:val="•"/>
      <w:lvlJc w:val="left"/>
      <w:pPr>
        <w:ind w:left="5900" w:hanging="567"/>
      </w:pPr>
      <w:rPr>
        <w:rFonts w:hint="default"/>
      </w:rPr>
    </w:lvl>
    <w:lvl w:ilvl="6">
      <w:start w:val="1"/>
      <w:numFmt w:val="bullet"/>
      <w:lvlText w:val="•"/>
      <w:lvlJc w:val="left"/>
      <w:pPr>
        <w:ind w:left="6944" w:hanging="567"/>
      </w:pPr>
      <w:rPr>
        <w:rFonts w:hint="default"/>
      </w:rPr>
    </w:lvl>
    <w:lvl w:ilvl="7">
      <w:start w:val="1"/>
      <w:numFmt w:val="bullet"/>
      <w:lvlText w:val="•"/>
      <w:lvlJc w:val="left"/>
      <w:pPr>
        <w:ind w:left="7988" w:hanging="567"/>
      </w:pPr>
      <w:rPr>
        <w:rFonts w:hint="default"/>
      </w:rPr>
    </w:lvl>
    <w:lvl w:ilvl="8">
      <w:start w:val="1"/>
      <w:numFmt w:val="bullet"/>
      <w:lvlText w:val="•"/>
      <w:lvlJc w:val="left"/>
      <w:pPr>
        <w:ind w:left="9032" w:hanging="567"/>
      </w:pPr>
      <w:rPr>
        <w:rFonts w:hint="default"/>
      </w:rPr>
    </w:lvl>
  </w:abstractNum>
  <w:abstractNum w:abstractNumId="16">
    <w:multiLevelType w:val="hybridMultilevel"/>
    <w:lvl w:ilvl="0">
      <w:start w:val="1"/>
      <w:numFmt w:val="bullet"/>
      <w:lvlText w:val=""/>
      <w:lvlJc w:val="left"/>
      <w:pPr>
        <w:ind w:left="636" w:hanging="360"/>
      </w:pPr>
      <w:rPr>
        <w:rFonts w:hint="default"/>
        <w:w w:val="100"/>
      </w:rPr>
    </w:lvl>
    <w:lvl w:ilvl="1">
      <w:start w:val="1"/>
      <w:numFmt w:val="bullet"/>
      <w:lvlText w:val=""/>
      <w:lvlJc w:val="left"/>
      <w:pPr>
        <w:ind w:left="976" w:hanging="360"/>
      </w:pPr>
      <w:rPr>
        <w:rFonts w:hint="default" w:ascii="Symbol" w:hAnsi="Symbol" w:eastAsia="Symbol" w:cs="Symbol"/>
        <w:w w:val="100"/>
        <w:sz w:val="24"/>
        <w:szCs w:val="24"/>
      </w:rPr>
    </w:lvl>
    <w:lvl w:ilvl="2">
      <w:start w:val="1"/>
      <w:numFmt w:val="bullet"/>
      <w:lvlText w:val="•"/>
      <w:lvlJc w:val="left"/>
      <w:pPr>
        <w:ind w:left="1900" w:hanging="360"/>
      </w:pPr>
      <w:rPr>
        <w:rFonts w:hint="default"/>
      </w:rPr>
    </w:lvl>
    <w:lvl w:ilvl="3">
      <w:start w:val="1"/>
      <w:numFmt w:val="bullet"/>
      <w:lvlText w:val="•"/>
      <w:lvlJc w:val="left"/>
      <w:pPr>
        <w:ind w:left="2820" w:hanging="360"/>
      </w:pPr>
      <w:rPr>
        <w:rFonts w:hint="default"/>
      </w:rPr>
    </w:lvl>
    <w:lvl w:ilvl="4">
      <w:start w:val="1"/>
      <w:numFmt w:val="bullet"/>
      <w:lvlText w:val="•"/>
      <w:lvlJc w:val="left"/>
      <w:pPr>
        <w:ind w:left="3740"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8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420" w:hanging="360"/>
      </w:pPr>
      <w:rPr>
        <w:rFonts w:hint="default"/>
      </w:rPr>
    </w:lvl>
  </w:abstractNum>
  <w:abstractNum w:abstractNumId="15">
    <w:multiLevelType w:val="hybridMultilevel"/>
    <w:lvl w:ilvl="0">
      <w:start w:val="1"/>
      <w:numFmt w:val="bullet"/>
      <w:lvlText w:val=""/>
      <w:lvlJc w:val="left"/>
      <w:pPr>
        <w:ind w:left="836" w:hanging="360"/>
      </w:pPr>
      <w:rPr>
        <w:rFonts w:hint="default" w:ascii="Symbol" w:hAnsi="Symbol" w:eastAsia="Symbol" w:cs="Symbol"/>
        <w:w w:val="100"/>
        <w:sz w:val="24"/>
        <w:szCs w:val="24"/>
      </w:rPr>
    </w:lvl>
    <w:lvl w:ilvl="1">
      <w:start w:val="1"/>
      <w:numFmt w:val="bullet"/>
      <w:lvlText w:val="•"/>
      <w:lvlJc w:val="left"/>
      <w:pPr>
        <w:ind w:left="1714" w:hanging="360"/>
      </w:pPr>
      <w:rPr>
        <w:rFonts w:hint="default"/>
      </w:rPr>
    </w:lvl>
    <w:lvl w:ilvl="2">
      <w:start w:val="1"/>
      <w:numFmt w:val="bullet"/>
      <w:lvlText w:val="•"/>
      <w:lvlJc w:val="left"/>
      <w:pPr>
        <w:ind w:left="2588" w:hanging="360"/>
      </w:pPr>
      <w:rPr>
        <w:rFonts w:hint="default"/>
      </w:rPr>
    </w:lvl>
    <w:lvl w:ilvl="3">
      <w:start w:val="1"/>
      <w:numFmt w:val="bullet"/>
      <w:lvlText w:val="•"/>
      <w:lvlJc w:val="left"/>
      <w:pPr>
        <w:ind w:left="3462" w:hanging="360"/>
      </w:pPr>
      <w:rPr>
        <w:rFonts w:hint="default"/>
      </w:rPr>
    </w:lvl>
    <w:lvl w:ilvl="4">
      <w:start w:val="1"/>
      <w:numFmt w:val="bullet"/>
      <w:lvlText w:val="•"/>
      <w:lvlJc w:val="left"/>
      <w:pPr>
        <w:ind w:left="4336" w:hanging="360"/>
      </w:pPr>
      <w:rPr>
        <w:rFonts w:hint="default"/>
      </w:rPr>
    </w:lvl>
    <w:lvl w:ilvl="5">
      <w:start w:val="1"/>
      <w:numFmt w:val="bullet"/>
      <w:lvlText w:val="•"/>
      <w:lvlJc w:val="left"/>
      <w:pPr>
        <w:ind w:left="5210"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6958" w:hanging="360"/>
      </w:pPr>
      <w:rPr>
        <w:rFonts w:hint="default"/>
      </w:rPr>
    </w:lvl>
    <w:lvl w:ilvl="8">
      <w:start w:val="1"/>
      <w:numFmt w:val="bullet"/>
      <w:lvlText w:val="•"/>
      <w:lvlJc w:val="left"/>
      <w:pPr>
        <w:ind w:left="7832" w:hanging="360"/>
      </w:pPr>
      <w:rPr>
        <w:rFonts w:hint="default"/>
      </w:rPr>
    </w:lvl>
  </w:abstractNum>
  <w:abstractNum w:abstractNumId="14">
    <w:multiLevelType w:val="hybridMultilevel"/>
    <w:lvl w:ilvl="0">
      <w:start w:val="8"/>
      <w:numFmt w:val="decimal"/>
      <w:lvlText w:val="%1"/>
      <w:lvlJc w:val="left"/>
      <w:pPr>
        <w:ind w:left="1366" w:hanging="1090"/>
        <w:jc w:val="left"/>
      </w:pPr>
      <w:rPr>
        <w:rFonts w:hint="default"/>
      </w:rPr>
    </w:lvl>
    <w:lvl w:ilvl="1">
      <w:start w:val="1"/>
      <w:numFmt w:val="decimal"/>
      <w:lvlText w:val="%1.%2."/>
      <w:lvlJc w:val="left"/>
      <w:pPr>
        <w:ind w:left="1366" w:hanging="1090"/>
        <w:jc w:val="left"/>
      </w:pPr>
      <w:rPr>
        <w:rFonts w:hint="default" w:ascii="Arial" w:hAnsi="Arial" w:eastAsia="Arial" w:cs="Arial"/>
        <w:b/>
        <w:bCs/>
        <w:spacing w:val="0"/>
        <w:w w:val="101"/>
        <w:sz w:val="55"/>
        <w:szCs w:val="55"/>
      </w:rPr>
    </w:lvl>
    <w:lvl w:ilvl="2">
      <w:start w:val="1"/>
      <w:numFmt w:val="upperLetter"/>
      <w:lvlText w:val="%3."/>
      <w:lvlJc w:val="left"/>
      <w:pPr>
        <w:ind w:left="1269" w:hanging="325"/>
        <w:jc w:val="left"/>
      </w:pPr>
      <w:rPr>
        <w:rFonts w:hint="default" w:ascii="Arial" w:hAnsi="Arial" w:eastAsia="Arial" w:cs="Arial"/>
        <w:b/>
        <w:bCs/>
        <w:spacing w:val="-1"/>
        <w:w w:val="100"/>
        <w:sz w:val="24"/>
        <w:szCs w:val="24"/>
      </w:rPr>
    </w:lvl>
    <w:lvl w:ilvl="3">
      <w:start w:val="1"/>
      <w:numFmt w:val="bullet"/>
      <w:lvlText w:val="•"/>
      <w:lvlJc w:val="left"/>
      <w:pPr>
        <w:ind w:left="3115" w:hanging="325"/>
      </w:pPr>
      <w:rPr>
        <w:rFonts w:hint="default"/>
      </w:rPr>
    </w:lvl>
    <w:lvl w:ilvl="4">
      <w:start w:val="1"/>
      <w:numFmt w:val="bullet"/>
      <w:lvlText w:val="•"/>
      <w:lvlJc w:val="left"/>
      <w:pPr>
        <w:ind w:left="3993" w:hanging="325"/>
      </w:pPr>
      <w:rPr>
        <w:rFonts w:hint="default"/>
      </w:rPr>
    </w:lvl>
    <w:lvl w:ilvl="5">
      <w:start w:val="1"/>
      <w:numFmt w:val="bullet"/>
      <w:lvlText w:val="•"/>
      <w:lvlJc w:val="left"/>
      <w:pPr>
        <w:ind w:left="4871" w:hanging="325"/>
      </w:pPr>
      <w:rPr>
        <w:rFonts w:hint="default"/>
      </w:rPr>
    </w:lvl>
    <w:lvl w:ilvl="6">
      <w:start w:val="1"/>
      <w:numFmt w:val="bullet"/>
      <w:lvlText w:val="•"/>
      <w:lvlJc w:val="left"/>
      <w:pPr>
        <w:ind w:left="5748" w:hanging="325"/>
      </w:pPr>
      <w:rPr>
        <w:rFonts w:hint="default"/>
      </w:rPr>
    </w:lvl>
    <w:lvl w:ilvl="7">
      <w:start w:val="1"/>
      <w:numFmt w:val="bullet"/>
      <w:lvlText w:val="•"/>
      <w:lvlJc w:val="left"/>
      <w:pPr>
        <w:ind w:left="6626" w:hanging="325"/>
      </w:pPr>
      <w:rPr>
        <w:rFonts w:hint="default"/>
      </w:rPr>
    </w:lvl>
    <w:lvl w:ilvl="8">
      <w:start w:val="1"/>
      <w:numFmt w:val="bullet"/>
      <w:lvlText w:val="•"/>
      <w:lvlJc w:val="left"/>
      <w:pPr>
        <w:ind w:left="7504" w:hanging="325"/>
      </w:pPr>
      <w:rPr>
        <w:rFonts w:hint="default"/>
      </w:rPr>
    </w:lvl>
  </w:abstractNum>
  <w:abstractNum w:abstractNumId="13">
    <w:multiLevelType w:val="hybridMultilevel"/>
    <w:lvl w:ilvl="0">
      <w:start w:val="1"/>
      <w:numFmt w:val="bullet"/>
      <w:lvlText w:val=""/>
      <w:lvlJc w:val="left"/>
      <w:pPr>
        <w:ind w:left="996" w:hanging="360"/>
      </w:pPr>
      <w:rPr>
        <w:rFonts w:hint="default" w:ascii="Symbol" w:hAnsi="Symbol" w:eastAsia="Symbol" w:cs="Symbol"/>
        <w:w w:val="100"/>
        <w:sz w:val="24"/>
        <w:szCs w:val="24"/>
      </w:rPr>
    </w:lvl>
    <w:lvl w:ilvl="1">
      <w:start w:val="1"/>
      <w:numFmt w:val="bullet"/>
      <w:lvlText w:val="•"/>
      <w:lvlJc w:val="left"/>
      <w:pPr>
        <w:ind w:left="1826" w:hanging="360"/>
      </w:pPr>
      <w:rPr>
        <w:rFonts w:hint="default"/>
      </w:rPr>
    </w:lvl>
    <w:lvl w:ilvl="2">
      <w:start w:val="1"/>
      <w:numFmt w:val="bullet"/>
      <w:lvlText w:val="•"/>
      <w:lvlJc w:val="left"/>
      <w:pPr>
        <w:ind w:left="2652" w:hanging="360"/>
      </w:pPr>
      <w:rPr>
        <w:rFonts w:hint="default"/>
      </w:rPr>
    </w:lvl>
    <w:lvl w:ilvl="3">
      <w:start w:val="1"/>
      <w:numFmt w:val="bullet"/>
      <w:lvlText w:val="•"/>
      <w:lvlJc w:val="left"/>
      <w:pPr>
        <w:ind w:left="3478" w:hanging="360"/>
      </w:pPr>
      <w:rPr>
        <w:rFonts w:hint="default"/>
      </w:rPr>
    </w:lvl>
    <w:lvl w:ilvl="4">
      <w:start w:val="1"/>
      <w:numFmt w:val="bullet"/>
      <w:lvlText w:val="•"/>
      <w:lvlJc w:val="left"/>
      <w:pPr>
        <w:ind w:left="4304" w:hanging="360"/>
      </w:pPr>
      <w:rPr>
        <w:rFonts w:hint="default"/>
      </w:rPr>
    </w:lvl>
    <w:lvl w:ilvl="5">
      <w:start w:val="1"/>
      <w:numFmt w:val="bullet"/>
      <w:lvlText w:val="•"/>
      <w:lvlJc w:val="left"/>
      <w:pPr>
        <w:ind w:left="513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782" w:hanging="360"/>
      </w:pPr>
      <w:rPr>
        <w:rFonts w:hint="default"/>
      </w:rPr>
    </w:lvl>
    <w:lvl w:ilvl="8">
      <w:start w:val="1"/>
      <w:numFmt w:val="bullet"/>
      <w:lvlText w:val="•"/>
      <w:lvlJc w:val="left"/>
      <w:pPr>
        <w:ind w:left="7608" w:hanging="360"/>
      </w:pPr>
      <w:rPr>
        <w:rFonts w:hint="default"/>
      </w:rPr>
    </w:lvl>
  </w:abstractNum>
  <w:abstractNum w:abstractNumId="12">
    <w:multiLevelType w:val="hybridMultilevel"/>
    <w:lvl w:ilvl="0">
      <w:start w:val="7"/>
      <w:numFmt w:val="decimal"/>
      <w:lvlText w:val="%1"/>
      <w:lvlJc w:val="left"/>
      <w:pPr>
        <w:ind w:left="1055" w:hanging="779"/>
        <w:jc w:val="left"/>
      </w:pPr>
      <w:rPr>
        <w:rFonts w:hint="default"/>
      </w:rPr>
    </w:lvl>
    <w:lvl w:ilvl="1">
      <w:start w:val="2"/>
      <w:numFmt w:val="decimal"/>
      <w:lvlText w:val="%1.%2"/>
      <w:lvlJc w:val="left"/>
      <w:pPr>
        <w:ind w:left="1055" w:hanging="779"/>
        <w:jc w:val="left"/>
      </w:pPr>
      <w:rPr>
        <w:rFonts w:hint="default"/>
      </w:rPr>
    </w:lvl>
    <w:lvl w:ilvl="2">
      <w:start w:val="8"/>
      <w:numFmt w:val="decimal"/>
      <w:lvlText w:val="%1.%2.%3."/>
      <w:lvlJc w:val="left"/>
      <w:pPr>
        <w:ind w:left="1055" w:hanging="779"/>
        <w:jc w:val="left"/>
      </w:pPr>
      <w:rPr>
        <w:rFonts w:hint="default" w:ascii="Arial" w:hAnsi="Arial" w:eastAsia="Arial" w:cs="Arial"/>
        <w:b/>
        <w:bCs/>
        <w:w w:val="99"/>
        <w:sz w:val="28"/>
        <w:szCs w:val="28"/>
      </w:rPr>
    </w:lvl>
    <w:lvl w:ilvl="3">
      <w:start w:val="1"/>
      <w:numFmt w:val="bullet"/>
      <w:lvlText w:val=""/>
      <w:lvlJc w:val="left"/>
      <w:pPr>
        <w:ind w:left="1236" w:hanging="360"/>
      </w:pPr>
      <w:rPr>
        <w:rFonts w:hint="default" w:ascii="Symbol" w:hAnsi="Symbol" w:eastAsia="Symbol" w:cs="Symbol"/>
        <w:w w:val="100"/>
        <w:sz w:val="24"/>
        <w:szCs w:val="24"/>
      </w:rPr>
    </w:lvl>
    <w:lvl w:ilvl="4">
      <w:start w:val="1"/>
      <w:numFmt w:val="bullet"/>
      <w:lvlText w:val="•"/>
      <w:lvlJc w:val="left"/>
      <w:pPr>
        <w:ind w:left="3913" w:hanging="360"/>
      </w:pPr>
      <w:rPr>
        <w:rFonts w:hint="default"/>
      </w:rPr>
    </w:lvl>
    <w:lvl w:ilvl="5">
      <w:start w:val="1"/>
      <w:numFmt w:val="bullet"/>
      <w:lvlText w:val="•"/>
      <w:lvlJc w:val="left"/>
      <w:pPr>
        <w:ind w:left="4804" w:hanging="360"/>
      </w:pPr>
      <w:rPr>
        <w:rFonts w:hint="default"/>
      </w:rPr>
    </w:lvl>
    <w:lvl w:ilvl="6">
      <w:start w:val="1"/>
      <w:numFmt w:val="bullet"/>
      <w:lvlText w:val="•"/>
      <w:lvlJc w:val="left"/>
      <w:pPr>
        <w:ind w:left="5695" w:hanging="360"/>
      </w:pPr>
      <w:rPr>
        <w:rFonts w:hint="default"/>
      </w:rPr>
    </w:lvl>
    <w:lvl w:ilvl="7">
      <w:start w:val="1"/>
      <w:numFmt w:val="bullet"/>
      <w:lvlText w:val="•"/>
      <w:lvlJc w:val="left"/>
      <w:pPr>
        <w:ind w:left="6586" w:hanging="360"/>
      </w:pPr>
      <w:rPr>
        <w:rFonts w:hint="default"/>
      </w:rPr>
    </w:lvl>
    <w:lvl w:ilvl="8">
      <w:start w:val="1"/>
      <w:numFmt w:val="bullet"/>
      <w:lvlText w:val="•"/>
      <w:lvlJc w:val="left"/>
      <w:pPr>
        <w:ind w:left="7477" w:hanging="360"/>
      </w:pPr>
      <w:rPr>
        <w:rFonts w:hint="default"/>
      </w:rPr>
    </w:lvl>
  </w:abstractNum>
  <w:abstractNum w:abstractNumId="11">
    <w:multiLevelType w:val="hybridMultilevel"/>
    <w:lvl w:ilvl="0">
      <w:start w:val="7"/>
      <w:numFmt w:val="decimal"/>
      <w:lvlText w:val="%1"/>
      <w:lvlJc w:val="left"/>
      <w:pPr>
        <w:ind w:left="899" w:hanging="623"/>
        <w:jc w:val="left"/>
      </w:pPr>
      <w:rPr>
        <w:rFonts w:hint="default"/>
      </w:rPr>
    </w:lvl>
    <w:lvl w:ilvl="1">
      <w:start w:val="1"/>
      <w:numFmt w:val="decimal"/>
      <w:lvlText w:val="%1.%2."/>
      <w:lvlJc w:val="left"/>
      <w:pPr>
        <w:ind w:left="899" w:hanging="623"/>
        <w:jc w:val="left"/>
      </w:pPr>
      <w:rPr>
        <w:rFonts w:hint="default" w:ascii="Arial" w:hAnsi="Arial" w:eastAsia="Arial" w:cs="Arial"/>
        <w:b/>
        <w:bCs/>
        <w:spacing w:val="0"/>
        <w:w w:val="102"/>
        <w:sz w:val="31"/>
        <w:szCs w:val="31"/>
      </w:rPr>
    </w:lvl>
    <w:lvl w:ilvl="2">
      <w:start w:val="1"/>
      <w:numFmt w:val="decimal"/>
      <w:lvlText w:val="%1.%2.%3."/>
      <w:lvlJc w:val="left"/>
      <w:pPr>
        <w:ind w:left="1055" w:hanging="779"/>
        <w:jc w:val="left"/>
      </w:pPr>
      <w:rPr>
        <w:rFonts w:hint="default" w:ascii="Arial" w:hAnsi="Arial" w:eastAsia="Arial" w:cs="Arial"/>
        <w:b/>
        <w:bCs/>
        <w:w w:val="99"/>
        <w:sz w:val="28"/>
        <w:szCs w:val="28"/>
      </w:rPr>
    </w:lvl>
    <w:lvl w:ilvl="3">
      <w:start w:val="1"/>
      <w:numFmt w:val="bullet"/>
      <w:lvlText w:val="•"/>
      <w:lvlJc w:val="left"/>
      <w:pPr>
        <w:ind w:left="2882" w:hanging="779"/>
      </w:pPr>
      <w:rPr>
        <w:rFonts w:hint="default"/>
      </w:rPr>
    </w:lvl>
    <w:lvl w:ilvl="4">
      <w:start w:val="1"/>
      <w:numFmt w:val="bullet"/>
      <w:lvlText w:val="•"/>
      <w:lvlJc w:val="left"/>
      <w:pPr>
        <w:ind w:left="3793" w:hanging="779"/>
      </w:pPr>
      <w:rPr>
        <w:rFonts w:hint="default"/>
      </w:rPr>
    </w:lvl>
    <w:lvl w:ilvl="5">
      <w:start w:val="1"/>
      <w:numFmt w:val="bullet"/>
      <w:lvlText w:val="•"/>
      <w:lvlJc w:val="left"/>
      <w:pPr>
        <w:ind w:left="4704" w:hanging="779"/>
      </w:pPr>
      <w:rPr>
        <w:rFonts w:hint="default"/>
      </w:rPr>
    </w:lvl>
    <w:lvl w:ilvl="6">
      <w:start w:val="1"/>
      <w:numFmt w:val="bullet"/>
      <w:lvlText w:val="•"/>
      <w:lvlJc w:val="left"/>
      <w:pPr>
        <w:ind w:left="5615" w:hanging="779"/>
      </w:pPr>
      <w:rPr>
        <w:rFonts w:hint="default"/>
      </w:rPr>
    </w:lvl>
    <w:lvl w:ilvl="7">
      <w:start w:val="1"/>
      <w:numFmt w:val="bullet"/>
      <w:lvlText w:val="•"/>
      <w:lvlJc w:val="left"/>
      <w:pPr>
        <w:ind w:left="6526" w:hanging="779"/>
      </w:pPr>
      <w:rPr>
        <w:rFonts w:hint="default"/>
      </w:rPr>
    </w:lvl>
    <w:lvl w:ilvl="8">
      <w:start w:val="1"/>
      <w:numFmt w:val="bullet"/>
      <w:lvlText w:val="•"/>
      <w:lvlJc w:val="left"/>
      <w:pPr>
        <w:ind w:left="7437" w:hanging="779"/>
      </w:pPr>
      <w:rPr>
        <w:rFonts w:hint="default"/>
      </w:rPr>
    </w:lvl>
  </w:abstractNum>
  <w:abstractNum w:abstractNumId="10">
    <w:multiLevelType w:val="hybridMultilevel"/>
    <w:lvl w:ilvl="0">
      <w:start w:val="1"/>
      <w:numFmt w:val="bullet"/>
      <w:lvlText w:val="•"/>
      <w:lvlJc w:val="left"/>
      <w:pPr>
        <w:ind w:left="153" w:hanging="96"/>
      </w:pPr>
      <w:rPr>
        <w:rFonts w:hint="default" w:ascii="Arial" w:hAnsi="Arial" w:eastAsia="Arial" w:cs="Arial"/>
        <w:w w:val="103"/>
        <w:sz w:val="12"/>
        <w:szCs w:val="12"/>
      </w:rPr>
    </w:lvl>
    <w:lvl w:ilvl="1">
      <w:start w:val="1"/>
      <w:numFmt w:val="bullet"/>
      <w:lvlText w:val="•"/>
      <w:lvlJc w:val="left"/>
      <w:pPr>
        <w:ind w:left="312" w:hanging="96"/>
      </w:pPr>
      <w:rPr>
        <w:rFonts w:hint="default"/>
      </w:rPr>
    </w:lvl>
    <w:lvl w:ilvl="2">
      <w:start w:val="1"/>
      <w:numFmt w:val="bullet"/>
      <w:lvlText w:val="•"/>
      <w:lvlJc w:val="left"/>
      <w:pPr>
        <w:ind w:left="464" w:hanging="96"/>
      </w:pPr>
      <w:rPr>
        <w:rFonts w:hint="default"/>
      </w:rPr>
    </w:lvl>
    <w:lvl w:ilvl="3">
      <w:start w:val="1"/>
      <w:numFmt w:val="bullet"/>
      <w:lvlText w:val="•"/>
      <w:lvlJc w:val="left"/>
      <w:pPr>
        <w:ind w:left="616" w:hanging="96"/>
      </w:pPr>
      <w:rPr>
        <w:rFonts w:hint="default"/>
      </w:rPr>
    </w:lvl>
    <w:lvl w:ilvl="4">
      <w:start w:val="1"/>
      <w:numFmt w:val="bullet"/>
      <w:lvlText w:val="•"/>
      <w:lvlJc w:val="left"/>
      <w:pPr>
        <w:ind w:left="768" w:hanging="96"/>
      </w:pPr>
      <w:rPr>
        <w:rFonts w:hint="default"/>
      </w:rPr>
    </w:lvl>
    <w:lvl w:ilvl="5">
      <w:start w:val="1"/>
      <w:numFmt w:val="bullet"/>
      <w:lvlText w:val="•"/>
      <w:lvlJc w:val="left"/>
      <w:pPr>
        <w:ind w:left="920" w:hanging="96"/>
      </w:pPr>
      <w:rPr>
        <w:rFonts w:hint="default"/>
      </w:rPr>
    </w:lvl>
    <w:lvl w:ilvl="6">
      <w:start w:val="1"/>
      <w:numFmt w:val="bullet"/>
      <w:lvlText w:val="•"/>
      <w:lvlJc w:val="left"/>
      <w:pPr>
        <w:ind w:left="1072" w:hanging="96"/>
      </w:pPr>
      <w:rPr>
        <w:rFonts w:hint="default"/>
      </w:rPr>
    </w:lvl>
    <w:lvl w:ilvl="7">
      <w:start w:val="1"/>
      <w:numFmt w:val="bullet"/>
      <w:lvlText w:val="•"/>
      <w:lvlJc w:val="left"/>
      <w:pPr>
        <w:ind w:left="1224" w:hanging="96"/>
      </w:pPr>
      <w:rPr>
        <w:rFonts w:hint="default"/>
      </w:rPr>
    </w:lvl>
    <w:lvl w:ilvl="8">
      <w:start w:val="1"/>
      <w:numFmt w:val="bullet"/>
      <w:lvlText w:val="•"/>
      <w:lvlJc w:val="left"/>
      <w:pPr>
        <w:ind w:left="1376" w:hanging="96"/>
      </w:pPr>
      <w:rPr>
        <w:rFonts w:hint="default"/>
      </w:rPr>
    </w:lvl>
  </w:abstractNum>
  <w:abstractNum w:abstractNumId="9">
    <w:multiLevelType w:val="hybridMultilevel"/>
    <w:lvl w:ilvl="0">
      <w:start w:val="1"/>
      <w:numFmt w:val="bullet"/>
      <w:lvlText w:val="•"/>
      <w:lvlJc w:val="left"/>
      <w:pPr>
        <w:ind w:left="153" w:hanging="96"/>
      </w:pPr>
      <w:rPr>
        <w:rFonts w:hint="default" w:ascii="Arial" w:hAnsi="Arial" w:eastAsia="Arial" w:cs="Arial"/>
        <w:w w:val="103"/>
        <w:sz w:val="12"/>
        <w:szCs w:val="12"/>
      </w:rPr>
    </w:lvl>
    <w:lvl w:ilvl="1">
      <w:start w:val="1"/>
      <w:numFmt w:val="bullet"/>
      <w:lvlText w:val="•"/>
      <w:lvlJc w:val="left"/>
      <w:pPr>
        <w:ind w:left="312" w:hanging="96"/>
      </w:pPr>
      <w:rPr>
        <w:rFonts w:hint="default"/>
      </w:rPr>
    </w:lvl>
    <w:lvl w:ilvl="2">
      <w:start w:val="1"/>
      <w:numFmt w:val="bullet"/>
      <w:lvlText w:val="•"/>
      <w:lvlJc w:val="left"/>
      <w:pPr>
        <w:ind w:left="464" w:hanging="96"/>
      </w:pPr>
      <w:rPr>
        <w:rFonts w:hint="default"/>
      </w:rPr>
    </w:lvl>
    <w:lvl w:ilvl="3">
      <w:start w:val="1"/>
      <w:numFmt w:val="bullet"/>
      <w:lvlText w:val="•"/>
      <w:lvlJc w:val="left"/>
      <w:pPr>
        <w:ind w:left="616" w:hanging="96"/>
      </w:pPr>
      <w:rPr>
        <w:rFonts w:hint="default"/>
      </w:rPr>
    </w:lvl>
    <w:lvl w:ilvl="4">
      <w:start w:val="1"/>
      <w:numFmt w:val="bullet"/>
      <w:lvlText w:val="•"/>
      <w:lvlJc w:val="left"/>
      <w:pPr>
        <w:ind w:left="768" w:hanging="96"/>
      </w:pPr>
      <w:rPr>
        <w:rFonts w:hint="default"/>
      </w:rPr>
    </w:lvl>
    <w:lvl w:ilvl="5">
      <w:start w:val="1"/>
      <w:numFmt w:val="bullet"/>
      <w:lvlText w:val="•"/>
      <w:lvlJc w:val="left"/>
      <w:pPr>
        <w:ind w:left="920" w:hanging="96"/>
      </w:pPr>
      <w:rPr>
        <w:rFonts w:hint="default"/>
      </w:rPr>
    </w:lvl>
    <w:lvl w:ilvl="6">
      <w:start w:val="1"/>
      <w:numFmt w:val="bullet"/>
      <w:lvlText w:val="•"/>
      <w:lvlJc w:val="left"/>
      <w:pPr>
        <w:ind w:left="1072" w:hanging="96"/>
      </w:pPr>
      <w:rPr>
        <w:rFonts w:hint="default"/>
      </w:rPr>
    </w:lvl>
    <w:lvl w:ilvl="7">
      <w:start w:val="1"/>
      <w:numFmt w:val="bullet"/>
      <w:lvlText w:val="•"/>
      <w:lvlJc w:val="left"/>
      <w:pPr>
        <w:ind w:left="1224" w:hanging="96"/>
      </w:pPr>
      <w:rPr>
        <w:rFonts w:hint="default"/>
      </w:rPr>
    </w:lvl>
    <w:lvl w:ilvl="8">
      <w:start w:val="1"/>
      <w:numFmt w:val="bullet"/>
      <w:lvlText w:val="•"/>
      <w:lvlJc w:val="left"/>
      <w:pPr>
        <w:ind w:left="1376" w:hanging="96"/>
      </w:pPr>
      <w:rPr>
        <w:rFonts w:hint="default"/>
      </w:rPr>
    </w:lvl>
  </w:abstractNum>
  <w:abstractNum w:abstractNumId="8">
    <w:multiLevelType w:val="hybridMultilevel"/>
    <w:lvl w:ilvl="0">
      <w:start w:val="1"/>
      <w:numFmt w:val="bullet"/>
      <w:lvlText w:val="•"/>
      <w:lvlJc w:val="left"/>
      <w:pPr>
        <w:ind w:left="139" w:hanging="96"/>
      </w:pPr>
      <w:rPr>
        <w:rFonts w:hint="default" w:ascii="Arial" w:hAnsi="Arial" w:eastAsia="Arial" w:cs="Arial"/>
        <w:w w:val="99"/>
        <w:sz w:val="14"/>
        <w:szCs w:val="14"/>
      </w:rPr>
    </w:lvl>
    <w:lvl w:ilvl="1">
      <w:start w:val="1"/>
      <w:numFmt w:val="bullet"/>
      <w:lvlText w:val="•"/>
      <w:lvlJc w:val="left"/>
      <w:pPr>
        <w:ind w:left="327" w:hanging="96"/>
      </w:pPr>
      <w:rPr>
        <w:rFonts w:hint="default"/>
      </w:rPr>
    </w:lvl>
    <w:lvl w:ilvl="2">
      <w:start w:val="1"/>
      <w:numFmt w:val="bullet"/>
      <w:lvlText w:val="•"/>
      <w:lvlJc w:val="left"/>
      <w:pPr>
        <w:ind w:left="514" w:hanging="96"/>
      </w:pPr>
      <w:rPr>
        <w:rFonts w:hint="default"/>
      </w:rPr>
    </w:lvl>
    <w:lvl w:ilvl="3">
      <w:start w:val="1"/>
      <w:numFmt w:val="bullet"/>
      <w:lvlText w:val="•"/>
      <w:lvlJc w:val="left"/>
      <w:pPr>
        <w:ind w:left="701" w:hanging="96"/>
      </w:pPr>
      <w:rPr>
        <w:rFonts w:hint="default"/>
      </w:rPr>
    </w:lvl>
    <w:lvl w:ilvl="4">
      <w:start w:val="1"/>
      <w:numFmt w:val="bullet"/>
      <w:lvlText w:val="•"/>
      <w:lvlJc w:val="left"/>
      <w:pPr>
        <w:ind w:left="888" w:hanging="96"/>
      </w:pPr>
      <w:rPr>
        <w:rFonts w:hint="default"/>
      </w:rPr>
    </w:lvl>
    <w:lvl w:ilvl="5">
      <w:start w:val="1"/>
      <w:numFmt w:val="bullet"/>
      <w:lvlText w:val="•"/>
      <w:lvlJc w:val="left"/>
      <w:pPr>
        <w:ind w:left="1075" w:hanging="96"/>
      </w:pPr>
      <w:rPr>
        <w:rFonts w:hint="default"/>
      </w:rPr>
    </w:lvl>
    <w:lvl w:ilvl="6">
      <w:start w:val="1"/>
      <w:numFmt w:val="bullet"/>
      <w:lvlText w:val="•"/>
      <w:lvlJc w:val="left"/>
      <w:pPr>
        <w:ind w:left="1262" w:hanging="96"/>
      </w:pPr>
      <w:rPr>
        <w:rFonts w:hint="default"/>
      </w:rPr>
    </w:lvl>
    <w:lvl w:ilvl="7">
      <w:start w:val="1"/>
      <w:numFmt w:val="bullet"/>
      <w:lvlText w:val="•"/>
      <w:lvlJc w:val="left"/>
      <w:pPr>
        <w:ind w:left="1449" w:hanging="96"/>
      </w:pPr>
      <w:rPr>
        <w:rFonts w:hint="default"/>
      </w:rPr>
    </w:lvl>
    <w:lvl w:ilvl="8">
      <w:start w:val="1"/>
      <w:numFmt w:val="bullet"/>
      <w:lvlText w:val="•"/>
      <w:lvlJc w:val="left"/>
      <w:pPr>
        <w:ind w:left="1636" w:hanging="96"/>
      </w:pPr>
      <w:rPr>
        <w:rFonts w:hint="default"/>
      </w:rPr>
    </w:lvl>
  </w:abstractNum>
  <w:abstractNum w:abstractNumId="7">
    <w:multiLevelType w:val="hybridMultilevel"/>
    <w:lvl w:ilvl="0">
      <w:start w:val="1"/>
      <w:numFmt w:val="bullet"/>
      <w:lvlText w:val="•"/>
      <w:lvlJc w:val="left"/>
      <w:pPr>
        <w:ind w:left="139" w:hanging="96"/>
      </w:pPr>
      <w:rPr>
        <w:rFonts w:hint="default" w:ascii="Arial" w:hAnsi="Arial" w:eastAsia="Arial" w:cs="Arial"/>
        <w:w w:val="103"/>
        <w:sz w:val="12"/>
        <w:szCs w:val="12"/>
      </w:rPr>
    </w:lvl>
    <w:lvl w:ilvl="1">
      <w:start w:val="1"/>
      <w:numFmt w:val="bullet"/>
      <w:lvlText w:val="•"/>
      <w:lvlJc w:val="left"/>
      <w:pPr>
        <w:ind w:left="325" w:hanging="96"/>
      </w:pPr>
      <w:rPr>
        <w:rFonts w:hint="default"/>
      </w:rPr>
    </w:lvl>
    <w:lvl w:ilvl="2">
      <w:start w:val="1"/>
      <w:numFmt w:val="bullet"/>
      <w:lvlText w:val="•"/>
      <w:lvlJc w:val="left"/>
      <w:pPr>
        <w:ind w:left="511" w:hanging="96"/>
      </w:pPr>
      <w:rPr>
        <w:rFonts w:hint="default"/>
      </w:rPr>
    </w:lvl>
    <w:lvl w:ilvl="3">
      <w:start w:val="1"/>
      <w:numFmt w:val="bullet"/>
      <w:lvlText w:val="•"/>
      <w:lvlJc w:val="left"/>
      <w:pPr>
        <w:ind w:left="696" w:hanging="96"/>
      </w:pPr>
      <w:rPr>
        <w:rFonts w:hint="default"/>
      </w:rPr>
    </w:lvl>
    <w:lvl w:ilvl="4">
      <w:start w:val="1"/>
      <w:numFmt w:val="bullet"/>
      <w:lvlText w:val="•"/>
      <w:lvlJc w:val="left"/>
      <w:pPr>
        <w:ind w:left="882" w:hanging="96"/>
      </w:pPr>
      <w:rPr>
        <w:rFonts w:hint="default"/>
      </w:rPr>
    </w:lvl>
    <w:lvl w:ilvl="5">
      <w:start w:val="1"/>
      <w:numFmt w:val="bullet"/>
      <w:lvlText w:val="•"/>
      <w:lvlJc w:val="left"/>
      <w:pPr>
        <w:ind w:left="1068" w:hanging="96"/>
      </w:pPr>
      <w:rPr>
        <w:rFonts w:hint="default"/>
      </w:rPr>
    </w:lvl>
    <w:lvl w:ilvl="6">
      <w:start w:val="1"/>
      <w:numFmt w:val="bullet"/>
      <w:lvlText w:val="•"/>
      <w:lvlJc w:val="left"/>
      <w:pPr>
        <w:ind w:left="1253" w:hanging="96"/>
      </w:pPr>
      <w:rPr>
        <w:rFonts w:hint="default"/>
      </w:rPr>
    </w:lvl>
    <w:lvl w:ilvl="7">
      <w:start w:val="1"/>
      <w:numFmt w:val="bullet"/>
      <w:lvlText w:val="•"/>
      <w:lvlJc w:val="left"/>
      <w:pPr>
        <w:ind w:left="1439" w:hanging="96"/>
      </w:pPr>
      <w:rPr>
        <w:rFonts w:hint="default"/>
      </w:rPr>
    </w:lvl>
    <w:lvl w:ilvl="8">
      <w:start w:val="1"/>
      <w:numFmt w:val="bullet"/>
      <w:lvlText w:val="•"/>
      <w:lvlJc w:val="left"/>
      <w:pPr>
        <w:ind w:left="1625" w:hanging="96"/>
      </w:pPr>
      <w:rPr>
        <w:rFonts w:hint="default"/>
      </w:rPr>
    </w:lvl>
  </w:abstractNum>
  <w:abstractNum w:abstractNumId="6">
    <w:multiLevelType w:val="hybridMultilevel"/>
    <w:lvl w:ilvl="0">
      <w:start w:val="1"/>
      <w:numFmt w:val="bullet"/>
      <w:lvlText w:val="•"/>
      <w:lvlJc w:val="left"/>
      <w:pPr>
        <w:ind w:left="137" w:hanging="96"/>
      </w:pPr>
      <w:rPr>
        <w:rFonts w:hint="default" w:ascii="Arial" w:hAnsi="Arial" w:eastAsia="Arial" w:cs="Arial"/>
        <w:w w:val="99"/>
        <w:sz w:val="14"/>
        <w:szCs w:val="14"/>
      </w:rPr>
    </w:lvl>
    <w:lvl w:ilvl="1">
      <w:start w:val="1"/>
      <w:numFmt w:val="bullet"/>
      <w:lvlText w:val="•"/>
      <w:lvlJc w:val="left"/>
      <w:pPr>
        <w:ind w:left="240" w:hanging="96"/>
      </w:pPr>
      <w:rPr>
        <w:rFonts w:hint="default"/>
      </w:rPr>
    </w:lvl>
    <w:lvl w:ilvl="2">
      <w:start w:val="1"/>
      <w:numFmt w:val="bullet"/>
      <w:lvlText w:val="•"/>
      <w:lvlJc w:val="left"/>
      <w:pPr>
        <w:ind w:left="492" w:hanging="96"/>
      </w:pPr>
      <w:rPr>
        <w:rFonts w:hint="default"/>
      </w:rPr>
    </w:lvl>
    <w:lvl w:ilvl="3">
      <w:start w:val="1"/>
      <w:numFmt w:val="bullet"/>
      <w:lvlText w:val="•"/>
      <w:lvlJc w:val="left"/>
      <w:pPr>
        <w:ind w:left="744" w:hanging="96"/>
      </w:pPr>
      <w:rPr>
        <w:rFonts w:hint="default"/>
      </w:rPr>
    </w:lvl>
    <w:lvl w:ilvl="4">
      <w:start w:val="1"/>
      <w:numFmt w:val="bullet"/>
      <w:lvlText w:val="•"/>
      <w:lvlJc w:val="left"/>
      <w:pPr>
        <w:ind w:left="996" w:hanging="96"/>
      </w:pPr>
      <w:rPr>
        <w:rFonts w:hint="default"/>
      </w:rPr>
    </w:lvl>
    <w:lvl w:ilvl="5">
      <w:start w:val="1"/>
      <w:numFmt w:val="bullet"/>
      <w:lvlText w:val="•"/>
      <w:lvlJc w:val="left"/>
      <w:pPr>
        <w:ind w:left="1248" w:hanging="96"/>
      </w:pPr>
      <w:rPr>
        <w:rFonts w:hint="default"/>
      </w:rPr>
    </w:lvl>
    <w:lvl w:ilvl="6">
      <w:start w:val="1"/>
      <w:numFmt w:val="bullet"/>
      <w:lvlText w:val="•"/>
      <w:lvlJc w:val="left"/>
      <w:pPr>
        <w:ind w:left="1501" w:hanging="96"/>
      </w:pPr>
      <w:rPr>
        <w:rFonts w:hint="default"/>
      </w:rPr>
    </w:lvl>
    <w:lvl w:ilvl="7">
      <w:start w:val="1"/>
      <w:numFmt w:val="bullet"/>
      <w:lvlText w:val="•"/>
      <w:lvlJc w:val="left"/>
      <w:pPr>
        <w:ind w:left="1753" w:hanging="96"/>
      </w:pPr>
      <w:rPr>
        <w:rFonts w:hint="default"/>
      </w:rPr>
    </w:lvl>
    <w:lvl w:ilvl="8">
      <w:start w:val="1"/>
      <w:numFmt w:val="bullet"/>
      <w:lvlText w:val="•"/>
      <w:lvlJc w:val="left"/>
      <w:pPr>
        <w:ind w:left="2005" w:hanging="96"/>
      </w:pPr>
      <w:rPr>
        <w:rFonts w:hint="default"/>
      </w:rPr>
    </w:lvl>
  </w:abstractNum>
  <w:abstractNum w:abstractNumId="5">
    <w:multiLevelType w:val="hybridMultilevel"/>
    <w:lvl w:ilvl="0">
      <w:start w:val="1"/>
      <w:numFmt w:val="bullet"/>
      <w:lvlText w:val=""/>
      <w:lvlJc w:val="left"/>
      <w:pPr>
        <w:ind w:left="320" w:hanging="220"/>
      </w:pPr>
      <w:rPr>
        <w:rFonts w:hint="default" w:ascii="Symbol" w:hAnsi="Symbol" w:eastAsia="Symbol" w:cs="Symbol"/>
        <w:w w:val="102"/>
        <w:sz w:val="21"/>
        <w:szCs w:val="21"/>
      </w:rPr>
    </w:lvl>
    <w:lvl w:ilvl="1">
      <w:start w:val="1"/>
      <w:numFmt w:val="bullet"/>
      <w:lvlText w:val="•"/>
      <w:lvlJc w:val="left"/>
      <w:pPr>
        <w:ind w:left="1134" w:hanging="220"/>
      </w:pPr>
      <w:rPr>
        <w:rFonts w:hint="default"/>
      </w:rPr>
    </w:lvl>
    <w:lvl w:ilvl="2">
      <w:start w:val="1"/>
      <w:numFmt w:val="bullet"/>
      <w:lvlText w:val="•"/>
      <w:lvlJc w:val="left"/>
      <w:pPr>
        <w:ind w:left="1948" w:hanging="220"/>
      </w:pPr>
      <w:rPr>
        <w:rFonts w:hint="default"/>
      </w:rPr>
    </w:lvl>
    <w:lvl w:ilvl="3">
      <w:start w:val="1"/>
      <w:numFmt w:val="bullet"/>
      <w:lvlText w:val="•"/>
      <w:lvlJc w:val="left"/>
      <w:pPr>
        <w:ind w:left="2762" w:hanging="220"/>
      </w:pPr>
      <w:rPr>
        <w:rFonts w:hint="default"/>
      </w:rPr>
    </w:lvl>
    <w:lvl w:ilvl="4">
      <w:start w:val="1"/>
      <w:numFmt w:val="bullet"/>
      <w:lvlText w:val="•"/>
      <w:lvlJc w:val="left"/>
      <w:pPr>
        <w:ind w:left="3576" w:hanging="220"/>
      </w:pPr>
      <w:rPr>
        <w:rFonts w:hint="default"/>
      </w:rPr>
    </w:lvl>
    <w:lvl w:ilvl="5">
      <w:start w:val="1"/>
      <w:numFmt w:val="bullet"/>
      <w:lvlText w:val="•"/>
      <w:lvlJc w:val="left"/>
      <w:pPr>
        <w:ind w:left="4391" w:hanging="220"/>
      </w:pPr>
      <w:rPr>
        <w:rFonts w:hint="default"/>
      </w:rPr>
    </w:lvl>
    <w:lvl w:ilvl="6">
      <w:start w:val="1"/>
      <w:numFmt w:val="bullet"/>
      <w:lvlText w:val="•"/>
      <w:lvlJc w:val="left"/>
      <w:pPr>
        <w:ind w:left="5205" w:hanging="220"/>
      </w:pPr>
      <w:rPr>
        <w:rFonts w:hint="default"/>
      </w:rPr>
    </w:lvl>
    <w:lvl w:ilvl="7">
      <w:start w:val="1"/>
      <w:numFmt w:val="bullet"/>
      <w:lvlText w:val="•"/>
      <w:lvlJc w:val="left"/>
      <w:pPr>
        <w:ind w:left="6019" w:hanging="220"/>
      </w:pPr>
      <w:rPr>
        <w:rFonts w:hint="default"/>
      </w:rPr>
    </w:lvl>
    <w:lvl w:ilvl="8">
      <w:start w:val="1"/>
      <w:numFmt w:val="bullet"/>
      <w:lvlText w:val="•"/>
      <w:lvlJc w:val="left"/>
      <w:pPr>
        <w:ind w:left="6833" w:hanging="220"/>
      </w:pPr>
      <w:rPr>
        <w:rFonts w:hint="default"/>
      </w:rPr>
    </w:lvl>
  </w:abstractNum>
  <w:abstractNum w:abstractNumId="4">
    <w:multiLevelType w:val="hybridMultilevel"/>
    <w:lvl w:ilvl="0">
      <w:start w:val="6"/>
      <w:numFmt w:val="decimal"/>
      <w:lvlText w:val="%1"/>
      <w:lvlJc w:val="left"/>
      <w:pPr>
        <w:ind w:left="1099" w:hanging="623"/>
        <w:jc w:val="left"/>
      </w:pPr>
      <w:rPr>
        <w:rFonts w:hint="default"/>
      </w:rPr>
    </w:lvl>
    <w:lvl w:ilvl="1">
      <w:start w:val="1"/>
      <w:numFmt w:val="decimal"/>
      <w:lvlText w:val="%1.%2."/>
      <w:lvlJc w:val="left"/>
      <w:pPr>
        <w:ind w:left="1059" w:hanging="623"/>
        <w:jc w:val="right"/>
      </w:pPr>
      <w:rPr>
        <w:rFonts w:hint="default" w:ascii="Arial" w:hAnsi="Arial" w:eastAsia="Arial" w:cs="Arial"/>
        <w:b/>
        <w:bCs/>
        <w:spacing w:val="0"/>
        <w:w w:val="102"/>
        <w:sz w:val="31"/>
        <w:szCs w:val="31"/>
      </w:rPr>
    </w:lvl>
    <w:lvl w:ilvl="2">
      <w:start w:val="1"/>
      <w:numFmt w:val="decimal"/>
      <w:lvlText w:val="%1.%2.%3."/>
      <w:lvlJc w:val="left"/>
      <w:pPr>
        <w:ind w:left="1047" w:hanging="772"/>
        <w:jc w:val="left"/>
      </w:pPr>
      <w:rPr>
        <w:rFonts w:hint="default" w:ascii="Arial" w:hAnsi="Arial" w:eastAsia="Arial" w:cs="Arial"/>
        <w:b/>
        <w:bCs/>
        <w:w w:val="99"/>
        <w:sz w:val="28"/>
        <w:szCs w:val="28"/>
      </w:rPr>
    </w:lvl>
    <w:lvl w:ilvl="3">
      <w:start w:val="1"/>
      <w:numFmt w:val="bullet"/>
      <w:lvlText w:val=""/>
      <w:lvlJc w:val="left"/>
      <w:pPr>
        <w:ind w:left="996" w:hanging="360"/>
      </w:pPr>
      <w:rPr>
        <w:rFonts w:hint="default" w:ascii="Symbol" w:hAnsi="Symbol" w:eastAsia="Symbol" w:cs="Symbol"/>
        <w:w w:val="102"/>
        <w:sz w:val="21"/>
        <w:szCs w:val="21"/>
      </w:rPr>
    </w:lvl>
    <w:lvl w:ilvl="4">
      <w:start w:val="1"/>
      <w:numFmt w:val="bullet"/>
      <w:lvlText w:val="•"/>
      <w:lvlJc w:val="left"/>
      <w:pPr>
        <w:ind w:left="2265" w:hanging="360"/>
      </w:pPr>
      <w:rPr>
        <w:rFonts w:hint="default"/>
      </w:rPr>
    </w:lvl>
    <w:lvl w:ilvl="5">
      <w:start w:val="1"/>
      <w:numFmt w:val="bullet"/>
      <w:lvlText w:val="•"/>
      <w:lvlJc w:val="left"/>
      <w:pPr>
        <w:ind w:left="3431" w:hanging="360"/>
      </w:pPr>
      <w:rPr>
        <w:rFonts w:hint="default"/>
      </w:rPr>
    </w:lvl>
    <w:lvl w:ilvl="6">
      <w:start w:val="1"/>
      <w:numFmt w:val="bullet"/>
      <w:lvlText w:val="•"/>
      <w:lvlJc w:val="left"/>
      <w:pPr>
        <w:ind w:left="4597" w:hanging="360"/>
      </w:pPr>
      <w:rPr>
        <w:rFonts w:hint="default"/>
      </w:rPr>
    </w:lvl>
    <w:lvl w:ilvl="7">
      <w:start w:val="1"/>
      <w:numFmt w:val="bullet"/>
      <w:lvlText w:val="•"/>
      <w:lvlJc w:val="left"/>
      <w:pPr>
        <w:ind w:left="5762" w:hanging="360"/>
      </w:pPr>
      <w:rPr>
        <w:rFonts w:hint="default"/>
      </w:rPr>
    </w:lvl>
    <w:lvl w:ilvl="8">
      <w:start w:val="1"/>
      <w:numFmt w:val="bullet"/>
      <w:lvlText w:val="•"/>
      <w:lvlJc w:val="left"/>
      <w:pPr>
        <w:ind w:left="6928" w:hanging="360"/>
      </w:pPr>
      <w:rPr>
        <w:rFonts w:hint="default"/>
      </w:rPr>
    </w:lvl>
  </w:abstractNum>
  <w:abstractNum w:abstractNumId="3">
    <w:multiLevelType w:val="hybridMultilevel"/>
    <w:lvl w:ilvl="0">
      <w:start w:val="5"/>
      <w:numFmt w:val="decimal"/>
      <w:lvlText w:val="%1"/>
      <w:lvlJc w:val="left"/>
      <w:pPr>
        <w:ind w:left="941" w:hanging="545"/>
        <w:jc w:val="left"/>
      </w:pPr>
      <w:rPr>
        <w:rFonts w:hint="default"/>
      </w:rPr>
    </w:lvl>
    <w:lvl w:ilvl="1">
      <w:start w:val="1"/>
      <w:numFmt w:val="decimal"/>
      <w:lvlText w:val="%1.%2."/>
      <w:lvlJc w:val="left"/>
      <w:pPr>
        <w:ind w:left="941" w:hanging="545"/>
        <w:jc w:val="left"/>
      </w:pPr>
      <w:rPr>
        <w:rFonts w:hint="default" w:ascii="Arial" w:hAnsi="Arial" w:eastAsia="Arial" w:cs="Arial"/>
        <w:b/>
        <w:bCs/>
        <w:w w:val="99"/>
        <w:sz w:val="28"/>
        <w:szCs w:val="28"/>
      </w:rPr>
    </w:lvl>
    <w:lvl w:ilvl="2">
      <w:start w:val="1"/>
      <w:numFmt w:val="bullet"/>
      <w:lvlText w:val=""/>
      <w:lvlJc w:val="left"/>
      <w:pPr>
        <w:ind w:left="1389" w:hanging="426"/>
      </w:pPr>
      <w:rPr>
        <w:rFonts w:hint="default" w:ascii="Symbol" w:hAnsi="Symbol" w:eastAsia="Symbol" w:cs="Symbol"/>
        <w:w w:val="100"/>
        <w:sz w:val="24"/>
        <w:szCs w:val="24"/>
      </w:rPr>
    </w:lvl>
    <w:lvl w:ilvl="3">
      <w:start w:val="1"/>
      <w:numFmt w:val="bullet"/>
      <w:lvlText w:val=""/>
      <w:lvlJc w:val="left"/>
      <w:pPr>
        <w:ind w:left="1487" w:hanging="360"/>
      </w:pPr>
      <w:rPr>
        <w:rFonts w:hint="default" w:ascii="Symbol" w:hAnsi="Symbol" w:eastAsia="Symbol" w:cs="Symbol"/>
        <w:w w:val="100"/>
        <w:sz w:val="24"/>
        <w:szCs w:val="24"/>
      </w:rPr>
    </w:lvl>
    <w:lvl w:ilvl="4">
      <w:start w:val="1"/>
      <w:numFmt w:val="bullet"/>
      <w:lvlText w:val="•"/>
      <w:lvlJc w:val="left"/>
      <w:pPr>
        <w:ind w:left="3425" w:hanging="360"/>
      </w:pPr>
      <w:rPr>
        <w:rFonts w:hint="default"/>
      </w:rPr>
    </w:lvl>
    <w:lvl w:ilvl="5">
      <w:start w:val="1"/>
      <w:numFmt w:val="bullet"/>
      <w:lvlText w:val="•"/>
      <w:lvlJc w:val="left"/>
      <w:pPr>
        <w:ind w:left="4397" w:hanging="360"/>
      </w:pPr>
      <w:rPr>
        <w:rFonts w:hint="default"/>
      </w:rPr>
    </w:lvl>
    <w:lvl w:ilvl="6">
      <w:start w:val="1"/>
      <w:numFmt w:val="bullet"/>
      <w:lvlText w:val="•"/>
      <w:lvlJc w:val="left"/>
      <w:pPr>
        <w:ind w:left="5370" w:hanging="360"/>
      </w:pPr>
      <w:rPr>
        <w:rFonts w:hint="default"/>
      </w:rPr>
    </w:lvl>
    <w:lvl w:ilvl="7">
      <w:start w:val="1"/>
      <w:numFmt w:val="bullet"/>
      <w:lvlText w:val="•"/>
      <w:lvlJc w:val="left"/>
      <w:pPr>
        <w:ind w:left="6342" w:hanging="360"/>
      </w:pPr>
      <w:rPr>
        <w:rFonts w:hint="default"/>
      </w:rPr>
    </w:lvl>
    <w:lvl w:ilvl="8">
      <w:start w:val="1"/>
      <w:numFmt w:val="bullet"/>
      <w:lvlText w:val="•"/>
      <w:lvlJc w:val="left"/>
      <w:pPr>
        <w:ind w:left="7315" w:hanging="360"/>
      </w:pPr>
      <w:rPr>
        <w:rFonts w:hint="default"/>
      </w:rPr>
    </w:lvl>
  </w:abstractNum>
  <w:abstractNum w:abstractNumId="2">
    <w:multiLevelType w:val="hybridMultilevel"/>
    <w:lvl w:ilvl="0">
      <w:start w:val="2"/>
      <w:numFmt w:val="decimal"/>
      <w:lvlText w:val="%1"/>
      <w:lvlJc w:val="left"/>
      <w:pPr>
        <w:ind w:left="999" w:hanging="623"/>
        <w:jc w:val="left"/>
      </w:pPr>
      <w:rPr>
        <w:rFonts w:hint="default"/>
      </w:rPr>
    </w:lvl>
    <w:lvl w:ilvl="1">
      <w:start w:val="1"/>
      <w:numFmt w:val="decimal"/>
      <w:lvlText w:val="%1.%2."/>
      <w:lvlJc w:val="left"/>
      <w:pPr>
        <w:ind w:left="999" w:hanging="623"/>
        <w:jc w:val="right"/>
      </w:pPr>
      <w:rPr>
        <w:rFonts w:hint="default" w:ascii="Arial" w:hAnsi="Arial" w:eastAsia="Arial" w:cs="Arial"/>
        <w:b/>
        <w:bCs/>
        <w:spacing w:val="0"/>
        <w:w w:val="102"/>
        <w:sz w:val="31"/>
        <w:szCs w:val="31"/>
      </w:rPr>
    </w:lvl>
    <w:lvl w:ilvl="2">
      <w:start w:val="1"/>
      <w:numFmt w:val="bullet"/>
      <w:lvlText w:val="•"/>
      <w:lvlJc w:val="left"/>
      <w:pPr>
        <w:ind w:left="2688" w:hanging="623"/>
      </w:pPr>
      <w:rPr>
        <w:rFonts w:hint="default"/>
      </w:rPr>
    </w:lvl>
    <w:lvl w:ilvl="3">
      <w:start w:val="1"/>
      <w:numFmt w:val="bullet"/>
      <w:lvlText w:val="•"/>
      <w:lvlJc w:val="left"/>
      <w:pPr>
        <w:ind w:left="3532" w:hanging="623"/>
      </w:pPr>
      <w:rPr>
        <w:rFonts w:hint="default"/>
      </w:rPr>
    </w:lvl>
    <w:lvl w:ilvl="4">
      <w:start w:val="1"/>
      <w:numFmt w:val="bullet"/>
      <w:lvlText w:val="•"/>
      <w:lvlJc w:val="left"/>
      <w:pPr>
        <w:ind w:left="4376" w:hanging="623"/>
      </w:pPr>
      <w:rPr>
        <w:rFonts w:hint="default"/>
      </w:rPr>
    </w:lvl>
    <w:lvl w:ilvl="5">
      <w:start w:val="1"/>
      <w:numFmt w:val="bullet"/>
      <w:lvlText w:val="•"/>
      <w:lvlJc w:val="left"/>
      <w:pPr>
        <w:ind w:left="5220" w:hanging="623"/>
      </w:pPr>
      <w:rPr>
        <w:rFonts w:hint="default"/>
      </w:rPr>
    </w:lvl>
    <w:lvl w:ilvl="6">
      <w:start w:val="1"/>
      <w:numFmt w:val="bullet"/>
      <w:lvlText w:val="•"/>
      <w:lvlJc w:val="left"/>
      <w:pPr>
        <w:ind w:left="6064" w:hanging="623"/>
      </w:pPr>
      <w:rPr>
        <w:rFonts w:hint="default"/>
      </w:rPr>
    </w:lvl>
    <w:lvl w:ilvl="7">
      <w:start w:val="1"/>
      <w:numFmt w:val="bullet"/>
      <w:lvlText w:val="•"/>
      <w:lvlJc w:val="left"/>
      <w:pPr>
        <w:ind w:left="6908" w:hanging="623"/>
      </w:pPr>
      <w:rPr>
        <w:rFonts w:hint="default"/>
      </w:rPr>
    </w:lvl>
    <w:lvl w:ilvl="8">
      <w:start w:val="1"/>
      <w:numFmt w:val="bullet"/>
      <w:lvlText w:val="•"/>
      <w:lvlJc w:val="left"/>
      <w:pPr>
        <w:ind w:left="7752" w:hanging="623"/>
      </w:pPr>
      <w:rPr>
        <w:rFonts w:hint="default"/>
      </w:rPr>
    </w:lvl>
  </w:abstractNum>
  <w:abstractNum w:abstractNumId="1">
    <w:multiLevelType w:val="hybridMultilevel"/>
    <w:lvl w:ilvl="0">
      <w:start w:val="6"/>
      <w:numFmt w:val="decimal"/>
      <w:lvlText w:val="%1"/>
      <w:lvlJc w:val="left"/>
      <w:pPr>
        <w:ind w:left="1836" w:hanging="637"/>
        <w:jc w:val="left"/>
      </w:pPr>
      <w:rPr>
        <w:rFonts w:hint="default"/>
      </w:rPr>
    </w:lvl>
    <w:lvl w:ilvl="1">
      <w:start w:val="8"/>
      <w:numFmt w:val="decimal"/>
      <w:lvlText w:val="%1.%2"/>
      <w:lvlJc w:val="left"/>
      <w:pPr>
        <w:ind w:left="1836" w:hanging="637"/>
        <w:jc w:val="right"/>
      </w:pPr>
      <w:rPr>
        <w:rFonts w:hint="default"/>
      </w:rPr>
    </w:lvl>
    <w:lvl w:ilvl="2">
      <w:start w:val="3"/>
      <w:numFmt w:val="decimal"/>
      <w:lvlText w:val="%1.%2.%3."/>
      <w:lvlJc w:val="left"/>
      <w:pPr>
        <w:ind w:left="1836" w:hanging="637"/>
        <w:jc w:val="left"/>
      </w:pPr>
      <w:rPr>
        <w:rFonts w:hint="default" w:ascii="Arial" w:hAnsi="Arial" w:eastAsia="Arial" w:cs="Arial"/>
        <w:w w:val="100"/>
        <w:sz w:val="24"/>
        <w:szCs w:val="24"/>
      </w:rPr>
    </w:lvl>
    <w:lvl w:ilvl="3">
      <w:start w:val="1"/>
      <w:numFmt w:val="bullet"/>
      <w:lvlText w:val="•"/>
      <w:lvlJc w:val="left"/>
      <w:pPr>
        <w:ind w:left="4066" w:hanging="637"/>
      </w:pPr>
      <w:rPr>
        <w:rFonts w:hint="default"/>
      </w:rPr>
    </w:lvl>
    <w:lvl w:ilvl="4">
      <w:start w:val="1"/>
      <w:numFmt w:val="bullet"/>
      <w:lvlText w:val="•"/>
      <w:lvlJc w:val="left"/>
      <w:pPr>
        <w:ind w:left="4808" w:hanging="637"/>
      </w:pPr>
      <w:rPr>
        <w:rFonts w:hint="default"/>
      </w:rPr>
    </w:lvl>
    <w:lvl w:ilvl="5">
      <w:start w:val="1"/>
      <w:numFmt w:val="bullet"/>
      <w:lvlText w:val="•"/>
      <w:lvlJc w:val="left"/>
      <w:pPr>
        <w:ind w:left="5550" w:hanging="637"/>
      </w:pPr>
      <w:rPr>
        <w:rFonts w:hint="default"/>
      </w:rPr>
    </w:lvl>
    <w:lvl w:ilvl="6">
      <w:start w:val="1"/>
      <w:numFmt w:val="bullet"/>
      <w:lvlText w:val="•"/>
      <w:lvlJc w:val="left"/>
      <w:pPr>
        <w:ind w:left="6292" w:hanging="637"/>
      </w:pPr>
      <w:rPr>
        <w:rFonts w:hint="default"/>
      </w:rPr>
    </w:lvl>
    <w:lvl w:ilvl="7">
      <w:start w:val="1"/>
      <w:numFmt w:val="bullet"/>
      <w:lvlText w:val="•"/>
      <w:lvlJc w:val="left"/>
      <w:pPr>
        <w:ind w:left="7034" w:hanging="637"/>
      </w:pPr>
      <w:rPr>
        <w:rFonts w:hint="default"/>
      </w:rPr>
    </w:lvl>
    <w:lvl w:ilvl="8">
      <w:start w:val="1"/>
      <w:numFmt w:val="bullet"/>
      <w:lvlText w:val="•"/>
      <w:lvlJc w:val="left"/>
      <w:pPr>
        <w:ind w:left="7776" w:hanging="637"/>
      </w:pPr>
      <w:rPr>
        <w:rFonts w:hint="default"/>
      </w:rPr>
    </w:lvl>
  </w:abstractNum>
  <w:abstractNum w:abstractNumId="0">
    <w:multiLevelType w:val="hybridMultilevel"/>
    <w:lvl w:ilvl="0">
      <w:start w:val="1"/>
      <w:numFmt w:val="decimal"/>
      <w:lvlText w:val="%1."/>
      <w:lvlJc w:val="left"/>
      <w:pPr>
        <w:ind w:left="633" w:hanging="357"/>
        <w:jc w:val="left"/>
      </w:pPr>
      <w:rPr>
        <w:rFonts w:hint="default" w:ascii="Arial" w:hAnsi="Arial" w:eastAsia="Arial" w:cs="Arial"/>
        <w:b/>
        <w:bCs/>
        <w:w w:val="100"/>
        <w:sz w:val="24"/>
        <w:szCs w:val="24"/>
      </w:rPr>
    </w:lvl>
    <w:lvl w:ilvl="1">
      <w:start w:val="1"/>
      <w:numFmt w:val="decimal"/>
      <w:lvlText w:val="%1.%2."/>
      <w:lvlJc w:val="left"/>
      <w:pPr>
        <w:ind w:left="1213" w:hanging="577"/>
        <w:jc w:val="left"/>
      </w:pPr>
      <w:rPr>
        <w:rFonts w:hint="default" w:ascii="Arial" w:hAnsi="Arial" w:eastAsia="Arial" w:cs="Arial"/>
        <w:spacing w:val="-24"/>
        <w:w w:val="100"/>
        <w:sz w:val="24"/>
        <w:szCs w:val="24"/>
      </w:rPr>
    </w:lvl>
    <w:lvl w:ilvl="2">
      <w:start w:val="1"/>
      <w:numFmt w:val="decimal"/>
      <w:lvlText w:val="%1.%2.%3."/>
      <w:lvlJc w:val="left"/>
      <w:pPr>
        <w:ind w:left="1199" w:hanging="637"/>
        <w:jc w:val="left"/>
      </w:pPr>
      <w:rPr>
        <w:rFonts w:hint="default" w:ascii="Arial" w:hAnsi="Arial" w:eastAsia="Arial" w:cs="Arial"/>
        <w:w w:val="100"/>
        <w:sz w:val="24"/>
        <w:szCs w:val="24"/>
      </w:rPr>
    </w:lvl>
    <w:lvl w:ilvl="3">
      <w:start w:val="1"/>
      <w:numFmt w:val="bullet"/>
      <w:lvlText w:val="•"/>
      <w:lvlJc w:val="left"/>
      <w:pPr>
        <w:ind w:left="1220" w:hanging="637"/>
      </w:pPr>
      <w:rPr>
        <w:rFonts w:hint="default"/>
      </w:rPr>
    </w:lvl>
    <w:lvl w:ilvl="4">
      <w:start w:val="1"/>
      <w:numFmt w:val="bullet"/>
      <w:lvlText w:val="•"/>
      <w:lvlJc w:val="left"/>
      <w:pPr>
        <w:ind w:left="1260" w:hanging="637"/>
      </w:pPr>
      <w:rPr>
        <w:rFonts w:hint="default"/>
      </w:rPr>
    </w:lvl>
    <w:lvl w:ilvl="5">
      <w:start w:val="1"/>
      <w:numFmt w:val="bullet"/>
      <w:lvlText w:val="•"/>
      <w:lvlJc w:val="left"/>
      <w:pPr>
        <w:ind w:left="1960" w:hanging="637"/>
      </w:pPr>
      <w:rPr>
        <w:rFonts w:hint="default"/>
      </w:rPr>
    </w:lvl>
    <w:lvl w:ilvl="6">
      <w:start w:val="1"/>
      <w:numFmt w:val="bullet"/>
      <w:lvlText w:val="•"/>
      <w:lvlJc w:val="left"/>
      <w:pPr>
        <w:ind w:left="3420" w:hanging="637"/>
      </w:pPr>
      <w:rPr>
        <w:rFonts w:hint="default"/>
      </w:rPr>
    </w:lvl>
    <w:lvl w:ilvl="7">
      <w:start w:val="1"/>
      <w:numFmt w:val="bullet"/>
      <w:lvlText w:val="•"/>
      <w:lvlJc w:val="left"/>
      <w:pPr>
        <w:ind w:left="4880" w:hanging="637"/>
      </w:pPr>
      <w:rPr>
        <w:rFonts w:hint="default"/>
      </w:rPr>
    </w:lvl>
    <w:lvl w:ilvl="8">
      <w:start w:val="1"/>
      <w:numFmt w:val="bullet"/>
      <w:lvlText w:val="•"/>
      <w:lvlJc w:val="left"/>
      <w:pPr>
        <w:ind w:left="6340" w:hanging="637"/>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81"/>
      <w:ind w:left="633" w:hanging="357"/>
    </w:pPr>
    <w:rPr>
      <w:rFonts w:ascii="Arial" w:hAnsi="Arial" w:eastAsia="Arial" w:cs="Arial"/>
      <w:b/>
      <w:bCs/>
      <w:sz w:val="24"/>
      <w:szCs w:val="24"/>
    </w:rPr>
  </w:style>
  <w:style w:styleId="TOC2" w:type="paragraph">
    <w:name w:val="TOC 2"/>
    <w:basedOn w:val="Normal"/>
    <w:uiPriority w:val="1"/>
    <w:qFormat/>
    <w:pPr>
      <w:spacing w:before="161"/>
      <w:ind w:left="1171" w:hanging="535"/>
    </w:pPr>
    <w:rPr>
      <w:rFonts w:ascii="Arial" w:hAnsi="Arial" w:eastAsia="Arial" w:cs="Arial"/>
      <w:sz w:val="24"/>
      <w:szCs w:val="24"/>
    </w:rPr>
  </w:style>
  <w:style w:styleId="TOC3" w:type="paragraph">
    <w:name w:val="TOC 3"/>
    <w:basedOn w:val="Normal"/>
    <w:uiPriority w:val="1"/>
    <w:qFormat/>
    <w:pPr>
      <w:spacing w:before="161"/>
      <w:ind w:left="1968" w:hanging="74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366"/>
      <w:outlineLvl w:val="1"/>
    </w:pPr>
    <w:rPr>
      <w:rFonts w:ascii="Arial" w:hAnsi="Arial" w:eastAsia="Arial" w:cs="Arial"/>
      <w:b/>
      <w:bCs/>
      <w:sz w:val="55"/>
      <w:szCs w:val="55"/>
    </w:rPr>
  </w:style>
  <w:style w:styleId="Heading2" w:type="paragraph">
    <w:name w:val="Heading 2"/>
    <w:basedOn w:val="Normal"/>
    <w:uiPriority w:val="1"/>
    <w:qFormat/>
    <w:pPr>
      <w:spacing w:before="66"/>
      <w:ind w:left="899" w:hanging="623"/>
      <w:jc w:val="both"/>
      <w:outlineLvl w:val="2"/>
    </w:pPr>
    <w:rPr>
      <w:rFonts w:ascii="Arial" w:hAnsi="Arial" w:eastAsia="Arial" w:cs="Arial"/>
      <w:b/>
      <w:bCs/>
      <w:sz w:val="31"/>
      <w:szCs w:val="31"/>
    </w:rPr>
  </w:style>
  <w:style w:styleId="Heading3" w:type="paragraph">
    <w:name w:val="Heading 3"/>
    <w:basedOn w:val="Normal"/>
    <w:uiPriority w:val="1"/>
    <w:qFormat/>
    <w:pPr>
      <w:ind w:left="417" w:right="1085"/>
      <w:jc w:val="center"/>
      <w:outlineLvl w:val="3"/>
    </w:pPr>
    <w:rPr>
      <w:rFonts w:ascii="Arial" w:hAnsi="Arial" w:eastAsia="Arial" w:cs="Arial"/>
      <w:sz w:val="31"/>
      <w:szCs w:val="31"/>
    </w:rPr>
  </w:style>
  <w:style w:styleId="Heading4" w:type="paragraph">
    <w:name w:val="Heading 4"/>
    <w:basedOn w:val="Normal"/>
    <w:uiPriority w:val="1"/>
    <w:qFormat/>
    <w:pPr>
      <w:ind w:left="1055" w:hanging="779"/>
      <w:jc w:val="both"/>
      <w:outlineLvl w:val="4"/>
    </w:pPr>
    <w:rPr>
      <w:rFonts w:ascii="Arial" w:hAnsi="Arial" w:eastAsia="Arial" w:cs="Arial"/>
      <w:b/>
      <w:bCs/>
      <w:sz w:val="28"/>
      <w:szCs w:val="28"/>
    </w:rPr>
  </w:style>
  <w:style w:styleId="Heading5" w:type="paragraph">
    <w:name w:val="Heading 5"/>
    <w:basedOn w:val="Normal"/>
    <w:uiPriority w:val="1"/>
    <w:qFormat/>
    <w:pPr>
      <w:spacing w:before="4"/>
      <w:ind w:right="266"/>
      <w:jc w:val="right"/>
      <w:outlineLvl w:val="5"/>
    </w:pPr>
    <w:rPr>
      <w:rFonts w:ascii="Arial" w:hAnsi="Arial" w:eastAsia="Arial" w:cs="Arial"/>
      <w:sz w:val="27"/>
      <w:szCs w:val="27"/>
    </w:rPr>
  </w:style>
  <w:style w:styleId="Heading6" w:type="paragraph">
    <w:name w:val="Heading 6"/>
    <w:basedOn w:val="Normal"/>
    <w:uiPriority w:val="1"/>
    <w:qFormat/>
    <w:pPr>
      <w:ind w:left="276"/>
      <w:jc w:val="both"/>
      <w:outlineLvl w:val="6"/>
    </w:pPr>
    <w:rPr>
      <w:rFonts w:ascii="Arial" w:hAnsi="Arial" w:eastAsia="Arial" w:cs="Arial"/>
      <w:b/>
      <w:bCs/>
      <w:sz w:val="24"/>
      <w:szCs w:val="24"/>
    </w:rPr>
  </w:style>
  <w:style w:styleId="Heading7" w:type="paragraph">
    <w:name w:val="Heading 7"/>
    <w:basedOn w:val="Normal"/>
    <w:uiPriority w:val="1"/>
    <w:qFormat/>
    <w:pPr>
      <w:spacing w:before="7"/>
      <w:ind w:left="820" w:right="107" w:hanging="709"/>
      <w:jc w:val="both"/>
      <w:outlineLvl w:val="7"/>
    </w:pPr>
    <w:rPr>
      <w:rFonts w:ascii="Calibri" w:hAnsi="Calibri" w:eastAsia="Calibri" w:cs="Calibri"/>
      <w:b/>
      <w:bCs/>
      <w:i/>
      <w:sz w:val="24"/>
      <w:szCs w:val="24"/>
    </w:rPr>
  </w:style>
  <w:style w:styleId="ListParagraph" w:type="paragraph">
    <w:name w:val="List Paragraph"/>
    <w:basedOn w:val="Normal"/>
    <w:uiPriority w:val="1"/>
    <w:qFormat/>
    <w:pPr>
      <w:spacing w:before="161"/>
      <w:ind w:left="636" w:hanging="360"/>
      <w:jc w:val="both"/>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header" Target="header3.xml"/><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header" Target="header4.xml"/><Relationship Id="rId18" Type="http://schemas.openxmlformats.org/officeDocument/2006/relationships/footer" Target="footer2.xml"/><Relationship Id="rId19" Type="http://schemas.openxmlformats.org/officeDocument/2006/relationships/header" Target="header5.xml"/><Relationship Id="rId20" Type="http://schemas.openxmlformats.org/officeDocument/2006/relationships/footer" Target="footer3.xml"/><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header" Target="header6.xml"/><Relationship Id="rId24" Type="http://schemas.openxmlformats.org/officeDocument/2006/relationships/footer" Target="footer4.xml"/><Relationship Id="rId25" Type="http://schemas.openxmlformats.org/officeDocument/2006/relationships/header" Target="header7.xml"/><Relationship Id="rId26" Type="http://schemas.openxmlformats.org/officeDocument/2006/relationships/footer" Target="footer5.xml"/><Relationship Id="rId27" Type="http://schemas.openxmlformats.org/officeDocument/2006/relationships/image" Target="media/image11.png"/><Relationship Id="rId28" Type="http://schemas.openxmlformats.org/officeDocument/2006/relationships/image" Target="media/image12.png"/><Relationship Id="rId29" Type="http://schemas.openxmlformats.org/officeDocument/2006/relationships/hyperlink" Target="http://unfccc.int/" TargetMode="External"/><Relationship Id="rId30" Type="http://schemas.openxmlformats.org/officeDocument/2006/relationships/image" Target="media/image13.png"/><Relationship Id="rId31" Type="http://schemas.openxmlformats.org/officeDocument/2006/relationships/footer" Target="footer6.xml"/><Relationship Id="rId32" Type="http://schemas.openxmlformats.org/officeDocument/2006/relationships/footer" Target="footer7.xml"/><Relationship Id="rId33" Type="http://schemas.openxmlformats.org/officeDocument/2006/relationships/header" Target="header8.xml"/><Relationship Id="rId34" Type="http://schemas.openxmlformats.org/officeDocument/2006/relationships/footer" Target="footer8.xml"/><Relationship Id="rId35" Type="http://schemas.openxmlformats.org/officeDocument/2006/relationships/image" Target="media/image14.png"/><Relationship Id="rId36" Type="http://schemas.openxmlformats.org/officeDocument/2006/relationships/image" Target="media/image15.jpeg"/><Relationship Id="rId37" Type="http://schemas.openxmlformats.org/officeDocument/2006/relationships/image" Target="media/image16.png"/><Relationship Id="rId38" Type="http://schemas.openxmlformats.org/officeDocument/2006/relationships/hyperlink" Target="http://www.gob.mx/inecc/acciones-y-programas/inventario-nacional-de-emisiones-de-" TargetMode="External"/><Relationship Id="rId39" Type="http://schemas.openxmlformats.org/officeDocument/2006/relationships/header" Target="header9.xml"/><Relationship Id="rId40" Type="http://schemas.openxmlformats.org/officeDocument/2006/relationships/footer" Target="footer9.xml"/><Relationship Id="rId41" Type="http://schemas.openxmlformats.org/officeDocument/2006/relationships/image" Target="media/image17.png"/><Relationship Id="rId42" Type="http://schemas.openxmlformats.org/officeDocument/2006/relationships/image" Target="media/image18.png"/><Relationship Id="rId43" Type="http://schemas.openxmlformats.org/officeDocument/2006/relationships/image" Target="media/image19.png"/><Relationship Id="rId44" Type="http://schemas.openxmlformats.org/officeDocument/2006/relationships/image" Target="media/image20.png"/><Relationship Id="rId45" Type="http://schemas.openxmlformats.org/officeDocument/2006/relationships/image" Target="media/image21.png"/><Relationship Id="rId46" Type="http://schemas.openxmlformats.org/officeDocument/2006/relationships/image" Target="media/image22.png"/><Relationship Id="rId47" Type="http://schemas.openxmlformats.org/officeDocument/2006/relationships/image" Target="media/image23.jpeg"/><Relationship Id="rId48" Type="http://schemas.openxmlformats.org/officeDocument/2006/relationships/hyperlink" Target="http://www.ipcc.ch/publications_and_data/ar4/wg1/es/faq-2-" TargetMode="External"/><Relationship Id="rId49" Type="http://schemas.openxmlformats.org/officeDocument/2006/relationships/footer" Target="footer10.xml"/><Relationship Id="rId50" Type="http://schemas.openxmlformats.org/officeDocument/2006/relationships/footer" Target="footer11.xml"/><Relationship Id="rId51" Type="http://schemas.openxmlformats.org/officeDocument/2006/relationships/hyperlink" Target="http://www.mapsprogramme.org/wp-" TargetMode="External"/><Relationship Id="rId52" Type="http://schemas.openxmlformats.org/officeDocument/2006/relationships/image" Target="media/image24.jpeg"/><Relationship Id="rId53" Type="http://schemas.openxmlformats.org/officeDocument/2006/relationships/hyperlink" Target="http://intainforma.inta.gov.ar/?p=3423&amp;amp;sthash.pSzvSqS9.dpuf" TargetMode="External"/><Relationship Id="rId54" Type="http://schemas.openxmlformats.org/officeDocument/2006/relationships/image" Target="media/image25.png"/><Relationship Id="rId55" Type="http://schemas.openxmlformats.org/officeDocument/2006/relationships/image" Target="media/image26.png"/><Relationship Id="rId56" Type="http://schemas.openxmlformats.org/officeDocument/2006/relationships/image" Target="media/image27.png"/><Relationship Id="rId57" Type="http://schemas.openxmlformats.org/officeDocument/2006/relationships/image" Target="media/image28.png"/><Relationship Id="rId58" Type="http://schemas.openxmlformats.org/officeDocument/2006/relationships/image" Target="media/image29.png"/><Relationship Id="rId59" Type="http://schemas.openxmlformats.org/officeDocument/2006/relationships/image" Target="media/image30.png"/><Relationship Id="rId60" Type="http://schemas.openxmlformats.org/officeDocument/2006/relationships/image" Target="media/image31.png"/><Relationship Id="rId61" Type="http://schemas.openxmlformats.org/officeDocument/2006/relationships/image" Target="media/image32.png"/><Relationship Id="rId62" Type="http://schemas.openxmlformats.org/officeDocument/2006/relationships/image" Target="media/image33.png"/><Relationship Id="rId63" Type="http://schemas.openxmlformats.org/officeDocument/2006/relationships/image" Target="media/image34.png"/><Relationship Id="rId64" Type="http://schemas.openxmlformats.org/officeDocument/2006/relationships/image" Target="media/image35.png"/><Relationship Id="rId65" Type="http://schemas.openxmlformats.org/officeDocument/2006/relationships/image" Target="media/image36.png"/><Relationship Id="rId66" Type="http://schemas.openxmlformats.org/officeDocument/2006/relationships/image" Target="media/image37.png"/><Relationship Id="rId67" Type="http://schemas.openxmlformats.org/officeDocument/2006/relationships/image" Target="media/image38.png"/><Relationship Id="rId68" Type="http://schemas.openxmlformats.org/officeDocument/2006/relationships/image" Target="media/image39.png"/><Relationship Id="rId69" Type="http://schemas.openxmlformats.org/officeDocument/2006/relationships/image" Target="media/image40.png"/><Relationship Id="rId70" Type="http://schemas.openxmlformats.org/officeDocument/2006/relationships/image" Target="media/image41.png"/><Relationship Id="rId71" Type="http://schemas.openxmlformats.org/officeDocument/2006/relationships/image" Target="media/image42.png"/><Relationship Id="rId72" Type="http://schemas.openxmlformats.org/officeDocument/2006/relationships/image" Target="media/image43.png"/><Relationship Id="rId73" Type="http://schemas.openxmlformats.org/officeDocument/2006/relationships/image" Target="media/image44.png"/><Relationship Id="rId74" Type="http://schemas.openxmlformats.org/officeDocument/2006/relationships/image" Target="media/image45.png"/><Relationship Id="rId75" Type="http://schemas.openxmlformats.org/officeDocument/2006/relationships/image" Target="media/image46.png"/><Relationship Id="rId76" Type="http://schemas.openxmlformats.org/officeDocument/2006/relationships/image" Target="media/image47.png"/><Relationship Id="rId77" Type="http://schemas.openxmlformats.org/officeDocument/2006/relationships/image" Target="media/image48.png"/><Relationship Id="rId78" Type="http://schemas.openxmlformats.org/officeDocument/2006/relationships/footer" Target="footer12.xml"/><Relationship Id="rId79" Type="http://schemas.openxmlformats.org/officeDocument/2006/relationships/footer" Target="footer13.xml"/><Relationship Id="rId80" Type="http://schemas.openxmlformats.org/officeDocument/2006/relationships/image" Target="media/image49.jpeg"/><Relationship Id="rId81" Type="http://schemas.openxmlformats.org/officeDocument/2006/relationships/footer" Target="footer14.xml"/><Relationship Id="rId82" Type="http://schemas.openxmlformats.org/officeDocument/2006/relationships/footer" Target="footer15.xml"/><Relationship Id="rId83" Type="http://schemas.openxmlformats.org/officeDocument/2006/relationships/image" Target="media/image50.png"/><Relationship Id="rId84" Type="http://schemas.openxmlformats.org/officeDocument/2006/relationships/image" Target="media/image51.jpeg"/><Relationship Id="rId85" Type="http://schemas.openxmlformats.org/officeDocument/2006/relationships/footer" Target="footer16.xml"/><Relationship Id="rId86" Type="http://schemas.openxmlformats.org/officeDocument/2006/relationships/image" Target="media/image52.png"/><Relationship Id="rId87" Type="http://schemas.openxmlformats.org/officeDocument/2006/relationships/image" Target="media/image53.png"/><Relationship Id="rId88" Type="http://schemas.openxmlformats.org/officeDocument/2006/relationships/image" Target="media/image54.png"/><Relationship Id="rId89" Type="http://schemas.openxmlformats.org/officeDocument/2006/relationships/image" Target="media/image55.png"/><Relationship Id="rId90" Type="http://schemas.openxmlformats.org/officeDocument/2006/relationships/image" Target="media/image56.png"/><Relationship Id="rId91" Type="http://schemas.openxmlformats.org/officeDocument/2006/relationships/image" Target="media/image57.png"/><Relationship Id="rId92" Type="http://schemas.openxmlformats.org/officeDocument/2006/relationships/image" Target="media/image58.png"/><Relationship Id="rId93" Type="http://schemas.openxmlformats.org/officeDocument/2006/relationships/image" Target="media/image59.png"/><Relationship Id="rId94" Type="http://schemas.openxmlformats.org/officeDocument/2006/relationships/image" Target="media/image60.png"/><Relationship Id="rId95" Type="http://schemas.openxmlformats.org/officeDocument/2006/relationships/image" Target="media/image61.png"/><Relationship Id="rId96" Type="http://schemas.openxmlformats.org/officeDocument/2006/relationships/image" Target="media/image62.png"/><Relationship Id="rId97" Type="http://schemas.openxmlformats.org/officeDocument/2006/relationships/image" Target="media/image63.png"/><Relationship Id="rId98" Type="http://schemas.openxmlformats.org/officeDocument/2006/relationships/image" Target="media/image64.png"/><Relationship Id="rId99" Type="http://schemas.openxmlformats.org/officeDocument/2006/relationships/image" Target="media/image65.png"/><Relationship Id="rId100" Type="http://schemas.openxmlformats.org/officeDocument/2006/relationships/image" Target="media/image66.png"/><Relationship Id="rId101" Type="http://schemas.openxmlformats.org/officeDocument/2006/relationships/image" Target="media/image67.png"/><Relationship Id="rId102" Type="http://schemas.openxmlformats.org/officeDocument/2006/relationships/image" Target="media/image68.png"/><Relationship Id="rId103" Type="http://schemas.openxmlformats.org/officeDocument/2006/relationships/image" Target="media/image69.png"/><Relationship Id="rId104" Type="http://schemas.openxmlformats.org/officeDocument/2006/relationships/image" Target="media/image70.png"/><Relationship Id="rId105" Type="http://schemas.openxmlformats.org/officeDocument/2006/relationships/image" Target="media/image71.png"/><Relationship Id="rId106" Type="http://schemas.openxmlformats.org/officeDocument/2006/relationships/image" Target="media/image72.png"/><Relationship Id="rId107" Type="http://schemas.openxmlformats.org/officeDocument/2006/relationships/image" Target="media/image73.png"/><Relationship Id="rId108" Type="http://schemas.openxmlformats.org/officeDocument/2006/relationships/image" Target="media/image74.png"/><Relationship Id="rId109" Type="http://schemas.openxmlformats.org/officeDocument/2006/relationships/image" Target="media/image75.png"/><Relationship Id="rId110" Type="http://schemas.openxmlformats.org/officeDocument/2006/relationships/image" Target="media/image76.png"/><Relationship Id="rId111" Type="http://schemas.openxmlformats.org/officeDocument/2006/relationships/image" Target="media/image77.png"/><Relationship Id="rId112" Type="http://schemas.openxmlformats.org/officeDocument/2006/relationships/image" Target="media/image78.png"/><Relationship Id="rId113" Type="http://schemas.openxmlformats.org/officeDocument/2006/relationships/image" Target="media/image79.png"/><Relationship Id="rId114" Type="http://schemas.openxmlformats.org/officeDocument/2006/relationships/image" Target="media/image80.png"/><Relationship Id="rId115" Type="http://schemas.openxmlformats.org/officeDocument/2006/relationships/image" Target="media/image81.png"/><Relationship Id="rId116" Type="http://schemas.openxmlformats.org/officeDocument/2006/relationships/image" Target="media/image82.png"/><Relationship Id="rId117" Type="http://schemas.openxmlformats.org/officeDocument/2006/relationships/image" Target="media/image83.png"/><Relationship Id="rId118" Type="http://schemas.openxmlformats.org/officeDocument/2006/relationships/image" Target="media/image84.png"/><Relationship Id="rId119" Type="http://schemas.openxmlformats.org/officeDocument/2006/relationships/header" Target="header10.xml"/><Relationship Id="rId120" Type="http://schemas.openxmlformats.org/officeDocument/2006/relationships/footer" Target="footer17.xml"/><Relationship Id="rId121" Type="http://schemas.openxmlformats.org/officeDocument/2006/relationships/image" Target="media/image85.png"/><Relationship Id="rId122" Type="http://schemas.openxmlformats.org/officeDocument/2006/relationships/image" Target="media/image86.png"/><Relationship Id="rId123" Type="http://schemas.openxmlformats.org/officeDocument/2006/relationships/image" Target="media/image87.png"/><Relationship Id="rId124" Type="http://schemas.openxmlformats.org/officeDocument/2006/relationships/image" Target="media/image88.png"/><Relationship Id="rId125" Type="http://schemas.openxmlformats.org/officeDocument/2006/relationships/image" Target="media/image89.png"/><Relationship Id="rId126" Type="http://schemas.openxmlformats.org/officeDocument/2006/relationships/image" Target="media/image90.png"/><Relationship Id="rId127" Type="http://schemas.openxmlformats.org/officeDocument/2006/relationships/image" Target="media/image91.png"/><Relationship Id="rId128" Type="http://schemas.openxmlformats.org/officeDocument/2006/relationships/image" Target="media/image92.png"/><Relationship Id="rId129" Type="http://schemas.openxmlformats.org/officeDocument/2006/relationships/image" Target="media/image93.png"/><Relationship Id="rId130" Type="http://schemas.openxmlformats.org/officeDocument/2006/relationships/image" Target="media/image94.png"/><Relationship Id="rId131" Type="http://schemas.openxmlformats.org/officeDocument/2006/relationships/image" Target="media/image95.png"/><Relationship Id="rId132" Type="http://schemas.openxmlformats.org/officeDocument/2006/relationships/image" Target="media/image96.png"/><Relationship Id="rId133" Type="http://schemas.openxmlformats.org/officeDocument/2006/relationships/image" Target="media/image97.png"/><Relationship Id="rId134" Type="http://schemas.openxmlformats.org/officeDocument/2006/relationships/image" Target="media/image98.png"/><Relationship Id="rId135" Type="http://schemas.openxmlformats.org/officeDocument/2006/relationships/image" Target="media/image99.png"/><Relationship Id="rId136" Type="http://schemas.openxmlformats.org/officeDocument/2006/relationships/image" Target="media/image100.png"/><Relationship Id="rId137" Type="http://schemas.openxmlformats.org/officeDocument/2006/relationships/image" Target="media/image101.png"/><Relationship Id="rId138" Type="http://schemas.openxmlformats.org/officeDocument/2006/relationships/image" Target="media/image102.png"/><Relationship Id="rId139" Type="http://schemas.openxmlformats.org/officeDocument/2006/relationships/image" Target="media/image103.png"/><Relationship Id="rId140" Type="http://schemas.openxmlformats.org/officeDocument/2006/relationships/image" Target="media/image104.png"/><Relationship Id="rId141" Type="http://schemas.openxmlformats.org/officeDocument/2006/relationships/image" Target="media/image105.png"/><Relationship Id="rId142" Type="http://schemas.openxmlformats.org/officeDocument/2006/relationships/image" Target="media/image106.png"/><Relationship Id="rId143" Type="http://schemas.openxmlformats.org/officeDocument/2006/relationships/image" Target="media/image107.png"/><Relationship Id="rId144" Type="http://schemas.openxmlformats.org/officeDocument/2006/relationships/image" Target="media/image108.png"/><Relationship Id="rId145" Type="http://schemas.openxmlformats.org/officeDocument/2006/relationships/header" Target="header11.xml"/><Relationship Id="rId146" Type="http://schemas.openxmlformats.org/officeDocument/2006/relationships/image" Target="media/image109.jpeg"/><Relationship Id="rId147" Type="http://schemas.openxmlformats.org/officeDocument/2006/relationships/image" Target="media/image110.jpeg"/><Relationship Id="rId148" Type="http://schemas.openxmlformats.org/officeDocument/2006/relationships/image" Target="media/image111.png"/><Relationship Id="rId149" Type="http://schemas.openxmlformats.org/officeDocument/2006/relationships/footer" Target="footer18.xml"/><Relationship Id="rId150" Type="http://schemas.openxmlformats.org/officeDocument/2006/relationships/footer" Target="footer19.xml"/><Relationship Id="rId151" Type="http://schemas.openxmlformats.org/officeDocument/2006/relationships/image" Target="media/image112.png"/><Relationship Id="rId152" Type="http://schemas.openxmlformats.org/officeDocument/2006/relationships/image" Target="media/image113.png"/><Relationship Id="rId153" Type="http://schemas.openxmlformats.org/officeDocument/2006/relationships/image" Target="media/image114.png"/><Relationship Id="rId154" Type="http://schemas.openxmlformats.org/officeDocument/2006/relationships/footer" Target="footer20.xml"/><Relationship Id="rId155" Type="http://schemas.openxmlformats.org/officeDocument/2006/relationships/image" Target="media/image115.jpeg"/><Relationship Id="rId156" Type="http://schemas.openxmlformats.org/officeDocument/2006/relationships/footer" Target="footer21.xml"/><Relationship Id="rId157" Type="http://schemas.openxmlformats.org/officeDocument/2006/relationships/image" Target="media/image116.jpeg"/><Relationship Id="rId158" Type="http://schemas.openxmlformats.org/officeDocument/2006/relationships/footer" Target="footer22.xml"/><Relationship Id="rId159" Type="http://schemas.openxmlformats.org/officeDocument/2006/relationships/footer" Target="footer23.xml"/><Relationship Id="rId160" Type="http://schemas.openxmlformats.org/officeDocument/2006/relationships/hyperlink" Target="http://www.inta.gov.ar/ediciones/idia/carne/carne03.pdf" TargetMode="External"/><Relationship Id="rId161" Type="http://schemas.openxmlformats.org/officeDocument/2006/relationships/hyperlink" Target="http://www.fao.org/news/story/es/item/41353/icode/" TargetMode="External"/><Relationship Id="rId162" Type="http://schemas.openxmlformats.org/officeDocument/2006/relationships/hyperlink" Target="http://www.ine.gob.mx/descargas/cclimatico/inegei_2002_agricultura.pdf" TargetMode="External"/><Relationship Id="rId163" Type="http://schemas.openxmlformats.org/officeDocument/2006/relationships/hyperlink" Target="http://www2.ine.gob.mx/descargas/cclimatico/Potencial_mitigacion_GEI_Mexi" TargetMode="External"/><Relationship Id="rId164" Type="http://schemas.openxmlformats.org/officeDocument/2006/relationships/hyperlink" Target="http://www.ipcc-nggip.iges.or.jp/public/gl/invs1.html" TargetMode="External"/><Relationship Id="rId165" Type="http://schemas.openxmlformats.org/officeDocument/2006/relationships/hyperlink" Target="http://www.fao.org/WAIRDOCS/LEAD/x6366s/x6366s10.htm#P0_0" TargetMode="External"/><Relationship Id="rId166" Type="http://schemas.openxmlformats.org/officeDocument/2006/relationships/image" Target="media/image117.png"/><Relationship Id="rId167" Type="http://schemas.openxmlformats.org/officeDocument/2006/relationships/image" Target="media/image118.png"/><Relationship Id="rId168" Type="http://schemas.openxmlformats.org/officeDocument/2006/relationships/image" Target="media/image119.png"/><Relationship Id="rId169" Type="http://schemas.openxmlformats.org/officeDocument/2006/relationships/image" Target="media/image120.jpeg"/><Relationship Id="rId170" Type="http://schemas.openxmlformats.org/officeDocument/2006/relationships/image" Target="media/image121.jpeg"/><Relationship Id="rId171" Type="http://schemas.openxmlformats.org/officeDocument/2006/relationships/footer" Target="footer24.xml"/><Relationship Id="rId172" Type="http://schemas.openxmlformats.org/officeDocument/2006/relationships/footer" Target="footer25.xml"/><Relationship Id="rId173" Type="http://schemas.openxmlformats.org/officeDocument/2006/relationships/hyperlink" Target="http://www.inta.gov.ar/ediciones/idia/carne/IDIA_2.pdf" TargetMode="External"/><Relationship Id="rId174" Type="http://schemas.openxmlformats.org/officeDocument/2006/relationships/footer" Target="footer26.xml"/><Relationship Id="rId175" Type="http://schemas.openxmlformats.org/officeDocument/2006/relationships/hyperlink" Target="http://www.fao.org/newsroom/es/news/2006/1000448/index.html" TargetMode="External"/><Relationship Id="rId176" Type="http://schemas.openxmlformats.org/officeDocument/2006/relationships/hyperlink" Target="http://www.fao.org/publications/sofa-2009/es/" TargetMode="External"/><Relationship Id="rId177" Type="http://schemas.openxmlformats.org/officeDocument/2006/relationships/hyperlink" Target="http://www.fao.org/docrep/012/k7930e/k7930e00.pdf" TargetMode="External"/><Relationship Id="rId178" Type="http://schemas.openxmlformats.org/officeDocument/2006/relationships/footer" Target="footer27.xml"/><Relationship Id="rId179" Type="http://schemas.openxmlformats.org/officeDocument/2006/relationships/hyperlink" Target="http://www.ipcc.ch/pdf/technical-papers/paper-II-sp.pdf" TargetMode="External"/><Relationship Id="rId180" Type="http://schemas.openxmlformats.org/officeDocument/2006/relationships/hyperlink" Target="http://www.ipcc.ch/home_languages_main_spanish.htm" TargetMode="External"/><Relationship Id="rId181" Type="http://schemas.openxmlformats.org/officeDocument/2006/relationships/hyperlink" Target="http://www.oecd.org/bookshop/" TargetMode="External"/><Relationship Id="rId182" Type="http://schemas.openxmlformats.org/officeDocument/2006/relationships/hyperlink" Target="http://www.unfccc.int/resource/docs/publications/unitingonclimate_spa.pdf" TargetMode="External"/><Relationship Id="rId183" Type="http://schemas.openxmlformats.org/officeDocument/2006/relationships/image" Target="media/image122.jpeg"/><Relationship Id="rId184" Type="http://schemas.openxmlformats.org/officeDocument/2006/relationships/hyperlink" Target="http://www.ipcc-nggip.iges.or.jp/public/2006gl/spanish/index.html" TargetMode="External"/><Relationship Id="rId185" Type="http://schemas.openxmlformats.org/officeDocument/2006/relationships/image" Target="media/image123.png"/><Relationship Id="rId186" Type="http://schemas.openxmlformats.org/officeDocument/2006/relationships/image" Target="media/image124.jpeg"/><Relationship Id="rId187" Type="http://schemas.openxmlformats.org/officeDocument/2006/relationships/footer" Target="footer28.xml"/><Relationship Id="rId188" Type="http://schemas.openxmlformats.org/officeDocument/2006/relationships/footer" Target="footer29.xml"/><Relationship Id="rId189" Type="http://schemas.openxmlformats.org/officeDocument/2006/relationships/footer" Target="footer30.xml"/><Relationship Id="rId190" Type="http://schemas.openxmlformats.org/officeDocument/2006/relationships/footer" Target="footer31.xml"/><Relationship Id="rId191" Type="http://schemas.openxmlformats.org/officeDocument/2006/relationships/hyperlink" Target="http://samples.ccafs.cgiar.org/measurement-methods/chapter-5-a-" TargetMode="External"/><Relationship Id="rId192" Type="http://schemas.openxmlformats.org/officeDocument/2006/relationships/footer" Target="footer32.xml"/><Relationship Id="rId193" Type="http://schemas.openxmlformats.org/officeDocument/2006/relationships/footer" Target="footer33.xml"/><Relationship Id="rId194" Type="http://schemas.openxmlformats.org/officeDocument/2006/relationships/image" Target="media/image125.png"/><Relationship Id="rId195" Type="http://schemas.openxmlformats.org/officeDocument/2006/relationships/image" Target="media/image126.png"/><Relationship Id="rId196" Type="http://schemas.openxmlformats.org/officeDocument/2006/relationships/image" Target="media/image127.png"/><Relationship Id="rId197" Type="http://schemas.openxmlformats.org/officeDocument/2006/relationships/image" Target="media/image128.png"/><Relationship Id="rId198" Type="http://schemas.openxmlformats.org/officeDocument/2006/relationships/image" Target="media/image129.png"/><Relationship Id="rId199" Type="http://schemas.openxmlformats.org/officeDocument/2006/relationships/image" Target="media/image130.png"/><Relationship Id="rId200" Type="http://schemas.openxmlformats.org/officeDocument/2006/relationships/footer" Target="footer34.xml"/><Relationship Id="rId201" Type="http://schemas.openxmlformats.org/officeDocument/2006/relationships/image" Target="media/image131.jpeg"/><Relationship Id="rId202" Type="http://schemas.openxmlformats.org/officeDocument/2006/relationships/image" Target="media/image132.png"/><Relationship Id="rId203" Type="http://schemas.openxmlformats.org/officeDocument/2006/relationships/image" Target="media/image133.png"/><Relationship Id="rId204" Type="http://schemas.openxmlformats.org/officeDocument/2006/relationships/image" Target="media/image134.png"/><Relationship Id="rId205" Type="http://schemas.openxmlformats.org/officeDocument/2006/relationships/image" Target="media/image135.png"/><Relationship Id="rId206" Type="http://schemas.openxmlformats.org/officeDocument/2006/relationships/footer" Target="footer35.xml"/><Relationship Id="rId207" Type="http://schemas.openxmlformats.org/officeDocument/2006/relationships/image" Target="media/image136.png"/><Relationship Id="rId208" Type="http://schemas.openxmlformats.org/officeDocument/2006/relationships/hyperlink" Target="http://www.prensa.argentina.ar/includes/lib/jQuery/jquery.alerts.js" TargetMode="External"/><Relationship Id="rId209" Type="http://schemas.openxmlformats.org/officeDocument/2006/relationships/hyperlink" Target="http://education.nationalgeographic.org/encyclopedia/greenhouse-effect/" TargetMode="External"/><Relationship Id="rId210" Type="http://schemas.openxmlformats.org/officeDocument/2006/relationships/hyperlink" Target="http://www.produccionbovina.com.ar/sustentabilidad/89-gases.pdf" TargetMode="External"/><Relationship Id="rId211" Type="http://schemas.openxmlformats.org/officeDocument/2006/relationships/hyperlink" Target="http://www1.foragebeef.ca/%24foragebeef/frgebeef.nsf/all/ccf758/%24FILE/GH" TargetMode="External"/><Relationship Id="rId212" Type="http://schemas.openxmlformats.org/officeDocument/2006/relationships/hyperlink" Target="http://unfccc.int/resource/docs/publications/unitingonclimate_spa.pdf" TargetMode="External"/><Relationship Id="rId213" Type="http://schemas.openxmlformats.org/officeDocument/2006/relationships/hyperlink" Target="http://acmg.seas.harvard.edu/people/faculty/djj/book/" TargetMode="External"/><Relationship Id="rId214" Type="http://schemas.openxmlformats.org/officeDocument/2006/relationships/hyperlink" Target="http://www.semarnat.gob.mx/archivosanteriores/informacionambiental/Do" TargetMode="External"/><Relationship Id="rId215" Type="http://schemas.openxmlformats.org/officeDocument/2006/relationships/hyperlink" Target="http://www.fao.org/3/i3437s.pdf" TargetMode="External"/><Relationship Id="rId216" Type="http://schemas.openxmlformats.org/officeDocument/2006/relationships/hyperlink" Target="http://ieecc.edomex.gob.mx/sites/ieecc.edomex.gob.mx/files/files/PEACC/" TargetMode="External"/><Relationship Id="rId217" Type="http://schemas.openxmlformats.org/officeDocument/2006/relationships/hyperlink" Target="http://ieecc.edomex.gob.mx/sites/ieecc.edomex.gob.mx/files/files/Inventar" TargetMode="External"/><Relationship Id="rId218" Type="http://schemas.openxmlformats.org/officeDocument/2006/relationships/hyperlink" Target="http://www.nytimes.com/interactive/2015/11/28/science/what-is-climate-" TargetMode="External"/><Relationship Id="rId219" Type="http://schemas.openxmlformats.org/officeDocument/2006/relationships/hyperlink" Target="http://www.climatechange2013.org/images/report/WG1AR5_Chapter02_F" TargetMode="External"/><Relationship Id="rId220" Type="http://schemas.openxmlformats.org/officeDocument/2006/relationships/hyperlink" Target="http://www.ine.gob.mx/descargas/cclimatico/inf_inegei_agricultura_2006" TargetMode="External"/><Relationship Id="rId221" Type="http://schemas.openxmlformats.org/officeDocument/2006/relationships/hyperlink" Target="http://www2.ine.gob.mx/descargas/cclimatico/Potencial_mitigacion_GEI_" TargetMode="External"/><Relationship Id="rId222" Type="http://schemas.openxmlformats.org/officeDocument/2006/relationships/hyperlink" Target="http://www.inegi.org.mx/sistemas/mexicocifras/default.aspx?ent=15" TargetMode="External"/><Relationship Id="rId223" Type="http://schemas.openxmlformats.org/officeDocument/2006/relationships/hyperlink" Target="http://www.ipcc-nggip.iges.or.jp/public/2006gl/index.htm" TargetMode="External"/><Relationship Id="rId224" Type="http://schemas.openxmlformats.org/officeDocument/2006/relationships/footer" Target="footer36.xml"/><Relationship Id="rId225" Type="http://schemas.openxmlformats.org/officeDocument/2006/relationships/hyperlink" Target="http://www.ipcc.ch/pdf/assessment-report/ar4/syr/ar4_syr_full_report.pdf" TargetMode="External"/><Relationship Id="rId226" Type="http://schemas.openxmlformats.org/officeDocument/2006/relationships/hyperlink" Target="http://www.climatechange2013.org/images/report/WG1AR5_ALL_FINAL" TargetMode="External"/><Relationship Id="rId227" Type="http://schemas.openxmlformats.org/officeDocument/2006/relationships/hyperlink" Target="http://www.ipcc.ch/pdf/assessment-" TargetMode="External"/><Relationship Id="rId228" Type="http://schemas.openxmlformats.org/officeDocument/2006/relationships/hyperlink" Target="http://www.ipcc.ch/publications_and_data/ar4/syr/en/annexessglossary-" TargetMode="External"/><Relationship Id="rId229" Type="http://schemas.openxmlformats.org/officeDocument/2006/relationships/footer" Target="footer37.xml"/><Relationship Id="rId230" Type="http://schemas.openxmlformats.org/officeDocument/2006/relationships/hyperlink" Target="http://www.ipcc.ch/publications_and_data/ar4/wg1/en/faq-1-3.html" TargetMode="External"/><Relationship Id="rId231" Type="http://schemas.openxmlformats.org/officeDocument/2006/relationships/hyperlink" Target="http://www.ipcc.ch/pdf/assessment-report/ar4/wg1/ar4-" TargetMode="External"/><Relationship Id="rId232" Type="http://schemas.openxmlformats.org/officeDocument/2006/relationships/hyperlink" Target="http://www.fao.org/ag/aga/agap/frg/lrrd/lrrd12/1/manu121.htm" TargetMode="External"/><Relationship Id="rId233" Type="http://schemas.openxmlformats.org/officeDocument/2006/relationships/hyperlink" Target="http://nssdc.gsfc.nasa.gov/planetary/factsheet/earthfact.html" TargetMode="External"/><Relationship Id="rId234" Type="http://schemas.openxmlformats.org/officeDocument/2006/relationships/hyperlink" Target="http://www.jpl.nasa.gov/news/news.php?feature=4769" TargetMode="External"/><Relationship Id="rId235" Type="http://schemas.openxmlformats.org/officeDocument/2006/relationships/hyperlink" Target="http://www.inecc.gob.mx/descargas/cclimatico/inf_inegei_agricultura_200" TargetMode="External"/><Relationship Id="rId236" Type="http://schemas.openxmlformats.org/officeDocument/2006/relationships/hyperlink" Target="http://www.ine.gob.mx/descargas/cclimatico/e2006m.pdf" TargetMode="External"/><Relationship Id="rId237" Type="http://schemas.openxmlformats.org/officeDocument/2006/relationships/hyperlink" Target="http://www.cambioclimaticoyseguridadnacional.org/documentos/Cambio" TargetMode="External"/><Relationship Id="rId238" Type="http://schemas.openxmlformats.org/officeDocument/2006/relationships/hyperlink" Target="http://library.fes.de/pdf-files/bueros/kolumbien/12047.pdf" TargetMode="External"/><Relationship Id="rId239" Type="http://schemas.openxmlformats.org/officeDocument/2006/relationships/hyperlink" Target="http://www.realclimate.org/index.php?p=142" TargetMode="External"/><Relationship Id="rId240" Type="http://schemas.openxmlformats.org/officeDocument/2006/relationships/hyperlink" Target="http://www.profepa.gob.mx/innovaportal/file/6583/1/ley_general_de_camb" TargetMode="External"/><Relationship Id="rId241" Type="http://schemas.openxmlformats.org/officeDocument/2006/relationships/hyperlink" Target="http://www.inecc.gob.mx/descargas/cclimatico/inf_inegei_public_2010.pdf" TargetMode="External"/><Relationship Id="rId242" Type="http://schemas.openxmlformats.org/officeDocument/2006/relationships/hyperlink" Target="http://www.fao.org/3/a-a0701s.pdf" TargetMode="External"/><Relationship Id="rId243" Type="http://schemas.openxmlformats.org/officeDocument/2006/relationships/hyperlink" Target="http://www.fao.org/3/a-i4260s.pdf" TargetMode="External"/><Relationship Id="rId244" Type="http://schemas.openxmlformats.org/officeDocument/2006/relationships/hyperlink" Target="http://unfccc.int/resource/docs/2009/cop15/spa/11a01s.pdf" TargetMode="External"/><Relationship Id="rId245" Type="http://schemas.openxmlformats.org/officeDocument/2006/relationships/footer" Target="footer38.xml"/><Relationship Id="rId246" Type="http://schemas.openxmlformats.org/officeDocument/2006/relationships/footer" Target="footer39.xml"/><Relationship Id="rId247" Type="http://schemas.openxmlformats.org/officeDocument/2006/relationships/image" Target="media/image137.png"/><Relationship Id="rId248" Type="http://schemas.openxmlformats.org/officeDocument/2006/relationships/header" Target="header12.xml"/><Relationship Id="rId249" Type="http://schemas.openxmlformats.org/officeDocument/2006/relationships/footer" Target="footer40.xml"/><Relationship Id="rId250" Type="http://schemas.openxmlformats.org/officeDocument/2006/relationships/image" Target="media/image138.png"/><Relationship Id="rId251" Type="http://schemas.openxmlformats.org/officeDocument/2006/relationships/header" Target="header13.xml"/><Relationship Id="rId252" Type="http://schemas.openxmlformats.org/officeDocument/2006/relationships/footer" Target="footer41.xml"/><Relationship Id="rId253" Type="http://schemas.openxmlformats.org/officeDocument/2006/relationships/header" Target="header14.xml"/><Relationship Id="rId254" Type="http://schemas.openxmlformats.org/officeDocument/2006/relationships/footer" Target="footer42.xml"/><Relationship Id="rId255" Type="http://schemas.openxmlformats.org/officeDocument/2006/relationships/header" Target="header15.xml"/><Relationship Id="rId256" Type="http://schemas.openxmlformats.org/officeDocument/2006/relationships/footer" Target="footer43.xml"/><Relationship Id="rId257" Type="http://schemas.openxmlformats.org/officeDocument/2006/relationships/header" Target="header16.xml"/><Relationship Id="rId258" Type="http://schemas.openxmlformats.org/officeDocument/2006/relationships/footer" Target="footer44.xml"/><Relationship Id="rId259" Type="http://schemas.openxmlformats.org/officeDocument/2006/relationships/header" Target="header17.xml"/><Relationship Id="rId260" Type="http://schemas.openxmlformats.org/officeDocument/2006/relationships/footer" Target="footer45.xml"/><Relationship Id="rId261" Type="http://schemas.openxmlformats.org/officeDocument/2006/relationships/header" Target="header18.xml"/><Relationship Id="rId262" Type="http://schemas.openxmlformats.org/officeDocument/2006/relationships/footer" Target="footer46.xml"/><Relationship Id="rId263" Type="http://schemas.openxmlformats.org/officeDocument/2006/relationships/header" Target="header19.xml"/><Relationship Id="rId264" Type="http://schemas.openxmlformats.org/officeDocument/2006/relationships/footer" Target="footer47.xml"/><Relationship Id="rId265" Type="http://schemas.openxmlformats.org/officeDocument/2006/relationships/header" Target="header20.xml"/><Relationship Id="rId266" Type="http://schemas.openxmlformats.org/officeDocument/2006/relationships/footer" Target="footer48.xml"/><Relationship Id="rId267" Type="http://schemas.openxmlformats.org/officeDocument/2006/relationships/header" Target="header21.xml"/><Relationship Id="rId268" Type="http://schemas.openxmlformats.org/officeDocument/2006/relationships/footer" Target="footer49.xml"/><Relationship Id="rId269" Type="http://schemas.openxmlformats.org/officeDocument/2006/relationships/header" Target="header22.xml"/><Relationship Id="rId270" Type="http://schemas.openxmlformats.org/officeDocument/2006/relationships/footer" Target="footer50.xml"/><Relationship Id="rId271" Type="http://schemas.openxmlformats.org/officeDocument/2006/relationships/header" Target="header23.xml"/><Relationship Id="rId272" Type="http://schemas.openxmlformats.org/officeDocument/2006/relationships/footer" Target="footer51.xml"/><Relationship Id="rId273" Type="http://schemas.openxmlformats.org/officeDocument/2006/relationships/header" Target="header24.xml"/><Relationship Id="rId274" Type="http://schemas.openxmlformats.org/officeDocument/2006/relationships/footer" Target="footer52.xml"/><Relationship Id="rId275" Type="http://schemas.openxmlformats.org/officeDocument/2006/relationships/header" Target="header25.xml"/><Relationship Id="rId276" Type="http://schemas.openxmlformats.org/officeDocument/2006/relationships/footer" Target="footer53.xml"/><Relationship Id="rId277" Type="http://schemas.openxmlformats.org/officeDocument/2006/relationships/header" Target="header26.xml"/><Relationship Id="rId278" Type="http://schemas.openxmlformats.org/officeDocument/2006/relationships/footer" Target="footer54.xml"/><Relationship Id="rId279" Type="http://schemas.openxmlformats.org/officeDocument/2006/relationships/header" Target="header27.xml"/><Relationship Id="rId280" Type="http://schemas.openxmlformats.org/officeDocument/2006/relationships/header" Target="header28.xml"/><Relationship Id="rId281" Type="http://schemas.openxmlformats.org/officeDocument/2006/relationships/footer" Target="footer55.xml"/><Relationship Id="rId28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2017-05-23T02:31:23Z</dcterms:created>
  <dcterms:modified xsi:type="dcterms:W3CDTF">2017-05-23T02:31:23Z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