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pPr>
    </w:p>
    <w:p>
      <w:pPr>
        <w:spacing w:before="60"/>
        <w:ind w:left="2387" w:right="119" w:firstLine="0"/>
        <w:jc w:val="center"/>
        <w:rPr>
          <w:sz w:val="32"/>
        </w:rPr>
      </w:pPr>
      <w:r>
        <w:rPr/>
        <w:drawing>
          <wp:anchor distT="0" distB="0" distL="0" distR="0" allowOverlap="1" layoutInCell="1" locked="0" behindDoc="0" simplePos="0" relativeHeight="0">
            <wp:simplePos x="0" y="0"/>
            <wp:positionH relativeFrom="page">
              <wp:posOffset>562609</wp:posOffset>
            </wp:positionH>
            <wp:positionV relativeFrom="paragraph">
              <wp:posOffset>-183546</wp:posOffset>
            </wp:positionV>
            <wp:extent cx="1564640" cy="138684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64640" cy="1386840"/>
                    </a:xfrm>
                    <a:prstGeom prst="rect">
                      <a:avLst/>
                    </a:prstGeom>
                  </pic:spPr>
                </pic:pic>
              </a:graphicData>
            </a:graphic>
          </wp:anchor>
        </w:drawing>
      </w:r>
      <w:r>
        <w:rPr>
          <w:sz w:val="32"/>
        </w:rPr>
        <w:t>UNIVERSIDAD AUTÓNOMA DEL ESTADO DE MÉXICO</w:t>
      </w:r>
    </w:p>
    <w:p>
      <w:pPr>
        <w:pStyle w:val="BodyText"/>
        <w:spacing w:before="10"/>
        <w:rPr>
          <w:sz w:val="31"/>
        </w:rPr>
      </w:pPr>
    </w:p>
    <w:p>
      <w:pPr>
        <w:spacing w:line="240" w:lineRule="auto" w:before="0"/>
        <w:ind w:left="2391" w:right="118" w:firstLine="0"/>
        <w:jc w:val="center"/>
        <w:rPr>
          <w:sz w:val="32"/>
        </w:rPr>
      </w:pPr>
      <w:r>
        <w:rPr>
          <w:sz w:val="32"/>
        </w:rPr>
        <w:t>PROGRAMA MAESTRÍA Y DOCTORADO EN CIENCIAS AGROPECUARIAS Y RECURSOS NATURALES</w:t>
      </w:r>
    </w:p>
    <w:p>
      <w:pPr>
        <w:pStyle w:val="BodyText"/>
        <w:rPr>
          <w:sz w:val="32"/>
        </w:rPr>
      </w:pPr>
    </w:p>
    <w:p>
      <w:pPr>
        <w:pStyle w:val="BodyText"/>
        <w:rPr>
          <w:sz w:val="32"/>
        </w:rPr>
      </w:pPr>
    </w:p>
    <w:p>
      <w:pPr>
        <w:spacing w:before="230"/>
        <w:ind w:left="2391" w:right="119" w:firstLine="0"/>
        <w:jc w:val="center"/>
        <w:rPr>
          <w:sz w:val="30"/>
        </w:rPr>
      </w:pPr>
      <w:r>
        <w:rPr>
          <w:sz w:val="30"/>
        </w:rPr>
        <w:t>EVALUACIÓN DE LA ANALGESIA PERIOPERATORIA DEL FENTANILO, LIDOCAINA, KETAMINA, DEXMEDETOMIDINA O LA COMBINACIÓN LIDOCAINA-KETAMINA-DEXMEDETOMIDINA EN PERRAS SOMETIDAS A OVARIOHISTERECTOMIA</w:t>
      </w:r>
    </w:p>
    <w:p>
      <w:pPr>
        <w:pStyle w:val="BodyText"/>
        <w:rPr>
          <w:sz w:val="30"/>
        </w:rPr>
      </w:pPr>
    </w:p>
    <w:p>
      <w:pPr>
        <w:pStyle w:val="BodyText"/>
        <w:spacing w:before="7"/>
        <w:rPr>
          <w:sz w:val="26"/>
        </w:rPr>
      </w:pPr>
    </w:p>
    <w:p>
      <w:pPr>
        <w:spacing w:before="0"/>
        <w:ind w:left="2391" w:right="108" w:firstLine="0"/>
        <w:jc w:val="center"/>
        <w:rPr>
          <w:b/>
          <w:sz w:val="56"/>
        </w:rPr>
      </w:pPr>
      <w:r>
        <w:rPr>
          <w:b/>
          <w:sz w:val="56"/>
        </w:rPr>
        <w:t>T E S I S</w:t>
      </w:r>
    </w:p>
    <w:p>
      <w:pPr>
        <w:pStyle w:val="BodyText"/>
        <w:spacing w:before="7"/>
        <w:rPr>
          <w:b/>
          <w:sz w:val="55"/>
        </w:rPr>
      </w:pPr>
    </w:p>
    <w:p>
      <w:pPr>
        <w:spacing w:line="322" w:lineRule="exact" w:before="0"/>
        <w:ind w:left="2391" w:right="116" w:firstLine="0"/>
        <w:jc w:val="center"/>
        <w:rPr>
          <w:sz w:val="28"/>
        </w:rPr>
      </w:pPr>
      <w:r>
        <w:rPr>
          <w:sz w:val="28"/>
        </w:rPr>
        <w:t>QUE PARA OBTENER EL GRADO DE</w:t>
      </w:r>
    </w:p>
    <w:p>
      <w:pPr>
        <w:spacing w:before="0"/>
        <w:ind w:left="2389" w:right="119" w:firstLine="0"/>
        <w:jc w:val="center"/>
        <w:rPr>
          <w:sz w:val="28"/>
        </w:rPr>
      </w:pPr>
      <w:r>
        <w:rPr>
          <w:sz w:val="28"/>
        </w:rPr>
        <w:t>DOCTOR EN CIENCIAS AGROPECUARIAS Y RECURSOS NATURALES</w:t>
      </w:r>
    </w:p>
    <w:p>
      <w:pPr>
        <w:pStyle w:val="BodyText"/>
        <w:spacing w:before="10"/>
        <w:rPr>
          <w:sz w:val="27"/>
        </w:rPr>
      </w:pPr>
    </w:p>
    <w:p>
      <w:pPr>
        <w:spacing w:before="0"/>
        <w:ind w:left="2391" w:right="115" w:firstLine="0"/>
        <w:jc w:val="center"/>
        <w:rPr>
          <w:sz w:val="28"/>
        </w:rPr>
      </w:pPr>
      <w:r>
        <w:rPr>
          <w:sz w:val="28"/>
        </w:rPr>
        <w:t>PRESENTA:</w:t>
      </w:r>
    </w:p>
    <w:p>
      <w:pPr>
        <w:pStyle w:val="BodyText"/>
        <w:spacing w:before="7"/>
        <w:rPr>
          <w:sz w:val="27"/>
        </w:rPr>
      </w:pPr>
    </w:p>
    <w:p>
      <w:pPr>
        <w:spacing w:before="0"/>
        <w:ind w:left="2391" w:right="115" w:firstLine="0"/>
        <w:jc w:val="center"/>
        <w:rPr>
          <w:sz w:val="32"/>
        </w:rPr>
      </w:pPr>
      <w:r>
        <w:rPr>
          <w:sz w:val="32"/>
        </w:rPr>
        <w:t>EDUARDO GUTIÉRREZ BLANCO</w:t>
      </w:r>
    </w:p>
    <w:p>
      <w:pPr>
        <w:pStyle w:val="BodyText"/>
        <w:rPr>
          <w:sz w:val="32"/>
        </w:rPr>
      </w:pPr>
    </w:p>
    <w:p>
      <w:pPr>
        <w:pStyle w:val="BodyText"/>
        <w:rPr>
          <w:sz w:val="32"/>
        </w:rPr>
      </w:pPr>
    </w:p>
    <w:p>
      <w:pPr>
        <w:pStyle w:val="BodyText"/>
        <w:rPr>
          <w:sz w:val="32"/>
        </w:rPr>
      </w:pPr>
    </w:p>
    <w:p>
      <w:pPr>
        <w:pStyle w:val="BodyText"/>
        <w:spacing w:before="9"/>
        <w:rPr>
          <w:sz w:val="28"/>
        </w:rPr>
      </w:pPr>
    </w:p>
    <w:p>
      <w:pPr>
        <w:spacing w:before="0"/>
        <w:ind w:left="2354" w:right="80" w:firstLine="0"/>
        <w:jc w:val="center"/>
        <w:rPr>
          <w:b/>
          <w:sz w:val="24"/>
        </w:rPr>
      </w:pPr>
      <w:r>
        <w:rPr>
          <w:b/>
          <w:sz w:val="24"/>
        </w:rPr>
        <w:t>El Cerrillo Piedras Blancas, Toluca, Estado de México.  Noviembre 2013</w:t>
      </w:r>
    </w:p>
    <w:p>
      <w:pPr>
        <w:spacing w:after="0"/>
        <w:jc w:val="center"/>
        <w:rPr>
          <w:sz w:val="24"/>
        </w:rPr>
        <w:sectPr>
          <w:type w:val="continuous"/>
          <w:pgSz w:w="12240" w:h="15840"/>
          <w:pgMar w:top="1460" w:bottom="280" w:left="780" w:right="1580"/>
        </w:sectPr>
      </w:pPr>
    </w:p>
    <w:p>
      <w:pPr>
        <w:pStyle w:val="BodyText"/>
        <w:spacing w:before="2"/>
        <w:rPr>
          <w:b/>
          <w:sz w:val="28"/>
        </w:rPr>
      </w:pPr>
    </w:p>
    <w:p>
      <w:pPr>
        <w:spacing w:before="60"/>
        <w:ind w:left="2653" w:right="165" w:firstLine="0"/>
        <w:jc w:val="center"/>
        <w:rPr>
          <w:sz w:val="32"/>
        </w:rPr>
      </w:pPr>
      <w:r>
        <w:rPr/>
        <w:drawing>
          <wp:anchor distT="0" distB="0" distL="0" distR="0" allowOverlap="1" layoutInCell="1" locked="0" behindDoc="0" simplePos="0" relativeHeight="1048">
            <wp:simplePos x="0" y="0"/>
            <wp:positionH relativeFrom="page">
              <wp:posOffset>448944</wp:posOffset>
            </wp:positionH>
            <wp:positionV relativeFrom="paragraph">
              <wp:posOffset>-202596</wp:posOffset>
            </wp:positionV>
            <wp:extent cx="1564640" cy="138684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564640" cy="1386840"/>
                    </a:xfrm>
                    <a:prstGeom prst="rect">
                      <a:avLst/>
                    </a:prstGeom>
                  </pic:spPr>
                </pic:pic>
              </a:graphicData>
            </a:graphic>
          </wp:anchor>
        </w:drawing>
      </w:r>
      <w:r>
        <w:rPr>
          <w:sz w:val="32"/>
        </w:rPr>
        <w:t>UNIVERSIDAD AUTÓNOMA DEL ESTADO DE MÉXICO</w:t>
      </w:r>
    </w:p>
    <w:p>
      <w:pPr>
        <w:pStyle w:val="BodyText"/>
        <w:spacing w:before="10"/>
        <w:rPr>
          <w:sz w:val="31"/>
        </w:rPr>
      </w:pPr>
    </w:p>
    <w:p>
      <w:pPr>
        <w:spacing w:before="0"/>
        <w:ind w:left="2900" w:right="414" w:firstLine="9"/>
        <w:jc w:val="center"/>
        <w:rPr>
          <w:sz w:val="32"/>
        </w:rPr>
      </w:pPr>
      <w:r>
        <w:rPr>
          <w:sz w:val="32"/>
        </w:rPr>
        <w:t>MAESTRÍA Y DOCTORADO EN CIENCIAS AGROPECUARIAS Y RECURSOS</w:t>
      </w:r>
      <w:r>
        <w:rPr>
          <w:spacing w:val="-18"/>
          <w:sz w:val="32"/>
        </w:rPr>
        <w:t> </w:t>
      </w:r>
      <w:r>
        <w:rPr>
          <w:sz w:val="32"/>
        </w:rPr>
        <w:t>NATURALES</w:t>
      </w:r>
    </w:p>
    <w:p>
      <w:pPr>
        <w:pStyle w:val="BodyText"/>
        <w:rPr>
          <w:sz w:val="32"/>
        </w:rPr>
      </w:pPr>
    </w:p>
    <w:p>
      <w:pPr>
        <w:pStyle w:val="BodyText"/>
        <w:rPr>
          <w:sz w:val="32"/>
        </w:rPr>
      </w:pPr>
    </w:p>
    <w:p>
      <w:pPr>
        <w:spacing w:line="240" w:lineRule="auto" w:before="226"/>
        <w:ind w:left="2602" w:right="111" w:firstLine="10"/>
        <w:jc w:val="center"/>
        <w:rPr>
          <w:sz w:val="32"/>
        </w:rPr>
      </w:pPr>
      <w:r>
        <w:rPr>
          <w:sz w:val="32"/>
        </w:rPr>
        <w:t>EVALUACIÓN DE </w:t>
      </w:r>
      <w:r>
        <w:rPr>
          <w:spacing w:val="-3"/>
          <w:sz w:val="32"/>
        </w:rPr>
        <w:t>LA </w:t>
      </w:r>
      <w:r>
        <w:rPr>
          <w:sz w:val="32"/>
        </w:rPr>
        <w:t>ANALGESIA PERIOPERATORIA DEL FENTANILO, </w:t>
      </w:r>
      <w:r>
        <w:rPr>
          <w:spacing w:val="-3"/>
          <w:sz w:val="32"/>
        </w:rPr>
        <w:t>LIDOCAINA, KETAMINA, </w:t>
      </w:r>
      <w:r>
        <w:rPr>
          <w:sz w:val="32"/>
        </w:rPr>
        <w:t>DEXMEDETOMIDINA O </w:t>
      </w:r>
      <w:r>
        <w:rPr>
          <w:spacing w:val="-3"/>
          <w:sz w:val="32"/>
        </w:rPr>
        <w:t>LA </w:t>
      </w:r>
      <w:r>
        <w:rPr>
          <w:sz w:val="32"/>
        </w:rPr>
        <w:t>COMBINACIÓN LIDOCAINA-KETAMINA- DEXMEDETOMIDINA EN PERRAS </w:t>
      </w:r>
      <w:r>
        <w:rPr>
          <w:spacing w:val="-3"/>
          <w:sz w:val="32"/>
        </w:rPr>
        <w:t>SOMETIDAS </w:t>
      </w:r>
      <w:r>
        <w:rPr>
          <w:sz w:val="32"/>
        </w:rPr>
        <w:t>A OVARIOHISTERECTOMIA</w:t>
      </w:r>
    </w:p>
    <w:p>
      <w:pPr>
        <w:pStyle w:val="BodyText"/>
        <w:spacing w:before="3"/>
        <w:rPr>
          <w:sz w:val="28"/>
        </w:rPr>
      </w:pPr>
    </w:p>
    <w:p>
      <w:pPr>
        <w:spacing w:before="0"/>
        <w:ind w:left="2653" w:right="150" w:firstLine="0"/>
        <w:jc w:val="center"/>
        <w:rPr>
          <w:b/>
          <w:sz w:val="56"/>
        </w:rPr>
      </w:pPr>
      <w:r>
        <w:rPr>
          <w:b/>
          <w:sz w:val="56"/>
        </w:rPr>
        <w:t>T E S I S</w:t>
      </w:r>
    </w:p>
    <w:p>
      <w:pPr>
        <w:spacing w:before="457"/>
        <w:ind w:left="2653" w:right="158" w:firstLine="0"/>
        <w:jc w:val="center"/>
        <w:rPr>
          <w:sz w:val="28"/>
        </w:rPr>
      </w:pPr>
      <w:r>
        <w:rPr>
          <w:sz w:val="28"/>
        </w:rPr>
        <w:t>QUE PARA OBTENER EL GRADO DE</w:t>
      </w:r>
    </w:p>
    <w:p>
      <w:pPr>
        <w:spacing w:before="4"/>
        <w:ind w:left="2653" w:right="165" w:firstLine="0"/>
        <w:jc w:val="center"/>
        <w:rPr>
          <w:sz w:val="28"/>
        </w:rPr>
      </w:pPr>
      <w:r>
        <w:rPr>
          <w:sz w:val="28"/>
        </w:rPr>
        <w:t>DOCTOR EN CIENCIAS AGROPECUARIAS Y RECURSOS NATURALES</w:t>
      </w:r>
    </w:p>
    <w:p>
      <w:pPr>
        <w:pStyle w:val="BodyText"/>
        <w:spacing w:before="11"/>
        <w:rPr>
          <w:sz w:val="27"/>
        </w:rPr>
      </w:pPr>
    </w:p>
    <w:p>
      <w:pPr>
        <w:spacing w:before="0"/>
        <w:ind w:left="2653" w:right="157" w:firstLine="0"/>
        <w:jc w:val="center"/>
        <w:rPr>
          <w:sz w:val="28"/>
        </w:rPr>
      </w:pPr>
      <w:r>
        <w:rPr>
          <w:sz w:val="28"/>
        </w:rPr>
        <w:t>PRESENTA:</w:t>
      </w:r>
    </w:p>
    <w:p>
      <w:pPr>
        <w:pStyle w:val="BodyText"/>
        <w:spacing w:before="7"/>
        <w:rPr>
          <w:sz w:val="27"/>
        </w:rPr>
      </w:pPr>
    </w:p>
    <w:p>
      <w:pPr>
        <w:spacing w:before="0"/>
        <w:ind w:left="2653" w:right="157" w:firstLine="0"/>
        <w:jc w:val="center"/>
        <w:rPr>
          <w:sz w:val="32"/>
        </w:rPr>
      </w:pPr>
      <w:r>
        <w:rPr>
          <w:sz w:val="32"/>
        </w:rPr>
        <w:t>EDUARDO GUTIÉRREZ BLANCO</w:t>
      </w:r>
    </w:p>
    <w:p>
      <w:pPr>
        <w:pStyle w:val="BodyText"/>
        <w:rPr>
          <w:sz w:val="32"/>
        </w:rPr>
      </w:pPr>
    </w:p>
    <w:p>
      <w:pPr>
        <w:spacing w:before="281"/>
        <w:ind w:left="2653" w:right="161" w:firstLine="0"/>
        <w:jc w:val="center"/>
        <w:rPr>
          <w:sz w:val="28"/>
        </w:rPr>
      </w:pPr>
      <w:r>
        <w:rPr>
          <w:sz w:val="28"/>
        </w:rPr>
        <w:t>COMITÉ DE TUTORES</w:t>
      </w:r>
    </w:p>
    <w:p>
      <w:pPr>
        <w:pStyle w:val="BodyText"/>
        <w:spacing w:before="8"/>
        <w:rPr>
          <w:sz w:val="23"/>
        </w:rPr>
      </w:pPr>
    </w:p>
    <w:p>
      <w:pPr>
        <w:spacing w:before="0"/>
        <w:ind w:left="3140" w:right="651" w:firstLine="364"/>
        <w:jc w:val="left"/>
        <w:rPr>
          <w:sz w:val="28"/>
        </w:rPr>
      </w:pPr>
      <w:r>
        <w:rPr>
          <w:sz w:val="28"/>
        </w:rPr>
        <w:t>Dr. José Mauro Victoria Mora. Tutor Académico Dr. José Antonio Ibancovichi Camarillo. Tutor</w:t>
      </w:r>
      <w:r>
        <w:rPr>
          <w:spacing w:val="-29"/>
          <w:sz w:val="28"/>
        </w:rPr>
        <w:t> </w:t>
      </w:r>
      <w:r>
        <w:rPr>
          <w:sz w:val="28"/>
        </w:rPr>
        <w:t>Adjunto</w:t>
      </w:r>
    </w:p>
    <w:p>
      <w:pPr>
        <w:spacing w:before="0"/>
        <w:ind w:left="2652" w:right="165" w:firstLine="0"/>
        <w:jc w:val="center"/>
        <w:rPr>
          <w:sz w:val="28"/>
        </w:rPr>
      </w:pPr>
      <w:r>
        <w:rPr>
          <w:sz w:val="28"/>
        </w:rPr>
        <w:t>Dr. Manuel Emilio Bolio González. Tutor adjunto</w:t>
      </w:r>
    </w:p>
    <w:p>
      <w:pPr>
        <w:pStyle w:val="BodyText"/>
        <w:rPr>
          <w:sz w:val="28"/>
        </w:rPr>
      </w:pPr>
    </w:p>
    <w:p>
      <w:pPr>
        <w:pStyle w:val="BodyText"/>
        <w:spacing w:before="233"/>
        <w:ind w:left="2653" w:right="164"/>
        <w:jc w:val="center"/>
      </w:pPr>
      <w:r>
        <w:rPr/>
        <w:t>El Cerrillo Piedras Blancas, Toluca, Estado de México.  Noviembre 2013</w:t>
      </w:r>
    </w:p>
    <w:p>
      <w:pPr>
        <w:spacing w:after="0"/>
        <w:jc w:val="center"/>
        <w:sectPr>
          <w:pgSz w:w="12240" w:h="15840"/>
          <w:pgMar w:top="1420" w:bottom="280" w:left="600" w:right="1620"/>
        </w:sectPr>
      </w:pPr>
    </w:p>
    <w:p>
      <w:pPr>
        <w:pStyle w:val="BodyText"/>
        <w:rPr>
          <w:sz w:val="20"/>
        </w:rPr>
      </w:pPr>
    </w:p>
    <w:p>
      <w:pPr>
        <w:pStyle w:val="BodyText"/>
        <w:rPr>
          <w:sz w:val="20"/>
        </w:rPr>
      </w:pPr>
    </w:p>
    <w:p>
      <w:pPr>
        <w:pStyle w:val="BodyText"/>
        <w:spacing w:before="9"/>
        <w:rPr>
          <w:sz w:val="23"/>
        </w:rPr>
      </w:pPr>
    </w:p>
    <w:p>
      <w:pPr>
        <w:spacing w:before="60"/>
        <w:ind w:left="0" w:right="391" w:firstLine="0"/>
        <w:jc w:val="right"/>
        <w:rPr>
          <w:rFonts w:ascii="Cambria" w:hAnsi="Cambria"/>
          <w:b/>
          <w:sz w:val="28"/>
        </w:rPr>
      </w:pPr>
      <w:r>
        <w:rPr>
          <w:rFonts w:ascii="Cambria" w:hAnsi="Cambria"/>
          <w:b/>
          <w:w w:val="95"/>
          <w:sz w:val="28"/>
        </w:rPr>
        <w:t>Índice</w:t>
      </w:r>
    </w:p>
    <w:p>
      <w:pPr>
        <w:spacing w:after="0"/>
        <w:jc w:val="right"/>
        <w:rPr>
          <w:rFonts w:ascii="Cambria" w:hAnsi="Cambria"/>
          <w:sz w:val="28"/>
        </w:rPr>
        <w:sectPr>
          <w:footerReference w:type="default" r:id="rId6"/>
          <w:pgSz w:w="12240" w:h="15840"/>
          <w:pgMar w:footer="1688" w:header="0" w:top="1500" w:bottom="2113" w:left="1720" w:right="1140"/>
          <w:pgNumType w:start="1"/>
        </w:sectPr>
      </w:pPr>
    </w:p>
    <w:sdt>
      <w:sdtPr>
        <w:docPartObj>
          <w:docPartGallery w:val="Table of Contents"/>
          <w:docPartUnique/>
        </w:docPartObj>
      </w:sdtPr>
      <w:sdtEndPr/>
      <w:sdtContent>
        <w:p>
          <w:pPr>
            <w:pStyle w:val="TOC2"/>
            <w:tabs>
              <w:tab w:pos="9266" w:val="right" w:leader="dot"/>
            </w:tabs>
            <w:spacing w:before="45"/>
            <w:rPr>
              <w:b w:val="0"/>
              <w:i w:val="0"/>
              <w:sz w:val="24"/>
            </w:rPr>
          </w:pPr>
          <w:hyperlink w:history="true" w:anchor="_bookmark0">
            <w:r>
              <w:rPr>
                <w:b w:val="0"/>
                <w:i/>
                <w:sz w:val="24"/>
              </w:rPr>
              <w:t>Resumen</w:t>
            </w:r>
            <w:r>
              <w:rPr>
                <w:b w:val="0"/>
                <w:i w:val="0"/>
                <w:sz w:val="24"/>
              </w:rPr>
              <w:tab/>
              <w:t>v</w:t>
            </w:r>
          </w:hyperlink>
        </w:p>
        <w:p>
          <w:pPr>
            <w:pStyle w:val="TOC2"/>
            <w:tabs>
              <w:tab w:pos="9265" w:val="right" w:leader="dot"/>
            </w:tabs>
            <w:rPr>
              <w:b w:val="0"/>
              <w:i w:val="0"/>
              <w:sz w:val="24"/>
            </w:rPr>
          </w:pPr>
          <w:hyperlink w:history="true" w:anchor="_bookmark1">
            <w:r>
              <w:rPr>
                <w:b w:val="0"/>
                <w:i/>
                <w:sz w:val="24"/>
              </w:rPr>
              <w:t>Abstract</w:t>
            </w:r>
            <w:r>
              <w:rPr>
                <w:b w:val="0"/>
                <w:i w:val="0"/>
                <w:sz w:val="24"/>
              </w:rPr>
              <w:tab/>
              <w:t>vii</w:t>
            </w:r>
          </w:hyperlink>
        </w:p>
        <w:p>
          <w:pPr>
            <w:pStyle w:val="TOC1"/>
            <w:tabs>
              <w:tab w:pos="9266" w:val="right" w:leader="dot"/>
            </w:tabs>
            <w:spacing w:before="2"/>
          </w:pPr>
          <w:hyperlink w:history="true" w:anchor="_bookmark2">
            <w:r>
              <w:rPr/>
              <w:t>CAPÍTULO I</w:t>
              <w:tab/>
              <w:t>1</w:t>
            </w:r>
          </w:hyperlink>
        </w:p>
        <w:p>
          <w:pPr>
            <w:pStyle w:val="TOC1"/>
            <w:tabs>
              <w:tab w:pos="9266" w:val="right" w:leader="dot"/>
            </w:tabs>
          </w:pPr>
          <w:hyperlink w:history="true" w:anchor="_bookmark3">
            <w:r>
              <w:rPr/>
              <w:t>Introducción</w:t>
              <w:tab/>
              <w:t>1</w:t>
            </w:r>
          </w:hyperlink>
        </w:p>
        <w:p>
          <w:pPr>
            <w:pStyle w:val="TOC1"/>
            <w:tabs>
              <w:tab w:pos="9266" w:val="right" w:leader="dot"/>
            </w:tabs>
            <w:spacing w:before="2"/>
          </w:pPr>
          <w:hyperlink w:history="true" w:anchor="_bookmark4">
            <w:r>
              <w:rPr/>
              <w:t>CAPÍTULO II</w:t>
              <w:tab/>
              <w:t>3</w:t>
            </w:r>
          </w:hyperlink>
        </w:p>
        <w:p>
          <w:pPr>
            <w:pStyle w:val="TOC1"/>
            <w:tabs>
              <w:tab w:pos="9266" w:val="right" w:leader="dot"/>
            </w:tabs>
          </w:pPr>
          <w:hyperlink w:history="true" w:anchor="_bookmark5">
            <w:r>
              <w:rPr/>
              <w:t>Revisión</w:t>
            </w:r>
            <w:r>
              <w:rPr>
                <w:spacing w:val="-4"/>
              </w:rPr>
              <w:t> </w:t>
            </w:r>
            <w:r>
              <w:rPr/>
              <w:t>de</w:t>
            </w:r>
            <w:r>
              <w:rPr>
                <w:spacing w:val="5"/>
              </w:rPr>
              <w:t> </w:t>
            </w:r>
            <w:r>
              <w:rPr/>
              <w:t>literatura</w:t>
              <w:tab/>
              <w:t>3</w:t>
            </w:r>
          </w:hyperlink>
        </w:p>
        <w:p>
          <w:pPr>
            <w:pStyle w:val="TOC3"/>
            <w:numPr>
              <w:ilvl w:val="1"/>
              <w:numId w:val="1"/>
            </w:numPr>
            <w:tabs>
              <w:tab w:pos="758" w:val="left" w:leader="none"/>
              <w:tab w:pos="9266" w:val="right" w:leader="dot"/>
            </w:tabs>
            <w:spacing w:line="275" w:lineRule="exact" w:before="2" w:after="0"/>
            <w:ind w:left="757" w:right="0" w:hanging="364"/>
            <w:jc w:val="left"/>
          </w:pPr>
          <w:hyperlink w:history="true" w:anchor="_bookmark6">
            <w:r>
              <w:rPr/>
              <w:t>Generalidades de</w:t>
            </w:r>
            <w:r>
              <w:rPr>
                <w:spacing w:val="5"/>
              </w:rPr>
              <w:t> </w:t>
            </w:r>
            <w:r>
              <w:rPr>
                <w:spacing w:val="-5"/>
              </w:rPr>
              <w:t>la </w:t>
            </w:r>
            <w:r>
              <w:rPr>
                <w:spacing w:val="7"/>
              </w:rPr>
              <w:t> </w:t>
            </w:r>
            <w:r>
              <w:rPr/>
              <w:t>Anestesia</w:t>
              <w:tab/>
              <w:t>3</w:t>
            </w:r>
          </w:hyperlink>
        </w:p>
        <w:p>
          <w:pPr>
            <w:pStyle w:val="TOC3"/>
            <w:numPr>
              <w:ilvl w:val="2"/>
              <w:numId w:val="1"/>
            </w:numPr>
            <w:tabs>
              <w:tab w:pos="935" w:val="left" w:leader="none"/>
              <w:tab w:pos="9266" w:val="right" w:leader="dot"/>
            </w:tabs>
            <w:spacing w:line="275" w:lineRule="exact" w:before="0" w:after="0"/>
            <w:ind w:left="934" w:right="0" w:hanging="541"/>
            <w:jc w:val="left"/>
          </w:pPr>
          <w:hyperlink w:history="true" w:anchor="_bookmark7">
            <w:r>
              <w:rPr/>
              <w:t>Anestesia</w:t>
            </w:r>
            <w:r>
              <w:rPr>
                <w:spacing w:val="5"/>
              </w:rPr>
              <w:t> </w:t>
            </w:r>
            <w:r>
              <w:rPr/>
              <w:t>inhalatoria</w:t>
              <w:tab/>
              <w:t>3</w:t>
            </w:r>
          </w:hyperlink>
        </w:p>
        <w:p>
          <w:pPr>
            <w:pStyle w:val="TOC3"/>
            <w:numPr>
              <w:ilvl w:val="2"/>
              <w:numId w:val="1"/>
            </w:numPr>
            <w:tabs>
              <w:tab w:pos="935" w:val="left" w:leader="none"/>
              <w:tab w:pos="9266" w:val="right" w:leader="dot"/>
            </w:tabs>
            <w:spacing w:line="275" w:lineRule="exact" w:before="2" w:after="0"/>
            <w:ind w:left="934" w:right="0" w:hanging="541"/>
            <w:jc w:val="left"/>
          </w:pPr>
          <w:hyperlink w:history="true" w:anchor="_bookmark8">
            <w:r>
              <w:rPr/>
              <w:t>Isoflurano</w:t>
              <w:tab/>
              <w:t>4</w:t>
            </w:r>
          </w:hyperlink>
        </w:p>
        <w:p>
          <w:pPr>
            <w:pStyle w:val="TOC3"/>
            <w:numPr>
              <w:ilvl w:val="2"/>
              <w:numId w:val="1"/>
            </w:numPr>
            <w:tabs>
              <w:tab w:pos="935" w:val="left" w:leader="none"/>
              <w:tab w:pos="9266" w:val="right" w:leader="dot"/>
            </w:tabs>
            <w:spacing w:line="275" w:lineRule="exact" w:before="0" w:after="0"/>
            <w:ind w:left="934" w:right="0" w:hanging="541"/>
            <w:jc w:val="left"/>
          </w:pPr>
          <w:hyperlink w:history="true" w:anchor="_bookmark9">
            <w:r>
              <w:rPr/>
              <w:t>Farmacocinética</w:t>
            </w:r>
            <w:r>
              <w:rPr>
                <w:spacing w:val="5"/>
              </w:rPr>
              <w:t> </w:t>
            </w:r>
            <w:r>
              <w:rPr/>
              <w:t>y</w:t>
            </w:r>
            <w:r>
              <w:rPr>
                <w:spacing w:val="-4"/>
              </w:rPr>
              <w:t> </w:t>
            </w:r>
            <w:r>
              <w:rPr/>
              <w:t>farmacodinamia</w:t>
              <w:tab/>
              <w:t>4</w:t>
            </w:r>
          </w:hyperlink>
        </w:p>
        <w:p>
          <w:pPr>
            <w:pStyle w:val="TOC3"/>
            <w:numPr>
              <w:ilvl w:val="2"/>
              <w:numId w:val="1"/>
            </w:numPr>
            <w:tabs>
              <w:tab w:pos="935" w:val="left" w:leader="none"/>
              <w:tab w:pos="9266" w:val="right" w:leader="dot"/>
            </w:tabs>
            <w:spacing w:line="275" w:lineRule="exact" w:before="2" w:after="0"/>
            <w:ind w:left="934" w:right="0" w:hanging="541"/>
            <w:jc w:val="left"/>
          </w:pPr>
          <w:hyperlink w:history="true" w:anchor="_bookmark10">
            <w:r>
              <w:rPr/>
              <w:t>Efecto sobre</w:t>
            </w:r>
            <w:r>
              <w:rPr>
                <w:spacing w:val="2"/>
              </w:rPr>
              <w:t> </w:t>
            </w:r>
            <w:r>
              <w:rPr/>
              <w:t>el</w:t>
            </w:r>
            <w:r>
              <w:rPr>
                <w:spacing w:val="-8"/>
              </w:rPr>
              <w:t> </w:t>
            </w:r>
            <w:r>
              <w:rPr/>
              <w:t>SNC</w:t>
              <w:tab/>
              <w:t>4</w:t>
            </w:r>
          </w:hyperlink>
        </w:p>
        <w:p>
          <w:pPr>
            <w:pStyle w:val="TOC3"/>
            <w:numPr>
              <w:ilvl w:val="2"/>
              <w:numId w:val="1"/>
            </w:numPr>
            <w:tabs>
              <w:tab w:pos="935" w:val="left" w:leader="none"/>
              <w:tab w:pos="9266" w:val="right" w:leader="dot"/>
            </w:tabs>
            <w:spacing w:line="275" w:lineRule="exact" w:before="0" w:after="0"/>
            <w:ind w:left="934" w:right="0" w:hanging="541"/>
            <w:jc w:val="left"/>
          </w:pPr>
          <w:hyperlink w:history="true" w:anchor="_bookmark11">
            <w:r>
              <w:rPr/>
              <w:t>Efecto sobre el</w:t>
            </w:r>
            <w:r>
              <w:rPr>
                <w:spacing w:val="-5"/>
              </w:rPr>
              <w:t> </w:t>
            </w:r>
            <w:r>
              <w:rPr/>
              <w:t>sistema Cardiovascular</w:t>
              <w:tab/>
              <w:t>4</w:t>
            </w:r>
          </w:hyperlink>
        </w:p>
        <w:p>
          <w:pPr>
            <w:pStyle w:val="TOC3"/>
            <w:numPr>
              <w:ilvl w:val="2"/>
              <w:numId w:val="1"/>
            </w:numPr>
            <w:tabs>
              <w:tab w:pos="935" w:val="left" w:leader="none"/>
              <w:tab w:pos="9266" w:val="right" w:leader="dot"/>
            </w:tabs>
            <w:spacing w:line="275" w:lineRule="exact" w:before="2" w:after="0"/>
            <w:ind w:left="934" w:right="0" w:hanging="541"/>
            <w:jc w:val="left"/>
          </w:pPr>
          <w:hyperlink w:history="true" w:anchor="_bookmark12">
            <w:r>
              <w:rPr/>
              <w:t>Efecto sobre el</w:t>
            </w:r>
            <w:r>
              <w:rPr>
                <w:spacing w:val="-5"/>
              </w:rPr>
              <w:t> </w:t>
            </w:r>
            <w:r>
              <w:rPr/>
              <w:t>sistema Respiratorio</w:t>
              <w:tab/>
              <w:t>5</w:t>
            </w:r>
          </w:hyperlink>
        </w:p>
        <w:p>
          <w:pPr>
            <w:pStyle w:val="TOC3"/>
            <w:numPr>
              <w:ilvl w:val="2"/>
              <w:numId w:val="1"/>
            </w:numPr>
            <w:tabs>
              <w:tab w:pos="935" w:val="left" w:leader="none"/>
              <w:tab w:pos="9266" w:val="right" w:leader="dot"/>
            </w:tabs>
            <w:spacing w:line="274" w:lineRule="exact" w:before="0" w:after="0"/>
            <w:ind w:left="934" w:right="0" w:hanging="541"/>
            <w:jc w:val="left"/>
          </w:pPr>
          <w:hyperlink w:history="true" w:anchor="_bookmark13">
            <w:r>
              <w:rPr/>
              <w:t>Usos</w:t>
            </w:r>
            <w:r>
              <w:rPr>
                <w:spacing w:val="-1"/>
              </w:rPr>
              <w:t> </w:t>
            </w:r>
            <w:r>
              <w:rPr/>
              <w:t>clínicos</w:t>
              <w:tab/>
              <w:t>5</w:t>
            </w:r>
          </w:hyperlink>
        </w:p>
        <w:p>
          <w:pPr>
            <w:pStyle w:val="TOC3"/>
            <w:numPr>
              <w:ilvl w:val="1"/>
              <w:numId w:val="2"/>
            </w:numPr>
            <w:tabs>
              <w:tab w:pos="758" w:val="left" w:leader="none"/>
              <w:tab w:pos="9266" w:val="right" w:leader="dot"/>
            </w:tabs>
            <w:spacing w:line="275" w:lineRule="exact" w:before="0" w:after="0"/>
            <w:ind w:left="757" w:right="0" w:hanging="364"/>
            <w:jc w:val="left"/>
          </w:pPr>
          <w:hyperlink w:history="true" w:anchor="_bookmark14">
            <w:r>
              <w:rPr/>
              <w:t>Anestesia Equilibrada</w:t>
              <w:tab/>
              <w:t>5</w:t>
            </w:r>
          </w:hyperlink>
        </w:p>
        <w:p>
          <w:pPr>
            <w:pStyle w:val="TOC3"/>
            <w:numPr>
              <w:ilvl w:val="1"/>
              <w:numId w:val="2"/>
            </w:numPr>
            <w:tabs>
              <w:tab w:pos="758" w:val="left" w:leader="none"/>
              <w:tab w:pos="9266" w:val="right" w:leader="dot"/>
            </w:tabs>
            <w:spacing w:line="275" w:lineRule="exact" w:before="2" w:after="0"/>
            <w:ind w:left="757" w:right="0" w:hanging="364"/>
            <w:jc w:val="left"/>
          </w:pPr>
          <w:hyperlink w:history="true" w:anchor="_bookmark16">
            <w:r>
              <w:rPr/>
              <w:t>Dolor</w:t>
              <w:tab/>
              <w:t>7</w:t>
            </w:r>
          </w:hyperlink>
        </w:p>
        <w:p>
          <w:pPr>
            <w:pStyle w:val="TOC3"/>
            <w:numPr>
              <w:ilvl w:val="2"/>
              <w:numId w:val="2"/>
            </w:numPr>
            <w:tabs>
              <w:tab w:pos="935" w:val="left" w:leader="none"/>
              <w:tab w:pos="9266" w:val="right" w:leader="dot"/>
            </w:tabs>
            <w:spacing w:line="275" w:lineRule="exact" w:before="0" w:after="0"/>
            <w:ind w:left="934" w:right="0" w:hanging="541"/>
            <w:jc w:val="left"/>
          </w:pPr>
          <w:hyperlink w:history="true" w:anchor="_bookmark17">
            <w:r>
              <w:rPr/>
              <w:t>Generalidades</w:t>
              <w:tab/>
              <w:t>7</w:t>
            </w:r>
          </w:hyperlink>
        </w:p>
        <w:p>
          <w:pPr>
            <w:pStyle w:val="TOC3"/>
            <w:numPr>
              <w:ilvl w:val="2"/>
              <w:numId w:val="2"/>
            </w:numPr>
            <w:tabs>
              <w:tab w:pos="935" w:val="left" w:leader="none"/>
              <w:tab w:pos="9266" w:val="right" w:leader="dot"/>
            </w:tabs>
            <w:spacing w:line="275" w:lineRule="exact" w:before="3" w:after="0"/>
            <w:ind w:left="934" w:right="0" w:hanging="541"/>
            <w:jc w:val="left"/>
          </w:pPr>
          <w:hyperlink w:history="true" w:anchor="_bookmark18">
            <w:r>
              <w:rPr/>
              <w:t>Fisiopatología del</w:t>
            </w:r>
            <w:r>
              <w:rPr>
                <w:spacing w:val="-8"/>
              </w:rPr>
              <w:t> </w:t>
            </w:r>
            <w:r>
              <w:rPr/>
              <w:t>dolor</w:t>
              <w:tab/>
              <w:t>8</w:t>
            </w:r>
          </w:hyperlink>
        </w:p>
        <w:p>
          <w:pPr>
            <w:pStyle w:val="TOC3"/>
            <w:numPr>
              <w:ilvl w:val="2"/>
              <w:numId w:val="2"/>
            </w:numPr>
            <w:tabs>
              <w:tab w:pos="935" w:val="left" w:leader="none"/>
              <w:tab w:pos="9266" w:val="right" w:leader="dot"/>
            </w:tabs>
            <w:spacing w:line="275" w:lineRule="exact" w:before="0" w:after="0"/>
            <w:ind w:left="934" w:right="0" w:hanging="541"/>
            <w:jc w:val="left"/>
          </w:pPr>
          <w:hyperlink w:history="true" w:anchor="_bookmark22">
            <w:r>
              <w:rPr/>
              <w:t>Sensibilización</w:t>
            </w:r>
            <w:r>
              <w:rPr>
                <w:spacing w:val="-4"/>
              </w:rPr>
              <w:t> </w:t>
            </w:r>
            <w:r>
              <w:rPr/>
              <w:t>periférica</w:t>
              <w:tab/>
              <w:t>10</w:t>
            </w:r>
          </w:hyperlink>
        </w:p>
        <w:p>
          <w:pPr>
            <w:pStyle w:val="TOC3"/>
            <w:numPr>
              <w:ilvl w:val="2"/>
              <w:numId w:val="2"/>
            </w:numPr>
            <w:tabs>
              <w:tab w:pos="935" w:val="left" w:leader="none"/>
              <w:tab w:pos="9266" w:val="right" w:leader="dot"/>
            </w:tabs>
            <w:spacing w:line="275" w:lineRule="exact" w:before="2" w:after="0"/>
            <w:ind w:left="934" w:right="0" w:hanging="541"/>
            <w:jc w:val="left"/>
          </w:pPr>
          <w:hyperlink w:history="true" w:anchor="_bookmark24">
            <w:r>
              <w:rPr/>
              <w:t>Sensibilización central. Modulación en el</w:t>
            </w:r>
            <w:r>
              <w:rPr>
                <w:spacing w:val="-13"/>
              </w:rPr>
              <w:t> </w:t>
            </w:r>
            <w:r>
              <w:rPr/>
              <w:t>asta dorsal</w:t>
              <w:tab/>
              <w:t>11</w:t>
            </w:r>
          </w:hyperlink>
        </w:p>
        <w:p>
          <w:pPr>
            <w:pStyle w:val="TOC3"/>
            <w:numPr>
              <w:ilvl w:val="2"/>
              <w:numId w:val="2"/>
            </w:numPr>
            <w:tabs>
              <w:tab w:pos="935" w:val="left" w:leader="none"/>
              <w:tab w:pos="9266" w:val="right" w:leader="dot"/>
            </w:tabs>
            <w:spacing w:line="275" w:lineRule="exact" w:before="0" w:after="0"/>
            <w:ind w:left="934" w:right="0" w:hanging="541"/>
            <w:jc w:val="left"/>
          </w:pPr>
          <w:hyperlink w:history="true" w:anchor="_bookmark26">
            <w:r>
              <w:rPr/>
              <w:t>Tipos</w:t>
            </w:r>
            <w:r>
              <w:rPr>
                <w:spacing w:val="-1"/>
              </w:rPr>
              <w:t> </w:t>
            </w:r>
            <w:r>
              <w:rPr/>
              <w:t>de dolor</w:t>
              <w:tab/>
              <w:t>13</w:t>
            </w:r>
          </w:hyperlink>
        </w:p>
        <w:p>
          <w:pPr>
            <w:pStyle w:val="TOC3"/>
            <w:numPr>
              <w:ilvl w:val="2"/>
              <w:numId w:val="2"/>
            </w:numPr>
            <w:tabs>
              <w:tab w:pos="935" w:val="left" w:leader="none"/>
              <w:tab w:pos="9266" w:val="right" w:leader="dot"/>
            </w:tabs>
            <w:spacing w:line="275" w:lineRule="exact" w:before="2" w:after="0"/>
            <w:ind w:left="934" w:right="0" w:hanging="541"/>
            <w:jc w:val="left"/>
          </w:pPr>
          <w:hyperlink w:history="true" w:anchor="_bookmark27">
            <w:r>
              <w:rPr/>
              <w:t>Evaluación</w:t>
            </w:r>
            <w:r>
              <w:rPr>
                <w:spacing w:val="-4"/>
              </w:rPr>
              <w:t> </w:t>
            </w:r>
            <w:r>
              <w:rPr/>
              <w:t>del</w:t>
            </w:r>
            <w:r>
              <w:rPr>
                <w:spacing w:val="-8"/>
              </w:rPr>
              <w:t> </w:t>
            </w:r>
            <w:r>
              <w:rPr/>
              <w:t>dolor</w:t>
              <w:tab/>
              <w:t>14</w:t>
            </w:r>
          </w:hyperlink>
        </w:p>
        <w:p>
          <w:pPr>
            <w:pStyle w:val="TOC3"/>
            <w:numPr>
              <w:ilvl w:val="2"/>
              <w:numId w:val="2"/>
            </w:numPr>
            <w:tabs>
              <w:tab w:pos="935" w:val="left" w:leader="none"/>
              <w:tab w:pos="9266" w:val="right" w:leader="dot"/>
            </w:tabs>
            <w:spacing w:line="275" w:lineRule="exact" w:before="0" w:after="0"/>
            <w:ind w:left="934" w:right="0" w:hanging="541"/>
            <w:jc w:val="left"/>
          </w:pPr>
          <w:hyperlink w:history="true" w:anchor="_bookmark28">
            <w:r>
              <w:rPr/>
              <w:t>Escala de posicionamiento</w:t>
            </w:r>
            <w:r>
              <w:rPr>
                <w:spacing w:val="6"/>
              </w:rPr>
              <w:t> </w:t>
            </w:r>
            <w:r>
              <w:rPr/>
              <w:t>numérico</w:t>
            </w:r>
            <w:r>
              <w:rPr>
                <w:spacing w:val="5"/>
              </w:rPr>
              <w:t> </w:t>
            </w:r>
            <w:r>
              <w:rPr/>
              <w:t>(NRS)</w:t>
              <w:tab/>
              <w:t>14</w:t>
            </w:r>
          </w:hyperlink>
        </w:p>
        <w:p>
          <w:pPr>
            <w:pStyle w:val="TOC3"/>
            <w:numPr>
              <w:ilvl w:val="2"/>
              <w:numId w:val="2"/>
            </w:numPr>
            <w:tabs>
              <w:tab w:pos="935" w:val="left" w:leader="none"/>
              <w:tab w:pos="9266" w:val="right" w:leader="dot"/>
            </w:tabs>
            <w:spacing w:line="275" w:lineRule="exact" w:before="3" w:after="0"/>
            <w:ind w:left="934" w:right="0" w:hanging="541"/>
            <w:jc w:val="left"/>
          </w:pPr>
          <w:hyperlink w:history="true" w:anchor="_bookmark29">
            <w:r>
              <w:rPr/>
              <w:t>Escala de dolor de </w:t>
            </w:r>
            <w:r>
              <w:rPr>
                <w:spacing w:val="-5"/>
              </w:rPr>
              <w:t>la </w:t>
            </w:r>
            <w:r>
              <w:rPr/>
              <w:t>Universidad de</w:t>
            </w:r>
            <w:r>
              <w:rPr>
                <w:spacing w:val="11"/>
              </w:rPr>
              <w:t> </w:t>
            </w:r>
            <w:r>
              <w:rPr/>
              <w:t>Melbourne (UMPS)</w:t>
              <w:tab/>
              <w:t>15</w:t>
            </w:r>
          </w:hyperlink>
        </w:p>
        <w:p>
          <w:pPr>
            <w:pStyle w:val="TOC3"/>
            <w:numPr>
              <w:ilvl w:val="2"/>
              <w:numId w:val="2"/>
            </w:numPr>
            <w:tabs>
              <w:tab w:pos="935" w:val="left" w:leader="none"/>
              <w:tab w:pos="9266" w:val="right" w:leader="dot"/>
            </w:tabs>
            <w:spacing w:line="275" w:lineRule="exact" w:before="0" w:after="0"/>
            <w:ind w:left="934" w:right="0" w:hanging="541"/>
            <w:jc w:val="left"/>
          </w:pPr>
          <w:hyperlink w:history="true" w:anchor="_bookmark30">
            <w:r>
              <w:rPr/>
              <w:t>Escala compuesta de evaluación de dolor de</w:t>
            </w:r>
            <w:r>
              <w:rPr>
                <w:spacing w:val="-5"/>
              </w:rPr>
              <w:t> </w:t>
            </w:r>
            <w:r>
              <w:rPr/>
              <w:t>Glasgow (GCPS)</w:t>
              <w:tab/>
              <w:t>15</w:t>
            </w:r>
          </w:hyperlink>
        </w:p>
        <w:p>
          <w:pPr>
            <w:pStyle w:val="TOC3"/>
            <w:numPr>
              <w:ilvl w:val="1"/>
              <w:numId w:val="3"/>
            </w:numPr>
            <w:tabs>
              <w:tab w:pos="758" w:val="left" w:leader="none"/>
              <w:tab w:pos="9266" w:val="right" w:leader="dot"/>
            </w:tabs>
            <w:spacing w:line="275" w:lineRule="exact" w:before="2" w:after="0"/>
            <w:ind w:left="757" w:right="0" w:hanging="364"/>
            <w:jc w:val="left"/>
          </w:pPr>
          <w:hyperlink w:history="true" w:anchor="_bookmark33">
            <w:r>
              <w:rPr/>
              <w:t>Analgésicos y adyuvantes de</w:t>
            </w:r>
            <w:r>
              <w:rPr>
                <w:spacing w:val="-4"/>
              </w:rPr>
              <w:t> </w:t>
            </w:r>
            <w:r>
              <w:rPr>
                <w:spacing w:val="-5"/>
              </w:rPr>
              <w:t>la</w:t>
            </w:r>
            <w:r>
              <w:rPr/>
              <w:t> anestesia</w:t>
              <w:tab/>
              <w:t>18</w:t>
            </w:r>
          </w:hyperlink>
        </w:p>
        <w:p>
          <w:pPr>
            <w:pStyle w:val="TOC3"/>
            <w:numPr>
              <w:ilvl w:val="2"/>
              <w:numId w:val="3"/>
            </w:numPr>
            <w:tabs>
              <w:tab w:pos="935" w:val="left" w:leader="none"/>
              <w:tab w:pos="9266" w:val="right" w:leader="dot"/>
            </w:tabs>
            <w:spacing w:line="275" w:lineRule="exact" w:before="0" w:after="0"/>
            <w:ind w:left="934" w:right="0" w:hanging="541"/>
            <w:jc w:val="left"/>
          </w:pPr>
          <w:hyperlink w:history="true" w:anchor="_bookmark34">
            <w:r>
              <w:rPr/>
              <w:t>Fentanilo</w:t>
              <w:tab/>
              <w:t>18</w:t>
            </w:r>
          </w:hyperlink>
        </w:p>
        <w:p>
          <w:pPr>
            <w:pStyle w:val="TOC3"/>
            <w:numPr>
              <w:ilvl w:val="3"/>
              <w:numId w:val="3"/>
            </w:numPr>
            <w:tabs>
              <w:tab w:pos="1117" w:val="left" w:leader="none"/>
              <w:tab w:pos="9266" w:val="right" w:leader="dot"/>
            </w:tabs>
            <w:spacing w:line="275" w:lineRule="exact" w:before="2" w:after="0"/>
            <w:ind w:left="1116" w:right="0" w:hanging="723"/>
            <w:jc w:val="left"/>
          </w:pPr>
          <w:hyperlink w:history="true" w:anchor="_bookmark35">
            <w:r>
              <w:rPr/>
              <w:t>Farmacocinética</w:t>
            </w:r>
            <w:r>
              <w:rPr>
                <w:spacing w:val="5"/>
              </w:rPr>
              <w:t> </w:t>
            </w:r>
            <w:r>
              <w:rPr/>
              <w:t>y</w:t>
            </w:r>
            <w:r>
              <w:rPr>
                <w:spacing w:val="-4"/>
              </w:rPr>
              <w:t> </w:t>
            </w:r>
            <w:r>
              <w:rPr/>
              <w:t>farmacodinamia</w:t>
              <w:tab/>
              <w:t>18</w:t>
            </w:r>
          </w:hyperlink>
        </w:p>
        <w:p>
          <w:pPr>
            <w:pStyle w:val="TOC3"/>
            <w:numPr>
              <w:ilvl w:val="3"/>
              <w:numId w:val="3"/>
            </w:numPr>
            <w:tabs>
              <w:tab w:pos="1117" w:val="left" w:leader="none"/>
              <w:tab w:pos="9266" w:val="right" w:leader="dot"/>
            </w:tabs>
            <w:spacing w:line="275" w:lineRule="exact" w:before="0" w:after="0"/>
            <w:ind w:left="1116" w:right="0" w:hanging="723"/>
            <w:jc w:val="left"/>
          </w:pPr>
          <w:hyperlink w:history="true" w:anchor="_bookmark37">
            <w:r>
              <w:rPr/>
              <w:t>Efectos</w:t>
            </w:r>
            <w:r>
              <w:rPr>
                <w:spacing w:val="-1"/>
              </w:rPr>
              <w:t> </w:t>
            </w:r>
            <w:r>
              <w:rPr/>
              <w:t>secundarios</w:t>
              <w:tab/>
              <w:t>19</w:t>
            </w:r>
          </w:hyperlink>
        </w:p>
        <w:p>
          <w:pPr>
            <w:pStyle w:val="TOC3"/>
            <w:numPr>
              <w:ilvl w:val="3"/>
              <w:numId w:val="3"/>
            </w:numPr>
            <w:tabs>
              <w:tab w:pos="1117" w:val="left" w:leader="none"/>
              <w:tab w:pos="9266" w:val="right" w:leader="dot"/>
            </w:tabs>
            <w:spacing w:line="275" w:lineRule="exact" w:before="2" w:after="0"/>
            <w:ind w:left="1116" w:right="0" w:hanging="723"/>
            <w:jc w:val="left"/>
          </w:pPr>
          <w:hyperlink w:history="true" w:anchor="_bookmark38">
            <w:r>
              <w:rPr/>
              <w:t>Usos</w:t>
            </w:r>
            <w:r>
              <w:rPr>
                <w:spacing w:val="-6"/>
              </w:rPr>
              <w:t> </w:t>
            </w:r>
            <w:r>
              <w:rPr/>
              <w:t>clínicos</w:t>
              <w:tab/>
              <w:t>20</w:t>
            </w:r>
          </w:hyperlink>
        </w:p>
        <w:p>
          <w:pPr>
            <w:pStyle w:val="TOC3"/>
            <w:numPr>
              <w:ilvl w:val="2"/>
              <w:numId w:val="4"/>
            </w:numPr>
            <w:tabs>
              <w:tab w:pos="935" w:val="left" w:leader="none"/>
              <w:tab w:pos="9266" w:val="right" w:leader="dot"/>
            </w:tabs>
            <w:spacing w:line="275" w:lineRule="exact" w:before="0" w:after="0"/>
            <w:ind w:left="934" w:right="0" w:hanging="541"/>
            <w:jc w:val="left"/>
          </w:pPr>
          <w:hyperlink w:history="true" w:anchor="_bookmark39">
            <w:r>
              <w:rPr/>
              <w:t>Lidocaína</w:t>
            </w:r>
            <w:r>
              <w:rPr>
                <w:spacing w:val="5"/>
              </w:rPr>
              <w:t> </w:t>
            </w:r>
            <w:r>
              <w:rPr/>
              <w:t>intravenosa</w:t>
              <w:tab/>
              <w:t>20</w:t>
            </w:r>
          </w:hyperlink>
        </w:p>
        <w:p>
          <w:pPr>
            <w:pStyle w:val="TOC3"/>
            <w:numPr>
              <w:ilvl w:val="3"/>
              <w:numId w:val="4"/>
            </w:numPr>
            <w:tabs>
              <w:tab w:pos="1117" w:val="left" w:leader="none"/>
              <w:tab w:pos="9266" w:val="right" w:leader="dot"/>
            </w:tabs>
            <w:spacing w:line="275" w:lineRule="exact" w:before="2" w:after="0"/>
            <w:ind w:left="1116" w:right="0" w:hanging="723"/>
            <w:jc w:val="left"/>
          </w:pPr>
          <w:hyperlink w:history="true" w:anchor="_bookmark40">
            <w:r>
              <w:rPr/>
              <w:t>Farmacocinética</w:t>
            </w:r>
            <w:r>
              <w:rPr>
                <w:spacing w:val="5"/>
              </w:rPr>
              <w:t> </w:t>
            </w:r>
            <w:r>
              <w:rPr/>
              <w:t>y</w:t>
            </w:r>
            <w:r>
              <w:rPr>
                <w:spacing w:val="-4"/>
              </w:rPr>
              <w:t> </w:t>
            </w:r>
            <w:r>
              <w:rPr/>
              <w:t>farmacodinamia</w:t>
              <w:tab/>
              <w:t>20</w:t>
            </w:r>
          </w:hyperlink>
        </w:p>
        <w:p>
          <w:pPr>
            <w:pStyle w:val="TOC3"/>
            <w:numPr>
              <w:ilvl w:val="3"/>
              <w:numId w:val="4"/>
            </w:numPr>
            <w:tabs>
              <w:tab w:pos="1117" w:val="left" w:leader="none"/>
              <w:tab w:pos="9266" w:val="right" w:leader="dot"/>
            </w:tabs>
            <w:spacing w:line="275" w:lineRule="exact" w:before="0" w:after="0"/>
            <w:ind w:left="1116" w:right="0" w:hanging="723"/>
            <w:jc w:val="left"/>
          </w:pPr>
          <w:hyperlink w:history="true" w:anchor="_bookmark41">
            <w:r>
              <w:rPr/>
              <w:t>Efectos</w:t>
            </w:r>
            <w:r>
              <w:rPr>
                <w:spacing w:val="-1"/>
              </w:rPr>
              <w:t> </w:t>
            </w:r>
            <w:r>
              <w:rPr/>
              <w:t>secundarios</w:t>
              <w:tab/>
              <w:t>21</w:t>
            </w:r>
          </w:hyperlink>
        </w:p>
        <w:p>
          <w:pPr>
            <w:pStyle w:val="TOC3"/>
            <w:numPr>
              <w:ilvl w:val="3"/>
              <w:numId w:val="4"/>
            </w:numPr>
            <w:tabs>
              <w:tab w:pos="1056" w:val="left" w:leader="none"/>
              <w:tab w:pos="9266" w:val="right" w:leader="dot"/>
            </w:tabs>
            <w:spacing w:line="275" w:lineRule="exact" w:before="2" w:after="0"/>
            <w:ind w:left="1055" w:right="0" w:hanging="662"/>
            <w:jc w:val="left"/>
          </w:pPr>
          <w:hyperlink w:history="true" w:anchor="_bookmark42">
            <w:r>
              <w:rPr/>
              <w:t>Usos</w:t>
            </w:r>
            <w:r>
              <w:rPr>
                <w:spacing w:val="-1"/>
              </w:rPr>
              <w:t> </w:t>
            </w:r>
            <w:r>
              <w:rPr/>
              <w:t>clínicos</w:t>
              <w:tab/>
              <w:t>21</w:t>
            </w:r>
          </w:hyperlink>
        </w:p>
        <w:p>
          <w:pPr>
            <w:pStyle w:val="TOC3"/>
            <w:numPr>
              <w:ilvl w:val="2"/>
              <w:numId w:val="5"/>
            </w:numPr>
            <w:tabs>
              <w:tab w:pos="935" w:val="left" w:leader="none"/>
              <w:tab w:pos="9266" w:val="right" w:leader="dot"/>
            </w:tabs>
            <w:spacing w:line="275" w:lineRule="exact" w:before="0" w:after="0"/>
            <w:ind w:left="934" w:right="0" w:hanging="541"/>
            <w:jc w:val="left"/>
          </w:pPr>
          <w:hyperlink w:history="true" w:anchor="_bookmark43">
            <w:r>
              <w:rPr/>
              <w:t>Ketamina</w:t>
              <w:tab/>
              <w:t>21</w:t>
            </w:r>
          </w:hyperlink>
        </w:p>
        <w:p>
          <w:pPr>
            <w:pStyle w:val="TOC3"/>
            <w:numPr>
              <w:ilvl w:val="3"/>
              <w:numId w:val="5"/>
            </w:numPr>
            <w:tabs>
              <w:tab w:pos="1117" w:val="left" w:leader="none"/>
              <w:tab w:pos="9266" w:val="right" w:leader="dot"/>
            </w:tabs>
            <w:spacing w:line="275" w:lineRule="exact" w:before="2" w:after="0"/>
            <w:ind w:left="1116" w:right="0" w:hanging="723"/>
            <w:jc w:val="left"/>
          </w:pPr>
          <w:hyperlink w:history="true" w:anchor="_bookmark44">
            <w:r>
              <w:rPr/>
              <w:t>Farmacocinética</w:t>
            </w:r>
            <w:r>
              <w:rPr>
                <w:spacing w:val="5"/>
              </w:rPr>
              <w:t> </w:t>
            </w:r>
            <w:r>
              <w:rPr/>
              <w:t>y</w:t>
            </w:r>
            <w:r>
              <w:rPr>
                <w:spacing w:val="-4"/>
              </w:rPr>
              <w:t> </w:t>
            </w:r>
            <w:r>
              <w:rPr/>
              <w:t>Farmacodinamia</w:t>
              <w:tab/>
              <w:t>21</w:t>
            </w:r>
          </w:hyperlink>
        </w:p>
        <w:p>
          <w:pPr>
            <w:pStyle w:val="TOC3"/>
            <w:numPr>
              <w:ilvl w:val="3"/>
              <w:numId w:val="5"/>
            </w:numPr>
            <w:tabs>
              <w:tab w:pos="1117" w:val="left" w:leader="none"/>
              <w:tab w:pos="9266" w:val="right" w:leader="dot"/>
            </w:tabs>
            <w:spacing w:line="275" w:lineRule="exact" w:before="0" w:after="0"/>
            <w:ind w:left="1116" w:right="0" w:hanging="723"/>
            <w:jc w:val="left"/>
          </w:pPr>
          <w:hyperlink w:history="true" w:anchor="_bookmark46">
            <w:r>
              <w:rPr/>
              <w:t>Efectos</w:t>
            </w:r>
            <w:r>
              <w:rPr>
                <w:spacing w:val="-1"/>
              </w:rPr>
              <w:t> </w:t>
            </w:r>
            <w:r>
              <w:rPr/>
              <w:t>secundarios</w:t>
              <w:tab/>
              <w:t>22</w:t>
            </w:r>
          </w:hyperlink>
        </w:p>
        <w:p>
          <w:pPr>
            <w:pStyle w:val="TOC3"/>
            <w:numPr>
              <w:ilvl w:val="3"/>
              <w:numId w:val="5"/>
            </w:numPr>
            <w:tabs>
              <w:tab w:pos="1117" w:val="left" w:leader="none"/>
              <w:tab w:pos="9266" w:val="right" w:leader="dot"/>
            </w:tabs>
            <w:spacing w:line="275" w:lineRule="exact" w:before="2" w:after="0"/>
            <w:ind w:left="1116" w:right="0" w:hanging="723"/>
            <w:jc w:val="left"/>
          </w:pPr>
          <w:hyperlink w:history="true" w:anchor="_bookmark47">
            <w:r>
              <w:rPr/>
              <w:t>Usos</w:t>
            </w:r>
            <w:r>
              <w:rPr>
                <w:spacing w:val="-6"/>
              </w:rPr>
              <w:t> </w:t>
            </w:r>
            <w:r>
              <w:rPr/>
              <w:t>clínicos</w:t>
              <w:tab/>
              <w:t>23</w:t>
            </w:r>
          </w:hyperlink>
        </w:p>
        <w:p>
          <w:pPr>
            <w:pStyle w:val="TOC3"/>
            <w:numPr>
              <w:ilvl w:val="2"/>
              <w:numId w:val="5"/>
            </w:numPr>
            <w:tabs>
              <w:tab w:pos="935" w:val="left" w:leader="none"/>
              <w:tab w:pos="9266" w:val="right" w:leader="dot"/>
            </w:tabs>
            <w:spacing w:line="275" w:lineRule="exact" w:before="0" w:after="0"/>
            <w:ind w:left="934" w:right="0" w:hanging="541"/>
            <w:jc w:val="left"/>
          </w:pPr>
          <w:hyperlink w:history="true" w:anchor="_bookmark48">
            <w:r>
              <w:rPr/>
              <w:t>Dexmedetomidina</w:t>
              <w:tab/>
              <w:t>23</w:t>
            </w:r>
          </w:hyperlink>
        </w:p>
        <w:p>
          <w:pPr>
            <w:pStyle w:val="TOC3"/>
            <w:numPr>
              <w:ilvl w:val="3"/>
              <w:numId w:val="5"/>
            </w:numPr>
            <w:tabs>
              <w:tab w:pos="1117" w:val="left" w:leader="none"/>
              <w:tab w:pos="9266" w:val="right" w:leader="dot"/>
            </w:tabs>
            <w:spacing w:line="240" w:lineRule="auto" w:before="2" w:after="0"/>
            <w:ind w:left="1116" w:right="0" w:hanging="723"/>
            <w:jc w:val="left"/>
          </w:pPr>
          <w:hyperlink w:history="true" w:anchor="_bookmark49">
            <w:r>
              <w:rPr/>
              <w:t>Farmacocinética</w:t>
            </w:r>
            <w:r>
              <w:rPr>
                <w:spacing w:val="5"/>
              </w:rPr>
              <w:t> </w:t>
            </w:r>
            <w:r>
              <w:rPr/>
              <w:t>y</w:t>
            </w:r>
            <w:r>
              <w:rPr>
                <w:spacing w:val="-4"/>
              </w:rPr>
              <w:t> </w:t>
            </w:r>
            <w:r>
              <w:rPr/>
              <w:t>Farmacodinamia</w:t>
              <w:tab/>
              <w:t>23</w:t>
            </w:r>
          </w:hyperlink>
        </w:p>
        <w:p>
          <w:pPr>
            <w:pStyle w:val="TOC3"/>
            <w:numPr>
              <w:ilvl w:val="3"/>
              <w:numId w:val="5"/>
            </w:numPr>
            <w:tabs>
              <w:tab w:pos="1117" w:val="left" w:leader="none"/>
              <w:tab w:pos="9266" w:val="right" w:leader="dot"/>
            </w:tabs>
            <w:spacing w:line="275" w:lineRule="exact" w:before="306" w:after="0"/>
            <w:ind w:left="1116" w:right="0" w:hanging="723"/>
            <w:jc w:val="left"/>
          </w:pPr>
          <w:hyperlink w:history="true" w:anchor="_bookmark51">
            <w:r>
              <w:rPr/>
              <w:t>Efectos secundarios y sobre los</w:t>
            </w:r>
            <w:r>
              <w:rPr>
                <w:spacing w:val="3"/>
              </w:rPr>
              <w:t> </w:t>
            </w:r>
            <w:r>
              <w:rPr/>
              <w:t>sistemas</w:t>
            </w:r>
            <w:r>
              <w:rPr>
                <w:spacing w:val="-1"/>
              </w:rPr>
              <w:t> </w:t>
            </w:r>
            <w:r>
              <w:rPr/>
              <w:t>corporales</w:t>
              <w:tab/>
              <w:t>25</w:t>
            </w:r>
          </w:hyperlink>
        </w:p>
        <w:p>
          <w:pPr>
            <w:pStyle w:val="TOC3"/>
            <w:numPr>
              <w:ilvl w:val="3"/>
              <w:numId w:val="5"/>
            </w:numPr>
            <w:tabs>
              <w:tab w:pos="1117" w:val="left" w:leader="none"/>
              <w:tab w:pos="9266" w:val="right" w:leader="dot"/>
            </w:tabs>
            <w:spacing w:line="275" w:lineRule="exact" w:before="0" w:after="0"/>
            <w:ind w:left="1116" w:right="0" w:hanging="723"/>
            <w:jc w:val="left"/>
          </w:pPr>
          <w:hyperlink w:history="true" w:anchor="_bookmark52">
            <w:r>
              <w:rPr/>
              <w:t>Usos</w:t>
            </w:r>
            <w:r>
              <w:rPr>
                <w:spacing w:val="-6"/>
              </w:rPr>
              <w:t> </w:t>
            </w:r>
            <w:r>
              <w:rPr/>
              <w:t>clínicos</w:t>
              <w:tab/>
              <w:t>25</w:t>
            </w:r>
          </w:hyperlink>
        </w:p>
        <w:p>
          <w:pPr>
            <w:pStyle w:val="TOC1"/>
            <w:tabs>
              <w:tab w:pos="9266" w:val="right" w:leader="dot"/>
            </w:tabs>
            <w:spacing w:before="3"/>
          </w:pPr>
          <w:hyperlink w:history="true" w:anchor="_bookmark53">
            <w:r>
              <w:rPr/>
              <w:t>CAPÍTULO III</w:t>
              <w:tab/>
              <w:t>26</w:t>
            </w:r>
          </w:hyperlink>
        </w:p>
        <w:p>
          <w:pPr>
            <w:pStyle w:val="TOC1"/>
            <w:tabs>
              <w:tab w:pos="9266" w:val="right" w:leader="dot"/>
            </w:tabs>
          </w:pPr>
          <w:hyperlink w:history="true" w:anchor="_bookmark54">
            <w:r>
              <w:rPr/>
              <w:t>Justificación</w:t>
              <w:tab/>
              <w:t>26</w:t>
            </w:r>
          </w:hyperlink>
        </w:p>
        <w:p>
          <w:pPr>
            <w:pStyle w:val="TOC1"/>
            <w:tabs>
              <w:tab w:pos="9266" w:val="right" w:leader="dot"/>
            </w:tabs>
            <w:spacing w:before="2"/>
          </w:pPr>
          <w:hyperlink w:history="true" w:anchor="_bookmark55">
            <w:r>
              <w:rPr/>
              <w:t>CAPÍTULO IV</w:t>
              <w:tab/>
              <w:t>27</w:t>
            </w:r>
          </w:hyperlink>
        </w:p>
        <w:p>
          <w:pPr>
            <w:pStyle w:val="TOC1"/>
            <w:tabs>
              <w:tab w:pos="9266" w:val="right" w:leader="dot"/>
            </w:tabs>
          </w:pPr>
          <w:hyperlink w:history="true" w:anchor="_bookmark56">
            <w:r>
              <w:rPr/>
              <w:t>Hipótesis</w:t>
              <w:tab/>
              <w:t>27</w:t>
            </w:r>
          </w:hyperlink>
        </w:p>
        <w:p>
          <w:pPr>
            <w:pStyle w:val="TOC1"/>
            <w:tabs>
              <w:tab w:pos="9266" w:val="right" w:leader="dot"/>
            </w:tabs>
            <w:spacing w:before="2"/>
          </w:pPr>
          <w:hyperlink w:history="true" w:anchor="_bookmark57">
            <w:r>
              <w:rPr/>
              <w:t>CAPÍTULO V</w:t>
              <w:tab/>
              <w:t>28</w:t>
            </w:r>
          </w:hyperlink>
        </w:p>
        <w:p>
          <w:pPr>
            <w:pStyle w:val="TOC1"/>
            <w:tabs>
              <w:tab w:pos="9266" w:val="right" w:leader="dot"/>
            </w:tabs>
          </w:pPr>
          <w:hyperlink w:history="true" w:anchor="_bookmark58">
            <w:r>
              <w:rPr/>
              <w:t>Objetivo</w:t>
              <w:tab/>
              <w:t>28</w:t>
            </w:r>
          </w:hyperlink>
        </w:p>
        <w:p>
          <w:pPr>
            <w:pStyle w:val="TOC1"/>
            <w:tabs>
              <w:tab w:pos="9266" w:val="right" w:leader="dot"/>
            </w:tabs>
            <w:spacing w:before="3"/>
          </w:pPr>
          <w:hyperlink w:history="true" w:anchor="_bookmark59">
            <w:r>
              <w:rPr/>
              <w:t>CAPÍTULO VI</w:t>
              <w:tab/>
              <w:t>29</w:t>
            </w:r>
          </w:hyperlink>
        </w:p>
        <w:p>
          <w:pPr>
            <w:pStyle w:val="TOC1"/>
            <w:tabs>
              <w:tab w:pos="9266" w:val="right" w:leader="dot"/>
            </w:tabs>
          </w:pPr>
          <w:hyperlink w:history="true" w:anchor="_bookmark60">
            <w:r>
              <w:rPr/>
              <w:t>Material</w:t>
            </w:r>
            <w:r>
              <w:rPr>
                <w:spacing w:val="1"/>
              </w:rPr>
              <w:t> </w:t>
            </w:r>
            <w:r>
              <w:rPr/>
              <w:t>y</w:t>
            </w:r>
            <w:r>
              <w:rPr>
                <w:spacing w:val="-4"/>
              </w:rPr>
              <w:t> </w:t>
            </w:r>
            <w:r>
              <w:rPr/>
              <w:t>método</w:t>
              <w:tab/>
              <w:t>29</w:t>
            </w:r>
          </w:hyperlink>
        </w:p>
        <w:p>
          <w:pPr>
            <w:pStyle w:val="TOC3"/>
            <w:numPr>
              <w:ilvl w:val="1"/>
              <w:numId w:val="6"/>
            </w:numPr>
            <w:tabs>
              <w:tab w:pos="758" w:val="left" w:leader="none"/>
              <w:tab w:pos="9266" w:val="right" w:leader="dot"/>
            </w:tabs>
            <w:spacing w:line="275" w:lineRule="exact" w:before="2" w:after="0"/>
            <w:ind w:left="757" w:right="0" w:hanging="364"/>
            <w:jc w:val="left"/>
          </w:pPr>
          <w:hyperlink w:history="true" w:anchor="_bookmark61">
            <w:r>
              <w:rPr/>
              <w:t>Sujetos</w:t>
            </w:r>
            <w:r>
              <w:rPr>
                <w:spacing w:val="-1"/>
              </w:rPr>
              <w:t> </w:t>
            </w:r>
            <w:r>
              <w:rPr/>
              <w:t>de</w:t>
            </w:r>
            <w:r>
              <w:rPr>
                <w:spacing w:val="-5"/>
              </w:rPr>
              <w:t> </w:t>
            </w:r>
            <w:r>
              <w:rPr/>
              <w:t>Estudio</w:t>
              <w:tab/>
              <w:t>29</w:t>
            </w:r>
          </w:hyperlink>
        </w:p>
        <w:p>
          <w:pPr>
            <w:pStyle w:val="TOC3"/>
            <w:numPr>
              <w:ilvl w:val="1"/>
              <w:numId w:val="6"/>
            </w:numPr>
            <w:tabs>
              <w:tab w:pos="758" w:val="left" w:leader="none"/>
              <w:tab w:pos="9266" w:val="right" w:leader="dot"/>
            </w:tabs>
            <w:spacing w:line="275" w:lineRule="exact" w:before="0" w:after="0"/>
            <w:ind w:left="757" w:right="0" w:hanging="364"/>
            <w:jc w:val="left"/>
          </w:pPr>
          <w:hyperlink w:history="true" w:anchor="_bookmark62">
            <w:r>
              <w:rPr/>
              <w:t>Diseño</w:t>
            </w:r>
            <w:r>
              <w:rPr>
                <w:spacing w:val="5"/>
              </w:rPr>
              <w:t> </w:t>
            </w:r>
            <w:r>
              <w:rPr/>
              <w:t>experimental</w:t>
              <w:tab/>
              <w:t>29</w:t>
            </w:r>
          </w:hyperlink>
        </w:p>
        <w:p>
          <w:pPr>
            <w:pStyle w:val="TOC3"/>
            <w:tabs>
              <w:tab w:pos="9266" w:val="right" w:leader="dot"/>
            </w:tabs>
            <w:spacing w:before="2"/>
            <w:ind w:left="393" w:firstLine="0"/>
          </w:pPr>
          <w:hyperlink w:history="true" w:anchor="_bookmark63">
            <w:r>
              <w:rPr/>
              <w:t>6.2.1 Procedimiento anestésico</w:t>
            </w:r>
            <w:r>
              <w:rPr>
                <w:spacing w:val="8"/>
              </w:rPr>
              <w:t> </w:t>
            </w:r>
            <w:r>
              <w:rPr/>
              <w:t>y</w:t>
            </w:r>
            <w:r>
              <w:rPr>
                <w:spacing w:val="-9"/>
              </w:rPr>
              <w:t> </w:t>
            </w:r>
            <w:r>
              <w:rPr/>
              <w:t>tratamientos</w:t>
              <w:tab/>
              <w:t>29</w:t>
            </w:r>
          </w:hyperlink>
        </w:p>
        <w:p>
          <w:pPr>
            <w:pStyle w:val="TOC3"/>
            <w:numPr>
              <w:ilvl w:val="1"/>
              <w:numId w:val="7"/>
            </w:numPr>
            <w:tabs>
              <w:tab w:pos="758" w:val="left" w:leader="none"/>
              <w:tab w:pos="9266" w:val="right" w:leader="dot"/>
            </w:tabs>
            <w:spacing w:line="275" w:lineRule="exact" w:before="0" w:after="0"/>
            <w:ind w:left="757" w:right="0" w:hanging="364"/>
            <w:jc w:val="left"/>
          </w:pPr>
          <w:hyperlink w:history="true" w:anchor="_bookmark64">
            <w:r>
              <w:rPr/>
              <w:t>Monitorización y</w:t>
            </w:r>
            <w:r>
              <w:rPr>
                <w:spacing w:val="-7"/>
              </w:rPr>
              <w:t> </w:t>
            </w:r>
            <w:r>
              <w:rPr/>
              <w:t>Profundidad</w:t>
            </w:r>
            <w:r>
              <w:rPr>
                <w:spacing w:val="5"/>
              </w:rPr>
              <w:t> </w:t>
            </w:r>
            <w:r>
              <w:rPr/>
              <w:t>Anestésica</w:t>
              <w:tab/>
              <w:t>32</w:t>
            </w:r>
          </w:hyperlink>
        </w:p>
        <w:p>
          <w:pPr>
            <w:pStyle w:val="TOC3"/>
            <w:numPr>
              <w:ilvl w:val="1"/>
              <w:numId w:val="7"/>
            </w:numPr>
            <w:tabs>
              <w:tab w:pos="758" w:val="left" w:leader="none"/>
              <w:tab w:pos="9266" w:val="right" w:leader="dot"/>
            </w:tabs>
            <w:spacing w:line="275" w:lineRule="exact" w:before="3" w:after="0"/>
            <w:ind w:left="757" w:right="0" w:hanging="364"/>
            <w:jc w:val="left"/>
          </w:pPr>
          <w:hyperlink w:history="true" w:anchor="_bookmark65">
            <w:r>
              <w:rPr/>
              <w:t>Infusión</w:t>
            </w:r>
            <w:r>
              <w:rPr>
                <w:spacing w:val="-4"/>
              </w:rPr>
              <w:t> </w:t>
            </w:r>
            <w:r>
              <w:rPr/>
              <w:t>constante postquirúrgica</w:t>
              <w:tab/>
              <w:t>34</w:t>
            </w:r>
          </w:hyperlink>
        </w:p>
        <w:p>
          <w:pPr>
            <w:pStyle w:val="TOC3"/>
            <w:numPr>
              <w:ilvl w:val="1"/>
              <w:numId w:val="7"/>
            </w:numPr>
            <w:tabs>
              <w:tab w:pos="758" w:val="left" w:leader="none"/>
              <w:tab w:pos="9266" w:val="right" w:leader="dot"/>
            </w:tabs>
            <w:spacing w:line="275" w:lineRule="exact" w:before="0" w:after="0"/>
            <w:ind w:left="757" w:right="0" w:hanging="364"/>
            <w:jc w:val="left"/>
          </w:pPr>
          <w:hyperlink w:history="true" w:anchor="_bookmark66">
            <w:r>
              <w:rPr/>
              <w:t>Evaluación de </w:t>
            </w:r>
            <w:r>
              <w:rPr>
                <w:spacing w:val="-5"/>
              </w:rPr>
              <w:t>la </w:t>
            </w:r>
            <w:r>
              <w:rPr/>
              <w:t>sedación y del</w:t>
            </w:r>
            <w:r>
              <w:rPr>
                <w:spacing w:val="-6"/>
              </w:rPr>
              <w:t> </w:t>
            </w:r>
            <w:r>
              <w:rPr/>
              <w:t>dolor</w:t>
            </w:r>
            <w:r>
              <w:rPr>
                <w:spacing w:val="2"/>
              </w:rPr>
              <w:t> </w:t>
            </w:r>
            <w:r>
              <w:rPr/>
              <w:t>postquirúrgico</w:t>
              <w:tab/>
              <w:t>34</w:t>
            </w:r>
          </w:hyperlink>
        </w:p>
        <w:p>
          <w:pPr>
            <w:pStyle w:val="TOC3"/>
            <w:numPr>
              <w:ilvl w:val="1"/>
              <w:numId w:val="7"/>
            </w:numPr>
            <w:tabs>
              <w:tab w:pos="758" w:val="left" w:leader="none"/>
              <w:tab w:pos="9266" w:val="right" w:leader="dot"/>
            </w:tabs>
            <w:spacing w:line="275" w:lineRule="exact" w:before="2" w:after="0"/>
            <w:ind w:left="757" w:right="0" w:hanging="364"/>
            <w:jc w:val="left"/>
          </w:pPr>
          <w:hyperlink w:history="true" w:anchor="_bookmark67">
            <w:r>
              <w:rPr/>
              <w:t>Analgesia de rescate</w:t>
              <w:tab/>
              <w:t>36</w:t>
            </w:r>
          </w:hyperlink>
        </w:p>
        <w:p>
          <w:pPr>
            <w:pStyle w:val="TOC3"/>
            <w:numPr>
              <w:ilvl w:val="1"/>
              <w:numId w:val="7"/>
            </w:numPr>
            <w:tabs>
              <w:tab w:pos="758" w:val="left" w:leader="none"/>
              <w:tab w:pos="9266" w:val="right" w:leader="dot"/>
            </w:tabs>
            <w:spacing w:line="275" w:lineRule="exact" w:before="0" w:after="0"/>
            <w:ind w:left="757" w:right="0" w:hanging="364"/>
            <w:jc w:val="left"/>
          </w:pPr>
          <w:hyperlink w:history="true" w:anchor="_bookmark68">
            <w:r>
              <w:rPr/>
              <w:t>Análisis</w:t>
            </w:r>
            <w:r>
              <w:rPr>
                <w:spacing w:val="3"/>
              </w:rPr>
              <w:t> </w:t>
            </w:r>
            <w:r>
              <w:rPr/>
              <w:t>estadístico</w:t>
              <w:tab/>
              <w:t>36</w:t>
            </w:r>
          </w:hyperlink>
        </w:p>
        <w:p>
          <w:pPr>
            <w:pStyle w:val="TOC1"/>
            <w:tabs>
              <w:tab w:pos="9266" w:val="right" w:leader="dot"/>
            </w:tabs>
            <w:spacing w:before="2"/>
          </w:pPr>
          <w:hyperlink w:history="true" w:anchor="_bookmark69">
            <w:r>
              <w:rPr/>
              <w:t>CAPÍTULO VII</w:t>
              <w:tab/>
              <w:t>37</w:t>
            </w:r>
          </w:hyperlink>
        </w:p>
        <w:p>
          <w:pPr>
            <w:pStyle w:val="TOC1"/>
            <w:tabs>
              <w:tab w:pos="9266" w:val="right" w:leader="dot"/>
            </w:tabs>
          </w:pPr>
          <w:hyperlink w:history="true" w:anchor="_bookmark70">
            <w:r>
              <w:rPr/>
              <w:t>Resultados</w:t>
              <w:tab/>
              <w:t>37</w:t>
            </w:r>
          </w:hyperlink>
        </w:p>
        <w:p>
          <w:pPr>
            <w:pStyle w:val="TOC3"/>
            <w:numPr>
              <w:ilvl w:val="1"/>
              <w:numId w:val="8"/>
            </w:numPr>
            <w:tabs>
              <w:tab w:pos="758" w:val="left" w:leader="none"/>
              <w:tab w:pos="9266" w:val="right" w:leader="dot"/>
            </w:tabs>
            <w:spacing w:line="275" w:lineRule="exact" w:before="2" w:after="0"/>
            <w:ind w:left="757" w:right="0" w:hanging="364"/>
            <w:jc w:val="left"/>
          </w:pPr>
          <w:hyperlink w:history="true" w:anchor="_bookmark71">
            <w:r>
              <w:rPr>
                <w:spacing w:val="-3"/>
              </w:rPr>
              <w:t>Artículo </w:t>
            </w:r>
            <w:r>
              <w:rPr/>
              <w:t>científico</w:t>
            </w:r>
            <w:r>
              <w:rPr>
                <w:spacing w:val="14"/>
              </w:rPr>
              <w:t> </w:t>
            </w:r>
            <w:r>
              <w:rPr/>
              <w:t>número</w:t>
            </w:r>
            <w:r>
              <w:rPr>
                <w:spacing w:val="5"/>
              </w:rPr>
              <w:t> </w:t>
            </w:r>
            <w:r>
              <w:rPr/>
              <w:t>1.</w:t>
              <w:tab/>
              <w:t>37</w:t>
            </w:r>
          </w:hyperlink>
        </w:p>
        <w:p>
          <w:pPr>
            <w:pStyle w:val="TOC3"/>
            <w:numPr>
              <w:ilvl w:val="1"/>
              <w:numId w:val="8"/>
            </w:numPr>
            <w:tabs>
              <w:tab w:pos="758" w:val="left" w:leader="none"/>
              <w:tab w:pos="9266" w:val="right" w:leader="dot"/>
            </w:tabs>
            <w:spacing w:line="275" w:lineRule="exact" w:before="0" w:after="0"/>
            <w:ind w:left="757" w:right="0" w:hanging="364"/>
            <w:jc w:val="left"/>
          </w:pPr>
          <w:hyperlink w:history="true" w:anchor="_bookmark72">
            <w:r>
              <w:rPr>
                <w:spacing w:val="-3"/>
              </w:rPr>
              <w:t>Artículo </w:t>
            </w:r>
            <w:r>
              <w:rPr/>
              <w:t>científico número 2. Correo</w:t>
            </w:r>
            <w:r>
              <w:rPr>
                <w:spacing w:val="28"/>
              </w:rPr>
              <w:t> </w:t>
            </w:r>
            <w:r>
              <w:rPr/>
              <w:t>del</w:t>
            </w:r>
            <w:r>
              <w:rPr>
                <w:spacing w:val="-8"/>
              </w:rPr>
              <w:t> </w:t>
            </w:r>
            <w:r>
              <w:rPr/>
              <w:t>editor</w:t>
              <w:tab/>
              <w:t>49</w:t>
            </w:r>
          </w:hyperlink>
        </w:p>
        <w:p>
          <w:pPr>
            <w:pStyle w:val="TOC1"/>
            <w:tabs>
              <w:tab w:pos="9266" w:val="right" w:leader="dot"/>
            </w:tabs>
            <w:spacing w:before="2"/>
          </w:pPr>
          <w:hyperlink w:history="true" w:anchor="_bookmark73">
            <w:r>
              <w:rPr/>
              <w:t>CAPÍTULO VIII</w:t>
              <w:tab/>
              <w:t>74</w:t>
            </w:r>
          </w:hyperlink>
        </w:p>
        <w:p>
          <w:pPr>
            <w:pStyle w:val="TOC1"/>
            <w:tabs>
              <w:tab w:pos="9266" w:val="right" w:leader="dot"/>
            </w:tabs>
          </w:pPr>
          <w:hyperlink w:history="true" w:anchor="_bookmark74">
            <w:r>
              <w:rPr/>
              <w:t>Discusión</w:t>
              <w:tab/>
              <w:t>74</w:t>
            </w:r>
          </w:hyperlink>
        </w:p>
        <w:p>
          <w:pPr>
            <w:pStyle w:val="TOC3"/>
            <w:numPr>
              <w:ilvl w:val="1"/>
              <w:numId w:val="9"/>
            </w:numPr>
            <w:tabs>
              <w:tab w:pos="758" w:val="left" w:leader="none"/>
              <w:tab w:pos="9266" w:val="right" w:leader="dot"/>
            </w:tabs>
            <w:spacing w:line="275" w:lineRule="exact" w:before="2" w:after="0"/>
            <w:ind w:left="757" w:right="0" w:hanging="364"/>
            <w:jc w:val="left"/>
          </w:pPr>
          <w:hyperlink w:history="true" w:anchor="_bookmark75">
            <w:r>
              <w:rPr/>
              <w:t>Analgesia transquirúrgica</w:t>
              <w:tab/>
              <w:t>74</w:t>
            </w:r>
          </w:hyperlink>
        </w:p>
        <w:p>
          <w:pPr>
            <w:pStyle w:val="TOC3"/>
            <w:numPr>
              <w:ilvl w:val="1"/>
              <w:numId w:val="9"/>
            </w:numPr>
            <w:tabs>
              <w:tab w:pos="758" w:val="left" w:leader="none"/>
              <w:tab w:pos="9266" w:val="right" w:leader="dot"/>
            </w:tabs>
            <w:spacing w:line="275" w:lineRule="exact" w:before="0" w:after="0"/>
            <w:ind w:left="757" w:right="0" w:hanging="364"/>
            <w:jc w:val="left"/>
          </w:pPr>
          <w:hyperlink w:history="true" w:anchor="_bookmark76">
            <w:r>
              <w:rPr/>
              <w:t>Analgesia postquirúrgica</w:t>
              <w:tab/>
              <w:t>78</w:t>
            </w:r>
          </w:hyperlink>
        </w:p>
        <w:p>
          <w:pPr>
            <w:pStyle w:val="TOC1"/>
            <w:tabs>
              <w:tab w:pos="9266" w:val="right" w:leader="dot"/>
            </w:tabs>
            <w:spacing w:before="2"/>
          </w:pPr>
          <w:hyperlink w:history="true" w:anchor="_bookmark77">
            <w:r>
              <w:rPr/>
              <w:t>CAPÍTULO IX</w:t>
              <w:tab/>
              <w:t>84</w:t>
            </w:r>
          </w:hyperlink>
        </w:p>
        <w:p>
          <w:pPr>
            <w:pStyle w:val="TOC1"/>
            <w:tabs>
              <w:tab w:pos="9266" w:val="right" w:leader="dot"/>
            </w:tabs>
          </w:pPr>
          <w:hyperlink w:history="true" w:anchor="_bookmark78">
            <w:r>
              <w:rPr/>
              <w:t>Conclusiones</w:t>
              <w:tab/>
              <w:t>84</w:t>
            </w:r>
          </w:hyperlink>
        </w:p>
        <w:p>
          <w:pPr>
            <w:pStyle w:val="TOC1"/>
            <w:tabs>
              <w:tab w:pos="9266" w:val="right" w:leader="dot"/>
            </w:tabs>
            <w:spacing w:before="2"/>
          </w:pPr>
          <w:hyperlink w:history="true" w:anchor="_bookmark79">
            <w:r>
              <w:rPr/>
              <w:t>CAPÍTULO X</w:t>
              <w:tab/>
              <w:t>85</w:t>
            </w:r>
          </w:hyperlink>
        </w:p>
        <w:p>
          <w:pPr>
            <w:pStyle w:val="TOC1"/>
            <w:tabs>
              <w:tab w:pos="9266" w:val="right" w:leader="dot"/>
            </w:tabs>
          </w:pPr>
          <w:hyperlink w:history="true" w:anchor="_bookmark80">
            <w:r>
              <w:rPr/>
              <w:t>Referencias</w:t>
            </w:r>
            <w:r>
              <w:rPr>
                <w:spacing w:val="-1"/>
              </w:rPr>
              <w:t> </w:t>
            </w:r>
            <w:r>
              <w:rPr/>
              <w:t>Bibliográficas</w:t>
              <w:tab/>
              <w:t>85</w:t>
            </w:r>
          </w:hyperlink>
        </w:p>
      </w:sdtContent>
    </w:sdt>
    <w:p>
      <w:pPr>
        <w:spacing w:after="0"/>
        <w:sectPr>
          <w:type w:val="continuous"/>
          <w:pgSz w:w="12240" w:h="15840"/>
          <w:pgMar w:top="1500" w:bottom="2113" w:left="1720" w:right="1140"/>
        </w:sectPr>
      </w:pPr>
    </w:p>
    <w:p>
      <w:pPr>
        <w:pStyle w:val="BodyText"/>
        <w:rPr>
          <w:sz w:val="28"/>
        </w:rPr>
      </w:pPr>
    </w:p>
    <w:p>
      <w:pPr>
        <w:pStyle w:val="BodyText"/>
        <w:rPr>
          <w:sz w:val="28"/>
        </w:rPr>
      </w:pPr>
    </w:p>
    <w:p>
      <w:pPr>
        <w:pStyle w:val="BodyText"/>
        <w:spacing w:before="1"/>
        <w:rPr>
          <w:sz w:val="27"/>
        </w:rPr>
      </w:pPr>
    </w:p>
    <w:p>
      <w:pPr>
        <w:spacing w:before="1"/>
        <w:ind w:left="513" w:right="0" w:firstLine="0"/>
        <w:jc w:val="left"/>
        <w:rPr>
          <w:b/>
          <w:i/>
          <w:sz w:val="28"/>
        </w:rPr>
      </w:pPr>
      <w:r>
        <w:rPr>
          <w:b/>
          <w:i/>
          <w:sz w:val="28"/>
        </w:rPr>
        <w:t>Lista de cuadros</w:t>
      </w:r>
    </w:p>
    <w:p>
      <w:pPr>
        <w:pStyle w:val="BodyText"/>
        <w:spacing w:before="7"/>
        <w:rPr>
          <w:b/>
          <w:i/>
          <w:sz w:val="23"/>
        </w:rPr>
      </w:pPr>
    </w:p>
    <w:p>
      <w:pPr>
        <w:pStyle w:val="BodyText"/>
        <w:tabs>
          <w:tab w:pos="9026" w:val="left" w:leader="dot"/>
        </w:tabs>
        <w:spacing w:line="360" w:lineRule="auto"/>
        <w:ind w:left="152" w:right="111"/>
      </w:pPr>
      <w:hyperlink w:history="true" w:anchor="_bookmark31">
        <w:r>
          <w:rPr/>
          <w:t>Cuadro </w:t>
        </w:r>
        <w:r>
          <w:rPr>
            <w:spacing w:val="-3"/>
          </w:rPr>
          <w:t>1. </w:t>
        </w:r>
        <w:r>
          <w:rPr/>
          <w:t>Escala de dolor de </w:t>
        </w:r>
        <w:r>
          <w:rPr>
            <w:spacing w:val="-5"/>
          </w:rPr>
          <w:t>la </w:t>
        </w:r>
        <w:r>
          <w:rPr/>
          <w:t>Universidad de Melbourne (UMPS) (Holton </w:t>
        </w:r>
        <w:r>
          <w:rPr>
            <w:spacing w:val="-3"/>
          </w:rPr>
          <w:t>et </w:t>
        </w:r>
        <w:r>
          <w:rPr>
            <w:spacing w:val="-4"/>
          </w:rPr>
          <w:t>al. </w:t>
        </w:r>
        <w:r>
          <w:rPr/>
          <w:t>2001;</w:t>
        </w:r>
      </w:hyperlink>
      <w:r>
        <w:rPr/>
        <w:t> </w:t>
      </w:r>
      <w:hyperlink w:history="true" w:anchor="_bookmark31">
        <w:r>
          <w:rPr/>
          <w:t>Hellyer et</w:t>
        </w:r>
        <w:r>
          <w:rPr>
            <w:spacing w:val="6"/>
          </w:rPr>
          <w:t> </w:t>
        </w:r>
        <w:r>
          <w:rPr>
            <w:spacing w:val="-4"/>
          </w:rPr>
          <w:t>al.</w:t>
        </w:r>
        <w:r>
          <w:rPr>
            <w:spacing w:val="2"/>
          </w:rPr>
          <w:t> </w:t>
        </w:r>
        <w:r>
          <w:rPr/>
          <w:t>2011)</w:t>
          <w:tab/>
          <w:t>16</w:t>
        </w:r>
      </w:hyperlink>
    </w:p>
    <w:p>
      <w:pPr>
        <w:pStyle w:val="BodyText"/>
      </w:pPr>
    </w:p>
    <w:p>
      <w:pPr>
        <w:pStyle w:val="BodyText"/>
        <w:spacing w:before="141"/>
        <w:ind w:left="152"/>
      </w:pPr>
      <w:hyperlink w:history="true" w:anchor="_bookmark32">
        <w:r>
          <w:rPr/>
          <w:t>Cuadro 2. Escala compuesta de evaluación del dolor de Glasgow (GCPS, forma corta)</w:t>
        </w:r>
      </w:hyperlink>
    </w:p>
    <w:p>
      <w:pPr>
        <w:pStyle w:val="BodyText"/>
        <w:tabs>
          <w:tab w:pos="9026" w:val="left" w:leader="dot"/>
        </w:tabs>
        <w:spacing w:before="141"/>
        <w:ind w:left="152"/>
      </w:pPr>
      <w:hyperlink w:history="true" w:anchor="_bookmark32">
        <w:r>
          <w:rPr/>
          <w:t>(Mich y Hellyer et </w:t>
        </w:r>
        <w:r>
          <w:rPr>
            <w:spacing w:val="-4"/>
          </w:rPr>
          <w:t>al. </w:t>
        </w:r>
        <w:r>
          <w:rPr/>
          <w:t>2009; Hellyer et</w:t>
        </w:r>
        <w:r>
          <w:rPr>
            <w:spacing w:val="11"/>
          </w:rPr>
          <w:t> </w:t>
        </w:r>
        <w:r>
          <w:rPr>
            <w:spacing w:val="-4"/>
          </w:rPr>
          <w:t>al.</w:t>
        </w:r>
        <w:r>
          <w:rPr>
            <w:spacing w:val="3"/>
          </w:rPr>
          <w:t> </w:t>
        </w:r>
        <w:r>
          <w:rPr/>
          <w:t>2011)</w:t>
          <w:tab/>
          <w:t>17</w:t>
        </w:r>
      </w:hyperlink>
    </w:p>
    <w:p>
      <w:pPr>
        <w:spacing w:after="0"/>
        <w:sectPr>
          <w:footerReference w:type="default" r:id="rId7"/>
          <w:pgSz w:w="12240" w:h="15840"/>
          <w:pgMar w:footer="1688" w:header="0" w:top="1500" w:bottom="1880" w:left="1720" w:right="1140"/>
          <w:pgNumType w:start="3"/>
        </w:sectPr>
      </w:pPr>
    </w:p>
    <w:p>
      <w:pPr>
        <w:pStyle w:val="BodyText"/>
        <w:spacing w:before="3"/>
        <w:rPr>
          <w:sz w:val="21"/>
        </w:rPr>
      </w:pPr>
    </w:p>
    <w:p>
      <w:pPr>
        <w:spacing w:before="63"/>
        <w:ind w:left="513" w:right="0" w:firstLine="0"/>
        <w:jc w:val="left"/>
        <w:rPr>
          <w:b/>
          <w:i/>
          <w:sz w:val="28"/>
        </w:rPr>
      </w:pPr>
      <w:bookmarkStart w:name="_bookmark0" w:id="1"/>
      <w:bookmarkEnd w:id="1"/>
      <w:r>
        <w:rPr/>
      </w:r>
      <w:r>
        <w:rPr>
          <w:b/>
          <w:i/>
          <w:sz w:val="28"/>
        </w:rPr>
        <w:t>Lista de Figuras</w:t>
      </w:r>
    </w:p>
    <w:p>
      <w:pPr>
        <w:pStyle w:val="BodyText"/>
        <w:tabs>
          <w:tab w:pos="9266" w:val="right" w:leader="dot"/>
        </w:tabs>
        <w:spacing w:before="844"/>
        <w:ind w:left="152"/>
      </w:pPr>
      <w:hyperlink w:history="true" w:anchor="_bookmark15">
        <w:r>
          <w:rPr/>
          <w:t>Figura 1.  Reservas funcionales y anestesia equilibrada (Tendillo y</w:t>
        </w:r>
        <w:r>
          <w:rPr>
            <w:spacing w:val="-1"/>
          </w:rPr>
          <w:t> </w:t>
        </w:r>
        <w:r>
          <w:rPr/>
          <w:t>Santos</w:t>
        </w:r>
        <w:r>
          <w:rPr>
            <w:spacing w:val="-2"/>
          </w:rPr>
          <w:t> </w:t>
        </w:r>
        <w:r>
          <w:rPr/>
          <w:t>2006)</w:t>
          <w:tab/>
          <w:t>7</w:t>
        </w:r>
      </w:hyperlink>
    </w:p>
    <w:p>
      <w:pPr>
        <w:pStyle w:val="BodyText"/>
        <w:spacing w:line="275" w:lineRule="exact" w:before="276"/>
        <w:ind w:left="152"/>
      </w:pPr>
      <w:hyperlink w:history="true" w:anchor="_bookmark19">
        <w:r>
          <w:rPr/>
          <w:t>Figura 2. Ingreso sensorial hacia la médula espinal a través de las fibras nerviosas Aβ, Aδ y</w:t>
        </w:r>
      </w:hyperlink>
    </w:p>
    <w:p>
      <w:pPr>
        <w:pStyle w:val="BodyText"/>
        <w:tabs>
          <w:tab w:pos="9266" w:val="right" w:leader="dot"/>
        </w:tabs>
        <w:spacing w:line="275" w:lineRule="exact"/>
        <w:ind w:left="152"/>
      </w:pPr>
      <w:hyperlink w:history="true" w:anchor="_bookmark19">
        <w:r>
          <w:rPr/>
          <w:t>C</w:t>
          <w:tab/>
          <w:t>9</w:t>
        </w:r>
      </w:hyperlink>
    </w:p>
    <w:p>
      <w:pPr>
        <w:pStyle w:val="BodyText"/>
        <w:spacing w:before="276"/>
        <w:ind w:left="152"/>
      </w:pPr>
      <w:hyperlink w:history="true" w:anchor="_bookmark20">
        <w:r>
          <w:rPr/>
          <w:t>Figura 3. Localización de las láminas o núcleos sensitivos (I al VII) y motores (VIII al X)</w:t>
        </w:r>
      </w:hyperlink>
    </w:p>
    <w:p>
      <w:pPr>
        <w:pStyle w:val="BodyText"/>
        <w:tabs>
          <w:tab w:pos="9266" w:val="right" w:leader="dot"/>
        </w:tabs>
        <w:spacing w:before="2"/>
        <w:ind w:left="152"/>
      </w:pPr>
      <w:hyperlink w:history="true" w:anchor="_bookmark20">
        <w:r>
          <w:rPr/>
          <w:t>de </w:t>
        </w:r>
        <w:r>
          <w:rPr>
            <w:spacing w:val="-5"/>
          </w:rPr>
          <w:t>la </w:t>
        </w:r>
        <w:r>
          <w:rPr/>
          <w:t>sustancia gris de </w:t>
        </w:r>
        <w:r>
          <w:rPr>
            <w:spacing w:val="-5"/>
          </w:rPr>
          <w:t>la </w:t>
        </w:r>
        <w:r>
          <w:rPr/>
          <w:t>médula espinal</w:t>
        </w:r>
        <w:r>
          <w:rPr>
            <w:spacing w:val="22"/>
          </w:rPr>
          <w:t> </w:t>
        </w:r>
        <w:r>
          <w:rPr/>
          <w:t>(Muir</w:t>
        </w:r>
        <w:r>
          <w:rPr>
            <w:spacing w:val="2"/>
          </w:rPr>
          <w:t> </w:t>
        </w:r>
        <w:r>
          <w:rPr/>
          <w:t>2009)</w:t>
          <w:tab/>
          <w:t>9</w:t>
        </w:r>
      </w:hyperlink>
    </w:p>
    <w:p>
      <w:pPr>
        <w:pStyle w:val="BodyText"/>
        <w:tabs>
          <w:tab w:pos="9266" w:val="right" w:leader="dot"/>
        </w:tabs>
        <w:spacing w:line="274" w:lineRule="exact" w:before="281"/>
        <w:ind w:left="152" w:right="111"/>
      </w:pPr>
      <w:hyperlink w:history="true" w:anchor="_bookmark21">
        <w:r>
          <w:rPr/>
          <w:t>Figura 4. Regiones del cerebro que se relacionan </w:t>
        </w:r>
        <w:r>
          <w:rPr>
            <w:spacing w:val="2"/>
          </w:rPr>
          <w:t>con </w:t>
        </w:r>
        <w:r>
          <w:rPr/>
          <w:t>diferentes funciones y respuestas</w:t>
        </w:r>
      </w:hyperlink>
      <w:r>
        <w:rPr/>
        <w:t> </w:t>
      </w:r>
      <w:hyperlink w:history="true" w:anchor="_bookmark21">
        <w:r>
          <w:rPr/>
          <w:t>asociadas al dolor</w:t>
        </w:r>
        <w:r>
          <w:rPr>
            <w:spacing w:val="-9"/>
          </w:rPr>
          <w:t> </w:t>
        </w:r>
        <w:r>
          <w:rPr/>
          <w:t>(Muir</w:t>
        </w:r>
        <w:r>
          <w:rPr>
            <w:spacing w:val="2"/>
          </w:rPr>
          <w:t> </w:t>
        </w:r>
        <w:r>
          <w:rPr/>
          <w:t>2009)</w:t>
          <w:tab/>
          <w:t>10</w:t>
        </w:r>
      </w:hyperlink>
    </w:p>
    <w:p>
      <w:pPr>
        <w:pStyle w:val="BodyText"/>
        <w:tabs>
          <w:tab w:pos="9266" w:val="right" w:leader="dot"/>
        </w:tabs>
        <w:spacing w:before="273"/>
        <w:ind w:left="152"/>
      </w:pPr>
      <w:hyperlink w:history="true" w:anchor="_bookmark23">
        <w:r>
          <w:rPr/>
          <w:t>Figura 5. Esquematización de </w:t>
        </w:r>
        <w:r>
          <w:rPr>
            <w:spacing w:val="-3"/>
          </w:rPr>
          <w:t>la </w:t>
        </w:r>
        <w:r>
          <w:rPr/>
          <w:t>sensibilización periférica</w:t>
        </w:r>
        <w:r>
          <w:rPr>
            <w:spacing w:val="3"/>
          </w:rPr>
          <w:t> </w:t>
        </w:r>
        <w:r>
          <w:rPr/>
          <w:t>(Muir</w:t>
        </w:r>
        <w:r>
          <w:rPr>
            <w:spacing w:val="2"/>
          </w:rPr>
          <w:t> </w:t>
        </w:r>
        <w:r>
          <w:rPr/>
          <w:t>2001)</w:t>
          <w:tab/>
          <w:t>11</w:t>
        </w:r>
      </w:hyperlink>
    </w:p>
    <w:p>
      <w:pPr>
        <w:pStyle w:val="BodyText"/>
        <w:tabs>
          <w:tab w:pos="9266" w:val="right" w:leader="dot"/>
        </w:tabs>
        <w:spacing w:before="276"/>
        <w:ind w:left="152"/>
      </w:pPr>
      <w:hyperlink w:history="true" w:anchor="_bookmark25">
        <w:r>
          <w:rPr/>
          <w:t>Figura 6. Esquematización de </w:t>
        </w:r>
        <w:r>
          <w:rPr>
            <w:spacing w:val="-3"/>
          </w:rPr>
          <w:t>la </w:t>
        </w:r>
        <w:r>
          <w:rPr/>
          <w:t>sensibilización central</w:t>
        </w:r>
        <w:r>
          <w:rPr>
            <w:spacing w:val="-3"/>
          </w:rPr>
          <w:t> </w:t>
        </w:r>
        <w:r>
          <w:rPr/>
          <w:t>(Muir</w:t>
        </w:r>
        <w:r>
          <w:rPr>
            <w:spacing w:val="11"/>
          </w:rPr>
          <w:t> </w:t>
        </w:r>
        <w:r>
          <w:rPr/>
          <w:t>2001)</w:t>
          <w:tab/>
          <w:t>12</w:t>
        </w:r>
      </w:hyperlink>
    </w:p>
    <w:p>
      <w:pPr>
        <w:pStyle w:val="BodyText"/>
        <w:tabs>
          <w:tab w:pos="9266" w:val="right" w:leader="dot"/>
        </w:tabs>
        <w:spacing w:before="276"/>
        <w:ind w:left="152"/>
      </w:pPr>
      <w:hyperlink w:history="true" w:anchor="_bookmark36">
        <w:r>
          <w:rPr/>
          <w:t>Figura 7. </w:t>
        </w:r>
        <w:r>
          <w:rPr>
            <w:spacing w:val="-3"/>
          </w:rPr>
          <w:t>Mecanismo </w:t>
        </w:r>
        <w:r>
          <w:rPr/>
          <w:t>de acción celular de los opioides (Miller et</w:t>
        </w:r>
        <w:r>
          <w:rPr>
            <w:spacing w:val="21"/>
          </w:rPr>
          <w:t> </w:t>
        </w:r>
        <w:r>
          <w:rPr>
            <w:spacing w:val="-4"/>
          </w:rPr>
          <w:t>al.</w:t>
        </w:r>
        <w:r>
          <w:rPr>
            <w:spacing w:val="3"/>
          </w:rPr>
          <w:t> </w:t>
        </w:r>
        <w:r>
          <w:rPr/>
          <w:t>2009)</w:t>
          <w:tab/>
          <w:t>19</w:t>
        </w:r>
      </w:hyperlink>
    </w:p>
    <w:p>
      <w:pPr>
        <w:pStyle w:val="BodyText"/>
        <w:tabs>
          <w:tab w:pos="9266" w:val="right" w:leader="dot"/>
        </w:tabs>
        <w:spacing w:line="242" w:lineRule="auto" w:before="276"/>
        <w:ind w:left="152" w:right="111"/>
      </w:pPr>
      <w:hyperlink w:history="true" w:anchor="_bookmark45">
        <w:r>
          <w:rPr/>
          <w:t>Figura 8. </w:t>
        </w:r>
        <w:r>
          <w:rPr>
            <w:spacing w:val="-3"/>
          </w:rPr>
          <w:t>Mecanismo </w:t>
        </w:r>
        <w:r>
          <w:rPr/>
          <w:t>de acción de </w:t>
        </w:r>
        <w:r>
          <w:rPr>
            <w:spacing w:val="-5"/>
          </w:rPr>
          <w:t>la </w:t>
        </w:r>
        <w:r>
          <w:rPr/>
          <w:t>ketamina sobre el receptor N-Metil-D-Aspartato</w:t>
        </w:r>
      </w:hyperlink>
      <w:r>
        <w:rPr/>
        <w:t> </w:t>
      </w:r>
      <w:hyperlink w:history="true" w:anchor="_bookmark45">
        <w:r>
          <w:rPr/>
          <w:t>(NMDA) (Modificado de Pozzi et</w:t>
        </w:r>
        <w:r>
          <w:rPr>
            <w:spacing w:val="9"/>
          </w:rPr>
          <w:t> </w:t>
        </w:r>
        <w:r>
          <w:rPr>
            <w:spacing w:val="-4"/>
          </w:rPr>
          <w:t>al.</w:t>
        </w:r>
        <w:r>
          <w:rPr>
            <w:spacing w:val="3"/>
          </w:rPr>
          <w:t> </w:t>
        </w:r>
        <w:r>
          <w:rPr/>
          <w:t>2006)</w:t>
          <w:tab/>
          <w:t>22</w:t>
        </w:r>
      </w:hyperlink>
    </w:p>
    <w:p>
      <w:pPr>
        <w:pStyle w:val="BodyText"/>
        <w:spacing w:line="275" w:lineRule="exact" w:before="273"/>
        <w:ind w:left="152"/>
      </w:pPr>
      <w:hyperlink w:history="true" w:anchor="_bookmark50">
        <w:r>
          <w:rPr/>
          <w:t>Figura 9. Mecanismo de acción celular de la dexmedetomidina y algunos efectos mediados</w:t>
        </w:r>
      </w:hyperlink>
    </w:p>
    <w:p>
      <w:pPr>
        <w:pStyle w:val="BodyText"/>
        <w:tabs>
          <w:tab w:pos="9266" w:val="right" w:leader="dot"/>
        </w:tabs>
        <w:spacing w:line="287" w:lineRule="exact"/>
        <w:ind w:left="152"/>
      </w:pPr>
      <w:hyperlink w:history="true" w:anchor="_bookmark50">
        <w:r>
          <w:rPr/>
          <w:t>por </w:t>
        </w:r>
        <w:r>
          <w:rPr>
            <w:spacing w:val="-5"/>
          </w:rPr>
          <w:t>la </w:t>
        </w:r>
        <w:r>
          <w:rPr/>
          <w:t>activación de diferentes subtipos de receptores α</w:t>
        </w:r>
        <w:r>
          <w:rPr>
            <w:position w:val="-2"/>
            <w:sz w:val="16"/>
          </w:rPr>
          <w:t>2  </w:t>
        </w:r>
        <w:r>
          <w:rPr/>
          <w:t>adrenérgicos (Paris et</w:t>
        </w:r>
        <w:r>
          <w:rPr>
            <w:spacing w:val="-16"/>
          </w:rPr>
          <w:t> </w:t>
        </w:r>
        <w:r>
          <w:rPr>
            <w:spacing w:val="-4"/>
          </w:rPr>
          <w:t>al.</w:t>
        </w:r>
        <w:r>
          <w:rPr>
            <w:spacing w:val="2"/>
          </w:rPr>
          <w:t> </w:t>
        </w:r>
        <w:r>
          <w:rPr/>
          <w:t>2005)</w:t>
          <w:tab/>
          <w:t>24</w:t>
        </w:r>
      </w:hyperlink>
    </w:p>
    <w:p>
      <w:pPr>
        <w:spacing w:after="0" w:line="287" w:lineRule="exact"/>
        <w:sectPr>
          <w:pgSz w:w="12240" w:h="15840"/>
          <w:pgMar w:header="0" w:footer="1688" w:top="1500" w:bottom="1880" w:left="1720" w:right="1140"/>
        </w:sectPr>
      </w:pPr>
    </w:p>
    <w:p>
      <w:pPr>
        <w:pStyle w:val="BodyText"/>
        <w:spacing w:before="8"/>
        <w:rPr>
          <w:sz w:val="26"/>
        </w:rPr>
      </w:pPr>
    </w:p>
    <w:p>
      <w:pPr>
        <w:spacing w:before="1"/>
        <w:ind w:left="152" w:right="0" w:firstLine="0"/>
        <w:jc w:val="both"/>
        <w:rPr>
          <w:b/>
          <w:i/>
          <w:sz w:val="28"/>
        </w:rPr>
      </w:pPr>
      <w:r>
        <w:rPr>
          <w:b/>
          <w:i/>
          <w:sz w:val="28"/>
        </w:rPr>
        <w:t>Resumen</w:t>
      </w:r>
    </w:p>
    <w:p>
      <w:pPr>
        <w:pStyle w:val="BodyText"/>
        <w:spacing w:before="10"/>
        <w:rPr>
          <w:b/>
          <w:i/>
          <w:sz w:val="32"/>
        </w:rPr>
      </w:pPr>
    </w:p>
    <w:p>
      <w:pPr>
        <w:pStyle w:val="BodyText"/>
        <w:spacing w:line="276" w:lineRule="auto"/>
        <w:ind w:left="152" w:right="120" w:firstLine="360"/>
        <w:jc w:val="both"/>
      </w:pPr>
      <w:r>
        <w:rPr/>
        <w:t>Las técnicas de anestesia equilibrada proveen una </w:t>
      </w:r>
      <w:r>
        <w:rPr>
          <w:spacing w:val="-3"/>
        </w:rPr>
        <w:t>mejor </w:t>
      </w:r>
      <w:r>
        <w:rPr/>
        <w:t>estabilidad cardiovascular al reducir los requerimientos de los anestésicos inhalatorios, mejorando </w:t>
      </w:r>
      <w:r>
        <w:rPr>
          <w:spacing w:val="-5"/>
        </w:rPr>
        <w:t>la </w:t>
      </w:r>
      <w:r>
        <w:rPr/>
        <w:t>analgesia durante </w:t>
      </w:r>
      <w:r>
        <w:rPr>
          <w:spacing w:val="-5"/>
        </w:rPr>
        <w:t>la </w:t>
      </w:r>
      <w:r>
        <w:rPr/>
        <w:t>anestesia general y en el postoperatorio. El objetivo de este estudio fue evaluar los efectos sobre el requerimiento de isoflurano y analgésicos postquirúrgicos durante </w:t>
      </w:r>
      <w:r>
        <w:rPr>
          <w:spacing w:val="-3"/>
        </w:rPr>
        <w:t>la </w:t>
      </w:r>
      <w:r>
        <w:rPr/>
        <w:t>infusión continua (IC) intravenosa (IV) de fentanilo (FENT), lidocaina (LIDO), ketamina (KET), dexmedetomidina (DEX), o </w:t>
      </w:r>
      <w:r>
        <w:rPr>
          <w:spacing w:val="-5"/>
        </w:rPr>
        <w:t>la </w:t>
      </w:r>
      <w:r>
        <w:rPr/>
        <w:t>combinación lidocaína-ketamina-dexmedetomidina (LKD) en</w:t>
      </w:r>
      <w:r>
        <w:rPr>
          <w:spacing w:val="-3"/>
        </w:rPr>
        <w:t> </w:t>
      </w:r>
      <w:r>
        <w:rPr/>
        <w:t>perros.</w:t>
      </w:r>
    </w:p>
    <w:p>
      <w:pPr>
        <w:pStyle w:val="BodyText"/>
        <w:spacing w:line="278" w:lineRule="auto" w:before="1"/>
        <w:ind w:left="152" w:right="120" w:firstLine="360"/>
        <w:jc w:val="both"/>
      </w:pPr>
      <w:r>
        <w:rPr/>
        <w:t>Se realizó un estudio clínico prospectivo y ciego con 54 perros programados para ovariohisterectomía. La inducción a </w:t>
      </w:r>
      <w:r>
        <w:rPr>
          <w:spacing w:val="-3"/>
        </w:rPr>
        <w:t>la </w:t>
      </w:r>
      <w:r>
        <w:rPr/>
        <w:t>anestesia se realizó con </w:t>
      </w:r>
      <w:r>
        <w:rPr>
          <w:spacing w:val="-5"/>
        </w:rPr>
        <w:t>la </w:t>
      </w:r>
      <w:r>
        <w:rPr/>
        <w:t>administración endovenosa de propofol y </w:t>
      </w:r>
      <w:r>
        <w:rPr>
          <w:spacing w:val="-3"/>
        </w:rPr>
        <w:t>la </w:t>
      </w:r>
      <w:r>
        <w:rPr/>
        <w:t>anestesia fue mantenida con isoflurano vaporizado en</w:t>
      </w:r>
      <w:r>
        <w:rPr>
          <w:spacing w:val="58"/>
        </w:rPr>
        <w:t> </w:t>
      </w:r>
      <w:r>
        <w:rPr/>
        <w:t>oxígeno</w:t>
      </w:r>
    </w:p>
    <w:p>
      <w:pPr>
        <w:pStyle w:val="BodyText"/>
        <w:spacing w:line="261" w:lineRule="auto"/>
        <w:ind w:left="152" w:right="120"/>
        <w:jc w:val="both"/>
      </w:pPr>
      <w:r>
        <w:rPr/>
        <w:t>al 100%. Los animales fueron distribuidos aleatoriamente en 6 grupos de tratamiento: Solución salina 0.9%/butorfanol (butorfanol 0.4 </w:t>
      </w:r>
      <w:r>
        <w:rPr>
          <w:spacing w:val="-5"/>
        </w:rPr>
        <w:t>mg </w:t>
      </w:r>
      <w:r>
        <w:rPr/>
        <w:t>kg</w:t>
      </w:r>
      <w:r>
        <w:rPr>
          <w:position w:val="11"/>
          <w:sz w:val="16"/>
        </w:rPr>
        <w:t>-1 </w:t>
      </w:r>
      <w:r>
        <w:rPr/>
        <w:t>IV, salina 0.9% IC, CONTROL/BUT; n=9); fentanilo (5 </w:t>
      </w:r>
      <w:r>
        <w:rPr>
          <w:rFonts w:ascii="Symbol" w:hAnsi="Symbol"/>
        </w:rPr>
        <w:t></w:t>
      </w:r>
      <w:r>
        <w:rPr/>
        <w:t>g kg</w:t>
      </w:r>
      <w:r>
        <w:rPr>
          <w:position w:val="11"/>
          <w:sz w:val="16"/>
        </w:rPr>
        <w:t>-1 </w:t>
      </w:r>
      <w:r>
        <w:rPr/>
        <w:t>IV, 10 </w:t>
      </w:r>
      <w:r>
        <w:rPr>
          <w:rFonts w:ascii="Symbol" w:hAnsi="Symbol"/>
        </w:rPr>
        <w:t></w:t>
      </w:r>
      <w:r>
        <w:rPr/>
        <w:t>g kg</w:t>
      </w:r>
      <w:r>
        <w:rPr>
          <w:position w:val="11"/>
          <w:sz w:val="16"/>
        </w:rPr>
        <w:t>-1 </w:t>
      </w:r>
      <w:r>
        <w:rPr/>
        <w:t>hora</w:t>
      </w:r>
      <w:r>
        <w:rPr>
          <w:position w:val="11"/>
          <w:sz w:val="16"/>
        </w:rPr>
        <w:t>-1</w:t>
      </w:r>
      <w:r>
        <w:rPr/>
        <w:t>, FENT; n=10); ketamina (1 </w:t>
      </w:r>
      <w:r>
        <w:rPr>
          <w:spacing w:val="-5"/>
        </w:rPr>
        <w:t>mg </w:t>
      </w:r>
      <w:r>
        <w:rPr/>
        <w:t>kg</w:t>
      </w:r>
      <w:r>
        <w:rPr>
          <w:position w:val="11"/>
          <w:sz w:val="16"/>
        </w:rPr>
        <w:t>-1 </w:t>
      </w:r>
      <w:r>
        <w:rPr/>
        <w:t>IV, 40 </w:t>
      </w:r>
      <w:r>
        <w:rPr>
          <w:rFonts w:ascii="Symbol" w:hAnsi="Symbol"/>
        </w:rPr>
        <w:t></w:t>
      </w:r>
      <w:r>
        <w:rPr/>
        <w:t>g kg</w:t>
      </w:r>
      <w:r>
        <w:rPr>
          <w:position w:val="11"/>
          <w:sz w:val="16"/>
        </w:rPr>
        <w:t>-1 </w:t>
      </w:r>
      <w:r>
        <w:rPr/>
        <w:t>minuto</w:t>
      </w:r>
      <w:r>
        <w:rPr>
          <w:position w:val="11"/>
          <w:sz w:val="16"/>
        </w:rPr>
        <w:t>-1</w:t>
      </w:r>
      <w:r>
        <w:rPr/>
        <w:t>, KET; n=8), lidocaína (2 </w:t>
      </w:r>
      <w:r>
        <w:rPr>
          <w:spacing w:val="-5"/>
        </w:rPr>
        <w:t>mg </w:t>
      </w:r>
      <w:r>
        <w:rPr/>
        <w:t>kg</w:t>
      </w:r>
      <w:r>
        <w:rPr>
          <w:position w:val="11"/>
          <w:sz w:val="16"/>
        </w:rPr>
        <w:t>-1 </w:t>
      </w:r>
      <w:r>
        <w:rPr/>
        <w:t>IV, 100 </w:t>
      </w:r>
      <w:r>
        <w:rPr>
          <w:rFonts w:ascii="Symbol" w:hAnsi="Symbol"/>
        </w:rPr>
        <w:t></w:t>
      </w:r>
      <w:r>
        <w:rPr/>
        <w:t>g kg</w:t>
      </w:r>
      <w:r>
        <w:rPr>
          <w:position w:val="11"/>
          <w:sz w:val="16"/>
        </w:rPr>
        <w:t>-1 </w:t>
      </w:r>
      <w:r>
        <w:rPr/>
        <w:t>minuto</w:t>
      </w:r>
      <w:r>
        <w:rPr>
          <w:position w:val="11"/>
          <w:sz w:val="16"/>
        </w:rPr>
        <w:t>-1</w:t>
      </w:r>
      <w:r>
        <w:rPr/>
        <w:t>, LIDO; n=9); dexmedetomidina (1 </w:t>
      </w:r>
      <w:r>
        <w:rPr>
          <w:rFonts w:ascii="Symbol" w:hAnsi="Symbol"/>
        </w:rPr>
        <w:t></w:t>
      </w:r>
      <w:r>
        <w:rPr/>
        <w:t>g kg</w:t>
      </w:r>
      <w:r>
        <w:rPr>
          <w:position w:val="11"/>
          <w:sz w:val="16"/>
        </w:rPr>
        <w:t>-1 </w:t>
      </w:r>
      <w:r>
        <w:rPr/>
        <w:t>IV, 3 </w:t>
      </w:r>
      <w:r>
        <w:rPr>
          <w:rFonts w:ascii="Symbol" w:hAnsi="Symbol"/>
        </w:rPr>
        <w:t></w:t>
      </w:r>
      <w:r>
        <w:rPr/>
        <w:t>g kg</w:t>
      </w:r>
      <w:r>
        <w:rPr>
          <w:position w:val="11"/>
          <w:sz w:val="16"/>
        </w:rPr>
        <w:t>-1 </w:t>
      </w:r>
      <w:r>
        <w:rPr/>
        <w:t>hora</w:t>
      </w:r>
      <w:r>
        <w:rPr>
          <w:position w:val="11"/>
          <w:sz w:val="16"/>
        </w:rPr>
        <w:t>-1</w:t>
      </w:r>
      <w:r>
        <w:rPr/>
        <w:t>, DEX; n=8); o  LKD</w:t>
      </w:r>
      <w:r>
        <w:rPr>
          <w:spacing w:val="-8"/>
        </w:rPr>
        <w:t> </w:t>
      </w:r>
      <w:r>
        <w:rPr/>
        <w:t>(n=10).</w:t>
      </w:r>
    </w:p>
    <w:p>
      <w:pPr>
        <w:pStyle w:val="BodyText"/>
        <w:spacing w:line="256" w:lineRule="auto" w:before="17"/>
        <w:ind w:left="152" w:right="124" w:firstLine="360"/>
        <w:jc w:val="both"/>
      </w:pPr>
      <w:r>
        <w:rPr/>
        <w:t>Se monitorizaron variables cardiopulmonares y la concentración tele-espiratoria de isoflurano (F</w:t>
      </w:r>
      <w:r>
        <w:rPr>
          <w:position w:val="-2"/>
          <w:sz w:val="16"/>
        </w:rPr>
        <w:t>ET</w:t>
      </w:r>
      <w:r>
        <w:rPr/>
        <w:t>´Iso) durante la cirugía. Al finalizar esta y durante 4 horas se disminuyeron las dosis como sigue: solución salina 0.9% IC, fentanilo (2.5 µg kg</w:t>
      </w:r>
      <w:r>
        <w:rPr>
          <w:position w:val="11"/>
          <w:sz w:val="16"/>
        </w:rPr>
        <w:t>-1  </w:t>
      </w:r>
      <w:r>
        <w:rPr/>
        <w:t>hora</w:t>
      </w:r>
      <w:r>
        <w:rPr>
          <w:position w:val="11"/>
          <w:sz w:val="16"/>
        </w:rPr>
        <w:t>-1</w:t>
      </w:r>
      <w:r>
        <w:rPr/>
        <w:t>); ketamina   (10</w:t>
      </w:r>
    </w:p>
    <w:p>
      <w:pPr>
        <w:spacing w:line="295" w:lineRule="exact" w:before="0"/>
        <w:ind w:left="152" w:right="0" w:firstLine="0"/>
        <w:jc w:val="both"/>
        <w:rPr>
          <w:sz w:val="24"/>
        </w:rPr>
      </w:pPr>
      <w:r>
        <w:rPr>
          <w:sz w:val="24"/>
        </w:rPr>
        <w:t>µg kg</w:t>
      </w:r>
      <w:r>
        <w:rPr>
          <w:position w:val="11"/>
          <w:sz w:val="16"/>
        </w:rPr>
        <w:t>-1       </w:t>
      </w:r>
      <w:r>
        <w:rPr>
          <w:sz w:val="24"/>
        </w:rPr>
        <w:t>minuto</w:t>
      </w:r>
      <w:r>
        <w:rPr>
          <w:position w:val="11"/>
          <w:sz w:val="16"/>
        </w:rPr>
        <w:t>-1</w:t>
      </w:r>
      <w:r>
        <w:rPr>
          <w:sz w:val="24"/>
        </w:rPr>
        <w:t>), lidocaina (25 µg kg</w:t>
      </w:r>
      <w:r>
        <w:rPr>
          <w:position w:val="11"/>
          <w:sz w:val="16"/>
        </w:rPr>
        <w:t>-1  </w:t>
      </w:r>
      <w:r>
        <w:rPr>
          <w:sz w:val="24"/>
        </w:rPr>
        <w:t>minuto</w:t>
      </w:r>
      <w:r>
        <w:rPr>
          <w:position w:val="11"/>
          <w:sz w:val="16"/>
        </w:rPr>
        <w:t>-1</w:t>
      </w:r>
      <w:r>
        <w:rPr>
          <w:sz w:val="24"/>
        </w:rPr>
        <w:t>), dexmedetomidina (1 µg kg</w:t>
      </w:r>
      <w:r>
        <w:rPr>
          <w:position w:val="11"/>
          <w:sz w:val="16"/>
        </w:rPr>
        <w:t>-1  </w:t>
      </w:r>
      <w:r>
        <w:rPr>
          <w:sz w:val="24"/>
        </w:rPr>
        <w:t>hora</w:t>
      </w:r>
      <w:r>
        <w:rPr>
          <w:position w:val="11"/>
          <w:sz w:val="16"/>
        </w:rPr>
        <w:t>-1</w:t>
      </w:r>
      <w:r>
        <w:rPr>
          <w:sz w:val="24"/>
        </w:rPr>
        <w:t>); o</w:t>
      </w:r>
    </w:p>
    <w:p>
      <w:pPr>
        <w:pStyle w:val="BodyText"/>
        <w:spacing w:before="41"/>
        <w:ind w:left="152"/>
        <w:jc w:val="both"/>
      </w:pPr>
      <w:r>
        <w:rPr/>
        <w:t>LKD.</w:t>
      </w:r>
    </w:p>
    <w:p>
      <w:pPr>
        <w:pStyle w:val="BodyText"/>
        <w:spacing w:line="276" w:lineRule="auto" w:before="41"/>
        <w:ind w:left="152" w:right="126" w:firstLine="360"/>
        <w:jc w:val="both"/>
      </w:pPr>
      <w:r>
        <w:rPr/>
        <w:t>La analgesia postoperatoria se evaluó usando </w:t>
      </w:r>
      <w:r>
        <w:rPr>
          <w:spacing w:val="-4"/>
        </w:rPr>
        <w:t>las</w:t>
      </w:r>
      <w:r>
        <w:rPr>
          <w:spacing w:val="52"/>
        </w:rPr>
        <w:t> </w:t>
      </w:r>
      <w:r>
        <w:rPr/>
        <w:t>escalas de dolor de Glasgow, Universidad de Melbourne y numérica (NRS) durante 24 horas postquirúrgicas. La  sedación fue registrada por </w:t>
      </w:r>
      <w:r>
        <w:rPr>
          <w:spacing w:val="-4"/>
        </w:rPr>
        <w:t>medio </w:t>
      </w:r>
      <w:r>
        <w:rPr/>
        <w:t>de NRS. Se proporcionó analgesia de rescate en caso de ser necesario. Los datos fueron analizados utilizando un análisis de varianza (ANAVA) y se consideró una (</w:t>
      </w:r>
      <w:r>
        <w:rPr>
          <w:i/>
        </w:rPr>
        <w:t>p </w:t>
      </w:r>
      <w:r>
        <w:rPr/>
        <w:t>&lt;0.05) como estadísticamente</w:t>
      </w:r>
      <w:r>
        <w:rPr>
          <w:spacing w:val="-25"/>
        </w:rPr>
        <w:t> </w:t>
      </w:r>
      <w:r>
        <w:rPr/>
        <w:t>significativa.</w:t>
      </w:r>
    </w:p>
    <w:p>
      <w:pPr>
        <w:pStyle w:val="BodyText"/>
        <w:spacing w:line="276" w:lineRule="auto" w:before="1"/>
        <w:ind w:left="152" w:right="117" w:firstLine="360"/>
        <w:jc w:val="both"/>
        <w:rPr>
          <w:rFonts w:ascii="Symbol" w:hAnsi="Symbol"/>
        </w:rPr>
      </w:pPr>
      <w:r>
        <w:rPr/>
        <w:t>En el transquirúrgico, la frecuencia cardiaca disminuyó significativamente en FENT comparada con LIDO, KET y CONTROL/BUT. La presión arterial media fue más baja en FENT y CONTROL/BUT que en DEX. La media ± ds de FE´Iso y % de reducción de los requerimientos de isoflurano durante la cirugía fueron 1.01 </w:t>
      </w:r>
      <w:r>
        <w:rPr>
          <w:rFonts w:ascii="Symbol" w:hAnsi="Symbol"/>
        </w:rPr>
        <w:t></w:t>
      </w:r>
      <w:r>
        <w:rPr/>
        <w:t> 0.31/41.6% (FENT), 1.37 </w:t>
      </w:r>
      <w:r>
        <w:rPr>
          <w:rFonts w:ascii="Symbol" w:hAnsi="Symbol"/>
        </w:rPr>
        <w:t></w:t>
      </w:r>
      <w:r>
        <w:rPr/>
        <w:t> 0.19/20.8%  (KET),   1.34   </w:t>
      </w:r>
      <w:r>
        <w:rPr>
          <w:rFonts w:ascii="Symbol" w:hAnsi="Symbol"/>
        </w:rPr>
        <w:t></w:t>
      </w:r>
      <w:r>
        <w:rPr/>
        <w:t>  0.19/22.5%   (LIDO),   1.30   </w:t>
      </w:r>
      <w:r>
        <w:rPr>
          <w:rFonts w:ascii="Symbol" w:hAnsi="Symbol"/>
        </w:rPr>
        <w:t></w:t>
      </w:r>
      <w:r>
        <w:rPr/>
        <w:t>  0.28/24.8%   (DEX),  0.95 </w:t>
      </w:r>
      <w:r>
        <w:rPr>
          <w:rFonts w:ascii="Symbol" w:hAnsi="Symbol"/>
        </w:rPr>
        <w:t></w:t>
      </w:r>
    </w:p>
    <w:p>
      <w:pPr>
        <w:pStyle w:val="BodyText"/>
        <w:spacing w:before="3"/>
        <w:ind w:left="152"/>
        <w:jc w:val="both"/>
      </w:pPr>
      <w:r>
        <w:rPr/>
        <w:t>0.19/54.9% (LKD) y 1.73 </w:t>
      </w:r>
      <w:r>
        <w:rPr>
          <w:rFonts w:ascii="Symbol" w:hAnsi="Symbol"/>
        </w:rPr>
        <w:t></w:t>
      </w:r>
      <w:r>
        <w:rPr/>
        <w:t> 0.18/0.0% (CONTROL-BUT).</w:t>
      </w:r>
    </w:p>
    <w:p>
      <w:pPr>
        <w:pStyle w:val="BodyText"/>
        <w:spacing w:line="276" w:lineRule="auto" w:before="40"/>
        <w:ind w:left="152" w:right="122" w:firstLine="360"/>
        <w:jc w:val="both"/>
      </w:pPr>
      <w:r>
        <w:rPr/>
        <w:t>En los grupos CONTROL/BUT, KET, DEX y LIDO recibieron analgesia de rescate tres, dos y dos perras respectivamente. Hubo una alta incidencia de </w:t>
      </w:r>
      <w:r>
        <w:rPr>
          <w:spacing w:val="-3"/>
        </w:rPr>
        <w:t>falla </w:t>
      </w:r>
      <w:r>
        <w:rPr/>
        <w:t>del tratamiento </w:t>
      </w:r>
      <w:r>
        <w:rPr>
          <w:spacing w:val="54"/>
        </w:rPr>
        <w:t> </w:t>
      </w:r>
      <w:r>
        <w:rPr/>
        <w:t>en</w:t>
      </w:r>
    </w:p>
    <w:p>
      <w:pPr>
        <w:spacing w:after="0" w:line="276" w:lineRule="auto"/>
        <w:jc w:val="both"/>
        <w:sectPr>
          <w:pgSz w:w="12240" w:h="15840"/>
          <w:pgMar w:header="0" w:footer="1688" w:top="1500" w:bottom="1880" w:left="1720" w:right="1400"/>
        </w:sectPr>
      </w:pPr>
    </w:p>
    <w:p>
      <w:pPr>
        <w:pStyle w:val="BodyText"/>
        <w:spacing w:before="7"/>
        <w:rPr>
          <w:sz w:val="20"/>
        </w:rPr>
      </w:pPr>
    </w:p>
    <w:p>
      <w:pPr>
        <w:pStyle w:val="BodyText"/>
        <w:spacing w:line="276" w:lineRule="auto" w:before="69"/>
        <w:ind w:left="152" w:right="176"/>
      </w:pPr>
      <w:r>
        <w:rPr/>
        <w:t>CONTROL/BUT y KET al compararse con LKD y FENT. Las puntuaciones de sedación  de FENT y LKD fueron mayores que CONTROL/BUT a </w:t>
      </w:r>
      <w:r>
        <w:rPr>
          <w:spacing w:val="-5"/>
        </w:rPr>
        <w:t>la </w:t>
      </w:r>
      <w:r>
        <w:rPr/>
        <w:t>hora</w:t>
      </w:r>
      <w:r>
        <w:rPr>
          <w:spacing w:val="1"/>
        </w:rPr>
        <w:t> </w:t>
      </w:r>
      <w:r>
        <w:rPr/>
        <w:t>1.</w:t>
      </w:r>
    </w:p>
    <w:p>
      <w:pPr>
        <w:pStyle w:val="BodyText"/>
        <w:spacing w:line="276" w:lineRule="auto" w:before="1"/>
        <w:ind w:left="152" w:right="124" w:firstLine="360"/>
        <w:jc w:val="both"/>
      </w:pPr>
      <w:r>
        <w:rPr/>
        <w:t>Los grupos FENT y LKD disminuyeron en mayor cantidad los requerimientos de ISO en comparación con el resto de los tratamientos. La combinación LKD proporcionó adecuada analgesia postquirúrgica. </w:t>
      </w:r>
      <w:r>
        <w:rPr>
          <w:spacing w:val="3"/>
        </w:rPr>
        <w:t>El </w:t>
      </w:r>
      <w:r>
        <w:rPr/>
        <w:t>butorfanol en dosis única, LIDO, KET y DEX podrían </w:t>
      </w:r>
      <w:r>
        <w:rPr>
          <w:spacing w:val="-3"/>
        </w:rPr>
        <w:t>no </w:t>
      </w:r>
      <w:r>
        <w:rPr/>
        <w:t>ser efectivas para el tratamiento del dolor postoperatorio en perras sometidas a ovariohisterectomía</w:t>
      </w:r>
      <w:r>
        <w:rPr>
          <w:spacing w:val="-16"/>
        </w:rPr>
        <w:t> </w:t>
      </w:r>
      <w:r>
        <w:rPr/>
        <w:t>electiva.</w:t>
      </w:r>
    </w:p>
    <w:p>
      <w:pPr>
        <w:spacing w:after="0" w:line="276" w:lineRule="auto"/>
        <w:jc w:val="both"/>
        <w:sectPr>
          <w:pgSz w:w="12240" w:h="15840"/>
          <w:pgMar w:header="0" w:footer="1688" w:top="1500" w:bottom="1880" w:left="1720" w:right="1400"/>
        </w:sectPr>
      </w:pPr>
    </w:p>
    <w:p>
      <w:pPr>
        <w:pStyle w:val="BodyText"/>
        <w:rPr>
          <w:sz w:val="20"/>
        </w:rPr>
      </w:pPr>
    </w:p>
    <w:p>
      <w:pPr>
        <w:pStyle w:val="BodyText"/>
        <w:spacing w:before="2"/>
        <w:rPr>
          <w:sz w:val="22"/>
        </w:rPr>
      </w:pPr>
    </w:p>
    <w:p>
      <w:pPr>
        <w:spacing w:before="63"/>
        <w:ind w:left="152" w:right="0" w:firstLine="0"/>
        <w:jc w:val="both"/>
        <w:rPr>
          <w:b/>
          <w:i/>
          <w:sz w:val="28"/>
        </w:rPr>
      </w:pPr>
      <w:bookmarkStart w:name="_bookmark1" w:id="2"/>
      <w:bookmarkEnd w:id="2"/>
      <w:r>
        <w:rPr/>
      </w:r>
      <w:r>
        <w:rPr>
          <w:b/>
          <w:i/>
          <w:sz w:val="28"/>
        </w:rPr>
        <w:t>Abstract</w:t>
      </w:r>
    </w:p>
    <w:p>
      <w:pPr>
        <w:pStyle w:val="BodyText"/>
        <w:spacing w:before="1"/>
        <w:rPr>
          <w:b/>
          <w:i/>
          <w:sz w:val="29"/>
        </w:rPr>
      </w:pPr>
    </w:p>
    <w:p>
      <w:pPr>
        <w:pStyle w:val="BodyText"/>
        <w:spacing w:line="276" w:lineRule="auto"/>
        <w:ind w:left="152" w:right="122" w:firstLine="360"/>
        <w:jc w:val="both"/>
      </w:pPr>
      <w:r>
        <w:rPr/>
        <w:t>Balanced anesthesia techniques provide better cardiovascular stability by reducing inhalant requirements while improving analgesia during general anesthesia and in the postoperative period. The aim of this study was to evaluate the isoflurane-sparing and postoperative analgesic effects of an intravenous (IV) constant rate infusion (CRI) of fentanyl (FENT), lidocaine (LID), ketamine (KET), dexmedetomidine (DEX), or the combination lidocaine-ketamine-dexmedetomidine (LKD) in dogs.</w:t>
      </w:r>
    </w:p>
    <w:p>
      <w:pPr>
        <w:pStyle w:val="BodyText"/>
        <w:spacing w:line="276" w:lineRule="auto" w:before="1"/>
        <w:ind w:left="152" w:right="129" w:firstLine="360"/>
        <w:jc w:val="both"/>
      </w:pPr>
      <w:r>
        <w:rPr/>
        <w:t>Fifty four dogs scheduled for ovariohisterectomy were included in a randomized, prospective, blinded, clinical study. Anesthesia was induced with propofol and maintained with isoflurane with one of the following treatments: saline 0.9%/butorphanol (butorphanol</w:t>
      </w:r>
    </w:p>
    <w:p>
      <w:pPr>
        <w:pStyle w:val="ListParagraph"/>
        <w:numPr>
          <w:ilvl w:val="1"/>
          <w:numId w:val="10"/>
        </w:numPr>
        <w:tabs>
          <w:tab w:pos="523" w:val="left" w:leader="none"/>
        </w:tabs>
        <w:spacing w:line="297" w:lineRule="exact" w:before="0" w:after="0"/>
        <w:ind w:left="522" w:right="0" w:hanging="370"/>
        <w:jc w:val="both"/>
        <w:rPr>
          <w:sz w:val="16"/>
        </w:rPr>
      </w:pPr>
      <w:r>
        <w:rPr>
          <w:spacing w:val="-5"/>
          <w:sz w:val="24"/>
        </w:rPr>
        <w:t>mg </w:t>
      </w:r>
      <w:r>
        <w:rPr>
          <w:sz w:val="24"/>
        </w:rPr>
        <w:t>kg</w:t>
      </w:r>
      <w:r>
        <w:rPr>
          <w:position w:val="11"/>
          <w:sz w:val="16"/>
        </w:rPr>
        <w:t>-1  </w:t>
      </w:r>
      <w:r>
        <w:rPr>
          <w:sz w:val="24"/>
        </w:rPr>
        <w:t>IV, saline 0.9% CRI, CONTROL/BUT; n=9); fentanyl (5 </w:t>
      </w:r>
      <w:r>
        <w:rPr>
          <w:rFonts w:ascii="Symbol" w:hAnsi="Symbol"/>
          <w:sz w:val="24"/>
        </w:rPr>
        <w:t></w:t>
      </w:r>
      <w:r>
        <w:rPr>
          <w:sz w:val="24"/>
        </w:rPr>
        <w:t>g kg</w:t>
      </w:r>
      <w:r>
        <w:rPr>
          <w:position w:val="11"/>
          <w:sz w:val="16"/>
        </w:rPr>
        <w:t>-1  </w:t>
      </w:r>
      <w:r>
        <w:rPr>
          <w:sz w:val="24"/>
        </w:rPr>
        <w:t>IV, 10 </w:t>
      </w:r>
      <w:r>
        <w:rPr>
          <w:rFonts w:ascii="Symbol" w:hAnsi="Symbol"/>
          <w:sz w:val="24"/>
        </w:rPr>
        <w:t></w:t>
      </w:r>
      <w:r>
        <w:rPr>
          <w:sz w:val="24"/>
        </w:rPr>
        <w:t>g</w:t>
      </w:r>
      <w:r>
        <w:rPr>
          <w:spacing w:val="18"/>
          <w:sz w:val="24"/>
        </w:rPr>
        <w:t> </w:t>
      </w:r>
      <w:r>
        <w:rPr>
          <w:sz w:val="24"/>
        </w:rPr>
        <w:t>kg</w:t>
      </w:r>
      <w:r>
        <w:rPr>
          <w:position w:val="11"/>
          <w:sz w:val="16"/>
        </w:rPr>
        <w:t>-</w:t>
      </w:r>
    </w:p>
    <w:p>
      <w:pPr>
        <w:pStyle w:val="BodyText"/>
        <w:spacing w:line="259" w:lineRule="auto" w:before="29"/>
        <w:ind w:left="152" w:right="129"/>
        <w:jc w:val="both"/>
        <w:rPr>
          <w:sz w:val="16"/>
        </w:rPr>
      </w:pPr>
      <w:r>
        <w:rPr>
          <w:position w:val="11"/>
          <w:sz w:val="16"/>
        </w:rPr>
        <w:t>1 </w:t>
      </w:r>
      <w:r>
        <w:rPr/>
        <w:t>hour</w:t>
      </w:r>
      <w:r>
        <w:rPr>
          <w:position w:val="11"/>
          <w:sz w:val="16"/>
        </w:rPr>
        <w:t>-1</w:t>
      </w:r>
      <w:r>
        <w:rPr/>
        <w:t>, FENT; n=10); ketamine (1 </w:t>
      </w:r>
      <w:r>
        <w:rPr>
          <w:spacing w:val="-5"/>
        </w:rPr>
        <w:t>mg </w:t>
      </w:r>
      <w:r>
        <w:rPr/>
        <w:t>kg</w:t>
      </w:r>
      <w:r>
        <w:rPr>
          <w:position w:val="11"/>
          <w:sz w:val="16"/>
        </w:rPr>
        <w:t>-1 </w:t>
      </w:r>
      <w:r>
        <w:rPr/>
        <w:t>IV, 40 </w:t>
      </w:r>
      <w:r>
        <w:rPr>
          <w:rFonts w:ascii="Symbol" w:hAnsi="Symbol"/>
        </w:rPr>
        <w:t></w:t>
      </w:r>
      <w:r>
        <w:rPr/>
        <w:t>g kg</w:t>
      </w:r>
      <w:r>
        <w:rPr>
          <w:position w:val="11"/>
          <w:sz w:val="16"/>
        </w:rPr>
        <w:t>-1 </w:t>
      </w:r>
      <w:r>
        <w:rPr/>
        <w:t>minute</w:t>
      </w:r>
      <w:r>
        <w:rPr>
          <w:position w:val="11"/>
          <w:sz w:val="16"/>
        </w:rPr>
        <w:t>-1</w:t>
      </w:r>
      <w:r>
        <w:rPr/>
        <w:t>, KET; n=8), lidocaine  (2 </w:t>
      </w:r>
      <w:r>
        <w:rPr>
          <w:spacing w:val="-5"/>
        </w:rPr>
        <w:t>mg </w:t>
      </w:r>
      <w:r>
        <w:rPr/>
        <w:t>kg</w:t>
      </w:r>
      <w:r>
        <w:rPr>
          <w:position w:val="11"/>
          <w:sz w:val="16"/>
        </w:rPr>
        <w:t>-1  </w:t>
      </w:r>
      <w:r>
        <w:rPr/>
        <w:t>IV, 100 </w:t>
      </w:r>
      <w:r>
        <w:rPr>
          <w:rFonts w:ascii="Symbol" w:hAnsi="Symbol"/>
        </w:rPr>
        <w:t></w:t>
      </w:r>
      <w:r>
        <w:rPr/>
        <w:t>g kg</w:t>
      </w:r>
      <w:r>
        <w:rPr>
          <w:position w:val="11"/>
          <w:sz w:val="16"/>
        </w:rPr>
        <w:t>-1  </w:t>
      </w:r>
      <w:r>
        <w:rPr/>
        <w:t>minute</w:t>
      </w:r>
      <w:r>
        <w:rPr>
          <w:position w:val="11"/>
          <w:sz w:val="16"/>
        </w:rPr>
        <w:t>-1</w:t>
      </w:r>
      <w:r>
        <w:rPr/>
        <w:t>, LIDO; n=9); dexmedetomidine (1 </w:t>
      </w:r>
      <w:r>
        <w:rPr>
          <w:rFonts w:ascii="Symbol" w:hAnsi="Symbol"/>
        </w:rPr>
        <w:t></w:t>
      </w:r>
      <w:r>
        <w:rPr/>
        <w:t>g kg</w:t>
      </w:r>
      <w:r>
        <w:rPr>
          <w:position w:val="11"/>
          <w:sz w:val="16"/>
        </w:rPr>
        <w:t>-1  </w:t>
      </w:r>
      <w:r>
        <w:rPr/>
        <w:t>IV, 3 </w:t>
      </w:r>
      <w:r>
        <w:rPr>
          <w:rFonts w:ascii="Symbol" w:hAnsi="Symbol"/>
        </w:rPr>
        <w:t></w:t>
      </w:r>
      <w:r>
        <w:rPr/>
        <w:t>g</w:t>
      </w:r>
      <w:r>
        <w:rPr>
          <w:spacing w:val="2"/>
        </w:rPr>
        <w:t> </w:t>
      </w:r>
      <w:r>
        <w:rPr/>
        <w:t>kg</w:t>
      </w:r>
      <w:r>
        <w:rPr>
          <w:position w:val="11"/>
          <w:sz w:val="16"/>
        </w:rPr>
        <w:t>-</w:t>
      </w:r>
    </w:p>
    <w:p>
      <w:pPr>
        <w:pStyle w:val="BodyText"/>
        <w:spacing w:line="292" w:lineRule="exact"/>
        <w:ind w:left="152"/>
        <w:jc w:val="both"/>
      </w:pPr>
      <w:r>
        <w:rPr>
          <w:position w:val="11"/>
          <w:sz w:val="16"/>
        </w:rPr>
        <w:t>1  </w:t>
      </w:r>
      <w:r>
        <w:rPr/>
        <w:t>hour</w:t>
      </w:r>
      <w:r>
        <w:rPr>
          <w:position w:val="11"/>
          <w:sz w:val="16"/>
        </w:rPr>
        <w:t>-1</w:t>
      </w:r>
      <w:r>
        <w:rPr/>
        <w:t>, DEX; n=8); or LKD (n=10). Cardiopulmonary variables and    end-tidal isoflurane</w:t>
      </w:r>
    </w:p>
    <w:p>
      <w:pPr>
        <w:pStyle w:val="BodyText"/>
        <w:spacing w:line="266" w:lineRule="auto" w:before="45"/>
        <w:ind w:left="152" w:right="121"/>
        <w:jc w:val="both"/>
        <w:rPr>
          <w:i/>
        </w:rPr>
      </w:pPr>
      <w:r>
        <w:rPr/>
        <w:t>concentration (FE´Iso) were monitored throughout and until the end of surgery. </w:t>
      </w:r>
      <w:r>
        <w:rPr>
          <w:spacing w:val="-3"/>
        </w:rPr>
        <w:t>At </w:t>
      </w:r>
      <w:r>
        <w:rPr/>
        <w:t>that time, doses were decreased and administered for 4h as follows: saline 0.9% CRI, fentanyl (2.5 µg kg</w:t>
      </w:r>
      <w:r>
        <w:rPr>
          <w:position w:val="11"/>
          <w:sz w:val="16"/>
        </w:rPr>
        <w:t>-1 </w:t>
      </w:r>
      <w:r>
        <w:rPr/>
        <w:t>hour</w:t>
      </w:r>
      <w:r>
        <w:rPr>
          <w:position w:val="11"/>
          <w:sz w:val="16"/>
        </w:rPr>
        <w:t>-1</w:t>
      </w:r>
      <w:r>
        <w:rPr/>
        <w:t>); ketamine (10 µg kg</w:t>
      </w:r>
      <w:r>
        <w:rPr>
          <w:position w:val="11"/>
          <w:sz w:val="16"/>
        </w:rPr>
        <w:t>-1 </w:t>
      </w:r>
      <w:r>
        <w:rPr/>
        <w:t>minute</w:t>
      </w:r>
      <w:r>
        <w:rPr>
          <w:position w:val="11"/>
          <w:sz w:val="16"/>
        </w:rPr>
        <w:t>-1</w:t>
      </w:r>
      <w:r>
        <w:rPr/>
        <w:t>), lidocaine (25 µg kg</w:t>
      </w:r>
      <w:r>
        <w:rPr>
          <w:position w:val="11"/>
          <w:sz w:val="16"/>
        </w:rPr>
        <w:t>-1 </w:t>
      </w:r>
      <w:r>
        <w:rPr/>
        <w:t>minute</w:t>
      </w:r>
      <w:r>
        <w:rPr>
          <w:position w:val="11"/>
          <w:sz w:val="16"/>
        </w:rPr>
        <w:t>-1</w:t>
      </w:r>
      <w:r>
        <w:rPr/>
        <w:t>), dexmedetomidine (1 µg kg</w:t>
      </w:r>
      <w:r>
        <w:rPr>
          <w:position w:val="11"/>
          <w:sz w:val="16"/>
        </w:rPr>
        <w:t>-1 </w:t>
      </w:r>
      <w:r>
        <w:rPr/>
        <w:t>hour</w:t>
      </w:r>
      <w:r>
        <w:rPr>
          <w:position w:val="11"/>
          <w:sz w:val="16"/>
        </w:rPr>
        <w:t>-1</w:t>
      </w:r>
      <w:r>
        <w:rPr/>
        <w:t>); or LKD. Postoperative analgesia was evaluated using Glasgow composite pain scale, University of Melbourne pain scale, and numerical rating scale (NRS) up </w:t>
      </w:r>
      <w:r>
        <w:rPr>
          <w:spacing w:val="2"/>
        </w:rPr>
        <w:t>to </w:t>
      </w:r>
      <w:r>
        <w:rPr/>
        <w:t>24h after surgery. Sedation was recorded using a NRS. Postoperative rescue analgesia was provided  when appropriate. Data were analyzed  using  ANOVA   </w:t>
      </w:r>
      <w:r>
        <w:rPr>
          <w:spacing w:val="20"/>
        </w:rPr>
        <w:t> </w:t>
      </w:r>
      <w:r>
        <w:rPr>
          <w:spacing w:val="3"/>
        </w:rPr>
        <w:t>(</w:t>
      </w:r>
      <w:r>
        <w:rPr>
          <w:i/>
          <w:spacing w:val="3"/>
        </w:rPr>
        <w:t>p</w:t>
      </w:r>
    </w:p>
    <w:p>
      <w:pPr>
        <w:pStyle w:val="BodyText"/>
        <w:spacing w:before="12"/>
        <w:ind w:left="152"/>
        <w:jc w:val="both"/>
      </w:pPr>
      <w:r>
        <w:rPr/>
        <w:t>&lt;0.05)</w:t>
      </w:r>
    </w:p>
    <w:p>
      <w:pPr>
        <w:pStyle w:val="BodyText"/>
        <w:spacing w:line="278" w:lineRule="auto" w:before="41"/>
        <w:ind w:left="152" w:right="131" w:firstLine="705"/>
        <w:jc w:val="both"/>
      </w:pPr>
      <w:r>
        <w:rPr/>
        <w:t>At most time points, heart rate values were lower in FENT than LIDO, KET and CONTROL/BUT. Mean arterial blood pressure was lower in FENT and CONTROL/BUT than in DEX. Overall mean ± SD F</w:t>
      </w:r>
      <w:r>
        <w:rPr>
          <w:position w:val="-2"/>
          <w:sz w:val="16"/>
        </w:rPr>
        <w:t>ET</w:t>
      </w:r>
      <w:r>
        <w:rPr/>
        <w:t>´Iso and % reduced isoflurane requirements were 1.01</w:t>
      </w:r>
    </w:p>
    <w:p>
      <w:pPr>
        <w:pStyle w:val="BodyText"/>
        <w:spacing w:line="280" w:lineRule="exact"/>
        <w:ind w:left="152"/>
        <w:rPr>
          <w:rFonts w:ascii="Symbol" w:hAnsi="Symbol"/>
        </w:rPr>
      </w:pPr>
      <w:r>
        <w:rPr>
          <w:rFonts w:ascii="Symbol" w:hAnsi="Symbol"/>
        </w:rPr>
        <w:t></w:t>
      </w:r>
      <w:r>
        <w:rPr/>
        <w:t>  0.31/41.6%  (FENT),  1.37  </w:t>
      </w:r>
      <w:r>
        <w:rPr>
          <w:rFonts w:ascii="Symbol" w:hAnsi="Symbol"/>
        </w:rPr>
        <w:t></w:t>
      </w:r>
      <w:r>
        <w:rPr/>
        <w:t>  0.19/20.8%  (KET),  1.34  </w:t>
      </w:r>
      <w:r>
        <w:rPr>
          <w:rFonts w:ascii="Symbol" w:hAnsi="Symbol"/>
        </w:rPr>
        <w:t></w:t>
      </w:r>
      <w:r>
        <w:rPr/>
        <w:t>  0.19/22.5%  (LIDO),  1.30 </w:t>
      </w:r>
      <w:r>
        <w:rPr>
          <w:rFonts w:ascii="Symbol" w:hAnsi="Symbol"/>
        </w:rPr>
        <w:t></w:t>
      </w:r>
    </w:p>
    <w:p>
      <w:pPr>
        <w:pStyle w:val="BodyText"/>
        <w:spacing w:before="42"/>
        <w:ind w:left="152"/>
      </w:pPr>
      <w:r>
        <w:rPr/>
        <w:t>0.28/24.8% (DEX),  0.95  </w:t>
      </w:r>
      <w:r>
        <w:rPr>
          <w:rFonts w:ascii="Symbol" w:hAnsi="Symbol"/>
        </w:rPr>
        <w:t></w:t>
      </w:r>
      <w:r>
        <w:rPr/>
        <w:t> 0.19/54.9%  (LKD)  and 1.73  </w:t>
      </w:r>
      <w:r>
        <w:rPr>
          <w:rFonts w:ascii="Symbol" w:hAnsi="Symbol"/>
        </w:rPr>
        <w:t></w:t>
      </w:r>
      <w:r>
        <w:rPr/>
        <w:t> 0.18/0.0% (CONTROL-BUT)</w:t>
      </w:r>
    </w:p>
    <w:p>
      <w:pPr>
        <w:pStyle w:val="BodyText"/>
        <w:spacing w:before="45"/>
        <w:ind w:left="152" w:right="176"/>
      </w:pPr>
      <w:r>
        <w:rPr/>
        <w:t>during surgery.</w:t>
      </w:r>
    </w:p>
    <w:p>
      <w:pPr>
        <w:pStyle w:val="BodyText"/>
        <w:spacing w:line="276" w:lineRule="auto" w:before="41"/>
        <w:ind w:left="152" w:right="128" w:firstLine="705"/>
        <w:jc w:val="both"/>
      </w:pPr>
      <w:r>
        <w:rPr/>
        <w:t>Eight, three, two and two dogs </w:t>
      </w:r>
      <w:r>
        <w:rPr>
          <w:spacing w:val="-3"/>
        </w:rPr>
        <w:t>in </w:t>
      </w:r>
      <w:r>
        <w:rPr/>
        <w:t>CONTROL/BUT, KET, DEX and LIDO were given rescue analgesia, respectively. There was a significantly higher incidence </w:t>
      </w:r>
      <w:r>
        <w:rPr>
          <w:spacing w:val="4"/>
        </w:rPr>
        <w:t>of </w:t>
      </w:r>
      <w:r>
        <w:rPr/>
        <w:t>treatment failure </w:t>
      </w:r>
      <w:r>
        <w:rPr>
          <w:spacing w:val="-3"/>
        </w:rPr>
        <w:t>in </w:t>
      </w:r>
      <w:r>
        <w:rPr/>
        <w:t>CONTROL/BUT and KET when compared with LKD and FENT. Fentanyl and LKD sedation scores were higher than CONTROL/BUT at</w:t>
      </w:r>
      <w:r>
        <w:rPr>
          <w:spacing w:val="-12"/>
        </w:rPr>
        <w:t> </w:t>
      </w:r>
      <w:r>
        <w:rPr>
          <w:spacing w:val="-3"/>
        </w:rPr>
        <w:t>1h.</w:t>
      </w:r>
    </w:p>
    <w:p>
      <w:pPr>
        <w:pStyle w:val="BodyText"/>
        <w:spacing w:line="276" w:lineRule="auto" w:before="1"/>
        <w:ind w:left="152" w:right="128" w:firstLine="705"/>
        <w:jc w:val="both"/>
      </w:pPr>
      <w:r>
        <w:rPr/>
        <w:t>FENT and LKD resulted in greater isoflurane-sparing effect than the other treatments. The combination LKD resulted in adequate postoperative analgesia. Butorphanol as a single dose, and LIDO, KET and DEX may not be effective for treatment of postoperative pain in dogs undergoing ovariohysterectomy.</w:t>
      </w:r>
    </w:p>
    <w:p>
      <w:pPr>
        <w:spacing w:after="0" w:line="276" w:lineRule="auto"/>
        <w:jc w:val="both"/>
        <w:sectPr>
          <w:pgSz w:w="12240" w:h="15840"/>
          <w:pgMar w:header="0" w:footer="1688" w:top="1500" w:bottom="1880" w:left="1720" w:right="1400"/>
        </w:sectPr>
      </w:pPr>
    </w:p>
    <w:p>
      <w:pPr>
        <w:pStyle w:val="BodyText"/>
        <w:rPr>
          <w:sz w:val="20"/>
        </w:rPr>
      </w:pPr>
    </w:p>
    <w:p>
      <w:pPr>
        <w:pStyle w:val="BodyText"/>
        <w:spacing w:before="5"/>
        <w:rPr>
          <w:sz w:val="22"/>
        </w:rPr>
      </w:pPr>
    </w:p>
    <w:p>
      <w:pPr>
        <w:pStyle w:val="Heading1"/>
      </w:pPr>
      <w:bookmarkStart w:name="_bookmark2" w:id="3"/>
      <w:bookmarkEnd w:id="3"/>
      <w:r>
        <w:rPr>
          <w:b w:val="0"/>
        </w:rPr>
      </w:r>
      <w:r>
        <w:rPr/>
        <w:t>CAPÍTULO I</w:t>
      </w:r>
    </w:p>
    <w:p>
      <w:pPr>
        <w:pStyle w:val="BodyText"/>
        <w:rPr>
          <w:b/>
          <w:sz w:val="20"/>
        </w:rPr>
      </w:pPr>
    </w:p>
    <w:p>
      <w:pPr>
        <w:pStyle w:val="BodyText"/>
        <w:rPr>
          <w:b/>
          <w:sz w:val="20"/>
        </w:rPr>
      </w:pPr>
    </w:p>
    <w:p>
      <w:pPr>
        <w:pStyle w:val="BodyText"/>
        <w:spacing w:before="5"/>
        <w:rPr>
          <w:b/>
          <w:sz w:val="16"/>
        </w:rPr>
      </w:pPr>
    </w:p>
    <w:p>
      <w:pPr>
        <w:spacing w:before="62"/>
        <w:ind w:left="152" w:right="70" w:firstLine="0"/>
        <w:jc w:val="left"/>
        <w:rPr>
          <w:b/>
          <w:sz w:val="28"/>
        </w:rPr>
      </w:pPr>
      <w:bookmarkStart w:name="_bookmark3" w:id="4"/>
      <w:bookmarkEnd w:id="4"/>
      <w:r>
        <w:rPr/>
      </w:r>
      <w:r>
        <w:rPr>
          <w:b/>
          <w:sz w:val="28"/>
        </w:rPr>
        <w:t>Introducción</w:t>
      </w:r>
    </w:p>
    <w:p>
      <w:pPr>
        <w:pStyle w:val="BodyText"/>
        <w:rPr>
          <w:b/>
          <w:sz w:val="28"/>
        </w:rPr>
      </w:pPr>
    </w:p>
    <w:p>
      <w:pPr>
        <w:pStyle w:val="BodyText"/>
        <w:spacing w:line="360" w:lineRule="auto" w:before="224"/>
        <w:ind w:left="152" w:right="102" w:firstLine="566"/>
        <w:jc w:val="both"/>
      </w:pPr>
      <w:r>
        <w:rPr/>
        <w:t>Los anestésicos inhalatorios han sido ampliamente utilizados para el mantenimiento de </w:t>
      </w:r>
      <w:r>
        <w:rPr>
          <w:spacing w:val="-5"/>
        </w:rPr>
        <w:t>la </w:t>
      </w:r>
      <w:r>
        <w:rPr/>
        <w:t>anestesia en medicina veterinaria. Las principales ventajas incluyen el rápido control de </w:t>
      </w:r>
      <w:r>
        <w:rPr>
          <w:spacing w:val="-5"/>
        </w:rPr>
        <w:t>la </w:t>
      </w:r>
      <w:r>
        <w:rPr/>
        <w:t>profundidad anestésica, así como un perfil farmacocinético favorable. Lo anterior permite una rápida inducción y recuperación de </w:t>
      </w:r>
      <w:r>
        <w:rPr>
          <w:spacing w:val="-5"/>
        </w:rPr>
        <w:t>la </w:t>
      </w:r>
      <w:r>
        <w:rPr/>
        <w:t>anestesia debido a </w:t>
      </w:r>
      <w:r>
        <w:rPr>
          <w:spacing w:val="-5"/>
        </w:rPr>
        <w:t>la </w:t>
      </w:r>
      <w:r>
        <w:rPr/>
        <w:t>captación y eliminación del anestésico, </w:t>
      </w:r>
      <w:r>
        <w:rPr>
          <w:spacing w:val="-5"/>
        </w:rPr>
        <w:t>lo </w:t>
      </w:r>
      <w:r>
        <w:rPr/>
        <w:t>cual ocurre principalmente a través de </w:t>
      </w:r>
      <w:r>
        <w:rPr>
          <w:spacing w:val="-3"/>
        </w:rPr>
        <w:t>la </w:t>
      </w:r>
      <w:r>
        <w:rPr/>
        <w:t>vía pulmonar (Steffey y Howland 1977). Sin embargo, una de las principales preocupaciones asociadas con </w:t>
      </w:r>
      <w:r>
        <w:rPr>
          <w:spacing w:val="-5"/>
        </w:rPr>
        <w:t>la </w:t>
      </w:r>
      <w:r>
        <w:rPr/>
        <w:t>administración de anestésicos inhalatorios como el isoflurano (ISO), es </w:t>
      </w:r>
      <w:r>
        <w:rPr>
          <w:spacing w:val="-5"/>
        </w:rPr>
        <w:t>la </w:t>
      </w:r>
      <w:r>
        <w:rPr/>
        <w:t>progresiva depresión respiratoria y cardiovascular a una dosis-dependiente. Pacientes de alto riesgo o animales con enfermedad sistémica, pueden desarrollarla, sobre todo cuando </w:t>
      </w:r>
      <w:r>
        <w:rPr>
          <w:spacing w:val="-5"/>
        </w:rPr>
        <w:t>la </w:t>
      </w:r>
      <w:r>
        <w:rPr/>
        <w:t>anestesia es basada únicamente con anestésicos inhalatorios (Steagall et </w:t>
      </w:r>
      <w:r>
        <w:rPr>
          <w:spacing w:val="-3"/>
        </w:rPr>
        <w:t>al. </w:t>
      </w:r>
      <w:r>
        <w:rPr/>
        <w:t>2006). De esta forma, </w:t>
      </w:r>
      <w:r>
        <w:rPr>
          <w:spacing w:val="-5"/>
        </w:rPr>
        <w:t>la </w:t>
      </w:r>
      <w:r>
        <w:rPr/>
        <w:t>administración de múltiples fármacos anestésicos-analgésicos a dosis bajas, cada uno con un propósito específico, contribuirá a tomar </w:t>
      </w:r>
      <w:r>
        <w:rPr>
          <w:spacing w:val="-4"/>
        </w:rPr>
        <w:t>las </w:t>
      </w:r>
      <w:r>
        <w:rPr/>
        <w:t>características farmacológicas deseables de estos, disminuyendo </w:t>
      </w:r>
      <w:r>
        <w:rPr>
          <w:spacing w:val="-3"/>
        </w:rPr>
        <w:t>la </w:t>
      </w:r>
      <w:r>
        <w:rPr/>
        <w:t>necesidad de emplear altas concentraciones de anestésicos inhalatorios, disminuyendo así, </w:t>
      </w:r>
      <w:r>
        <w:rPr>
          <w:spacing w:val="-3"/>
        </w:rPr>
        <w:t>la </w:t>
      </w:r>
      <w:r>
        <w:rPr/>
        <w:t>incidencia de efectos secundarios adversos. Esta técnica de anestesia se conoce como </w:t>
      </w:r>
      <w:r>
        <w:rPr>
          <w:i/>
        </w:rPr>
        <w:t>anestesia balanceada, equilibrada o multimodal </w:t>
      </w:r>
      <w:r>
        <w:rPr/>
        <w:t>(Wagner et </w:t>
      </w:r>
      <w:r>
        <w:rPr>
          <w:spacing w:val="-3"/>
        </w:rPr>
        <w:t>al. </w:t>
      </w:r>
      <w:r>
        <w:rPr/>
        <w:t>2002; </w:t>
      </w:r>
      <w:r>
        <w:rPr>
          <w:spacing w:val="-3"/>
        </w:rPr>
        <w:t>Muir </w:t>
      </w:r>
      <w:r>
        <w:rPr/>
        <w:t>et </w:t>
      </w:r>
      <w:r>
        <w:rPr>
          <w:spacing w:val="-3"/>
        </w:rPr>
        <w:t>al. </w:t>
      </w:r>
      <w:r>
        <w:rPr/>
        <w:t>2003; Valverde et </w:t>
      </w:r>
      <w:r>
        <w:rPr>
          <w:spacing w:val="-3"/>
        </w:rPr>
        <w:t>al. </w:t>
      </w:r>
      <w:r>
        <w:rPr/>
        <w:t>2004; Pascoe et </w:t>
      </w:r>
      <w:r>
        <w:rPr>
          <w:spacing w:val="-3"/>
        </w:rPr>
        <w:t>al.  </w:t>
      </w:r>
      <w:r>
        <w:rPr/>
        <w:t>2006; Sano et </w:t>
      </w:r>
      <w:r>
        <w:rPr>
          <w:spacing w:val="-3"/>
        </w:rPr>
        <w:t>al.  </w:t>
      </w:r>
      <w:r>
        <w:rPr/>
        <w:t>2006;  Solano et </w:t>
      </w:r>
      <w:r>
        <w:rPr>
          <w:spacing w:val="-4"/>
        </w:rPr>
        <w:t>al. </w:t>
      </w:r>
      <w:r>
        <w:rPr/>
        <w:t>2006; Steagall et </w:t>
      </w:r>
      <w:r>
        <w:rPr>
          <w:spacing w:val="-3"/>
        </w:rPr>
        <w:t>al. </w:t>
      </w:r>
      <w:r>
        <w:rPr/>
        <w:t>2006; Lin et </w:t>
      </w:r>
      <w:r>
        <w:rPr>
          <w:spacing w:val="-3"/>
        </w:rPr>
        <w:t>al. </w:t>
      </w:r>
      <w:r>
        <w:rPr/>
        <w:t>2008; Uilenreef et </w:t>
      </w:r>
      <w:r>
        <w:rPr>
          <w:spacing w:val="-3"/>
        </w:rPr>
        <w:t>al. </w:t>
      </w:r>
      <w:r>
        <w:rPr/>
        <w:t>2008; Matsubara et </w:t>
      </w:r>
      <w:r>
        <w:rPr>
          <w:spacing w:val="-3"/>
        </w:rPr>
        <w:t>al. </w:t>
      </w:r>
      <w:r>
        <w:rPr/>
        <w:t>2009; Ueyama et </w:t>
      </w:r>
      <w:r>
        <w:rPr>
          <w:spacing w:val="-3"/>
        </w:rPr>
        <w:t>al. </w:t>
      </w:r>
      <w:r>
        <w:rPr/>
        <w:t>2009; Pascoe y Steffey 2009; Ortega &amp; Cruz 2011; Columbano et </w:t>
      </w:r>
      <w:r>
        <w:rPr>
          <w:spacing w:val="-3"/>
        </w:rPr>
        <w:t>al.</w:t>
      </w:r>
      <w:r>
        <w:rPr>
          <w:spacing w:val="6"/>
        </w:rPr>
        <w:t> </w:t>
      </w:r>
      <w:r>
        <w:rPr/>
        <w:t>2012).</w:t>
      </w:r>
    </w:p>
    <w:p>
      <w:pPr>
        <w:pStyle w:val="BodyText"/>
        <w:spacing w:line="362" w:lineRule="auto" w:before="4"/>
        <w:ind w:left="152" w:right="107" w:firstLine="566"/>
        <w:jc w:val="both"/>
      </w:pPr>
      <w:r>
        <w:rPr/>
        <w:t>La analgesia preventiva consiste en la administración de un fármaco analgésico antes del estímulo nociceptivo, para prevenir la central y proporcionar analgesia postoperatoria (Gaynor 2009).</w:t>
      </w:r>
    </w:p>
    <w:p>
      <w:pPr>
        <w:pStyle w:val="BodyText"/>
        <w:spacing w:line="360" w:lineRule="auto" w:before="1"/>
        <w:ind w:left="152" w:right="110" w:firstLine="566"/>
        <w:jc w:val="both"/>
      </w:pPr>
      <w:r>
        <w:rPr/>
        <w:t>En general varias clases de fármacos han sido utilizados para proporcionar analgesia perioperatoria,  entre  ellas  los  opioides  como  el  fentanilo,  analgésicos  locales  como la</w:t>
      </w:r>
    </w:p>
    <w:p>
      <w:pPr>
        <w:spacing w:after="0" w:line="360" w:lineRule="auto"/>
        <w:jc w:val="both"/>
        <w:sectPr>
          <w:footerReference w:type="default" r:id="rId8"/>
          <w:pgSz w:w="12240" w:h="15840"/>
          <w:pgMar w:footer="1688" w:header="0" w:top="1500" w:bottom="1880" w:left="1720" w:right="1420"/>
          <w:pgNumType w:start="1"/>
        </w:sectPr>
      </w:pPr>
    </w:p>
    <w:p>
      <w:pPr>
        <w:pStyle w:val="BodyText"/>
        <w:spacing w:before="7"/>
        <w:rPr>
          <w:sz w:val="20"/>
        </w:rPr>
      </w:pPr>
    </w:p>
    <w:p>
      <w:pPr>
        <w:pStyle w:val="BodyText"/>
        <w:spacing w:line="360" w:lineRule="auto" w:before="69"/>
        <w:ind w:left="152" w:right="107"/>
        <w:jc w:val="both"/>
      </w:pPr>
      <w:r>
        <w:rPr/>
        <w:t>lidocaína, antagonistas de los receptores N-Metil-D-aspartato (NMDA) como la ketamina y agonistas de los receptores α2 adrenérgicos como la dexmedetomidina (Lin et al. 2008; Uilenreef et al. 2008; Ortega &amp; Cruz 2011; Columbano et al. 2012; Gurney 2012).</w:t>
      </w:r>
    </w:p>
    <w:p>
      <w:pPr>
        <w:pStyle w:val="BodyText"/>
        <w:spacing w:line="360" w:lineRule="auto" w:before="8"/>
        <w:ind w:left="152" w:right="70" w:firstLine="566"/>
      </w:pPr>
      <w:r>
        <w:rPr/>
        <w:t>El fentanilo es un opioide agonista puro de los receptores μ en el sistema nervioso central (SNC) que modula los impulsos desde los nervios periféricos antes de que sean transmitidos a los centros superiores  (Wagner et al. 2002; Steagall et al. 2006).   La lidocaína es un bloqueador de los canales de sodio que reduce la concentración alveolar mínima (CAM) de los anestésicos inhalatorios por medio de sus efectos sedantes y analgésicos, por mecanismos aún no muy claros (Frölich et al. 2010).</w:t>
      </w:r>
    </w:p>
    <w:p>
      <w:pPr>
        <w:pStyle w:val="BodyText"/>
        <w:spacing w:line="357" w:lineRule="auto" w:before="4"/>
        <w:ind w:left="152" w:right="101" w:firstLine="566"/>
        <w:jc w:val="both"/>
      </w:pPr>
      <w:r>
        <w:rPr/>
        <w:t>La ketamina es un anestésico disociativo y antagonista de los receptores N-metil- deaspartato NMDA que puede prevenir la sensibilización central y la hiperalgesia inducida por opioides (Pozzi et al. 2006). Por su parte la dexmedetomidina induce sedación y analgesia por la activación de los receptores α</w:t>
      </w:r>
      <w:r>
        <w:rPr>
          <w:position w:val="-2"/>
          <w:sz w:val="16"/>
        </w:rPr>
        <w:t>2 </w:t>
      </w:r>
      <w:r>
        <w:rPr/>
        <w:t>adrenérgicos en el locus ceruleus y el asta dorsal de la médula espinal (Murrell &amp; Hellebrekers 2005).</w:t>
      </w:r>
    </w:p>
    <w:p>
      <w:pPr>
        <w:pStyle w:val="BodyText"/>
        <w:spacing w:line="360" w:lineRule="auto" w:before="7"/>
        <w:ind w:left="152" w:right="109" w:firstLine="566"/>
        <w:jc w:val="both"/>
      </w:pPr>
      <w:r>
        <w:rPr/>
        <w:t>La combinación de fármacos con diferentes mecanismos de acción puede proveer mayor analgesia que la producida por uno por separado, reduciendo de esta forma los requerimientos de los anestésicos inhalatorios (Muir et al. 2003; Doherty et al.  2007; Wilson et al. 2008; Aguado et al. 2011) y mejorando la analgesia postquirúrgica.</w:t>
      </w:r>
    </w:p>
    <w:p>
      <w:pPr>
        <w:pStyle w:val="BodyText"/>
        <w:spacing w:line="360" w:lineRule="auto" w:before="4"/>
        <w:ind w:left="152" w:right="108" w:firstLine="566"/>
        <w:jc w:val="both"/>
      </w:pPr>
      <w:r>
        <w:rPr/>
        <w:t>Los animales se benefician del tratamiento del dolor post-quirúrgico, ya que se promueve el bienestar animal además de generar un efecto positivo en la rapidez y calidad de la recuperación, generando estancias hospitalarias más cortas.</w:t>
      </w:r>
    </w:p>
    <w:p>
      <w:pPr>
        <w:pStyle w:val="BodyText"/>
        <w:spacing w:line="360" w:lineRule="auto" w:before="4"/>
        <w:ind w:left="152" w:right="101" w:firstLine="566"/>
        <w:jc w:val="both"/>
      </w:pPr>
      <w:r>
        <w:rPr/>
        <w:t>De esta forma el objetivo del presente trabajo </w:t>
      </w:r>
      <w:r>
        <w:rPr>
          <w:spacing w:val="-3"/>
        </w:rPr>
        <w:t>fue </w:t>
      </w:r>
      <w:r>
        <w:rPr/>
        <w:t>evaluar los efectos en </w:t>
      </w:r>
      <w:r>
        <w:rPr>
          <w:spacing w:val="4"/>
        </w:rPr>
        <w:t>el </w:t>
      </w:r>
      <w:r>
        <w:rPr/>
        <w:t>requerimiento de isoflurano y analgésicos postoperatorios de </w:t>
      </w:r>
      <w:r>
        <w:rPr>
          <w:spacing w:val="-5"/>
        </w:rPr>
        <w:t>la </w:t>
      </w:r>
      <w:r>
        <w:rPr/>
        <w:t>infusión constante (IC) intravenosa (IV) del fentanilo (FENT), lidocaina (LIDO), ketamina (KET), dexmedetomidina (DEX), o </w:t>
      </w:r>
      <w:r>
        <w:rPr>
          <w:spacing w:val="-5"/>
        </w:rPr>
        <w:t>la </w:t>
      </w:r>
      <w:r>
        <w:rPr/>
        <w:t>combinación lidocaína-ketamina-dexmedetomidina (LKD) en</w:t>
      </w:r>
      <w:r>
        <w:rPr>
          <w:spacing w:val="-2"/>
        </w:rPr>
        <w:t> </w:t>
      </w:r>
      <w:r>
        <w:rPr/>
        <w:t>perros.</w:t>
      </w:r>
    </w:p>
    <w:p>
      <w:pPr>
        <w:spacing w:after="0" w:line="360" w:lineRule="auto"/>
        <w:jc w:val="both"/>
        <w:sectPr>
          <w:pgSz w:w="12240" w:h="15840"/>
          <w:pgMar w:header="0" w:footer="1688" w:top="1500" w:bottom="1880" w:left="1720" w:right="1420"/>
        </w:sectPr>
      </w:pPr>
    </w:p>
    <w:p>
      <w:pPr>
        <w:pStyle w:val="BodyText"/>
        <w:rPr>
          <w:sz w:val="20"/>
        </w:rPr>
      </w:pPr>
    </w:p>
    <w:p>
      <w:pPr>
        <w:pStyle w:val="BodyText"/>
        <w:spacing w:before="5"/>
        <w:rPr>
          <w:sz w:val="22"/>
        </w:rPr>
      </w:pPr>
    </w:p>
    <w:p>
      <w:pPr>
        <w:pStyle w:val="Heading1"/>
      </w:pPr>
      <w:bookmarkStart w:name="_bookmark4" w:id="5"/>
      <w:bookmarkEnd w:id="5"/>
      <w:r>
        <w:rPr>
          <w:b w:val="0"/>
        </w:rPr>
      </w:r>
      <w:r>
        <w:rPr/>
        <w:t>CAPÍTULO II</w:t>
      </w:r>
    </w:p>
    <w:p>
      <w:pPr>
        <w:pStyle w:val="BodyText"/>
        <w:rPr>
          <w:b/>
          <w:sz w:val="20"/>
        </w:rPr>
      </w:pPr>
    </w:p>
    <w:p>
      <w:pPr>
        <w:pStyle w:val="BodyText"/>
        <w:rPr>
          <w:b/>
          <w:sz w:val="20"/>
        </w:rPr>
      </w:pPr>
    </w:p>
    <w:p>
      <w:pPr>
        <w:pStyle w:val="BodyText"/>
        <w:spacing w:before="4"/>
        <w:rPr>
          <w:b/>
        </w:rPr>
      </w:pPr>
    </w:p>
    <w:p>
      <w:pPr>
        <w:spacing w:before="63"/>
        <w:ind w:left="858" w:right="70" w:firstLine="0"/>
        <w:jc w:val="left"/>
        <w:rPr>
          <w:b/>
          <w:sz w:val="28"/>
        </w:rPr>
      </w:pPr>
      <w:bookmarkStart w:name="_bookmark5" w:id="6"/>
      <w:bookmarkEnd w:id="6"/>
      <w:r>
        <w:rPr/>
      </w:r>
      <w:r>
        <w:rPr>
          <w:b/>
          <w:sz w:val="28"/>
        </w:rPr>
        <w:t>Revisión de literatura</w:t>
      </w:r>
    </w:p>
    <w:p>
      <w:pPr>
        <w:pStyle w:val="BodyText"/>
        <w:spacing w:before="2"/>
        <w:rPr>
          <w:b/>
          <w:sz w:val="41"/>
        </w:rPr>
      </w:pPr>
    </w:p>
    <w:p>
      <w:pPr>
        <w:pStyle w:val="Heading2"/>
        <w:numPr>
          <w:ilvl w:val="1"/>
          <w:numId w:val="11"/>
        </w:numPr>
        <w:tabs>
          <w:tab w:pos="1238" w:val="left" w:leader="none"/>
        </w:tabs>
        <w:spacing w:line="240" w:lineRule="auto" w:before="0" w:after="0"/>
        <w:ind w:left="1237" w:right="0" w:hanging="364"/>
        <w:jc w:val="left"/>
      </w:pPr>
      <w:bookmarkStart w:name="_bookmark6" w:id="7"/>
      <w:bookmarkEnd w:id="7"/>
      <w:r>
        <w:rPr>
          <w:b w:val="0"/>
        </w:rPr>
      </w:r>
      <w:bookmarkStart w:name="_bookmark6" w:id="8"/>
      <w:bookmarkEnd w:id="8"/>
      <w:r>
        <w:rPr/>
        <w:t>Gene</w:t>
      </w:r>
      <w:r>
        <w:rPr/>
        <w:t>ralidades de </w:t>
      </w:r>
      <w:r>
        <w:rPr>
          <w:spacing w:val="-3"/>
        </w:rPr>
        <w:t>la</w:t>
      </w:r>
      <w:r>
        <w:rPr>
          <w:spacing w:val="47"/>
        </w:rPr>
        <w:t> </w:t>
      </w:r>
      <w:r>
        <w:rPr/>
        <w:t>Anestesia.</w:t>
      </w:r>
    </w:p>
    <w:p>
      <w:pPr>
        <w:pStyle w:val="BodyText"/>
        <w:spacing w:before="7"/>
        <w:rPr>
          <w:b/>
          <w:sz w:val="20"/>
        </w:rPr>
      </w:pPr>
    </w:p>
    <w:p>
      <w:pPr>
        <w:pStyle w:val="BodyText"/>
        <w:spacing w:line="360" w:lineRule="auto"/>
        <w:ind w:left="152" w:right="107" w:firstLine="566"/>
        <w:jc w:val="both"/>
      </w:pPr>
      <w:r>
        <w:rPr/>
        <w:t>El término anestesia, derivado del griego </w:t>
      </w:r>
      <w:r>
        <w:rPr>
          <w:i/>
        </w:rPr>
        <w:t>anaisthaesia </w:t>
      </w:r>
      <w:r>
        <w:rPr/>
        <w:t>(insensibilidad) es usado para describir </w:t>
      </w:r>
      <w:r>
        <w:rPr>
          <w:spacing w:val="-3"/>
        </w:rPr>
        <w:t>la </w:t>
      </w:r>
      <w:r>
        <w:rPr/>
        <w:t>pérdida de sensación de alguna parte o del cuerpo entero. El </w:t>
      </w:r>
      <w:r>
        <w:rPr>
          <w:spacing w:val="-3"/>
        </w:rPr>
        <w:t>fin </w:t>
      </w:r>
      <w:r>
        <w:rPr/>
        <w:t>último de </w:t>
      </w:r>
      <w:r>
        <w:rPr>
          <w:spacing w:val="-3"/>
        </w:rPr>
        <w:t>la</w:t>
      </w:r>
      <w:r>
        <w:rPr>
          <w:spacing w:val="54"/>
        </w:rPr>
        <w:t> </w:t>
      </w:r>
      <w:r>
        <w:rPr/>
        <w:t>anestesia es aliviar el dolor e </w:t>
      </w:r>
      <w:r>
        <w:rPr>
          <w:spacing w:val="-3"/>
        </w:rPr>
        <w:t>inducir </w:t>
      </w:r>
      <w:r>
        <w:rPr/>
        <w:t>relajación muscular, necesarios ambos para realizar cirugías seguras (Short 2003).</w:t>
      </w:r>
    </w:p>
    <w:p>
      <w:pPr>
        <w:pStyle w:val="BodyText"/>
        <w:spacing w:line="360" w:lineRule="auto" w:before="4"/>
        <w:ind w:left="152" w:right="101" w:firstLine="566"/>
        <w:jc w:val="both"/>
      </w:pPr>
      <w:r>
        <w:rPr/>
        <w:t>La anestesia general es la inconsciencia inducida por fármacos caracterizada por una depresión reversible y controlada del SNC. La analgesia puede o no estar presente, sin embargo, en este estado el paciente no es capaz de responder a un estímulo nociceptivo, de forma tal que las funciones motoras, sensoriales y autonómicas están atenuadas (Thurmon y Short 2007).</w:t>
      </w:r>
    </w:p>
    <w:p>
      <w:pPr>
        <w:pStyle w:val="BodyText"/>
      </w:pPr>
    </w:p>
    <w:p>
      <w:pPr>
        <w:pStyle w:val="Heading2"/>
        <w:numPr>
          <w:ilvl w:val="2"/>
          <w:numId w:val="11"/>
        </w:numPr>
        <w:tabs>
          <w:tab w:pos="1416" w:val="left" w:leader="none"/>
        </w:tabs>
        <w:spacing w:line="240" w:lineRule="auto" w:before="145" w:after="0"/>
        <w:ind w:left="1415" w:right="0" w:hanging="542"/>
        <w:jc w:val="left"/>
      </w:pPr>
      <w:bookmarkStart w:name="_bookmark7" w:id="9"/>
      <w:bookmarkEnd w:id="9"/>
      <w:r>
        <w:rPr>
          <w:b w:val="0"/>
        </w:rPr>
      </w:r>
      <w:bookmarkStart w:name="_bookmark7" w:id="10"/>
      <w:bookmarkEnd w:id="10"/>
      <w:r>
        <w:rPr/>
        <w:t>Ane</w:t>
      </w:r>
      <w:r>
        <w:rPr/>
        <w:t>stesia</w:t>
      </w:r>
      <w:r>
        <w:rPr>
          <w:spacing w:val="-12"/>
        </w:rPr>
        <w:t> </w:t>
      </w:r>
      <w:r>
        <w:rPr/>
        <w:t>inhalatoria.</w:t>
      </w:r>
    </w:p>
    <w:p>
      <w:pPr>
        <w:pStyle w:val="BodyText"/>
        <w:spacing w:before="8"/>
        <w:rPr>
          <w:b/>
          <w:sz w:val="20"/>
        </w:rPr>
      </w:pPr>
    </w:p>
    <w:p>
      <w:pPr>
        <w:pStyle w:val="BodyText"/>
        <w:spacing w:line="360" w:lineRule="auto"/>
        <w:ind w:left="152" w:right="101" w:firstLine="566"/>
        <w:jc w:val="both"/>
      </w:pPr>
      <w:r>
        <w:rPr/>
        <w:t>Los anestésicos inhalatorios han sido ampliamente utilizados para </w:t>
      </w:r>
      <w:r>
        <w:rPr>
          <w:spacing w:val="-5"/>
        </w:rPr>
        <w:t>la </w:t>
      </w:r>
      <w:r>
        <w:rPr/>
        <w:t>anestesia en animales. Dentro de los fármacos anestésicos, los inhalatorios se consideran únicos pues  son administrados y eliminados en </w:t>
      </w:r>
      <w:r>
        <w:rPr>
          <w:spacing w:val="2"/>
        </w:rPr>
        <w:t>gran </w:t>
      </w:r>
      <w:r>
        <w:rPr/>
        <w:t>parte del organismo a través de los pulmones (Steffey y Mama 2007). Han ganado popularidad en parte por sus características farmacocinéticas y por producir un predecible y rápido ajuste de </w:t>
      </w:r>
      <w:r>
        <w:rPr>
          <w:spacing w:val="-3"/>
        </w:rPr>
        <w:t>la </w:t>
      </w:r>
      <w:r>
        <w:rPr/>
        <w:t>profundidad anestésica. A pesar de que desde 1846 </w:t>
      </w:r>
      <w:r>
        <w:rPr>
          <w:spacing w:val="-3"/>
        </w:rPr>
        <w:t>inició </w:t>
      </w:r>
      <w:r>
        <w:rPr/>
        <w:t>el uso de </w:t>
      </w:r>
      <w:r>
        <w:rPr>
          <w:spacing w:val="-3"/>
        </w:rPr>
        <w:t>la </w:t>
      </w:r>
      <w:r>
        <w:rPr/>
        <w:t>anestesia por inhalación en perros con el empleo del éter (Lumb y Jones 1981), menos de 20 agentes anestésicos inhalatorios han  sido aprobados para su uso en animales y de estos, actualmente sólo 5 tienen un uso clínico de importancia en los estados unidos de Norteamérica. El isoflurano se considera el gas anestésico más utilizado actualmente en Medicina Veterinaria (Steffey y Mama </w:t>
      </w:r>
      <w:r>
        <w:rPr>
          <w:spacing w:val="2"/>
        </w:rPr>
        <w:t>2007, </w:t>
      </w:r>
      <w:r>
        <w:rPr/>
        <w:t>Steffey</w:t>
      </w:r>
      <w:r>
        <w:rPr>
          <w:spacing w:val="-5"/>
        </w:rPr>
        <w:t> </w:t>
      </w:r>
      <w:r>
        <w:rPr/>
        <w:t>2009).</w:t>
      </w:r>
    </w:p>
    <w:p>
      <w:pPr>
        <w:spacing w:after="0" w:line="360" w:lineRule="auto"/>
        <w:jc w:val="both"/>
        <w:sectPr>
          <w:pgSz w:w="12240" w:h="15840"/>
          <w:pgMar w:header="0" w:footer="1688" w:top="1500" w:bottom="1880" w:left="1720" w:right="1420"/>
        </w:sectPr>
      </w:pPr>
    </w:p>
    <w:p>
      <w:pPr>
        <w:pStyle w:val="BodyText"/>
        <w:spacing w:before="7"/>
        <w:rPr>
          <w:sz w:val="20"/>
        </w:rPr>
      </w:pPr>
    </w:p>
    <w:p>
      <w:pPr>
        <w:pStyle w:val="BodyText"/>
        <w:spacing w:line="360" w:lineRule="auto" w:before="69"/>
        <w:ind w:left="152" w:right="105" w:firstLine="566"/>
        <w:jc w:val="both"/>
      </w:pPr>
      <w:r>
        <w:rPr/>
        <w:t>La dosificación y potencia de los agentes inhalatorios se describe en términos de la concentración alveolar mínima (CAM), la cual se define como la concentración mínima anestésica en el alvéolo requerida para mantener al 50% de los pacientes sin responder a un estímulo doloroso conocido (Merkel y Eger 1963). Es la medida relativa de la potencia de los anestésicos inhalatorios (Merkel y Eger 1963, Eger et al. 1965, Steffey y Howland 1977).</w:t>
      </w:r>
    </w:p>
    <w:p>
      <w:pPr>
        <w:pStyle w:val="BodyText"/>
      </w:pPr>
    </w:p>
    <w:p>
      <w:pPr>
        <w:pStyle w:val="Heading2"/>
        <w:numPr>
          <w:ilvl w:val="2"/>
          <w:numId w:val="11"/>
        </w:numPr>
        <w:tabs>
          <w:tab w:pos="1416" w:val="left" w:leader="none"/>
        </w:tabs>
        <w:spacing w:line="240" w:lineRule="auto" w:before="150" w:after="0"/>
        <w:ind w:left="1415" w:right="0" w:hanging="542"/>
        <w:jc w:val="left"/>
      </w:pPr>
      <w:bookmarkStart w:name="_bookmark8" w:id="11"/>
      <w:bookmarkEnd w:id="11"/>
      <w:r>
        <w:rPr>
          <w:b w:val="0"/>
        </w:rPr>
      </w:r>
      <w:bookmarkStart w:name="_bookmark8" w:id="12"/>
      <w:bookmarkEnd w:id="12"/>
      <w:r>
        <w:rPr/>
        <w:t>I</w:t>
      </w:r>
      <w:r>
        <w:rPr/>
        <w:t>soflurano.</w:t>
      </w:r>
    </w:p>
    <w:p>
      <w:pPr>
        <w:pStyle w:val="BodyText"/>
        <w:spacing w:before="2"/>
        <w:rPr>
          <w:b/>
          <w:sz w:val="20"/>
        </w:rPr>
      </w:pPr>
    </w:p>
    <w:p>
      <w:pPr>
        <w:pStyle w:val="BodyText"/>
        <w:spacing w:line="360" w:lineRule="auto" w:before="1"/>
        <w:ind w:left="152" w:right="106" w:firstLine="566"/>
        <w:jc w:val="both"/>
      </w:pPr>
      <w:r>
        <w:rPr/>
        <w:t>El isoflurano es un halogenado metil-etil-eter, sintetizado por primera vez en 1965 y utilizado ampliamente en seres humanos y animales (Steffey 2009).</w:t>
      </w:r>
    </w:p>
    <w:p>
      <w:pPr>
        <w:pStyle w:val="BodyText"/>
      </w:pPr>
    </w:p>
    <w:p>
      <w:pPr>
        <w:pStyle w:val="Heading2"/>
        <w:numPr>
          <w:ilvl w:val="2"/>
          <w:numId w:val="11"/>
        </w:numPr>
        <w:tabs>
          <w:tab w:pos="1416" w:val="left" w:leader="none"/>
        </w:tabs>
        <w:spacing w:line="240" w:lineRule="auto" w:before="151" w:after="0"/>
        <w:ind w:left="1415" w:right="0" w:hanging="542"/>
        <w:jc w:val="left"/>
      </w:pPr>
      <w:bookmarkStart w:name="_bookmark9" w:id="13"/>
      <w:bookmarkEnd w:id="13"/>
      <w:r>
        <w:rPr>
          <w:b w:val="0"/>
        </w:rPr>
      </w:r>
      <w:bookmarkStart w:name="_bookmark9" w:id="14"/>
      <w:bookmarkEnd w:id="14"/>
      <w:r>
        <w:rPr/>
        <w:t>F</w:t>
      </w:r>
      <w:r>
        <w:rPr/>
        <w:t>armacocinética y</w:t>
      </w:r>
      <w:r>
        <w:rPr>
          <w:spacing w:val="-13"/>
        </w:rPr>
        <w:t> </w:t>
      </w:r>
      <w:r>
        <w:rPr/>
        <w:t>farmacodinamia.</w:t>
      </w:r>
    </w:p>
    <w:p>
      <w:pPr>
        <w:pStyle w:val="BodyText"/>
        <w:spacing w:before="2"/>
        <w:rPr>
          <w:b/>
          <w:sz w:val="20"/>
        </w:rPr>
      </w:pPr>
    </w:p>
    <w:p>
      <w:pPr>
        <w:pStyle w:val="BodyText"/>
        <w:spacing w:line="360" w:lineRule="auto" w:before="1"/>
        <w:ind w:left="152" w:right="109" w:firstLine="566"/>
        <w:jc w:val="both"/>
      </w:pPr>
      <w:r>
        <w:rPr/>
        <w:t>En seres humanos y animales el isoflurano se biotransforma en un 0.2%, por procesos de desfluoronización. Los metabolitos resultantes </w:t>
      </w:r>
      <w:r>
        <w:rPr>
          <w:spacing w:val="-3"/>
        </w:rPr>
        <w:t>no </w:t>
      </w:r>
      <w:r>
        <w:rPr/>
        <w:t>inducen algún tipo de toxicidad renal  o hepática (Ludders 1992, Steffey 2009). Los mecanismos celulares y moleculares por los cuales actúa aún permanecen sin conocerse; sin embargo, se </w:t>
      </w:r>
      <w:r>
        <w:rPr>
          <w:spacing w:val="-3"/>
        </w:rPr>
        <w:t>sabe </w:t>
      </w:r>
      <w:r>
        <w:rPr/>
        <w:t>que producen una interferencia en </w:t>
      </w:r>
      <w:r>
        <w:rPr>
          <w:spacing w:val="-3"/>
        </w:rPr>
        <w:t>la </w:t>
      </w:r>
      <w:r>
        <w:rPr/>
        <w:t>transferencia de iones para </w:t>
      </w:r>
      <w:r>
        <w:rPr>
          <w:spacing w:val="-3"/>
        </w:rPr>
        <w:t>la </w:t>
      </w:r>
      <w:r>
        <w:rPr/>
        <w:t>conducción de señales nerviosas (Ludders 1992, Steffey</w:t>
      </w:r>
      <w:r>
        <w:rPr>
          <w:spacing w:val="-7"/>
        </w:rPr>
        <w:t> </w:t>
      </w:r>
      <w:r>
        <w:rPr/>
        <w:t>2009).</w:t>
      </w:r>
    </w:p>
    <w:p>
      <w:pPr>
        <w:pStyle w:val="BodyText"/>
      </w:pPr>
    </w:p>
    <w:p>
      <w:pPr>
        <w:pStyle w:val="Heading2"/>
        <w:numPr>
          <w:ilvl w:val="2"/>
          <w:numId w:val="11"/>
        </w:numPr>
        <w:tabs>
          <w:tab w:pos="1416" w:val="left" w:leader="none"/>
        </w:tabs>
        <w:spacing w:line="240" w:lineRule="auto" w:before="145" w:after="0"/>
        <w:ind w:left="1415" w:right="0" w:hanging="542"/>
        <w:jc w:val="left"/>
      </w:pPr>
      <w:bookmarkStart w:name="_bookmark10" w:id="15"/>
      <w:bookmarkEnd w:id="15"/>
      <w:r>
        <w:rPr>
          <w:b w:val="0"/>
        </w:rPr>
      </w:r>
      <w:bookmarkStart w:name="_bookmark10" w:id="16"/>
      <w:bookmarkEnd w:id="16"/>
      <w:r>
        <w:rPr/>
        <w:t>E</w:t>
      </w:r>
      <w:r>
        <w:rPr/>
        <w:t>fecto sobre el</w:t>
      </w:r>
      <w:r>
        <w:rPr>
          <w:spacing w:val="-14"/>
        </w:rPr>
        <w:t> </w:t>
      </w:r>
      <w:r>
        <w:rPr/>
        <w:t>SNC.</w:t>
      </w:r>
    </w:p>
    <w:p>
      <w:pPr>
        <w:pStyle w:val="BodyText"/>
        <w:spacing w:before="7"/>
        <w:rPr>
          <w:b/>
          <w:sz w:val="20"/>
        </w:rPr>
      </w:pPr>
    </w:p>
    <w:p>
      <w:pPr>
        <w:pStyle w:val="BodyText"/>
        <w:spacing w:line="360" w:lineRule="auto"/>
        <w:ind w:left="152" w:right="110" w:firstLine="566"/>
        <w:jc w:val="both"/>
      </w:pPr>
      <w:r>
        <w:rPr/>
        <w:t>Como en la mayoría de los anestésicos inhalatorios, el isoflurano produce una generalizada y reversible depresión del SNC, en la cual el grado de depresión es descrita como profundidad anestésica. Se asume que el principal sitio de acción anestésica es la membrana axonal o sináptica (Ludders 1992, Steffey 2009).</w:t>
      </w:r>
    </w:p>
    <w:p>
      <w:pPr>
        <w:pStyle w:val="BodyText"/>
      </w:pPr>
    </w:p>
    <w:p>
      <w:pPr>
        <w:pStyle w:val="Heading2"/>
        <w:numPr>
          <w:ilvl w:val="2"/>
          <w:numId w:val="11"/>
        </w:numPr>
        <w:tabs>
          <w:tab w:pos="1416" w:val="left" w:leader="none"/>
        </w:tabs>
        <w:spacing w:line="240" w:lineRule="auto" w:before="150" w:after="0"/>
        <w:ind w:left="1415" w:right="0" w:hanging="542"/>
        <w:jc w:val="left"/>
      </w:pPr>
      <w:bookmarkStart w:name="_bookmark11" w:id="17"/>
      <w:bookmarkEnd w:id="17"/>
      <w:r>
        <w:rPr>
          <w:b w:val="0"/>
        </w:rPr>
      </w:r>
      <w:bookmarkStart w:name="_bookmark11" w:id="18"/>
      <w:bookmarkEnd w:id="18"/>
      <w:r>
        <w:rPr/>
        <w:t>E</w:t>
      </w:r>
      <w:r>
        <w:rPr/>
        <w:t>fecto sobre el sistema</w:t>
      </w:r>
      <w:r>
        <w:rPr>
          <w:spacing w:val="-23"/>
        </w:rPr>
        <w:t> </w:t>
      </w:r>
      <w:r>
        <w:rPr/>
        <w:t>Cardiovascular.</w:t>
      </w:r>
    </w:p>
    <w:p>
      <w:pPr>
        <w:pStyle w:val="BodyText"/>
        <w:spacing w:before="2"/>
        <w:rPr>
          <w:b/>
          <w:sz w:val="20"/>
        </w:rPr>
      </w:pPr>
    </w:p>
    <w:p>
      <w:pPr>
        <w:pStyle w:val="BodyText"/>
        <w:spacing w:line="360" w:lineRule="auto" w:before="1"/>
        <w:ind w:left="152" w:right="106" w:firstLine="566"/>
        <w:jc w:val="both"/>
      </w:pPr>
      <w:r>
        <w:rPr/>
        <w:t>El isoflurano produce disminución en </w:t>
      </w:r>
      <w:r>
        <w:rPr>
          <w:spacing w:val="-3"/>
        </w:rPr>
        <w:t>la </w:t>
      </w:r>
      <w:r>
        <w:rPr/>
        <w:t>contractibilidad cardiaca y del volumen  latido  vía  alteraciones de  </w:t>
      </w:r>
      <w:r>
        <w:rPr>
          <w:spacing w:val="-3"/>
        </w:rPr>
        <w:t>la  </w:t>
      </w:r>
      <w:r>
        <w:rPr/>
        <w:t>homeostasis </w:t>
      </w:r>
      <w:r>
        <w:rPr>
          <w:spacing w:val="2"/>
        </w:rPr>
        <w:t>del </w:t>
      </w:r>
      <w:r>
        <w:rPr/>
        <w:t>calcio  a  nivel subcelular,  resultando</w:t>
      </w:r>
      <w:r>
        <w:rPr>
          <w:spacing w:val="-27"/>
        </w:rPr>
        <w:t> </w:t>
      </w:r>
      <w:r>
        <w:rPr/>
        <w:t>en una</w:t>
      </w:r>
    </w:p>
    <w:p>
      <w:pPr>
        <w:pStyle w:val="BodyText"/>
        <w:spacing w:before="119"/>
        <w:ind w:right="104"/>
        <w:jc w:val="right"/>
      </w:pPr>
      <w:r>
        <w:rPr/>
        <w:t>4</w:t>
      </w:r>
    </w:p>
    <w:p>
      <w:pPr>
        <w:spacing w:after="0"/>
        <w:jc w:val="right"/>
        <w:sectPr>
          <w:footerReference w:type="default" r:id="rId9"/>
          <w:pgSz w:w="12240" w:h="15840"/>
          <w:pgMar w:footer="0" w:header="0" w:top="1500" w:bottom="280" w:left="1720" w:right="1420"/>
        </w:sectPr>
      </w:pPr>
    </w:p>
    <w:p>
      <w:pPr>
        <w:pStyle w:val="BodyText"/>
        <w:spacing w:before="7"/>
        <w:rPr>
          <w:sz w:val="20"/>
        </w:rPr>
      </w:pPr>
    </w:p>
    <w:p>
      <w:pPr>
        <w:pStyle w:val="BodyText"/>
        <w:spacing w:line="360" w:lineRule="auto" w:before="69"/>
        <w:ind w:left="152" w:right="105"/>
        <w:jc w:val="both"/>
      </w:pPr>
      <w:r>
        <w:rPr/>
        <w:t>disminución del gasto cardiaco. La presión sanguínea también disminuye en relación dosis- dependiente y se relaciona principalmente con una disminución de </w:t>
      </w:r>
      <w:r>
        <w:rPr>
          <w:spacing w:val="-3"/>
        </w:rPr>
        <w:t>la </w:t>
      </w:r>
      <w:r>
        <w:rPr/>
        <w:t>resistencia vascular sistémica y </w:t>
      </w:r>
      <w:r>
        <w:rPr>
          <w:spacing w:val="2"/>
        </w:rPr>
        <w:t>del </w:t>
      </w:r>
      <w:r>
        <w:rPr/>
        <w:t>gasto cardiaco (Steffey y Howland 1977, Horan et </w:t>
      </w:r>
      <w:r>
        <w:rPr>
          <w:spacing w:val="-4"/>
        </w:rPr>
        <w:t>al. </w:t>
      </w:r>
      <w:r>
        <w:rPr/>
        <w:t>1977, Mutoh et </w:t>
      </w:r>
      <w:r>
        <w:rPr>
          <w:spacing w:val="-4"/>
        </w:rPr>
        <w:t>al.</w:t>
      </w:r>
      <w:r>
        <w:rPr>
          <w:spacing w:val="52"/>
        </w:rPr>
        <w:t> </w:t>
      </w:r>
      <w:r>
        <w:rPr/>
        <w:t>1997, Haskins 2006). Estas alteraciones inducidas por el anestésico se ven exacerbadas en casos de enfermedad sistémica cardiovascular y en individuos de edad avanzada con reserva funcional disminuida (Klide 1976, Ludders 1992, Steffey</w:t>
      </w:r>
      <w:r>
        <w:rPr>
          <w:spacing w:val="-24"/>
        </w:rPr>
        <w:t> </w:t>
      </w:r>
      <w:r>
        <w:rPr/>
        <w:t>2009).</w:t>
      </w:r>
    </w:p>
    <w:p>
      <w:pPr>
        <w:pStyle w:val="BodyText"/>
      </w:pPr>
    </w:p>
    <w:p>
      <w:pPr>
        <w:pStyle w:val="Heading2"/>
        <w:numPr>
          <w:ilvl w:val="2"/>
          <w:numId w:val="11"/>
        </w:numPr>
        <w:tabs>
          <w:tab w:pos="1416" w:val="left" w:leader="none"/>
        </w:tabs>
        <w:spacing w:line="240" w:lineRule="auto" w:before="150" w:after="0"/>
        <w:ind w:left="1415" w:right="0" w:hanging="542"/>
        <w:jc w:val="left"/>
      </w:pPr>
      <w:bookmarkStart w:name="_bookmark12" w:id="19"/>
      <w:bookmarkEnd w:id="19"/>
      <w:r>
        <w:rPr>
          <w:b w:val="0"/>
        </w:rPr>
      </w:r>
      <w:bookmarkStart w:name="_bookmark12" w:id="20"/>
      <w:bookmarkEnd w:id="20"/>
      <w:r>
        <w:rPr/>
        <w:t>E</w:t>
      </w:r>
      <w:r>
        <w:rPr/>
        <w:t>fecto sobre el sistema</w:t>
      </w:r>
      <w:r>
        <w:rPr>
          <w:spacing w:val="-23"/>
        </w:rPr>
        <w:t> </w:t>
      </w:r>
      <w:r>
        <w:rPr/>
        <w:t>Respiratorio.</w:t>
      </w:r>
    </w:p>
    <w:p>
      <w:pPr>
        <w:pStyle w:val="BodyText"/>
        <w:spacing w:before="2"/>
        <w:rPr>
          <w:b/>
          <w:sz w:val="20"/>
        </w:rPr>
      </w:pPr>
    </w:p>
    <w:p>
      <w:pPr>
        <w:pStyle w:val="BodyText"/>
        <w:spacing w:line="357" w:lineRule="auto" w:before="1"/>
        <w:ind w:left="152" w:right="100" w:firstLine="566"/>
        <w:jc w:val="both"/>
      </w:pPr>
      <w:r>
        <w:rPr/>
        <w:t>El isoflurano disminuye la frecuencia y profundidad de la respiración e incrementa la presión parcial de dióxido de carbono en sangre arterial (PaCO</w:t>
      </w:r>
      <w:r>
        <w:rPr>
          <w:position w:val="-2"/>
          <w:sz w:val="16"/>
        </w:rPr>
        <w:t>2</w:t>
      </w:r>
      <w:r>
        <w:rPr/>
        <w:t>). La magnitud de esta depresión es dependiente de la dosis y del tiempo. La concentración alveolar mínima (CAM) del isoflurano que causa apnea en el perro es de 2.5 CAM. Asimismo disminuye la capacidad vasoconstrictora del musculo liso bronquial (Klide 1976, Ludders 1992, Steffey 2009).</w:t>
      </w:r>
    </w:p>
    <w:p>
      <w:pPr>
        <w:pStyle w:val="BodyText"/>
      </w:pPr>
    </w:p>
    <w:p>
      <w:pPr>
        <w:pStyle w:val="Heading2"/>
        <w:numPr>
          <w:ilvl w:val="2"/>
          <w:numId w:val="11"/>
        </w:numPr>
        <w:tabs>
          <w:tab w:pos="1416" w:val="left" w:leader="none"/>
        </w:tabs>
        <w:spacing w:line="240" w:lineRule="auto" w:before="153" w:after="0"/>
        <w:ind w:left="1415" w:right="0" w:hanging="542"/>
        <w:jc w:val="left"/>
      </w:pPr>
      <w:bookmarkStart w:name="_bookmark13" w:id="21"/>
      <w:bookmarkEnd w:id="21"/>
      <w:r>
        <w:rPr>
          <w:b w:val="0"/>
        </w:rPr>
      </w:r>
      <w:bookmarkStart w:name="_bookmark13" w:id="22"/>
      <w:bookmarkEnd w:id="22"/>
      <w:r>
        <w:rPr/>
        <w:t>U</w:t>
      </w:r>
      <w:r>
        <w:rPr/>
        <w:t>sos</w:t>
      </w:r>
      <w:r>
        <w:rPr>
          <w:spacing w:val="-9"/>
        </w:rPr>
        <w:t> </w:t>
      </w:r>
      <w:r>
        <w:rPr/>
        <w:t>clínicos</w:t>
      </w:r>
    </w:p>
    <w:p>
      <w:pPr>
        <w:pStyle w:val="BodyText"/>
        <w:spacing w:before="2"/>
        <w:rPr>
          <w:b/>
          <w:sz w:val="20"/>
        </w:rPr>
      </w:pPr>
    </w:p>
    <w:p>
      <w:pPr>
        <w:pStyle w:val="BodyText"/>
        <w:spacing w:line="360" w:lineRule="auto" w:before="1"/>
        <w:ind w:left="152" w:right="98" w:firstLine="566"/>
        <w:jc w:val="both"/>
      </w:pPr>
      <w:r>
        <w:rPr/>
        <w:t>El isoflurano se utiliza como anestésico general a valores de 1.5 CAM, aproximadamente el equivalente a una F</w:t>
      </w:r>
      <w:r>
        <w:rPr>
          <w:sz w:val="16"/>
        </w:rPr>
        <w:t>ET</w:t>
      </w:r>
      <w:r>
        <w:rPr/>
        <w:t>`ISO de 1.8%, considerando que </w:t>
      </w:r>
      <w:r>
        <w:rPr>
          <w:spacing w:val="-3"/>
        </w:rPr>
        <w:t>la </w:t>
      </w:r>
      <w:r>
        <w:rPr/>
        <w:t>CAM de Isoflurano en 1.2 (Steffey y 1977). A esta concentración se han reportado efectos cardiovasculares adversos (Klide 1976, Horan et </w:t>
      </w:r>
      <w:r>
        <w:rPr>
          <w:spacing w:val="-3"/>
        </w:rPr>
        <w:t>al. </w:t>
      </w:r>
      <w:r>
        <w:rPr/>
        <w:t>1977, Polis et </w:t>
      </w:r>
      <w:r>
        <w:rPr>
          <w:spacing w:val="-4"/>
        </w:rPr>
        <w:t>al. </w:t>
      </w:r>
      <w:r>
        <w:rPr/>
        <w:t>2001). Como se </w:t>
      </w:r>
      <w:r>
        <w:rPr>
          <w:spacing w:val="-3"/>
        </w:rPr>
        <w:t>ha </w:t>
      </w:r>
      <w:r>
        <w:rPr/>
        <w:t>mencionado anteriormente, los efectos cardiorrespiratorios son dosis-dependientes por </w:t>
      </w:r>
      <w:r>
        <w:rPr>
          <w:spacing w:val="-5"/>
        </w:rPr>
        <w:t>lo </w:t>
      </w:r>
      <w:r>
        <w:rPr/>
        <w:t>que una correcta dosis, en función a las condiciones cardiovasculares del paciente, disminuye los efectos adversos de </w:t>
      </w:r>
      <w:r>
        <w:rPr>
          <w:spacing w:val="-3"/>
        </w:rPr>
        <w:t>la </w:t>
      </w:r>
      <w:r>
        <w:rPr/>
        <w:t>anestesia general sobre </w:t>
      </w:r>
      <w:r>
        <w:rPr>
          <w:spacing w:val="-3"/>
        </w:rPr>
        <w:t>la  </w:t>
      </w:r>
      <w:r>
        <w:rPr/>
        <w:t>fisiología cardiovascular  del paciente (Mattson et </w:t>
      </w:r>
      <w:r>
        <w:rPr>
          <w:spacing w:val="-4"/>
        </w:rPr>
        <w:t>al.</w:t>
      </w:r>
      <w:r>
        <w:rPr>
          <w:spacing w:val="-1"/>
        </w:rPr>
        <w:t> </w:t>
      </w:r>
      <w:r>
        <w:rPr/>
        <w:t>2006).</w:t>
      </w:r>
    </w:p>
    <w:p>
      <w:pPr>
        <w:pStyle w:val="BodyText"/>
      </w:pPr>
    </w:p>
    <w:p>
      <w:pPr>
        <w:pStyle w:val="Heading2"/>
        <w:numPr>
          <w:ilvl w:val="1"/>
          <w:numId w:val="12"/>
        </w:numPr>
        <w:tabs>
          <w:tab w:pos="1296" w:val="left" w:leader="none"/>
        </w:tabs>
        <w:spacing w:line="240" w:lineRule="auto" w:before="145" w:after="0"/>
        <w:ind w:left="1295" w:right="0" w:hanging="360"/>
        <w:jc w:val="left"/>
      </w:pPr>
      <w:bookmarkStart w:name="_bookmark14" w:id="23"/>
      <w:bookmarkEnd w:id="23"/>
      <w:r>
        <w:rPr>
          <w:b w:val="0"/>
        </w:rPr>
      </w:r>
      <w:bookmarkStart w:name="_bookmark14" w:id="24"/>
      <w:bookmarkEnd w:id="24"/>
      <w:r>
        <w:rPr/>
        <w:t>Ane</w:t>
      </w:r>
      <w:r>
        <w:rPr/>
        <w:t>stesia</w:t>
      </w:r>
      <w:r>
        <w:rPr>
          <w:spacing w:val="-16"/>
        </w:rPr>
        <w:t> </w:t>
      </w:r>
      <w:r>
        <w:rPr/>
        <w:t>Equilibrada</w:t>
      </w:r>
    </w:p>
    <w:p>
      <w:pPr>
        <w:pStyle w:val="BodyText"/>
        <w:spacing w:before="8"/>
        <w:rPr>
          <w:b/>
          <w:sz w:val="20"/>
        </w:rPr>
      </w:pPr>
    </w:p>
    <w:p>
      <w:pPr>
        <w:pStyle w:val="BodyText"/>
        <w:spacing w:line="360" w:lineRule="auto"/>
        <w:ind w:left="152" w:right="102" w:firstLine="566"/>
        <w:jc w:val="both"/>
      </w:pPr>
      <w:r>
        <w:rPr/>
        <w:t>Las técnicas anestésicas que consideran la utilización de un solo agente anestésico, han sido en gran parte abandonados a favor de la utilización de la anestesia equilibrada,   en</w:t>
      </w:r>
    </w:p>
    <w:p>
      <w:pPr>
        <w:spacing w:after="0" w:line="360" w:lineRule="auto"/>
        <w:jc w:val="both"/>
        <w:sectPr>
          <w:footerReference w:type="default" r:id="rId10"/>
          <w:pgSz w:w="12240" w:h="15840"/>
          <w:pgMar w:footer="1688" w:header="0" w:top="1500" w:bottom="1880" w:left="1720" w:right="1420"/>
          <w:pgNumType w:start="5"/>
        </w:sectPr>
      </w:pPr>
    </w:p>
    <w:p>
      <w:pPr>
        <w:pStyle w:val="BodyText"/>
        <w:spacing w:before="7"/>
        <w:rPr>
          <w:sz w:val="20"/>
        </w:rPr>
      </w:pPr>
    </w:p>
    <w:p>
      <w:pPr>
        <w:pStyle w:val="BodyText"/>
        <w:spacing w:line="360" w:lineRule="auto" w:before="69"/>
        <w:ind w:left="152" w:right="106"/>
        <w:jc w:val="both"/>
      </w:pPr>
      <w:r>
        <w:rPr/>
        <w:t>donde se incorporan fármacos de diferentes clases, con el fin de poder alcanzar la inconsciencia, analgesia, relajación muscular y la protección neurovegetativa (Bednarski 2011). Las técnicas de anestesia equilibrada, son una opción viable en pacientes con reserva funcional disminuida (Figura 1), como aquellos de alto riesgo y con enfermedad sistémica avanzada (Steagall et al. 2006).</w:t>
      </w:r>
    </w:p>
    <w:p>
      <w:pPr>
        <w:pStyle w:val="BodyText"/>
        <w:spacing w:line="360" w:lineRule="auto" w:before="4"/>
        <w:ind w:left="152" w:right="110" w:firstLine="566"/>
        <w:jc w:val="both"/>
      </w:pPr>
      <w:r>
        <w:rPr/>
        <w:t>El término anestesia balanceada, equilibrada o multimodal, refiere </w:t>
      </w:r>
      <w:r>
        <w:rPr>
          <w:spacing w:val="-3"/>
        </w:rPr>
        <w:t>la </w:t>
      </w:r>
      <w:r>
        <w:rPr/>
        <w:t>administración de múltiples fármacos anestésicos-analgésicos a dosis bajas, cada uno con un propósito específico, </w:t>
      </w:r>
      <w:r>
        <w:rPr>
          <w:spacing w:val="-5"/>
        </w:rPr>
        <w:t>lo </w:t>
      </w:r>
      <w:r>
        <w:rPr/>
        <w:t>que contribuye a tomar las características farmacológicas deseables de estos, disminuyendo </w:t>
      </w:r>
      <w:r>
        <w:rPr>
          <w:spacing w:val="-5"/>
        </w:rPr>
        <w:t>la </w:t>
      </w:r>
      <w:r>
        <w:rPr/>
        <w:t>necesidad de emplear altas concentraciones de anestésicos inhalatorios disminuyendo así, los efectos secundarios (Wagner et </w:t>
      </w:r>
      <w:r>
        <w:rPr>
          <w:spacing w:val="-4"/>
        </w:rPr>
        <w:t>al. </w:t>
      </w:r>
      <w:r>
        <w:rPr/>
        <w:t>2002; </w:t>
      </w:r>
      <w:r>
        <w:rPr>
          <w:spacing w:val="-3"/>
        </w:rPr>
        <w:t>Muir </w:t>
      </w:r>
      <w:r>
        <w:rPr/>
        <w:t>et </w:t>
      </w:r>
      <w:r>
        <w:rPr>
          <w:spacing w:val="-3"/>
        </w:rPr>
        <w:t>al. </w:t>
      </w:r>
      <w:r>
        <w:rPr/>
        <w:t>2003; Valverde  et </w:t>
      </w:r>
      <w:r>
        <w:rPr>
          <w:spacing w:val="-4"/>
        </w:rPr>
        <w:t>al. </w:t>
      </w:r>
      <w:r>
        <w:rPr/>
        <w:t>2004; Pascoe et </w:t>
      </w:r>
      <w:r>
        <w:rPr>
          <w:spacing w:val="-4"/>
        </w:rPr>
        <w:t>al. </w:t>
      </w:r>
      <w:r>
        <w:rPr/>
        <w:t>2006; Sano et </w:t>
      </w:r>
      <w:r>
        <w:rPr>
          <w:spacing w:val="-4"/>
        </w:rPr>
        <w:t>al. </w:t>
      </w:r>
      <w:r>
        <w:rPr/>
        <w:t>2006; Solano et </w:t>
      </w:r>
      <w:r>
        <w:rPr>
          <w:spacing w:val="-3"/>
        </w:rPr>
        <w:t>al. </w:t>
      </w:r>
      <w:r>
        <w:rPr/>
        <w:t>2006; Steagall et </w:t>
      </w:r>
      <w:r>
        <w:rPr>
          <w:spacing w:val="-3"/>
        </w:rPr>
        <w:t>al. </w:t>
      </w:r>
      <w:r>
        <w:rPr/>
        <w:t>2006; Lin et </w:t>
      </w:r>
      <w:r>
        <w:rPr>
          <w:spacing w:val="-4"/>
        </w:rPr>
        <w:t>al. </w:t>
      </w:r>
      <w:r>
        <w:rPr/>
        <w:t>2008; Uilenreef et </w:t>
      </w:r>
      <w:r>
        <w:rPr>
          <w:spacing w:val="-4"/>
        </w:rPr>
        <w:t>al. </w:t>
      </w:r>
      <w:r>
        <w:rPr/>
        <w:t>2008; Matsubara et </w:t>
      </w:r>
      <w:r>
        <w:rPr>
          <w:spacing w:val="-3"/>
        </w:rPr>
        <w:t>al. </w:t>
      </w:r>
      <w:r>
        <w:rPr/>
        <w:t>2009; Ueyama et </w:t>
      </w:r>
      <w:r>
        <w:rPr>
          <w:spacing w:val="-4"/>
        </w:rPr>
        <w:t>al. </w:t>
      </w:r>
      <w:r>
        <w:rPr/>
        <w:t>2009; Pascoe y Steffey 2009; Ortega &amp; Cruz 2011; Columbano et </w:t>
      </w:r>
      <w:r>
        <w:rPr>
          <w:spacing w:val="-3"/>
        </w:rPr>
        <w:t>al.</w:t>
      </w:r>
      <w:r>
        <w:rPr>
          <w:spacing w:val="-11"/>
        </w:rPr>
        <w:t> </w:t>
      </w:r>
      <w:r>
        <w:rPr/>
        <w:t>2012).</w:t>
      </w:r>
    </w:p>
    <w:p>
      <w:pPr>
        <w:pStyle w:val="BodyText"/>
        <w:spacing w:line="357" w:lineRule="auto" w:before="4"/>
        <w:ind w:left="152" w:right="107" w:firstLine="566"/>
        <w:jc w:val="both"/>
      </w:pPr>
      <w:r>
        <w:rPr/>
        <w:t>En general varias clases de fármacos han sido utilizados para proporcionar analgesia perioperatoria entre ellas los opioides como el fentanilo, analgésicos locales como la lidocaína, antagonistas de los receptores N-Metil-D-aspartato (NMDA) como la ketamina y agonistas de los receptores α</w:t>
      </w:r>
      <w:r>
        <w:rPr>
          <w:position w:val="-2"/>
          <w:sz w:val="16"/>
        </w:rPr>
        <w:t>2 </w:t>
      </w:r>
      <w:r>
        <w:rPr/>
        <w:t>adrenérgicos como la dexmedetomidina (Lin et al. 2008; Uilenreef et al. 2008; Ortega &amp; Cruz 2011; Columbano et al. 2012; Gurney 2012).</w:t>
      </w:r>
    </w:p>
    <w:p>
      <w:pPr>
        <w:spacing w:after="0" w:line="357" w:lineRule="auto"/>
        <w:jc w:val="both"/>
        <w:sectPr>
          <w:pgSz w:w="12240" w:h="15840"/>
          <w:pgMar w:header="0" w:footer="1688" w:top="1500" w:bottom="1880" w:left="1720" w:right="1420"/>
        </w:sectPr>
      </w:pPr>
    </w:p>
    <w:p>
      <w:pPr>
        <w:pStyle w:val="BodyText"/>
        <w:spacing w:before="3" w:after="1"/>
        <w:rPr>
          <w:sz w:val="27"/>
        </w:rPr>
      </w:pPr>
    </w:p>
    <w:p>
      <w:pPr>
        <w:pStyle w:val="BodyText"/>
        <w:ind w:left="1147"/>
        <w:rPr>
          <w:sz w:val="20"/>
        </w:rPr>
      </w:pPr>
      <w:r>
        <w:rPr>
          <w:sz w:val="20"/>
        </w:rPr>
        <w:drawing>
          <wp:inline distT="0" distB="0" distL="0" distR="0">
            <wp:extent cx="4347808" cy="2913697"/>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1" cstate="print"/>
                    <a:stretch>
                      <a:fillRect/>
                    </a:stretch>
                  </pic:blipFill>
                  <pic:spPr>
                    <a:xfrm>
                      <a:off x="0" y="0"/>
                      <a:ext cx="4347808" cy="2913697"/>
                    </a:xfrm>
                    <a:prstGeom prst="rect">
                      <a:avLst/>
                    </a:prstGeom>
                  </pic:spPr>
                </pic:pic>
              </a:graphicData>
            </a:graphic>
          </wp:inline>
        </w:drawing>
      </w:r>
      <w:r>
        <w:rPr>
          <w:sz w:val="20"/>
        </w:rPr>
      </w:r>
    </w:p>
    <w:p>
      <w:pPr>
        <w:pStyle w:val="BodyText"/>
        <w:rPr>
          <w:sz w:val="20"/>
        </w:rPr>
      </w:pPr>
    </w:p>
    <w:p>
      <w:pPr>
        <w:pStyle w:val="BodyText"/>
        <w:spacing w:before="5"/>
        <w:rPr>
          <w:sz w:val="21"/>
        </w:rPr>
      </w:pPr>
    </w:p>
    <w:p>
      <w:pPr>
        <w:pStyle w:val="BodyText"/>
        <w:spacing w:before="69"/>
        <w:ind w:left="152" w:right="70"/>
      </w:pPr>
      <w:bookmarkStart w:name="_bookmark15" w:id="25"/>
      <w:bookmarkEnd w:id="25"/>
      <w:r>
        <w:rPr/>
      </w:r>
      <w:r>
        <w:rPr/>
        <w:t>Figura 1.  Reservas funcionales y anestesia equilibrada (Tendillo y Santos 2006).</w:t>
      </w:r>
    </w:p>
    <w:p>
      <w:pPr>
        <w:pStyle w:val="BodyText"/>
      </w:pPr>
    </w:p>
    <w:p>
      <w:pPr>
        <w:pStyle w:val="Heading2"/>
        <w:numPr>
          <w:ilvl w:val="1"/>
          <w:numId w:val="12"/>
        </w:numPr>
        <w:tabs>
          <w:tab w:pos="1238" w:val="left" w:leader="none"/>
        </w:tabs>
        <w:spacing w:line="240" w:lineRule="auto" w:before="207" w:after="0"/>
        <w:ind w:left="1237" w:right="0" w:hanging="364"/>
        <w:jc w:val="left"/>
      </w:pPr>
      <w:bookmarkStart w:name="_bookmark16" w:id="26"/>
      <w:bookmarkEnd w:id="26"/>
      <w:r>
        <w:rPr>
          <w:b w:val="0"/>
        </w:rPr>
      </w:r>
      <w:bookmarkStart w:name="_bookmark16" w:id="27"/>
      <w:bookmarkEnd w:id="27"/>
      <w:r>
        <w:rPr/>
        <w:t>Do</w:t>
      </w:r>
      <w:r>
        <w:rPr/>
        <w:t>lor</w:t>
      </w:r>
    </w:p>
    <w:p>
      <w:pPr>
        <w:pStyle w:val="BodyText"/>
        <w:spacing w:before="7"/>
        <w:rPr>
          <w:b/>
          <w:sz w:val="20"/>
        </w:rPr>
      </w:pPr>
    </w:p>
    <w:p>
      <w:pPr>
        <w:pStyle w:val="Heading2"/>
        <w:numPr>
          <w:ilvl w:val="2"/>
          <w:numId w:val="12"/>
        </w:numPr>
        <w:tabs>
          <w:tab w:pos="1416" w:val="left" w:leader="none"/>
        </w:tabs>
        <w:spacing w:line="240" w:lineRule="auto" w:before="0" w:after="0"/>
        <w:ind w:left="1415" w:right="0" w:hanging="542"/>
        <w:jc w:val="left"/>
      </w:pPr>
      <w:bookmarkStart w:name="_bookmark17" w:id="28"/>
      <w:bookmarkEnd w:id="28"/>
      <w:r>
        <w:rPr>
          <w:b w:val="0"/>
        </w:rPr>
      </w:r>
      <w:bookmarkStart w:name="_bookmark17" w:id="29"/>
      <w:bookmarkEnd w:id="29"/>
      <w:r>
        <w:rPr/>
        <w:t>Gene</w:t>
      </w:r>
      <w:r>
        <w:rPr/>
        <w:t>ralidades</w:t>
      </w:r>
    </w:p>
    <w:p>
      <w:pPr>
        <w:pStyle w:val="BodyText"/>
        <w:spacing w:before="7"/>
        <w:rPr>
          <w:b/>
          <w:sz w:val="20"/>
        </w:rPr>
      </w:pPr>
    </w:p>
    <w:p>
      <w:pPr>
        <w:pStyle w:val="BodyText"/>
        <w:spacing w:line="360" w:lineRule="auto"/>
        <w:ind w:left="152" w:right="106" w:firstLine="566"/>
        <w:jc w:val="both"/>
      </w:pPr>
      <w:r>
        <w:rPr/>
        <w:t>El dolor es una experiencia sensorial y emocional que comúnmente se asocia a un daño tisular (Muir y Clifford 2001). Los animales pueden tener experiencias nocivas y exhibir una respuesta aversiva, de esta forma se desarrolló el concepto “nocicepción” (Livingston 2010). La nocicepción es </w:t>
      </w:r>
      <w:r>
        <w:rPr>
          <w:spacing w:val="-5"/>
        </w:rPr>
        <w:t>la </w:t>
      </w:r>
      <w:r>
        <w:rPr/>
        <w:t>detección de un estímulo nocivo y </w:t>
      </w:r>
      <w:r>
        <w:rPr>
          <w:spacing w:val="-3"/>
        </w:rPr>
        <w:t>la </w:t>
      </w:r>
      <w:r>
        <w:rPr/>
        <w:t>transmisión  de esa información al cerebro. El dolor es </w:t>
      </w:r>
      <w:r>
        <w:rPr>
          <w:spacing w:val="-5"/>
        </w:rPr>
        <w:t>la </w:t>
      </w:r>
      <w:r>
        <w:rPr/>
        <w:t>percepción de </w:t>
      </w:r>
      <w:r>
        <w:rPr>
          <w:spacing w:val="-3"/>
        </w:rPr>
        <w:t>la </w:t>
      </w:r>
      <w:r>
        <w:rPr/>
        <w:t>experiencia sensorial inducida por un estímulo nocivo (Muir y Clifford</w:t>
      </w:r>
      <w:r>
        <w:rPr>
          <w:spacing w:val="-21"/>
        </w:rPr>
        <w:t> </w:t>
      </w:r>
      <w:r>
        <w:rPr/>
        <w:t>2001).</w:t>
      </w:r>
    </w:p>
    <w:p>
      <w:pPr>
        <w:pStyle w:val="BodyText"/>
        <w:spacing w:line="360" w:lineRule="auto" w:before="4"/>
        <w:ind w:left="152" w:right="104" w:firstLine="566"/>
        <w:jc w:val="both"/>
      </w:pPr>
      <w:r>
        <w:rPr/>
        <w:t>La Asociación Internacional para el estudio del Dolor (IASP, por sus siglas </w:t>
      </w:r>
      <w:r>
        <w:rPr>
          <w:spacing w:val="8"/>
        </w:rPr>
        <w:t>en </w:t>
      </w:r>
      <w:r>
        <w:rPr/>
        <w:t>inglés) </w:t>
      </w:r>
      <w:r>
        <w:rPr>
          <w:spacing w:val="-3"/>
        </w:rPr>
        <w:t>ha </w:t>
      </w:r>
      <w:r>
        <w:rPr/>
        <w:t>definido dolor </w:t>
      </w:r>
      <w:r>
        <w:rPr>
          <w:spacing w:val="-3"/>
        </w:rPr>
        <w:t>como </w:t>
      </w:r>
      <w:r>
        <w:rPr/>
        <w:t>“una sensación sensorial y emocional </w:t>
      </w:r>
      <w:r>
        <w:rPr>
          <w:spacing w:val="-3"/>
        </w:rPr>
        <w:t>no </w:t>
      </w:r>
      <w:r>
        <w:rPr/>
        <w:t>placentera, asociada con un potencial o actual daño tisular, descrito en términos del propio daño. La falta de habilidad para comunicarse de ninguna manera niega </w:t>
      </w:r>
      <w:r>
        <w:rPr>
          <w:spacing w:val="-3"/>
        </w:rPr>
        <w:t>la </w:t>
      </w:r>
      <w:r>
        <w:rPr/>
        <w:t>posibilidad de que un individuo pueda experimentar dolor, por tal motivo los animales quedan predispuestos a </w:t>
      </w:r>
      <w:r>
        <w:rPr>
          <w:spacing w:val="-3"/>
        </w:rPr>
        <w:t>no </w:t>
      </w:r>
      <w:r>
        <w:rPr/>
        <w:t>recibir un tratamiento apropiado para el alivio del dolor (Muir y Clifford</w:t>
      </w:r>
      <w:r>
        <w:rPr>
          <w:spacing w:val="-21"/>
        </w:rPr>
        <w:t> </w:t>
      </w:r>
      <w:r>
        <w:rPr/>
        <w:t>2001).</w:t>
      </w:r>
    </w:p>
    <w:p>
      <w:pPr>
        <w:spacing w:after="0" w:line="360" w:lineRule="auto"/>
        <w:jc w:val="both"/>
        <w:sectPr>
          <w:pgSz w:w="12240" w:h="15840"/>
          <w:pgMar w:header="0" w:footer="1688" w:top="1500" w:bottom="1880" w:left="1720" w:right="1420"/>
        </w:sectPr>
      </w:pPr>
    </w:p>
    <w:p>
      <w:pPr>
        <w:pStyle w:val="BodyText"/>
        <w:spacing w:before="7"/>
        <w:rPr>
          <w:sz w:val="20"/>
        </w:rPr>
      </w:pPr>
    </w:p>
    <w:p>
      <w:pPr>
        <w:pStyle w:val="BodyText"/>
        <w:spacing w:line="360" w:lineRule="auto" w:before="69"/>
        <w:ind w:left="152" w:right="99" w:firstLine="566"/>
        <w:jc w:val="both"/>
      </w:pPr>
      <w:r>
        <w:rPr/>
        <w:t>El dolor nociceptivo o patológico surge de la activación de un discreto grupo de receptores y vías neurales por un estímulo nocivo que está de hecho, potencialmente dañando a los tejidos (Hellyer et al. 2011). El estímulo nociceptivo provoca el reflejo de retirada y respuestas conductuales, autonómicas, neuroendocrinas e inmunológicas en proporción con la severidad de dicho estímulo (Muir y Clifford 2001).</w:t>
      </w:r>
    </w:p>
    <w:p>
      <w:pPr>
        <w:pStyle w:val="BodyText"/>
      </w:pPr>
    </w:p>
    <w:p>
      <w:pPr>
        <w:pStyle w:val="Heading2"/>
        <w:numPr>
          <w:ilvl w:val="2"/>
          <w:numId w:val="12"/>
        </w:numPr>
        <w:tabs>
          <w:tab w:pos="1416" w:val="left" w:leader="none"/>
        </w:tabs>
        <w:spacing w:line="240" w:lineRule="auto" w:before="146" w:after="0"/>
        <w:ind w:left="1415" w:right="0" w:hanging="542"/>
        <w:jc w:val="left"/>
      </w:pPr>
      <w:bookmarkStart w:name="_bookmark18" w:id="30"/>
      <w:bookmarkEnd w:id="30"/>
      <w:r>
        <w:rPr>
          <w:b w:val="0"/>
        </w:rPr>
      </w:r>
      <w:bookmarkStart w:name="_bookmark18" w:id="31"/>
      <w:bookmarkEnd w:id="31"/>
      <w:r>
        <w:rPr/>
        <w:t>F</w:t>
      </w:r>
      <w:r>
        <w:rPr/>
        <w:t>isiopatología del</w:t>
      </w:r>
      <w:r>
        <w:rPr>
          <w:spacing w:val="-12"/>
        </w:rPr>
        <w:t> </w:t>
      </w:r>
      <w:r>
        <w:rPr/>
        <w:t>dolor</w:t>
      </w:r>
    </w:p>
    <w:p>
      <w:pPr>
        <w:pStyle w:val="BodyText"/>
        <w:spacing w:before="7"/>
        <w:rPr>
          <w:b/>
          <w:sz w:val="20"/>
        </w:rPr>
      </w:pPr>
    </w:p>
    <w:p>
      <w:pPr>
        <w:pStyle w:val="BodyText"/>
        <w:spacing w:line="360" w:lineRule="auto"/>
        <w:ind w:left="152" w:right="107" w:firstLine="566"/>
        <w:jc w:val="both"/>
      </w:pPr>
      <w:r>
        <w:rPr/>
        <w:t>El dolor ocurre cuando se activan transductores de alto umbral, localizados en las terminaciones distales de los nociceptores </w:t>
      </w:r>
      <w:r>
        <w:rPr>
          <w:spacing w:val="-3"/>
        </w:rPr>
        <w:t>Aβ, Aδ </w:t>
      </w:r>
      <w:r>
        <w:rPr/>
        <w:t>y C. La estimulación viaja por </w:t>
      </w:r>
      <w:r>
        <w:rPr>
          <w:spacing w:val="-3"/>
        </w:rPr>
        <w:t>las </w:t>
      </w:r>
      <w:r>
        <w:rPr/>
        <w:t>fibras nerviosas sensitivas </w:t>
      </w:r>
      <w:r>
        <w:rPr>
          <w:spacing w:val="-3"/>
        </w:rPr>
        <w:t>Aβ </w:t>
      </w:r>
      <w:r>
        <w:rPr/>
        <w:t>(mielinizadas, de </w:t>
      </w:r>
      <w:r>
        <w:rPr>
          <w:spacing w:val="-3"/>
        </w:rPr>
        <w:t>bajo </w:t>
      </w:r>
      <w:r>
        <w:rPr/>
        <w:t>umbral, conducción de alta velocidad), </w:t>
      </w:r>
      <w:r>
        <w:rPr>
          <w:spacing w:val="-3"/>
        </w:rPr>
        <w:t>Aδ </w:t>
      </w:r>
      <w:r>
        <w:rPr/>
        <w:t>(poco milinizadas, alto y </w:t>
      </w:r>
      <w:r>
        <w:rPr>
          <w:spacing w:val="-3"/>
        </w:rPr>
        <w:t>bajo </w:t>
      </w:r>
      <w:r>
        <w:rPr/>
        <w:t>umbral, conducción de mediana velocidad) y C (no milinizadas, alto umbral y conducción de lenta velocidad) llevándola hasta </w:t>
      </w:r>
      <w:r>
        <w:rPr>
          <w:spacing w:val="-3"/>
        </w:rPr>
        <w:t>la  </w:t>
      </w:r>
      <w:r>
        <w:rPr/>
        <w:t>médula espinal (Figura 2). Las fibras nerviosas Aβ y </w:t>
      </w:r>
      <w:r>
        <w:rPr>
          <w:spacing w:val="-3"/>
        </w:rPr>
        <w:t>Aδ </w:t>
      </w:r>
      <w:r>
        <w:rPr/>
        <w:t>terminan en neuronas principalmente de  las láminas I, II, IV y V, las cuales proyectan información sensorial al cerebro. Las fibras C terminan en </w:t>
      </w:r>
      <w:r>
        <w:rPr>
          <w:spacing w:val="-3"/>
        </w:rPr>
        <w:t>la </w:t>
      </w:r>
      <w:r>
        <w:rPr/>
        <w:t>lámina II (sustancia gelatinosa) en el asta dorsal de </w:t>
      </w:r>
      <w:r>
        <w:rPr>
          <w:spacing w:val="-5"/>
        </w:rPr>
        <w:t>la </w:t>
      </w:r>
      <w:r>
        <w:rPr/>
        <w:t>médula espinal (Figura 3).</w:t>
      </w:r>
    </w:p>
    <w:p>
      <w:pPr>
        <w:pStyle w:val="BodyText"/>
        <w:spacing w:line="360" w:lineRule="auto" w:before="4"/>
        <w:ind w:left="152" w:right="102" w:firstLine="566"/>
        <w:jc w:val="both"/>
      </w:pPr>
      <w:r>
        <w:rPr/>
        <w:t>La información sensorial es entonces proyectada a </w:t>
      </w:r>
      <w:r>
        <w:rPr>
          <w:spacing w:val="-5"/>
        </w:rPr>
        <w:t>la </w:t>
      </w:r>
      <w:r>
        <w:rPr/>
        <w:t>formación reticular, vía haces espinotalámico, espinoreticular, espinomesencefálico y vías de </w:t>
      </w:r>
      <w:r>
        <w:rPr>
          <w:spacing w:val="-3"/>
        </w:rPr>
        <w:t>la </w:t>
      </w:r>
      <w:r>
        <w:rPr/>
        <w:t>columna dorsal, antes de terminar en el tálamo. </w:t>
      </w:r>
      <w:r>
        <w:rPr>
          <w:spacing w:val="3"/>
        </w:rPr>
        <w:t>El </w:t>
      </w:r>
      <w:r>
        <w:rPr/>
        <w:t>tálamo integra y retransmite información a </w:t>
      </w:r>
      <w:r>
        <w:rPr>
          <w:spacing w:val="-3"/>
        </w:rPr>
        <w:t>la </w:t>
      </w:r>
      <w:r>
        <w:rPr/>
        <w:t>corteza somatosensorial, </w:t>
      </w:r>
      <w:r>
        <w:rPr>
          <w:spacing w:val="-3"/>
        </w:rPr>
        <w:t>la </w:t>
      </w:r>
      <w:r>
        <w:rPr/>
        <w:t>cual proyecta a </w:t>
      </w:r>
      <w:r>
        <w:rPr>
          <w:spacing w:val="-4"/>
        </w:rPr>
        <w:t>las </w:t>
      </w:r>
      <w:r>
        <w:rPr/>
        <w:t>áreas de asociación, incluyendo al sistema límbico (Muir y Clifford 2001). El sistema límbico incluye al cíngulo (comportamiento, emoción), amígdala (miedo condicionado, ansiedad), hipocampo (memoria), hipotálamo (actividad autonómica simpática) y el locus ceruleus (vigilia, vigilancia, comportamiento)  </w:t>
      </w:r>
      <w:r>
        <w:rPr>
          <w:spacing w:val="-3"/>
        </w:rPr>
        <w:t>(Muir </w:t>
      </w:r>
      <w:r>
        <w:rPr/>
        <w:t>2009)  (Figura</w:t>
      </w:r>
      <w:r>
        <w:rPr>
          <w:spacing w:val="-4"/>
        </w:rPr>
        <w:t> </w:t>
      </w:r>
      <w:r>
        <w:rPr/>
        <w:t>4).</w:t>
      </w:r>
    </w:p>
    <w:p>
      <w:pPr>
        <w:pStyle w:val="BodyText"/>
        <w:spacing w:line="360" w:lineRule="auto" w:before="4"/>
        <w:ind w:left="152" w:right="104" w:firstLine="566"/>
        <w:jc w:val="both"/>
      </w:pPr>
      <w:r>
        <w:rPr/>
        <w:t>El dolor visceral es pobremente localizado. Las vías aferentes viajan en los nervios simpáticos y el vago principalmente hacia el sistema nervioso central. Los receptores responden a estímulos como encogimiento, isquemia, dilatación o espasmo, pero no necesariamente al trauma quirúrgico (Hellyer et al. 2011).</w:t>
      </w:r>
    </w:p>
    <w:p>
      <w:pPr>
        <w:spacing w:after="0" w:line="360" w:lineRule="auto"/>
        <w:jc w:val="both"/>
        <w:sectPr>
          <w:pgSz w:w="12240" w:h="15840"/>
          <w:pgMar w:header="0" w:footer="1688" w:top="1500" w:bottom="1880" w:left="1720" w:right="1420"/>
        </w:sectPr>
      </w:pPr>
    </w:p>
    <w:p>
      <w:pPr>
        <w:pStyle w:val="BodyText"/>
        <w:spacing w:before="3" w:after="1"/>
        <w:rPr>
          <w:sz w:val="27"/>
        </w:rPr>
      </w:pPr>
    </w:p>
    <w:p>
      <w:pPr>
        <w:pStyle w:val="BodyText"/>
        <w:ind w:left="722"/>
        <w:rPr>
          <w:sz w:val="20"/>
        </w:rPr>
      </w:pPr>
      <w:r>
        <w:rPr>
          <w:sz w:val="20"/>
        </w:rPr>
        <w:drawing>
          <wp:inline distT="0" distB="0" distL="0" distR="0">
            <wp:extent cx="4846859" cy="3349752"/>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2" cstate="print"/>
                    <a:stretch>
                      <a:fillRect/>
                    </a:stretch>
                  </pic:blipFill>
                  <pic:spPr>
                    <a:xfrm>
                      <a:off x="0" y="0"/>
                      <a:ext cx="4846859" cy="3349752"/>
                    </a:xfrm>
                    <a:prstGeom prst="rect">
                      <a:avLst/>
                    </a:prstGeom>
                  </pic:spPr>
                </pic:pic>
              </a:graphicData>
            </a:graphic>
          </wp:inline>
        </w:drawing>
      </w:r>
      <w:r>
        <w:rPr>
          <w:sz w:val="20"/>
        </w:rPr>
      </w:r>
    </w:p>
    <w:p>
      <w:pPr>
        <w:pStyle w:val="BodyText"/>
        <w:rPr>
          <w:sz w:val="20"/>
        </w:rPr>
      </w:pPr>
    </w:p>
    <w:p>
      <w:pPr>
        <w:pStyle w:val="BodyText"/>
        <w:spacing w:before="2"/>
        <w:rPr>
          <w:sz w:val="25"/>
        </w:rPr>
      </w:pPr>
    </w:p>
    <w:p>
      <w:pPr>
        <w:pStyle w:val="BodyText"/>
        <w:spacing w:line="274" w:lineRule="exact" w:before="74"/>
        <w:ind w:left="152" w:right="70"/>
      </w:pPr>
      <w:bookmarkStart w:name="_bookmark19" w:id="32"/>
      <w:bookmarkEnd w:id="32"/>
      <w:r>
        <w:rPr/>
      </w:r>
      <w:r>
        <w:rPr/>
        <w:t>Figura 2. Ingreso sensorial hacia la médula espinal a través de las fibras nerviosas Aβ, Aδ y C</w:t>
      </w:r>
    </w:p>
    <w:p>
      <w:pPr>
        <w:pStyle w:val="BodyText"/>
        <w:spacing w:line="276" w:lineRule="exact"/>
        <w:ind w:left="152" w:right="70"/>
      </w:pPr>
      <w:r>
        <w:rPr/>
        <w:t>(Muir 2009)</w:t>
      </w:r>
    </w:p>
    <w:p>
      <w:pPr>
        <w:pStyle w:val="BodyText"/>
        <w:rPr>
          <w:sz w:val="20"/>
        </w:rPr>
      </w:pPr>
    </w:p>
    <w:p>
      <w:pPr>
        <w:pStyle w:val="BodyText"/>
        <w:spacing w:before="2"/>
        <w:rPr>
          <w:sz w:val="13"/>
        </w:rPr>
      </w:pPr>
      <w:r>
        <w:rPr/>
        <w:drawing>
          <wp:anchor distT="0" distB="0" distL="0" distR="0" allowOverlap="1" layoutInCell="1" locked="0" behindDoc="0" simplePos="0" relativeHeight="1072">
            <wp:simplePos x="0" y="0"/>
            <wp:positionH relativeFrom="page">
              <wp:posOffset>2956179</wp:posOffset>
            </wp:positionH>
            <wp:positionV relativeFrom="paragraph">
              <wp:posOffset>121224</wp:posOffset>
            </wp:positionV>
            <wp:extent cx="2350527" cy="2699004"/>
            <wp:effectExtent l="0" t="0" r="0" b="0"/>
            <wp:wrapTopAndBottom/>
            <wp:docPr id="9" name="image4.png" descr=""/>
            <wp:cNvGraphicFramePr>
              <a:graphicFrameLocks noChangeAspect="1"/>
            </wp:cNvGraphicFramePr>
            <a:graphic>
              <a:graphicData uri="http://schemas.openxmlformats.org/drawingml/2006/picture">
                <pic:pic>
                  <pic:nvPicPr>
                    <pic:cNvPr id="10" name="image4.png"/>
                    <pic:cNvPicPr/>
                  </pic:nvPicPr>
                  <pic:blipFill>
                    <a:blip r:embed="rId13" cstate="print"/>
                    <a:stretch>
                      <a:fillRect/>
                    </a:stretch>
                  </pic:blipFill>
                  <pic:spPr>
                    <a:xfrm>
                      <a:off x="0" y="0"/>
                      <a:ext cx="2350527" cy="2699004"/>
                    </a:xfrm>
                    <a:prstGeom prst="rect">
                      <a:avLst/>
                    </a:prstGeom>
                  </pic:spPr>
                </pic:pic>
              </a:graphicData>
            </a:graphic>
          </wp:anchor>
        </w:drawing>
      </w:r>
    </w:p>
    <w:p>
      <w:pPr>
        <w:pStyle w:val="BodyText"/>
        <w:spacing w:line="274" w:lineRule="exact" w:before="118"/>
        <w:ind w:left="152" w:right="173"/>
      </w:pPr>
      <w:bookmarkStart w:name="_bookmark20" w:id="33"/>
      <w:bookmarkEnd w:id="33"/>
      <w:r>
        <w:rPr/>
      </w:r>
      <w:r>
        <w:rPr/>
        <w:t>Figura 3. Localización de las láminas o núcleos sensitivos (I al VII) y motores (VIII al X) de la sustancia gris de la médula espinal (Muir 2009).</w:t>
      </w:r>
    </w:p>
    <w:p>
      <w:pPr>
        <w:spacing w:after="0" w:line="274" w:lineRule="exact"/>
        <w:sectPr>
          <w:pgSz w:w="12240" w:h="15840"/>
          <w:pgMar w:header="0" w:footer="1688" w:top="1500" w:bottom="1880" w:left="1720" w:right="1420"/>
        </w:sectPr>
      </w:pPr>
    </w:p>
    <w:p>
      <w:pPr>
        <w:pStyle w:val="BodyText"/>
        <w:spacing w:before="3" w:after="1"/>
        <w:rPr>
          <w:sz w:val="27"/>
        </w:rPr>
      </w:pPr>
    </w:p>
    <w:p>
      <w:pPr>
        <w:pStyle w:val="BodyText"/>
        <w:ind w:left="1543"/>
        <w:rPr>
          <w:sz w:val="20"/>
        </w:rPr>
      </w:pPr>
      <w:r>
        <w:rPr>
          <w:sz w:val="20"/>
        </w:rPr>
        <w:drawing>
          <wp:inline distT="0" distB="0" distL="0" distR="0">
            <wp:extent cx="4115211" cy="2782252"/>
            <wp:effectExtent l="0" t="0" r="0" b="0"/>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5" cstate="print"/>
                    <a:stretch>
                      <a:fillRect/>
                    </a:stretch>
                  </pic:blipFill>
                  <pic:spPr>
                    <a:xfrm>
                      <a:off x="0" y="0"/>
                      <a:ext cx="4115211" cy="2782252"/>
                    </a:xfrm>
                    <a:prstGeom prst="rect">
                      <a:avLst/>
                    </a:prstGeom>
                  </pic:spPr>
                </pic:pic>
              </a:graphicData>
            </a:graphic>
          </wp:inline>
        </w:drawing>
      </w:r>
      <w:r>
        <w:rPr>
          <w:sz w:val="20"/>
        </w:rPr>
      </w:r>
    </w:p>
    <w:p>
      <w:pPr>
        <w:pStyle w:val="BodyText"/>
        <w:spacing w:line="242" w:lineRule="auto" w:before="128"/>
        <w:ind w:left="152" w:right="70"/>
      </w:pPr>
      <w:bookmarkStart w:name="_bookmark21" w:id="34"/>
      <w:bookmarkEnd w:id="34"/>
      <w:r>
        <w:rPr/>
      </w:r>
      <w:r>
        <w:rPr/>
        <w:t>Figura 4. Regiones del cerebro que se relacionan con diferentes funciones y respuestas asociadas al dolor (Muir 2009).</w:t>
      </w:r>
    </w:p>
    <w:p>
      <w:pPr>
        <w:pStyle w:val="BodyText"/>
      </w:pPr>
    </w:p>
    <w:p>
      <w:pPr>
        <w:pStyle w:val="BodyText"/>
      </w:pPr>
    </w:p>
    <w:p>
      <w:pPr>
        <w:pStyle w:val="BodyText"/>
      </w:pPr>
    </w:p>
    <w:p>
      <w:pPr>
        <w:pStyle w:val="Heading2"/>
        <w:numPr>
          <w:ilvl w:val="2"/>
          <w:numId w:val="12"/>
        </w:numPr>
        <w:tabs>
          <w:tab w:pos="1416" w:val="left" w:leader="none"/>
        </w:tabs>
        <w:spacing w:line="240" w:lineRule="auto" w:before="199" w:after="0"/>
        <w:ind w:left="1415" w:right="0" w:hanging="542"/>
        <w:jc w:val="left"/>
      </w:pPr>
      <w:bookmarkStart w:name="_bookmark22" w:id="35"/>
      <w:bookmarkEnd w:id="35"/>
      <w:r>
        <w:rPr>
          <w:b w:val="0"/>
        </w:rPr>
      </w:r>
      <w:bookmarkStart w:name="_bookmark22" w:id="36"/>
      <w:bookmarkEnd w:id="36"/>
      <w:r>
        <w:rPr/>
        <w:t>S</w:t>
      </w:r>
      <w:r>
        <w:rPr/>
        <w:t>ensibilización</w:t>
      </w:r>
      <w:r>
        <w:rPr>
          <w:spacing w:val="-15"/>
        </w:rPr>
        <w:t> </w:t>
      </w:r>
      <w:r>
        <w:rPr/>
        <w:t>periférica</w:t>
      </w:r>
    </w:p>
    <w:p>
      <w:pPr>
        <w:pStyle w:val="BodyText"/>
        <w:spacing w:before="7"/>
        <w:rPr>
          <w:b/>
          <w:sz w:val="20"/>
        </w:rPr>
      </w:pPr>
    </w:p>
    <w:p>
      <w:pPr>
        <w:pStyle w:val="BodyText"/>
        <w:spacing w:line="360" w:lineRule="auto"/>
        <w:ind w:left="152" w:right="108" w:firstLine="566"/>
        <w:jc w:val="both"/>
      </w:pPr>
      <w:r>
        <w:rPr/>
        <w:t>El daño tisular induce la liberación de muchos mediadores inflamatorios como las prostaglandinas y leucotrienos, conocidos como sensibilizadores de nociceptores, los cuales bajan el umbral de los nociceptores periféricos. De esta manera, en el tejido dañado o inflamado en el que normalmente el umbral es alto, este se baja produciendo actividad en los aferentes nociceptivos. Ciertos mediadores inflamatorios como la bradiquinina y serotonina, o sustancias liberadas por las células dañadas como iones de potasio y trifosfato de adenosina, estimulan directamente a los nociceptores, y de esta manera pueden ser considerados como activadores de nociceptores.</w:t>
      </w:r>
    </w:p>
    <w:p>
      <w:pPr>
        <w:pStyle w:val="BodyText"/>
        <w:spacing w:line="360" w:lineRule="auto" w:before="4"/>
        <w:ind w:left="152" w:right="108" w:firstLine="566"/>
        <w:jc w:val="both"/>
      </w:pPr>
      <w:r>
        <w:rPr/>
        <w:t>Las terminaciones nerviosas libres estimuladas pueden liberar sustancia P (la cual es también un neurotransmisor importante en las vías centrales nociceptivas). Esta sustancia P dilata los vasos sanguíneos y degranula las células cebadas, </w:t>
      </w:r>
      <w:r>
        <w:rPr>
          <w:spacing w:val="-5"/>
        </w:rPr>
        <w:t>lo </w:t>
      </w:r>
      <w:r>
        <w:rPr/>
        <w:t>cual contribuye a </w:t>
      </w:r>
      <w:r>
        <w:rPr>
          <w:spacing w:val="-3"/>
        </w:rPr>
        <w:t>la </w:t>
      </w:r>
      <w:r>
        <w:rPr/>
        <w:t>inflamación e incrementa </w:t>
      </w:r>
      <w:r>
        <w:rPr>
          <w:spacing w:val="-5"/>
        </w:rPr>
        <w:t>la </w:t>
      </w:r>
      <w:r>
        <w:rPr/>
        <w:t>sensibilización de los nociceptores locales. </w:t>
      </w:r>
      <w:r>
        <w:rPr>
          <w:spacing w:val="3"/>
        </w:rPr>
        <w:t>El </w:t>
      </w:r>
      <w:r>
        <w:rPr/>
        <w:t>resultado de todo </w:t>
      </w:r>
      <w:r>
        <w:rPr>
          <w:spacing w:val="-5"/>
        </w:rPr>
        <w:t>lo  </w:t>
      </w:r>
      <w:r>
        <w:rPr/>
        <w:t>anterior  es  el  desarrollo  de  </w:t>
      </w:r>
      <w:r>
        <w:rPr>
          <w:spacing w:val="-3"/>
        </w:rPr>
        <w:t>la  </w:t>
      </w:r>
      <w:r>
        <w:rPr/>
        <w:t>hiperalgesia  primaria  (la  cual  resulta  de  </w:t>
      </w:r>
      <w:r>
        <w:rPr>
          <w:spacing w:val="-3"/>
        </w:rPr>
        <w:t>la </w:t>
      </w:r>
      <w:r>
        <w:rPr/>
        <w:t>respuesta</w:t>
      </w:r>
    </w:p>
    <w:p>
      <w:pPr>
        <w:pStyle w:val="BodyText"/>
        <w:spacing w:before="119"/>
        <w:ind w:left="174" w:right="104"/>
        <w:jc w:val="right"/>
      </w:pPr>
      <w:r>
        <w:rPr/>
        <w:t>10</w:t>
      </w:r>
    </w:p>
    <w:p>
      <w:pPr>
        <w:spacing w:after="0"/>
        <w:jc w:val="right"/>
        <w:sectPr>
          <w:footerReference w:type="default" r:id="rId14"/>
          <w:pgSz w:w="12240" w:h="15840"/>
          <w:pgMar w:footer="0" w:header="0" w:top="1500" w:bottom="280" w:left="1720" w:right="1420"/>
        </w:sectPr>
      </w:pPr>
    </w:p>
    <w:p>
      <w:pPr>
        <w:pStyle w:val="BodyText"/>
        <w:spacing w:before="7"/>
        <w:rPr>
          <w:sz w:val="20"/>
        </w:rPr>
      </w:pPr>
    </w:p>
    <w:p>
      <w:pPr>
        <w:pStyle w:val="BodyText"/>
        <w:spacing w:line="360" w:lineRule="auto" w:before="69" w:after="14"/>
        <w:ind w:left="152" w:right="70"/>
      </w:pPr>
      <w:r>
        <w:rPr/>
        <w:t>incrementada de los nociceptores al estímulo nocivo) y un fenómeno relacionado llamado alodinia (Hellyer et al. 2007). (Figura 5)</w:t>
      </w:r>
    </w:p>
    <w:p>
      <w:pPr>
        <w:pStyle w:val="BodyText"/>
        <w:ind w:left="910"/>
        <w:rPr>
          <w:sz w:val="20"/>
        </w:rPr>
      </w:pPr>
      <w:r>
        <w:rPr>
          <w:sz w:val="20"/>
        </w:rPr>
        <w:drawing>
          <wp:inline distT="0" distB="0" distL="0" distR="0">
            <wp:extent cx="4614773" cy="3327749"/>
            <wp:effectExtent l="0" t="0" r="0" b="0"/>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17" cstate="print"/>
                    <a:stretch>
                      <a:fillRect/>
                    </a:stretch>
                  </pic:blipFill>
                  <pic:spPr>
                    <a:xfrm>
                      <a:off x="0" y="0"/>
                      <a:ext cx="4614773" cy="3327749"/>
                    </a:xfrm>
                    <a:prstGeom prst="rect">
                      <a:avLst/>
                    </a:prstGeom>
                  </pic:spPr>
                </pic:pic>
              </a:graphicData>
            </a:graphic>
          </wp:inline>
        </w:drawing>
      </w:r>
      <w:r>
        <w:rPr>
          <w:sz w:val="20"/>
        </w:rPr>
      </w:r>
    </w:p>
    <w:p>
      <w:pPr>
        <w:pStyle w:val="BodyText"/>
        <w:spacing w:before="170"/>
        <w:ind w:left="152" w:right="70"/>
      </w:pPr>
      <w:bookmarkStart w:name="_bookmark23" w:id="37"/>
      <w:bookmarkEnd w:id="37"/>
      <w:r>
        <w:rPr/>
      </w:r>
      <w:r>
        <w:rPr/>
        <w:t>Figura 5. Esquematización de la sensibilización periférica (Muir 2001).</w:t>
      </w:r>
    </w:p>
    <w:p>
      <w:pPr>
        <w:pStyle w:val="BodyText"/>
      </w:pPr>
    </w:p>
    <w:p>
      <w:pPr>
        <w:pStyle w:val="Heading2"/>
        <w:numPr>
          <w:ilvl w:val="2"/>
          <w:numId w:val="12"/>
        </w:numPr>
        <w:tabs>
          <w:tab w:pos="1416" w:val="left" w:leader="none"/>
        </w:tabs>
        <w:spacing w:line="240" w:lineRule="auto" w:before="206" w:after="0"/>
        <w:ind w:left="1415" w:right="0" w:hanging="542"/>
        <w:jc w:val="left"/>
      </w:pPr>
      <w:bookmarkStart w:name="_bookmark24" w:id="38"/>
      <w:bookmarkEnd w:id="38"/>
      <w:r>
        <w:rPr>
          <w:b w:val="0"/>
        </w:rPr>
      </w:r>
      <w:bookmarkStart w:name="_bookmark24" w:id="39"/>
      <w:bookmarkEnd w:id="39"/>
      <w:r>
        <w:rPr/>
        <w:t>S</w:t>
      </w:r>
      <w:r>
        <w:rPr/>
        <w:t>ensibilización central.  Modulación en el asta</w:t>
      </w:r>
      <w:r>
        <w:rPr>
          <w:spacing w:val="-26"/>
        </w:rPr>
        <w:t> </w:t>
      </w:r>
      <w:r>
        <w:rPr/>
        <w:t>dorsal.</w:t>
      </w:r>
    </w:p>
    <w:p>
      <w:pPr>
        <w:pStyle w:val="BodyText"/>
        <w:spacing w:before="3"/>
        <w:rPr>
          <w:b/>
          <w:sz w:val="20"/>
        </w:rPr>
      </w:pPr>
    </w:p>
    <w:p>
      <w:pPr>
        <w:pStyle w:val="BodyText"/>
        <w:spacing w:line="360" w:lineRule="auto"/>
        <w:ind w:left="152" w:right="113" w:firstLine="566"/>
        <w:jc w:val="both"/>
      </w:pPr>
      <w:r>
        <w:rPr/>
        <w:t>El incremento en la excitabilidad del asta dorsal de la médula espinal exagera el ingreso sensorial a partir de los nociceptores y obtiene respuestas a partir de las fibras Aβ que normalmente no respondían (alodinia) (Muir y Clifford 2001).</w:t>
      </w:r>
    </w:p>
    <w:p>
      <w:pPr>
        <w:pStyle w:val="BodyText"/>
        <w:spacing w:line="360" w:lineRule="auto" w:before="4"/>
        <w:ind w:left="152" w:right="115" w:firstLine="566"/>
        <w:jc w:val="both"/>
      </w:pPr>
      <w:r>
        <w:rPr/>
        <w:t>Las neuronas de amplio y dinámico rango (WDR por sus siglas en inglés), responden tanto a los estímulos nocivos como a los no nocivos, sin embargo responden más vigorosamente a los estímulos nocivos. Estas neuronas son probablemente las células de mayor importancia en la expresión espinal de la facilitación del dolor (Hellyer et al. 2011)</w:t>
      </w:r>
    </w:p>
    <w:p>
      <w:pPr>
        <w:pStyle w:val="BodyText"/>
        <w:spacing w:line="360" w:lineRule="auto" w:before="4"/>
        <w:ind w:left="152" w:right="109" w:firstLine="566"/>
        <w:jc w:val="both"/>
      </w:pPr>
      <w:r>
        <w:rPr/>
        <w:t>El bombardeo de las neurona nociceptivas-específicas y no específicas en el asta dorsal de la médula espinal, a partir de las fibras C, resulta en una sumación temporal y despolarización cumulativa (conocida como “wind up” en inglés) de las entradas sinápticas en las neuronas del asta dorsal (Muir y Clifford 2001). La alta frecuencia de potenciales  de</w:t>
      </w:r>
    </w:p>
    <w:p>
      <w:pPr>
        <w:spacing w:after="0" w:line="360" w:lineRule="auto"/>
        <w:jc w:val="both"/>
        <w:sectPr>
          <w:footerReference w:type="default" r:id="rId16"/>
          <w:pgSz w:w="12240" w:h="15840"/>
          <w:pgMar w:footer="1628" w:header="0" w:top="1500" w:bottom="1820" w:left="1720" w:right="1420"/>
          <w:pgNumType w:start="11"/>
        </w:sectPr>
      </w:pPr>
    </w:p>
    <w:p>
      <w:pPr>
        <w:pStyle w:val="BodyText"/>
        <w:spacing w:before="7"/>
        <w:rPr>
          <w:sz w:val="20"/>
        </w:rPr>
      </w:pPr>
    </w:p>
    <w:p>
      <w:pPr>
        <w:pStyle w:val="BodyText"/>
        <w:spacing w:line="360" w:lineRule="auto" w:before="69"/>
        <w:ind w:left="152" w:right="117"/>
        <w:jc w:val="both"/>
      </w:pPr>
      <w:r>
        <w:rPr/>
        <w:t>acción en la terminal aferente primaria estimula la liberación de cantidades incrementadas de glutamato, el cual está asociado a la liberación de sustancia P y el factor neurotrópico derivado del cerebro (BDNF por sus siglas en inglés).</w:t>
      </w:r>
    </w:p>
    <w:p>
      <w:pPr>
        <w:pStyle w:val="BodyText"/>
        <w:spacing w:line="360" w:lineRule="auto" w:before="8"/>
        <w:ind w:left="152" w:right="98" w:firstLine="566"/>
        <w:jc w:val="both"/>
      </w:pPr>
      <w:r>
        <w:rPr/>
        <w:t>El “wind up” es el resultado de la remoción del bloqueo por magnesio de los receptores NMDA, haciéndolos más disponibles para activarse con glutamato. Estos receptores demuestran conductancia al calcio, de esta manera su activación se asocia con el flujo interno del calcio sobre la neurona postsináptica, conduciendo a una serie de cascadas intracelulares que terminan en la regulación de los receptores. La sustancia P y BNDF son neurotransmisores neuromoduladores que se unen a los receptores de la proteína G. Estos también activan las señales en cascada intracelulares que incrementan la sensibilidad de la membrana a subsiguientes estimulaciones (Muir y Clifford 2001; Hellyer et al. 2011).</w:t>
      </w:r>
    </w:p>
    <w:p>
      <w:pPr>
        <w:pStyle w:val="BodyText"/>
        <w:spacing w:line="360" w:lineRule="auto" w:before="8"/>
        <w:ind w:left="152" w:right="111" w:firstLine="566"/>
        <w:jc w:val="both"/>
      </w:pPr>
      <w:r>
        <w:rPr/>
        <w:t>La sensibilización central incrementa el área de respuesta, causa hipersensibilidad y alodinia y cambia la respuesta tisular a los estímulos térmicos, mecánicos y químicos (Muir y Clifford 2001).</w:t>
      </w:r>
    </w:p>
    <w:p>
      <w:pPr>
        <w:pStyle w:val="BodyText"/>
        <w:rPr>
          <w:sz w:val="20"/>
        </w:rPr>
      </w:pPr>
    </w:p>
    <w:p>
      <w:pPr>
        <w:pStyle w:val="BodyText"/>
        <w:spacing w:before="9"/>
        <w:rPr>
          <w:sz w:val="13"/>
        </w:rPr>
      </w:pPr>
      <w:r>
        <w:rPr/>
        <w:drawing>
          <wp:anchor distT="0" distB="0" distL="0" distR="0" allowOverlap="1" layoutInCell="1" locked="0" behindDoc="0" simplePos="0" relativeHeight="1096">
            <wp:simplePos x="0" y="0"/>
            <wp:positionH relativeFrom="page">
              <wp:posOffset>1743964</wp:posOffset>
            </wp:positionH>
            <wp:positionV relativeFrom="paragraph">
              <wp:posOffset>125485</wp:posOffset>
            </wp:positionV>
            <wp:extent cx="4537041" cy="3248025"/>
            <wp:effectExtent l="0" t="0" r="0" b="0"/>
            <wp:wrapTopAndBottom/>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18" cstate="print"/>
                    <a:stretch>
                      <a:fillRect/>
                    </a:stretch>
                  </pic:blipFill>
                  <pic:spPr>
                    <a:xfrm>
                      <a:off x="0" y="0"/>
                      <a:ext cx="4537041" cy="3248025"/>
                    </a:xfrm>
                    <a:prstGeom prst="rect">
                      <a:avLst/>
                    </a:prstGeom>
                  </pic:spPr>
                </pic:pic>
              </a:graphicData>
            </a:graphic>
          </wp:anchor>
        </w:drawing>
      </w:r>
    </w:p>
    <w:p>
      <w:pPr>
        <w:pStyle w:val="BodyText"/>
        <w:spacing w:before="64"/>
        <w:ind w:left="152"/>
        <w:jc w:val="both"/>
      </w:pPr>
      <w:bookmarkStart w:name="_bookmark25" w:id="40"/>
      <w:bookmarkEnd w:id="40"/>
      <w:r>
        <w:rPr/>
      </w:r>
      <w:r>
        <w:rPr/>
        <w:t>Figura 6. Esquematización de la sensibilización central (Muir 2001).</w:t>
      </w:r>
    </w:p>
    <w:p>
      <w:pPr>
        <w:spacing w:after="0"/>
        <w:jc w:val="both"/>
        <w:sectPr>
          <w:pgSz w:w="12240" w:h="15840"/>
          <w:pgMar w:header="0" w:footer="1628" w:top="1500" w:bottom="1880" w:left="1720" w:right="1420"/>
        </w:sectPr>
      </w:pPr>
    </w:p>
    <w:p>
      <w:pPr>
        <w:pStyle w:val="BodyText"/>
        <w:spacing w:before="1"/>
        <w:rPr>
          <w:sz w:val="21"/>
        </w:rPr>
      </w:pPr>
    </w:p>
    <w:p>
      <w:pPr>
        <w:pStyle w:val="Heading2"/>
        <w:numPr>
          <w:ilvl w:val="2"/>
          <w:numId w:val="12"/>
        </w:numPr>
        <w:tabs>
          <w:tab w:pos="1416" w:val="left" w:leader="none"/>
        </w:tabs>
        <w:spacing w:line="240" w:lineRule="auto" w:before="69" w:after="0"/>
        <w:ind w:left="1415" w:right="0" w:hanging="542"/>
        <w:jc w:val="left"/>
      </w:pPr>
      <w:bookmarkStart w:name="_bookmark26" w:id="41"/>
      <w:bookmarkEnd w:id="41"/>
      <w:r>
        <w:rPr>
          <w:b w:val="0"/>
        </w:rPr>
      </w:r>
      <w:bookmarkStart w:name="_bookmark26" w:id="42"/>
      <w:bookmarkEnd w:id="42"/>
      <w:r>
        <w:rPr/>
        <w:t>T</w:t>
      </w:r>
      <w:r>
        <w:rPr/>
        <w:t>ipos de</w:t>
      </w:r>
      <w:r>
        <w:rPr>
          <w:spacing w:val="-12"/>
        </w:rPr>
        <w:t> </w:t>
      </w:r>
      <w:r>
        <w:rPr/>
        <w:t>dolor.</w:t>
      </w:r>
    </w:p>
    <w:p>
      <w:pPr>
        <w:pStyle w:val="BodyText"/>
        <w:spacing w:before="3"/>
        <w:rPr>
          <w:b/>
          <w:sz w:val="20"/>
        </w:rPr>
      </w:pPr>
    </w:p>
    <w:p>
      <w:pPr>
        <w:pStyle w:val="BodyText"/>
        <w:spacing w:line="360" w:lineRule="auto"/>
        <w:ind w:left="152" w:right="105" w:firstLine="566"/>
        <w:jc w:val="both"/>
      </w:pPr>
      <w:r>
        <w:rPr/>
        <w:t>Existen diferentes tipos de dolor; el dolor </w:t>
      </w:r>
      <w:r>
        <w:rPr>
          <w:i/>
        </w:rPr>
        <w:t>superficial </w:t>
      </w:r>
      <w:r>
        <w:rPr/>
        <w:t>resulta de la estimulación de los receptores de dolor en la piel por su parte el dolor profundo emerge de estructuras internas como músculo, articulaciones, tendones, periostio y ligamentos. El dolor </w:t>
      </w:r>
      <w:r>
        <w:rPr>
          <w:i/>
        </w:rPr>
        <w:t>visceral </w:t>
      </w:r>
      <w:r>
        <w:rPr/>
        <w:t>resulta de la estimulación de receptores de distensión localizados en la pared visceral, los cuales son sensibles a los cambios en forma y tensión. Dependiendo de la duración el dolor puede ser agudo o crónico. El dolor </w:t>
      </w:r>
      <w:r>
        <w:rPr>
          <w:i/>
        </w:rPr>
        <w:t>crónico </w:t>
      </w:r>
      <w:r>
        <w:rPr/>
        <w:t>se caracteriza por persistir después del tiempo esperado de curación y puede involucrar una alteración del sistema nervioso, que es capaz de mantener un estímulo doloroso, sin la necesidad de refuerzo por repetición del factor causal inicial. El dolor</w:t>
      </w:r>
    </w:p>
    <w:p>
      <w:pPr>
        <w:pStyle w:val="BodyText"/>
        <w:spacing w:line="360" w:lineRule="auto" w:before="9"/>
        <w:ind w:left="152" w:right="70" w:firstLine="57"/>
      </w:pPr>
      <w:r>
        <w:rPr>
          <w:i/>
        </w:rPr>
        <w:t>agudo </w:t>
      </w:r>
      <w:r>
        <w:rPr/>
        <w:t>permanece durante el proceso de curación y generalmente se acompaña de cambios autonómicos (Anil et al. 2002).</w:t>
      </w:r>
    </w:p>
    <w:p>
      <w:pPr>
        <w:pStyle w:val="BodyText"/>
        <w:spacing w:line="360" w:lineRule="auto" w:before="4"/>
        <w:ind w:left="152" w:right="106" w:firstLine="566"/>
        <w:jc w:val="both"/>
      </w:pPr>
      <w:r>
        <w:rPr/>
        <w:t>El dolor </w:t>
      </w:r>
      <w:r>
        <w:rPr>
          <w:i/>
        </w:rPr>
        <w:t>fisiológico </w:t>
      </w:r>
      <w:r>
        <w:rPr/>
        <w:t>se refiere frecuentemente como dolor </w:t>
      </w:r>
      <w:r>
        <w:rPr>
          <w:i/>
        </w:rPr>
        <w:t>nociceptivo</w:t>
      </w:r>
      <w:r>
        <w:rPr/>
        <w:t>, debido a que depende de la activación de receptores periféricos de alto umbral (nociceptores), ya sea por excesiva presión, calor, frío o irritantes químicos o eléctricos. El dolor </w:t>
      </w:r>
      <w:r>
        <w:rPr>
          <w:i/>
        </w:rPr>
        <w:t>patológico </w:t>
      </w:r>
      <w:r>
        <w:rPr/>
        <w:t>ocurre en la presencia o ausencia de un estímulo o en respuesta a un estímulo inocuo (alodinia), con frecuencia produciendo respuestas exageradas (hiperalgesia) y prolongadas (hiperpatia) (Muir 2009)</w:t>
      </w:r>
    </w:p>
    <w:p>
      <w:pPr>
        <w:pStyle w:val="BodyText"/>
        <w:spacing w:line="360" w:lineRule="auto" w:before="9"/>
        <w:ind w:left="152" w:right="108" w:firstLine="705"/>
        <w:jc w:val="both"/>
      </w:pPr>
      <w:r>
        <w:rPr/>
        <w:t>El dolor </w:t>
      </w:r>
      <w:r>
        <w:rPr>
          <w:i/>
        </w:rPr>
        <w:t>postquirúrgico</w:t>
      </w:r>
      <w:r>
        <w:rPr/>
        <w:t>, es un dolor </w:t>
      </w:r>
      <w:r>
        <w:rPr>
          <w:i/>
        </w:rPr>
        <w:t>agudo </w:t>
      </w:r>
      <w:r>
        <w:rPr/>
        <w:t>resultante de </w:t>
      </w:r>
      <w:r>
        <w:rPr>
          <w:spacing w:val="-5"/>
        </w:rPr>
        <w:t>la </w:t>
      </w:r>
      <w:r>
        <w:rPr/>
        <w:t>incisión quirúrgica y está asociada al daño tisular. Se sugiere que el dolor incisional difiere en sus mecanismos con relación a otros estados inflamatorios y neuropáticos. Básicamente se menciona </w:t>
      </w:r>
      <w:r>
        <w:rPr>
          <w:spacing w:val="-3"/>
        </w:rPr>
        <w:t>la </w:t>
      </w:r>
      <w:r>
        <w:rPr/>
        <w:t>participación de los receptores aminoácidos excitatorios inotrópicos α-amino-3-hidroxi-5- metil-4-isoxazole-propionate (AMPA)/kainato, </w:t>
      </w:r>
      <w:r>
        <w:rPr>
          <w:spacing w:val="-3"/>
        </w:rPr>
        <w:t>en </w:t>
      </w:r>
      <w:r>
        <w:rPr/>
        <w:t>el dolor inducido por </w:t>
      </w:r>
      <w:r>
        <w:rPr>
          <w:spacing w:val="-5"/>
        </w:rPr>
        <w:t>la </w:t>
      </w:r>
      <w:r>
        <w:rPr/>
        <w:t>incisión, hiperalgesia y sensibilización espinal. </w:t>
      </w:r>
      <w:r>
        <w:rPr>
          <w:spacing w:val="3"/>
        </w:rPr>
        <w:t>El </w:t>
      </w:r>
      <w:r>
        <w:rPr/>
        <w:t>incremento en las concentraciones de lactato y </w:t>
      </w:r>
      <w:r>
        <w:rPr>
          <w:spacing w:val="-3"/>
        </w:rPr>
        <w:t>bajo </w:t>
      </w:r>
      <w:r>
        <w:rPr/>
        <w:t>pH ocurren en las heridas de piel y músculo después de </w:t>
      </w:r>
      <w:r>
        <w:rPr>
          <w:spacing w:val="-3"/>
        </w:rPr>
        <w:t>la </w:t>
      </w:r>
      <w:r>
        <w:rPr/>
        <w:t>incisión, sugiriendo que un mecanismo doloroso-isquémico podría contribuir al dolor postquirúrgico (Wu y Raja  2011).</w:t>
      </w:r>
    </w:p>
    <w:p>
      <w:pPr>
        <w:spacing w:after="0" w:line="360" w:lineRule="auto"/>
        <w:jc w:val="both"/>
        <w:sectPr>
          <w:pgSz w:w="12240" w:h="15840"/>
          <w:pgMar w:header="0" w:footer="1628" w:top="1500" w:bottom="1880" w:left="1720" w:right="1420"/>
        </w:sectPr>
      </w:pPr>
    </w:p>
    <w:p>
      <w:pPr>
        <w:pStyle w:val="BodyText"/>
        <w:spacing w:before="1"/>
        <w:rPr>
          <w:sz w:val="21"/>
        </w:rPr>
      </w:pPr>
    </w:p>
    <w:p>
      <w:pPr>
        <w:pStyle w:val="Heading2"/>
        <w:numPr>
          <w:ilvl w:val="2"/>
          <w:numId w:val="12"/>
        </w:numPr>
        <w:tabs>
          <w:tab w:pos="1416" w:val="left" w:leader="none"/>
        </w:tabs>
        <w:spacing w:line="240" w:lineRule="auto" w:before="69" w:after="0"/>
        <w:ind w:left="1415" w:right="0" w:hanging="542"/>
        <w:jc w:val="left"/>
      </w:pPr>
      <w:bookmarkStart w:name="_bookmark27" w:id="43"/>
      <w:bookmarkEnd w:id="43"/>
      <w:r>
        <w:rPr>
          <w:b w:val="0"/>
        </w:rPr>
      </w:r>
      <w:bookmarkStart w:name="_bookmark27" w:id="44"/>
      <w:bookmarkEnd w:id="44"/>
      <w:r>
        <w:rPr/>
        <w:t>E</w:t>
      </w:r>
      <w:r>
        <w:rPr/>
        <w:t>valuación del</w:t>
      </w:r>
      <w:r>
        <w:rPr>
          <w:spacing w:val="-17"/>
        </w:rPr>
        <w:t> </w:t>
      </w:r>
      <w:r>
        <w:rPr/>
        <w:t>dolor.</w:t>
      </w:r>
    </w:p>
    <w:p>
      <w:pPr>
        <w:pStyle w:val="BodyText"/>
        <w:spacing w:before="3"/>
        <w:rPr>
          <w:b/>
          <w:sz w:val="20"/>
        </w:rPr>
      </w:pPr>
    </w:p>
    <w:p>
      <w:pPr>
        <w:pStyle w:val="BodyText"/>
        <w:spacing w:line="360" w:lineRule="auto"/>
        <w:ind w:left="152" w:right="103" w:firstLine="566"/>
        <w:jc w:val="both"/>
      </w:pPr>
      <w:r>
        <w:rPr/>
        <w:t>Como se ha descrito con anterioridad, el dolor es una experiencia multidimensional extremadamente compleja que incluye elementos tanto sensoriales como afectivos. Los animales no pueden expresar el dolor abiertamente, sin embargo poseen los componentes neuroanatómicos y neurofarmacológicos necesarios para la recepción, transmisión y percepción del estímulo nociceptivo. De esta manera se asume que lo animales experimentan dolor, aun cuando no lo puedan percibir o comunicar exactamente como lo hace la gente (Hellyer et al. 2011). Sin embargo, está claro que puede ser especialmente difícil evaluar el grado de dolor experimentado por los animales, así como su habilidad para manejar ese dolor (Mich y Hellyer 2009).</w:t>
      </w:r>
    </w:p>
    <w:p>
      <w:pPr>
        <w:pStyle w:val="BodyText"/>
        <w:spacing w:line="360" w:lineRule="auto" w:before="9"/>
        <w:ind w:left="152" w:right="110" w:firstLine="566"/>
        <w:jc w:val="both"/>
      </w:pPr>
      <w:r>
        <w:rPr/>
        <w:t>Se ha dado por sentado que la simple observación es un método inadecuado para la evaluación del dolor (Shih et al. 2008), además de que hasta ahora, ningún método ha sido validado como el “estándar de oro” (Holton et al. 2001) así, la utilización de más de una escala puede ser  apropiada para una adecuada evaluación del dolor.</w:t>
      </w:r>
    </w:p>
    <w:p>
      <w:pPr>
        <w:pStyle w:val="BodyText"/>
        <w:spacing w:line="360" w:lineRule="auto" w:before="9"/>
        <w:ind w:left="152" w:right="109" w:firstLine="566"/>
        <w:jc w:val="both"/>
      </w:pPr>
      <w:r>
        <w:rPr/>
        <w:t>Es importante resaltar que todos los métodos de evaluación del dolor son categóricos, subjetivos y proclives al error, al subestimar o sobreestimar el grado de dolor. Incluso, si la “cantidad” de dolor es correctamente estimada, aun así es difícil de esclarecer que tan bien el individuo es capaz de manejar ese dolor. Adicionalmente, todas las escalas de dolor actuales están sujetas a algún grado de variabilidad asociada al observador (Mich y Hellyer 2009).</w:t>
      </w:r>
    </w:p>
    <w:p>
      <w:pPr>
        <w:pStyle w:val="BodyText"/>
      </w:pPr>
    </w:p>
    <w:p>
      <w:pPr>
        <w:pStyle w:val="Heading2"/>
        <w:numPr>
          <w:ilvl w:val="2"/>
          <w:numId w:val="12"/>
        </w:numPr>
        <w:tabs>
          <w:tab w:pos="1416" w:val="left" w:leader="none"/>
        </w:tabs>
        <w:spacing w:line="240" w:lineRule="auto" w:before="145" w:after="0"/>
        <w:ind w:left="1415" w:right="0" w:hanging="542"/>
        <w:jc w:val="left"/>
      </w:pPr>
      <w:bookmarkStart w:name="_bookmark28" w:id="45"/>
      <w:bookmarkEnd w:id="45"/>
      <w:r>
        <w:rPr>
          <w:b w:val="0"/>
        </w:rPr>
      </w:r>
      <w:bookmarkStart w:name="_bookmark28" w:id="46"/>
      <w:bookmarkEnd w:id="46"/>
      <w:r>
        <w:rPr/>
        <w:t>E</w:t>
      </w:r>
      <w:r>
        <w:rPr/>
        <w:t>scala de posicionamiento numérico</w:t>
      </w:r>
      <w:r>
        <w:rPr>
          <w:spacing w:val="-18"/>
        </w:rPr>
        <w:t> </w:t>
      </w:r>
      <w:r>
        <w:rPr/>
        <w:t>(NRS)</w:t>
      </w:r>
    </w:p>
    <w:p>
      <w:pPr>
        <w:pStyle w:val="BodyText"/>
        <w:spacing w:before="8"/>
        <w:rPr>
          <w:b/>
          <w:sz w:val="20"/>
        </w:rPr>
      </w:pPr>
    </w:p>
    <w:p>
      <w:pPr>
        <w:pStyle w:val="BodyText"/>
        <w:spacing w:line="360" w:lineRule="auto"/>
        <w:ind w:left="152" w:right="108" w:firstLine="566"/>
        <w:jc w:val="both"/>
      </w:pPr>
      <w:r>
        <w:rPr/>
        <w:t>La escala de posicionamiento numérico (NRS por sus siglas en inglés) es un sistema de evaluación semi-objetiva que utiliza categorías a </w:t>
      </w:r>
      <w:r>
        <w:rPr>
          <w:spacing w:val="-3"/>
        </w:rPr>
        <w:t>las </w:t>
      </w:r>
      <w:r>
        <w:rPr/>
        <w:t>que se </w:t>
      </w:r>
      <w:r>
        <w:rPr>
          <w:spacing w:val="-3"/>
        </w:rPr>
        <w:t>les </w:t>
      </w:r>
      <w:r>
        <w:rPr/>
        <w:t>asigna números enteros. Las ventajas de </w:t>
      </w:r>
      <w:r>
        <w:rPr>
          <w:spacing w:val="-5"/>
        </w:rPr>
        <w:t>la </w:t>
      </w:r>
      <w:r>
        <w:rPr/>
        <w:t>NRS incluyen una evaluación del paciente más minuciosa en comparación con </w:t>
      </w:r>
      <w:r>
        <w:rPr>
          <w:spacing w:val="-3"/>
        </w:rPr>
        <w:t>la </w:t>
      </w:r>
      <w:r>
        <w:rPr/>
        <w:t>escala visual análoga (VAS </w:t>
      </w:r>
      <w:r>
        <w:rPr>
          <w:spacing w:val="2"/>
        </w:rPr>
        <w:t>por </w:t>
      </w:r>
      <w:r>
        <w:rPr/>
        <w:t>sus siglas en inglés) y de </w:t>
      </w:r>
      <w:r>
        <w:rPr>
          <w:spacing w:val="-3"/>
        </w:rPr>
        <w:t>la </w:t>
      </w:r>
      <w:r>
        <w:rPr/>
        <w:t>escala simple descriptiva (SDS por sus siglas en inglés). Es un método fácil para tabular </w:t>
      </w:r>
      <w:r>
        <w:rPr>
          <w:spacing w:val="-3"/>
        </w:rPr>
        <w:t>la</w:t>
      </w:r>
      <w:r>
        <w:rPr>
          <w:spacing w:val="54"/>
        </w:rPr>
        <w:t> </w:t>
      </w:r>
      <w:r>
        <w:rPr/>
        <w:t>calificación (Mich  y Hellyer  2009)  y se  </w:t>
      </w:r>
      <w:r>
        <w:rPr>
          <w:spacing w:val="-3"/>
        </w:rPr>
        <w:t>ha  </w:t>
      </w:r>
      <w:r>
        <w:rPr/>
        <w:t>considerado  </w:t>
      </w:r>
      <w:r>
        <w:rPr>
          <w:spacing w:val="-3"/>
        </w:rPr>
        <w:t>como  más  </w:t>
      </w:r>
      <w:r>
        <w:rPr/>
        <w:t>conveniente  para</w:t>
      </w:r>
      <w:r>
        <w:rPr>
          <w:spacing w:val="52"/>
        </w:rPr>
        <w:t> </w:t>
      </w:r>
      <w:r>
        <w:rPr>
          <w:spacing w:val="-3"/>
        </w:rPr>
        <w:t>la</w:t>
      </w:r>
    </w:p>
    <w:p>
      <w:pPr>
        <w:pStyle w:val="BodyText"/>
        <w:spacing w:before="4"/>
        <w:ind w:left="152" w:right="70"/>
      </w:pPr>
      <w:r>
        <w:rPr/>
        <w:t>evaluación del dolor  en la  práctica clínica (Anil et  al.  2002)  además  de ser  tan fiable   y</w:t>
      </w:r>
    </w:p>
    <w:p>
      <w:pPr>
        <w:spacing w:after="0"/>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129"/>
        <w:jc w:val="both"/>
      </w:pPr>
      <w:r>
        <w:rPr/>
        <w:t>reproducible como VAS y SDS (Holton et al 1998, Mathews 2000). Dentro de las desventajas se incluye el hecho de asumir que existe una diferencia igual al sopesar entre cada categoría, cuando de hecho puede no ser cierto, además de que no toma en cuenta el posible efecto residual o adverso de los anestésicos (Mich y Hellyer 2009, Hellyer et al. 2011).</w:t>
      </w:r>
    </w:p>
    <w:p>
      <w:pPr>
        <w:pStyle w:val="BodyText"/>
      </w:pPr>
    </w:p>
    <w:p>
      <w:pPr>
        <w:pStyle w:val="Heading2"/>
        <w:numPr>
          <w:ilvl w:val="2"/>
          <w:numId w:val="12"/>
        </w:numPr>
        <w:tabs>
          <w:tab w:pos="1416" w:val="left" w:leader="none"/>
        </w:tabs>
        <w:spacing w:line="240" w:lineRule="auto" w:before="146" w:after="0"/>
        <w:ind w:left="1415" w:right="0" w:hanging="542"/>
        <w:jc w:val="left"/>
      </w:pPr>
      <w:bookmarkStart w:name="_bookmark29" w:id="47"/>
      <w:bookmarkEnd w:id="47"/>
      <w:r>
        <w:rPr>
          <w:b w:val="0"/>
        </w:rPr>
      </w:r>
      <w:bookmarkStart w:name="_bookmark29" w:id="48"/>
      <w:bookmarkEnd w:id="48"/>
      <w:r>
        <w:rPr/>
        <w:t>E</w:t>
      </w:r>
      <w:r>
        <w:rPr/>
        <w:t>scala de dolor de </w:t>
      </w:r>
      <w:r>
        <w:rPr>
          <w:spacing w:val="-3"/>
        </w:rPr>
        <w:t>la </w:t>
      </w:r>
      <w:r>
        <w:rPr/>
        <w:t>Universidad de Melbourne</w:t>
      </w:r>
      <w:r>
        <w:rPr>
          <w:spacing w:val="-7"/>
        </w:rPr>
        <w:t> </w:t>
      </w:r>
      <w:r>
        <w:rPr/>
        <w:t>(UMPS).</w:t>
      </w:r>
    </w:p>
    <w:p>
      <w:pPr>
        <w:pStyle w:val="BodyText"/>
        <w:spacing w:before="7"/>
        <w:rPr>
          <w:b/>
          <w:sz w:val="20"/>
        </w:rPr>
      </w:pPr>
    </w:p>
    <w:p>
      <w:pPr>
        <w:pStyle w:val="BodyText"/>
        <w:spacing w:line="360" w:lineRule="auto"/>
        <w:ind w:left="152" w:right="126" w:firstLine="566"/>
        <w:jc w:val="both"/>
      </w:pPr>
      <w:r>
        <w:rPr/>
        <w:t>Esta escala fue desarrollada para evaluar el dolor postoperatorio, teniendo en consideración </w:t>
      </w:r>
      <w:r>
        <w:rPr>
          <w:spacing w:val="-5"/>
        </w:rPr>
        <w:t>la </w:t>
      </w:r>
      <w:r>
        <w:rPr/>
        <w:t>evaluación del comportamiento y de los signos fisiológicos. Se asignan valores a los incrementos de </w:t>
      </w:r>
      <w:r>
        <w:rPr>
          <w:spacing w:val="-5"/>
        </w:rPr>
        <w:t>la </w:t>
      </w:r>
      <w:r>
        <w:rPr/>
        <w:t>frecuencia respiratoria y frecuencia cardiaca asumiendo que existe una relación entre estos incrementos y la intensidad </w:t>
      </w:r>
      <w:r>
        <w:rPr>
          <w:spacing w:val="2"/>
        </w:rPr>
        <w:t>del </w:t>
      </w:r>
      <w:r>
        <w:rPr/>
        <w:t>dolor, </w:t>
      </w:r>
      <w:r>
        <w:rPr>
          <w:spacing w:val="-3"/>
        </w:rPr>
        <w:t>sin  </w:t>
      </w:r>
      <w:r>
        <w:rPr/>
        <w:t>embargo  </w:t>
      </w:r>
      <w:r>
        <w:rPr>
          <w:spacing w:val="-5"/>
        </w:rPr>
        <w:t>lo </w:t>
      </w:r>
      <w:r>
        <w:rPr/>
        <w:t>opuesto también ha sido documentado (Holton et </w:t>
      </w:r>
      <w:r>
        <w:rPr>
          <w:spacing w:val="-4"/>
        </w:rPr>
        <w:t>al. </w:t>
      </w:r>
      <w:r>
        <w:rPr/>
        <w:t>2001). En general esta escala se considera </w:t>
      </w:r>
      <w:r>
        <w:rPr>
          <w:spacing w:val="-3"/>
        </w:rPr>
        <w:t>más </w:t>
      </w:r>
      <w:r>
        <w:rPr/>
        <w:t>precisa que </w:t>
      </w:r>
      <w:r>
        <w:rPr>
          <w:spacing w:val="-4"/>
        </w:rPr>
        <w:t>las </w:t>
      </w:r>
      <w:r>
        <w:rPr/>
        <w:t>escalas VAS, SDS y NRS, si bien, es necesario cierto conocimiento previo del comportamiento del perro (estado mental y de conducta) antes de </w:t>
      </w:r>
      <w:r>
        <w:rPr>
          <w:spacing w:val="-3"/>
        </w:rPr>
        <w:t>la </w:t>
      </w:r>
      <w:r>
        <w:rPr/>
        <w:t>anestesia y cirugía (Mich y Hellyer 2009). La escala está compuesta de 6 categorías (Cuadro 1) asignándose calificaciones entre 0 y un </w:t>
      </w:r>
      <w:r>
        <w:rPr>
          <w:spacing w:val="-3"/>
        </w:rPr>
        <w:t>máximo </w:t>
      </w:r>
      <w:r>
        <w:rPr/>
        <w:t>de 27 (Hellyer et </w:t>
      </w:r>
      <w:r>
        <w:rPr>
          <w:spacing w:val="-4"/>
        </w:rPr>
        <w:t>al.</w:t>
      </w:r>
      <w:r>
        <w:rPr>
          <w:spacing w:val="1"/>
        </w:rPr>
        <w:t> </w:t>
      </w:r>
      <w:r>
        <w:rPr/>
        <w:t>2011).</w:t>
      </w:r>
    </w:p>
    <w:p>
      <w:pPr>
        <w:pStyle w:val="BodyText"/>
      </w:pPr>
    </w:p>
    <w:p>
      <w:pPr>
        <w:pStyle w:val="Heading2"/>
        <w:numPr>
          <w:ilvl w:val="2"/>
          <w:numId w:val="12"/>
        </w:numPr>
        <w:tabs>
          <w:tab w:pos="1416" w:val="left" w:leader="none"/>
        </w:tabs>
        <w:spacing w:line="240" w:lineRule="auto" w:before="145" w:after="0"/>
        <w:ind w:left="1415" w:right="0" w:hanging="542"/>
        <w:jc w:val="left"/>
      </w:pPr>
      <w:bookmarkStart w:name="_bookmark30" w:id="49"/>
      <w:bookmarkEnd w:id="49"/>
      <w:r>
        <w:rPr>
          <w:b w:val="0"/>
        </w:rPr>
      </w:r>
      <w:bookmarkStart w:name="_bookmark30" w:id="50"/>
      <w:bookmarkEnd w:id="50"/>
      <w:r>
        <w:rPr/>
        <w:t>E</w:t>
      </w:r>
      <w:r>
        <w:rPr/>
        <w:t>scala compuesta de evaluación de dolor de Glasgow</w:t>
      </w:r>
      <w:r>
        <w:rPr>
          <w:spacing w:val="-26"/>
        </w:rPr>
        <w:t> </w:t>
      </w:r>
      <w:r>
        <w:rPr/>
        <w:t>(GCPS)</w:t>
      </w:r>
    </w:p>
    <w:p>
      <w:pPr>
        <w:pStyle w:val="BodyText"/>
        <w:spacing w:before="8"/>
        <w:rPr>
          <w:b/>
          <w:sz w:val="20"/>
        </w:rPr>
      </w:pPr>
    </w:p>
    <w:p>
      <w:pPr>
        <w:pStyle w:val="BodyText"/>
        <w:spacing w:line="360" w:lineRule="auto"/>
        <w:ind w:left="152" w:right="111" w:firstLine="705"/>
        <w:jc w:val="both"/>
      </w:pPr>
      <w:r>
        <w:rPr/>
        <w:t>Esta escala se </w:t>
      </w:r>
      <w:r>
        <w:rPr>
          <w:spacing w:val="-3"/>
        </w:rPr>
        <w:t>basa </w:t>
      </w:r>
      <w:r>
        <w:rPr/>
        <w:t>en signos conductuales los cuales se considera que representan </w:t>
      </w:r>
      <w:r>
        <w:rPr>
          <w:spacing w:val="8"/>
        </w:rPr>
        <w:t>el </w:t>
      </w:r>
      <w:r>
        <w:rPr/>
        <w:t>dolor en el perro (Holton et </w:t>
      </w:r>
      <w:r>
        <w:rPr>
          <w:spacing w:val="-4"/>
        </w:rPr>
        <w:t>al. </w:t>
      </w:r>
      <w:r>
        <w:rPr/>
        <w:t>2001). Los datos fisiológicos </w:t>
      </w:r>
      <w:r>
        <w:rPr>
          <w:spacing w:val="-3"/>
        </w:rPr>
        <w:t>no </w:t>
      </w:r>
      <w:r>
        <w:rPr/>
        <w:t>se incluyen y </w:t>
      </w:r>
      <w:r>
        <w:rPr>
          <w:spacing w:val="-3"/>
        </w:rPr>
        <w:t>la </w:t>
      </w:r>
      <w:r>
        <w:rPr/>
        <w:t>exactitud se incrementa sobre VAS, SDS y NRS. La escala está compuesta por 6 categorías conductuales que incluyen postura, confort, vocalización, atención a </w:t>
      </w:r>
      <w:r>
        <w:rPr>
          <w:spacing w:val="-3"/>
        </w:rPr>
        <w:t>la </w:t>
      </w:r>
      <w:r>
        <w:rPr/>
        <w:t>herida, comportamiento y respuesta hacia los humanos, movilidad y respuesta al tacto (Cuadro 2). La máxima puntuación es de 24 o 20 si </w:t>
      </w:r>
      <w:r>
        <w:rPr>
          <w:spacing w:val="-3"/>
        </w:rPr>
        <w:t>la </w:t>
      </w:r>
      <w:r>
        <w:rPr/>
        <w:t>movilidad </w:t>
      </w:r>
      <w:r>
        <w:rPr>
          <w:spacing w:val="-3"/>
        </w:rPr>
        <w:t>no </w:t>
      </w:r>
      <w:r>
        <w:rPr/>
        <w:t>puede ser evaluada. Esta escala </w:t>
      </w:r>
      <w:r>
        <w:rPr>
          <w:spacing w:val="-3"/>
        </w:rPr>
        <w:t>no </w:t>
      </w:r>
      <w:r>
        <w:rPr/>
        <w:t>toma en consideración el efecto residual de los anestésicos (Mich y Hellyer 2009, Hellyer   et </w:t>
      </w:r>
      <w:r>
        <w:rPr>
          <w:spacing w:val="-4"/>
        </w:rPr>
        <w:t>al.</w:t>
      </w:r>
      <w:r>
        <w:rPr>
          <w:spacing w:val="12"/>
        </w:rPr>
        <w:t> </w:t>
      </w:r>
      <w:r>
        <w:rPr/>
        <w:t>2011).</w:t>
      </w:r>
    </w:p>
    <w:p>
      <w:pPr>
        <w:spacing w:after="0" w:line="360" w:lineRule="auto"/>
        <w:jc w:val="both"/>
        <w:sectPr>
          <w:pgSz w:w="12240" w:h="15840"/>
          <w:pgMar w:header="0" w:footer="1628" w:top="1500" w:bottom="1880" w:left="1720" w:right="1400"/>
        </w:sectPr>
      </w:pPr>
    </w:p>
    <w:p>
      <w:pPr>
        <w:pStyle w:val="BodyText"/>
        <w:spacing w:before="7"/>
        <w:rPr>
          <w:sz w:val="20"/>
        </w:rPr>
      </w:pPr>
    </w:p>
    <w:p>
      <w:pPr>
        <w:pStyle w:val="BodyText"/>
        <w:spacing w:line="274" w:lineRule="exact" w:before="74"/>
        <w:ind w:left="152" w:right="476"/>
      </w:pPr>
      <w:bookmarkStart w:name="_bookmark31" w:id="51"/>
      <w:bookmarkEnd w:id="51"/>
      <w:r>
        <w:rPr/>
      </w:r>
      <w:r>
        <w:rPr/>
        <w:t>Cuadro 1. Escala de dolor de la Universidad de Melbourne (UMPS) (Holton et al. 2001; Hellyer et al. 2011).</w:t>
      </w:r>
    </w:p>
    <w:p>
      <w:pPr>
        <w:pStyle w:val="BodyText"/>
        <w:rPr>
          <w:sz w:val="18"/>
        </w:rPr>
      </w:pPr>
    </w:p>
    <w:tbl>
      <w:tblPr>
        <w:tblW w:w="0" w:type="auto"/>
        <w:jc w:val="left"/>
        <w:tblInd w:w="1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0"/>
        <w:gridCol w:w="317"/>
        <w:gridCol w:w="1719"/>
        <w:gridCol w:w="1301"/>
        <w:gridCol w:w="996"/>
      </w:tblGrid>
      <w:tr>
        <w:trPr>
          <w:trHeight w:val="386" w:hRule="exact"/>
        </w:trPr>
        <w:tc>
          <w:tcPr>
            <w:tcW w:w="2617" w:type="dxa"/>
            <w:gridSpan w:val="2"/>
          </w:tcPr>
          <w:p>
            <w:pPr>
              <w:pStyle w:val="TableParagraph"/>
              <w:spacing w:before="95"/>
              <w:ind w:left="806"/>
              <w:jc w:val="left"/>
              <w:rPr>
                <w:b/>
                <w:sz w:val="16"/>
              </w:rPr>
            </w:pPr>
            <w:r>
              <w:rPr>
                <w:b/>
                <w:sz w:val="16"/>
              </w:rPr>
              <w:t>CATEGORÍA</w:t>
            </w:r>
          </w:p>
        </w:tc>
        <w:tc>
          <w:tcPr>
            <w:tcW w:w="3020" w:type="dxa"/>
            <w:gridSpan w:val="2"/>
          </w:tcPr>
          <w:p>
            <w:pPr>
              <w:pStyle w:val="TableParagraph"/>
              <w:spacing w:before="95"/>
              <w:ind w:left="946" w:right="197"/>
              <w:jc w:val="left"/>
              <w:rPr>
                <w:b/>
                <w:sz w:val="16"/>
              </w:rPr>
            </w:pPr>
            <w:r>
              <w:rPr>
                <w:b/>
                <w:sz w:val="16"/>
              </w:rPr>
              <w:t>DESCRIPCIÓN</w:t>
            </w:r>
          </w:p>
        </w:tc>
        <w:tc>
          <w:tcPr>
            <w:tcW w:w="996" w:type="dxa"/>
          </w:tcPr>
          <w:p>
            <w:pPr>
              <w:pStyle w:val="TableParagraph"/>
              <w:spacing w:before="95"/>
              <w:ind w:left="124"/>
              <w:jc w:val="left"/>
              <w:rPr>
                <w:b/>
                <w:sz w:val="16"/>
              </w:rPr>
            </w:pPr>
            <w:r>
              <w:rPr>
                <w:b/>
                <w:sz w:val="16"/>
              </w:rPr>
              <w:t>PUNTAJE</w:t>
            </w:r>
          </w:p>
        </w:tc>
      </w:tr>
      <w:tr>
        <w:trPr>
          <w:trHeight w:val="403" w:hRule="exact"/>
        </w:trPr>
        <w:tc>
          <w:tcPr>
            <w:tcW w:w="2617" w:type="dxa"/>
            <w:gridSpan w:val="2"/>
            <w:vMerge w:val="restart"/>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tabs>
                <w:tab w:pos="460" w:val="left" w:leader="none"/>
              </w:tabs>
              <w:spacing w:before="105"/>
              <w:ind w:left="100"/>
              <w:jc w:val="left"/>
              <w:rPr>
                <w:rFonts w:ascii="Calibri" w:hAnsi="Calibri"/>
                <w:sz w:val="16"/>
              </w:rPr>
            </w:pPr>
            <w:r>
              <w:rPr>
                <w:rFonts w:ascii="Calibri" w:hAnsi="Calibri"/>
                <w:sz w:val="16"/>
              </w:rPr>
              <w:t>1.</w:t>
              <w:tab/>
              <w:t>Parámetros</w:t>
            </w:r>
            <w:r>
              <w:rPr>
                <w:rFonts w:ascii="Calibri" w:hAnsi="Calibri"/>
                <w:spacing w:val="-16"/>
                <w:sz w:val="16"/>
              </w:rPr>
              <w:t> </w:t>
            </w:r>
            <w:r>
              <w:rPr>
                <w:rFonts w:ascii="Calibri" w:hAnsi="Calibri"/>
                <w:sz w:val="16"/>
              </w:rPr>
              <w:t>fisiológicos</w:t>
            </w:r>
          </w:p>
        </w:tc>
        <w:tc>
          <w:tcPr>
            <w:tcW w:w="3020" w:type="dxa"/>
            <w:gridSpan w:val="2"/>
          </w:tcPr>
          <w:p>
            <w:pPr>
              <w:pStyle w:val="TableParagraph"/>
              <w:tabs>
                <w:tab w:pos="465" w:val="left" w:leader="none"/>
              </w:tabs>
              <w:spacing w:line="242" w:lineRule="auto"/>
              <w:ind w:left="465" w:right="197" w:hanging="360"/>
              <w:jc w:val="left"/>
              <w:rPr>
                <w:rFonts w:ascii="Calibri" w:hAnsi="Calibri"/>
                <w:sz w:val="16"/>
              </w:rPr>
            </w:pPr>
            <w:r>
              <w:rPr>
                <w:rFonts w:ascii="Calibri" w:hAnsi="Calibri"/>
                <w:sz w:val="16"/>
              </w:rPr>
              <w:t>a.</w:t>
              <w:tab/>
              <w:t>Datos fisiólogos dentro del</w:t>
            </w:r>
            <w:r>
              <w:rPr>
                <w:rFonts w:ascii="Calibri" w:hAnsi="Calibri"/>
                <w:spacing w:val="-14"/>
                <w:sz w:val="16"/>
              </w:rPr>
              <w:t> </w:t>
            </w:r>
            <w:r>
              <w:rPr>
                <w:rFonts w:ascii="Calibri" w:hAnsi="Calibri"/>
                <w:sz w:val="16"/>
              </w:rPr>
              <w:t>rango</w:t>
            </w:r>
            <w:r>
              <w:rPr>
                <w:rFonts w:ascii="Calibri" w:hAnsi="Calibri"/>
                <w:spacing w:val="-5"/>
                <w:sz w:val="16"/>
              </w:rPr>
              <w:t> </w:t>
            </w:r>
            <w:r>
              <w:rPr>
                <w:rFonts w:ascii="Calibri" w:hAnsi="Calibri"/>
                <w:sz w:val="16"/>
              </w:rPr>
              <w:t>de</w:t>
            </w:r>
            <w:r>
              <w:rPr>
                <w:rFonts w:ascii="Calibri" w:hAnsi="Calibri"/>
                <w:w w:val="99"/>
                <w:sz w:val="16"/>
              </w:rPr>
              <w:t> </w:t>
            </w:r>
            <w:r>
              <w:rPr>
                <w:rFonts w:ascii="Calibri" w:hAnsi="Calibri"/>
                <w:sz w:val="16"/>
              </w:rPr>
              <w:t>referencia.</w:t>
            </w:r>
          </w:p>
        </w:tc>
        <w:tc>
          <w:tcPr>
            <w:tcW w:w="996" w:type="dxa"/>
          </w:tcPr>
          <w:p>
            <w:pPr>
              <w:pStyle w:val="TableParagraph"/>
              <w:spacing w:line="179" w:lineRule="exact"/>
              <w:ind w:right="2"/>
              <w:rPr>
                <w:sz w:val="16"/>
              </w:rPr>
            </w:pPr>
            <w:r>
              <w:rPr>
                <w:w w:val="99"/>
                <w:sz w:val="16"/>
              </w:rPr>
              <w:t>0</w:t>
            </w:r>
          </w:p>
        </w:tc>
      </w:tr>
      <w:tr>
        <w:trPr>
          <w:trHeight w:val="206" w:hRule="exact"/>
        </w:trPr>
        <w:tc>
          <w:tcPr>
            <w:tcW w:w="2617" w:type="dxa"/>
            <w:gridSpan w:val="2"/>
            <w:vMerge/>
          </w:tcPr>
          <w:p>
            <w:pPr/>
          </w:p>
        </w:tc>
        <w:tc>
          <w:tcPr>
            <w:tcW w:w="3020" w:type="dxa"/>
            <w:gridSpan w:val="2"/>
          </w:tcPr>
          <w:p>
            <w:pPr>
              <w:pStyle w:val="TableParagraph"/>
              <w:tabs>
                <w:tab w:pos="465" w:val="left" w:leader="none"/>
              </w:tabs>
              <w:spacing w:line="192" w:lineRule="exact"/>
              <w:ind w:left="105" w:right="197"/>
              <w:jc w:val="left"/>
              <w:rPr>
                <w:rFonts w:ascii="Calibri"/>
                <w:sz w:val="16"/>
              </w:rPr>
            </w:pPr>
            <w:r>
              <w:rPr>
                <w:rFonts w:ascii="Calibri"/>
                <w:sz w:val="16"/>
              </w:rPr>
              <w:t>b.</w:t>
              <w:tab/>
              <w:t>Pupilas</w:t>
            </w:r>
            <w:r>
              <w:rPr>
                <w:rFonts w:ascii="Calibri"/>
                <w:spacing w:val="-13"/>
                <w:sz w:val="16"/>
              </w:rPr>
              <w:t> </w:t>
            </w:r>
            <w:r>
              <w:rPr>
                <w:rFonts w:ascii="Calibri"/>
                <w:sz w:val="16"/>
              </w:rPr>
              <w:t>dilatadas</w:t>
            </w:r>
          </w:p>
        </w:tc>
        <w:tc>
          <w:tcPr>
            <w:tcW w:w="996" w:type="dxa"/>
          </w:tcPr>
          <w:p>
            <w:pPr>
              <w:pStyle w:val="TableParagraph"/>
              <w:spacing w:line="179" w:lineRule="exact"/>
              <w:ind w:right="2"/>
              <w:rPr>
                <w:sz w:val="16"/>
              </w:rPr>
            </w:pPr>
            <w:r>
              <w:rPr>
                <w:w w:val="98"/>
                <w:sz w:val="16"/>
              </w:rPr>
              <w:t>2</w:t>
            </w:r>
          </w:p>
        </w:tc>
      </w:tr>
      <w:tr>
        <w:trPr>
          <w:trHeight w:val="984" w:hRule="exact"/>
        </w:trPr>
        <w:tc>
          <w:tcPr>
            <w:tcW w:w="2617" w:type="dxa"/>
            <w:gridSpan w:val="2"/>
            <w:vMerge/>
          </w:tcPr>
          <w:p>
            <w:pPr/>
          </w:p>
        </w:tc>
        <w:tc>
          <w:tcPr>
            <w:tcW w:w="3020" w:type="dxa"/>
            <w:gridSpan w:val="2"/>
          </w:tcPr>
          <w:p>
            <w:pPr>
              <w:pStyle w:val="TableParagraph"/>
              <w:tabs>
                <w:tab w:pos="465" w:val="left" w:leader="none"/>
              </w:tabs>
              <w:spacing w:line="235" w:lineRule="auto"/>
              <w:ind w:left="465" w:right="228" w:hanging="360"/>
              <w:jc w:val="left"/>
              <w:rPr>
                <w:rFonts w:ascii="Calibri" w:hAnsi="Calibri"/>
                <w:sz w:val="16"/>
              </w:rPr>
            </w:pPr>
            <w:r>
              <w:rPr>
                <w:rFonts w:ascii="Calibri" w:hAnsi="Calibri"/>
                <w:sz w:val="16"/>
              </w:rPr>
              <w:t>c.</w:t>
              <w:tab/>
              <w:t>Incremento de la FC en relación</w:t>
            </w:r>
            <w:r>
              <w:rPr>
                <w:rFonts w:ascii="Calibri" w:hAnsi="Calibri"/>
                <w:spacing w:val="-19"/>
                <w:sz w:val="16"/>
              </w:rPr>
              <w:t> </w:t>
            </w:r>
            <w:r>
              <w:rPr>
                <w:rFonts w:ascii="Calibri" w:hAnsi="Calibri"/>
                <w:sz w:val="16"/>
              </w:rPr>
              <w:t>a la</w:t>
            </w:r>
            <w:r>
              <w:rPr>
                <w:rFonts w:ascii="Calibri" w:hAnsi="Calibri"/>
                <w:w w:val="98"/>
                <w:sz w:val="16"/>
              </w:rPr>
              <w:t> </w:t>
            </w:r>
            <w:r>
              <w:rPr>
                <w:rFonts w:ascii="Calibri" w:hAnsi="Calibri"/>
                <w:sz w:val="16"/>
              </w:rPr>
              <w:t>basal:</w:t>
            </w:r>
          </w:p>
          <w:p>
            <w:pPr>
              <w:pStyle w:val="TableParagraph"/>
              <w:spacing w:before="2"/>
              <w:ind w:left="825" w:right="197"/>
              <w:jc w:val="left"/>
              <w:rPr>
                <w:rFonts w:ascii="Calibri"/>
                <w:sz w:val="16"/>
              </w:rPr>
            </w:pPr>
            <w:r>
              <w:rPr>
                <w:rFonts w:ascii="Calibri"/>
                <w:sz w:val="16"/>
              </w:rPr>
              <w:t>&gt;20%</w:t>
            </w:r>
          </w:p>
          <w:p>
            <w:pPr>
              <w:pStyle w:val="TableParagraph"/>
              <w:spacing w:line="194" w:lineRule="exact" w:before="2"/>
              <w:ind w:left="825" w:right="197"/>
              <w:jc w:val="left"/>
              <w:rPr>
                <w:rFonts w:ascii="Calibri"/>
                <w:sz w:val="16"/>
              </w:rPr>
            </w:pPr>
            <w:r>
              <w:rPr>
                <w:rFonts w:ascii="Calibri"/>
                <w:sz w:val="16"/>
              </w:rPr>
              <w:t>&gt;50%</w:t>
            </w:r>
          </w:p>
          <w:p>
            <w:pPr>
              <w:pStyle w:val="TableParagraph"/>
              <w:spacing w:line="194" w:lineRule="exact"/>
              <w:ind w:left="825" w:right="197"/>
              <w:jc w:val="left"/>
              <w:rPr>
                <w:rFonts w:ascii="Calibri"/>
                <w:sz w:val="16"/>
              </w:rPr>
            </w:pPr>
            <w:r>
              <w:rPr>
                <w:rFonts w:ascii="Calibri"/>
                <w:sz w:val="16"/>
              </w:rPr>
              <w:t>&gt;100%</w:t>
            </w:r>
          </w:p>
        </w:tc>
        <w:tc>
          <w:tcPr>
            <w:tcW w:w="996" w:type="dxa"/>
          </w:tcPr>
          <w:p>
            <w:pPr>
              <w:pStyle w:val="TableParagraph"/>
              <w:jc w:val="left"/>
              <w:rPr>
                <w:sz w:val="16"/>
              </w:rPr>
            </w:pPr>
          </w:p>
          <w:p>
            <w:pPr>
              <w:pStyle w:val="TableParagraph"/>
              <w:spacing w:before="2"/>
              <w:jc w:val="left"/>
              <w:rPr>
                <w:sz w:val="15"/>
              </w:rPr>
            </w:pPr>
          </w:p>
          <w:p>
            <w:pPr>
              <w:pStyle w:val="TableParagraph"/>
              <w:spacing w:before="1"/>
              <w:ind w:right="2"/>
              <w:rPr>
                <w:sz w:val="16"/>
              </w:rPr>
            </w:pPr>
            <w:r>
              <w:rPr>
                <w:w w:val="98"/>
                <w:sz w:val="16"/>
              </w:rPr>
              <w:t>1</w:t>
            </w:r>
          </w:p>
          <w:p>
            <w:pPr>
              <w:pStyle w:val="TableParagraph"/>
              <w:spacing w:line="183" w:lineRule="exact" w:before="3"/>
              <w:ind w:right="2"/>
              <w:rPr>
                <w:sz w:val="16"/>
              </w:rPr>
            </w:pPr>
            <w:r>
              <w:rPr>
                <w:w w:val="98"/>
                <w:sz w:val="16"/>
              </w:rPr>
              <w:t>2</w:t>
            </w:r>
          </w:p>
          <w:p>
            <w:pPr>
              <w:pStyle w:val="TableParagraph"/>
              <w:spacing w:line="183" w:lineRule="exact"/>
              <w:ind w:right="2"/>
              <w:rPr>
                <w:sz w:val="16"/>
              </w:rPr>
            </w:pPr>
            <w:r>
              <w:rPr>
                <w:w w:val="98"/>
                <w:sz w:val="16"/>
              </w:rPr>
              <w:t>3</w:t>
            </w:r>
          </w:p>
        </w:tc>
      </w:tr>
      <w:tr>
        <w:trPr>
          <w:trHeight w:val="989" w:hRule="exact"/>
        </w:trPr>
        <w:tc>
          <w:tcPr>
            <w:tcW w:w="2617" w:type="dxa"/>
            <w:gridSpan w:val="2"/>
            <w:vMerge/>
          </w:tcPr>
          <w:p>
            <w:pPr/>
          </w:p>
        </w:tc>
        <w:tc>
          <w:tcPr>
            <w:tcW w:w="3020" w:type="dxa"/>
            <w:gridSpan w:val="2"/>
          </w:tcPr>
          <w:p>
            <w:pPr>
              <w:pStyle w:val="TableParagraph"/>
              <w:tabs>
                <w:tab w:pos="465" w:val="left" w:leader="none"/>
              </w:tabs>
              <w:spacing w:line="242" w:lineRule="auto"/>
              <w:ind w:left="465" w:right="225" w:hanging="360"/>
              <w:jc w:val="left"/>
              <w:rPr>
                <w:rFonts w:ascii="Calibri" w:hAnsi="Calibri"/>
                <w:sz w:val="16"/>
              </w:rPr>
            </w:pPr>
            <w:r>
              <w:rPr>
                <w:rFonts w:ascii="Calibri" w:hAnsi="Calibri"/>
                <w:sz w:val="16"/>
              </w:rPr>
              <w:t>d.</w:t>
              <w:tab/>
              <w:t>Incremento de la FR en relación</w:t>
            </w:r>
            <w:r>
              <w:rPr>
                <w:rFonts w:ascii="Calibri" w:hAnsi="Calibri"/>
                <w:spacing w:val="-13"/>
                <w:sz w:val="16"/>
              </w:rPr>
              <w:t> </w:t>
            </w:r>
            <w:r>
              <w:rPr>
                <w:rFonts w:ascii="Calibri" w:hAnsi="Calibri"/>
                <w:sz w:val="16"/>
              </w:rPr>
              <w:t>a</w:t>
            </w:r>
            <w:r>
              <w:rPr>
                <w:rFonts w:ascii="Calibri" w:hAnsi="Calibri"/>
                <w:spacing w:val="-4"/>
                <w:sz w:val="16"/>
              </w:rPr>
              <w:t> </w:t>
            </w:r>
            <w:r>
              <w:rPr>
                <w:rFonts w:ascii="Calibri" w:hAnsi="Calibri"/>
                <w:sz w:val="16"/>
              </w:rPr>
              <w:t>la</w:t>
            </w:r>
            <w:r>
              <w:rPr>
                <w:rFonts w:ascii="Calibri" w:hAnsi="Calibri"/>
                <w:w w:val="99"/>
                <w:sz w:val="16"/>
              </w:rPr>
              <w:t> </w:t>
            </w:r>
            <w:r>
              <w:rPr>
                <w:rFonts w:ascii="Calibri" w:hAnsi="Calibri"/>
                <w:sz w:val="16"/>
              </w:rPr>
              <w:t>basal:</w:t>
            </w:r>
          </w:p>
          <w:p>
            <w:pPr>
              <w:pStyle w:val="TableParagraph"/>
              <w:spacing w:line="193" w:lineRule="exact"/>
              <w:ind w:left="825" w:right="197"/>
              <w:jc w:val="left"/>
              <w:rPr>
                <w:rFonts w:ascii="Calibri"/>
                <w:sz w:val="16"/>
              </w:rPr>
            </w:pPr>
            <w:r>
              <w:rPr>
                <w:rFonts w:ascii="Calibri"/>
                <w:sz w:val="16"/>
              </w:rPr>
              <w:t>&gt;20%</w:t>
            </w:r>
          </w:p>
          <w:p>
            <w:pPr>
              <w:pStyle w:val="TableParagraph"/>
              <w:spacing w:line="194" w:lineRule="exact"/>
              <w:ind w:left="825" w:right="197"/>
              <w:jc w:val="left"/>
              <w:rPr>
                <w:rFonts w:ascii="Calibri"/>
                <w:sz w:val="16"/>
              </w:rPr>
            </w:pPr>
            <w:r>
              <w:rPr>
                <w:rFonts w:ascii="Calibri"/>
                <w:sz w:val="16"/>
              </w:rPr>
              <w:t>&gt;50%</w:t>
            </w:r>
          </w:p>
          <w:p>
            <w:pPr>
              <w:pStyle w:val="TableParagraph"/>
              <w:spacing w:before="1"/>
              <w:ind w:left="825" w:right="197"/>
              <w:jc w:val="left"/>
              <w:rPr>
                <w:rFonts w:ascii="Calibri"/>
                <w:sz w:val="16"/>
              </w:rPr>
            </w:pPr>
            <w:r>
              <w:rPr>
                <w:rFonts w:ascii="Calibri"/>
                <w:sz w:val="16"/>
              </w:rPr>
              <w:t>&gt;100%</w:t>
            </w:r>
          </w:p>
        </w:tc>
        <w:tc>
          <w:tcPr>
            <w:tcW w:w="996" w:type="dxa"/>
          </w:tcPr>
          <w:p>
            <w:pPr>
              <w:pStyle w:val="TableParagraph"/>
              <w:jc w:val="left"/>
              <w:rPr>
                <w:sz w:val="16"/>
              </w:rPr>
            </w:pPr>
          </w:p>
          <w:p>
            <w:pPr>
              <w:pStyle w:val="TableParagraph"/>
              <w:spacing w:before="7"/>
              <w:jc w:val="left"/>
              <w:rPr>
                <w:sz w:val="15"/>
              </w:rPr>
            </w:pPr>
          </w:p>
          <w:p>
            <w:pPr>
              <w:pStyle w:val="TableParagraph"/>
              <w:spacing w:line="183" w:lineRule="exact"/>
              <w:ind w:right="2"/>
              <w:rPr>
                <w:sz w:val="16"/>
              </w:rPr>
            </w:pPr>
            <w:r>
              <w:rPr>
                <w:w w:val="99"/>
                <w:sz w:val="16"/>
              </w:rPr>
              <w:t>1</w:t>
            </w:r>
          </w:p>
          <w:p>
            <w:pPr>
              <w:pStyle w:val="TableParagraph"/>
              <w:spacing w:line="183" w:lineRule="exact"/>
              <w:ind w:right="2"/>
              <w:rPr>
                <w:sz w:val="16"/>
              </w:rPr>
            </w:pPr>
            <w:r>
              <w:rPr>
                <w:w w:val="99"/>
                <w:sz w:val="16"/>
              </w:rPr>
              <w:t>2</w:t>
            </w:r>
          </w:p>
          <w:p>
            <w:pPr>
              <w:pStyle w:val="TableParagraph"/>
              <w:spacing w:before="3"/>
              <w:ind w:right="2"/>
              <w:rPr>
                <w:sz w:val="16"/>
              </w:rPr>
            </w:pPr>
            <w:r>
              <w:rPr>
                <w:w w:val="98"/>
                <w:sz w:val="16"/>
              </w:rPr>
              <w:t>3</w:t>
            </w:r>
          </w:p>
        </w:tc>
      </w:tr>
      <w:tr>
        <w:trPr>
          <w:trHeight w:val="399" w:hRule="exact"/>
        </w:trPr>
        <w:tc>
          <w:tcPr>
            <w:tcW w:w="2617" w:type="dxa"/>
            <w:gridSpan w:val="2"/>
            <w:vMerge/>
          </w:tcPr>
          <w:p>
            <w:pPr/>
          </w:p>
        </w:tc>
        <w:tc>
          <w:tcPr>
            <w:tcW w:w="3020" w:type="dxa"/>
            <w:gridSpan w:val="2"/>
          </w:tcPr>
          <w:p>
            <w:pPr>
              <w:pStyle w:val="TableParagraph"/>
              <w:tabs>
                <w:tab w:pos="465" w:val="left" w:leader="none"/>
              </w:tabs>
              <w:spacing w:line="237" w:lineRule="auto"/>
              <w:ind w:left="465" w:right="231" w:hanging="360"/>
              <w:jc w:val="left"/>
              <w:rPr>
                <w:rFonts w:ascii="Calibri"/>
                <w:sz w:val="16"/>
              </w:rPr>
            </w:pPr>
            <w:r>
              <w:rPr>
                <w:rFonts w:ascii="Calibri"/>
                <w:sz w:val="16"/>
              </w:rPr>
              <w:t>e.</w:t>
              <w:tab/>
              <w:t>Temperatura rectal excede</w:t>
            </w:r>
            <w:r>
              <w:rPr>
                <w:rFonts w:ascii="Calibri"/>
                <w:spacing w:val="-14"/>
                <w:sz w:val="16"/>
              </w:rPr>
              <w:t> </w:t>
            </w:r>
            <w:r>
              <w:rPr>
                <w:rFonts w:ascii="Calibri"/>
                <w:sz w:val="16"/>
              </w:rPr>
              <w:t>el</w:t>
            </w:r>
            <w:r>
              <w:rPr>
                <w:rFonts w:ascii="Calibri"/>
                <w:spacing w:val="-2"/>
                <w:sz w:val="16"/>
              </w:rPr>
              <w:t> </w:t>
            </w:r>
            <w:r>
              <w:rPr>
                <w:rFonts w:ascii="Calibri"/>
                <w:sz w:val="16"/>
              </w:rPr>
              <w:t>rango</w:t>
            </w:r>
            <w:r>
              <w:rPr>
                <w:rFonts w:ascii="Calibri"/>
                <w:w w:val="98"/>
                <w:sz w:val="16"/>
              </w:rPr>
              <w:t> </w:t>
            </w:r>
            <w:r>
              <w:rPr>
                <w:rFonts w:ascii="Calibri"/>
                <w:sz w:val="16"/>
              </w:rPr>
              <w:t>de</w:t>
            </w:r>
            <w:r>
              <w:rPr>
                <w:rFonts w:ascii="Calibri"/>
                <w:spacing w:val="-9"/>
                <w:sz w:val="16"/>
              </w:rPr>
              <w:t> </w:t>
            </w:r>
            <w:r>
              <w:rPr>
                <w:rFonts w:ascii="Calibri"/>
                <w:sz w:val="16"/>
              </w:rPr>
              <w:t>referencia.</w:t>
            </w:r>
          </w:p>
        </w:tc>
        <w:tc>
          <w:tcPr>
            <w:tcW w:w="996" w:type="dxa"/>
          </w:tcPr>
          <w:p>
            <w:pPr>
              <w:pStyle w:val="TableParagraph"/>
              <w:spacing w:line="179" w:lineRule="exact"/>
              <w:ind w:right="2"/>
              <w:rPr>
                <w:sz w:val="16"/>
              </w:rPr>
            </w:pPr>
            <w:r>
              <w:rPr>
                <w:w w:val="99"/>
                <w:sz w:val="16"/>
              </w:rPr>
              <w:t>1</w:t>
            </w:r>
          </w:p>
        </w:tc>
      </w:tr>
      <w:tr>
        <w:trPr>
          <w:trHeight w:val="206" w:hRule="exact"/>
        </w:trPr>
        <w:tc>
          <w:tcPr>
            <w:tcW w:w="2617" w:type="dxa"/>
            <w:gridSpan w:val="2"/>
            <w:vMerge/>
          </w:tcPr>
          <w:p>
            <w:pPr/>
          </w:p>
        </w:tc>
        <w:tc>
          <w:tcPr>
            <w:tcW w:w="3020" w:type="dxa"/>
            <w:gridSpan w:val="2"/>
          </w:tcPr>
          <w:p>
            <w:pPr>
              <w:pStyle w:val="TableParagraph"/>
              <w:tabs>
                <w:tab w:pos="465" w:val="left" w:leader="none"/>
              </w:tabs>
              <w:spacing w:line="192" w:lineRule="exact"/>
              <w:ind w:left="105" w:right="197"/>
              <w:jc w:val="left"/>
              <w:rPr>
                <w:rFonts w:ascii="Calibri" w:hAnsi="Calibri"/>
                <w:sz w:val="16"/>
              </w:rPr>
            </w:pPr>
            <w:r>
              <w:rPr>
                <w:rFonts w:ascii="Calibri" w:hAnsi="Calibri"/>
                <w:sz w:val="16"/>
              </w:rPr>
              <w:t>f.</w:t>
              <w:tab/>
              <w:t>Salivación</w:t>
            </w:r>
          </w:p>
        </w:tc>
        <w:tc>
          <w:tcPr>
            <w:tcW w:w="996" w:type="dxa"/>
          </w:tcPr>
          <w:p>
            <w:pPr>
              <w:pStyle w:val="TableParagraph"/>
              <w:spacing w:line="179" w:lineRule="exact"/>
              <w:ind w:right="2"/>
              <w:rPr>
                <w:sz w:val="16"/>
              </w:rPr>
            </w:pPr>
            <w:r>
              <w:rPr>
                <w:w w:val="99"/>
                <w:sz w:val="16"/>
              </w:rPr>
              <w:t>2</w:t>
            </w:r>
          </w:p>
        </w:tc>
      </w:tr>
      <w:tr>
        <w:trPr>
          <w:trHeight w:val="984" w:hRule="exact"/>
        </w:trPr>
        <w:tc>
          <w:tcPr>
            <w:tcW w:w="2617" w:type="dxa"/>
            <w:gridSpan w:val="2"/>
          </w:tcPr>
          <w:p>
            <w:pPr>
              <w:pStyle w:val="TableParagraph"/>
              <w:tabs>
                <w:tab w:pos="460" w:val="left" w:leader="none"/>
              </w:tabs>
              <w:spacing w:line="192" w:lineRule="exact"/>
              <w:ind w:left="100"/>
              <w:jc w:val="left"/>
              <w:rPr>
                <w:rFonts w:ascii="Calibri" w:hAnsi="Calibri"/>
                <w:sz w:val="16"/>
              </w:rPr>
            </w:pPr>
            <w:r>
              <w:rPr>
                <w:rFonts w:ascii="Calibri" w:hAnsi="Calibri"/>
                <w:sz w:val="16"/>
              </w:rPr>
              <w:t>2.</w:t>
              <w:tab/>
              <w:t>Respuesta a la</w:t>
            </w:r>
            <w:r>
              <w:rPr>
                <w:rFonts w:ascii="Calibri" w:hAnsi="Calibri"/>
                <w:spacing w:val="-14"/>
                <w:sz w:val="16"/>
              </w:rPr>
              <w:t> </w:t>
            </w:r>
            <w:r>
              <w:rPr>
                <w:rFonts w:ascii="Calibri" w:hAnsi="Calibri"/>
                <w:sz w:val="16"/>
              </w:rPr>
              <w:t>palpación</w:t>
            </w:r>
          </w:p>
        </w:tc>
        <w:tc>
          <w:tcPr>
            <w:tcW w:w="3020" w:type="dxa"/>
            <w:gridSpan w:val="2"/>
          </w:tcPr>
          <w:p>
            <w:pPr>
              <w:pStyle w:val="TableParagraph"/>
              <w:numPr>
                <w:ilvl w:val="0"/>
                <w:numId w:val="13"/>
              </w:numPr>
              <w:tabs>
                <w:tab w:pos="465" w:val="left" w:leader="none"/>
                <w:tab w:pos="466" w:val="left" w:leader="none"/>
              </w:tabs>
              <w:spacing w:line="192" w:lineRule="exact" w:before="0" w:after="0"/>
              <w:ind w:left="465" w:right="0" w:hanging="360"/>
              <w:jc w:val="left"/>
              <w:rPr>
                <w:rFonts w:ascii="Calibri"/>
                <w:sz w:val="16"/>
              </w:rPr>
            </w:pPr>
            <w:r>
              <w:rPr>
                <w:rFonts w:ascii="Calibri"/>
                <w:sz w:val="16"/>
              </w:rPr>
              <w:t>Sin cambios de</w:t>
            </w:r>
            <w:r>
              <w:rPr>
                <w:rFonts w:ascii="Calibri"/>
                <w:spacing w:val="-17"/>
                <w:sz w:val="16"/>
              </w:rPr>
              <w:t> </w:t>
            </w:r>
            <w:r>
              <w:rPr>
                <w:rFonts w:ascii="Calibri"/>
                <w:sz w:val="16"/>
              </w:rPr>
              <w:t>comportamiento.</w:t>
            </w:r>
          </w:p>
          <w:p>
            <w:pPr>
              <w:pStyle w:val="TableParagraph"/>
              <w:numPr>
                <w:ilvl w:val="0"/>
                <w:numId w:val="13"/>
              </w:numPr>
              <w:tabs>
                <w:tab w:pos="465" w:val="left" w:leader="none"/>
                <w:tab w:pos="466" w:val="left" w:leader="none"/>
              </w:tabs>
              <w:spacing w:line="192" w:lineRule="exact" w:before="0" w:after="0"/>
              <w:ind w:left="465" w:right="256" w:hanging="360"/>
              <w:jc w:val="left"/>
              <w:rPr>
                <w:rFonts w:ascii="Calibri"/>
                <w:sz w:val="16"/>
              </w:rPr>
            </w:pPr>
            <w:r>
              <w:rPr>
                <w:rFonts w:ascii="Calibri"/>
                <w:sz w:val="16"/>
              </w:rPr>
              <w:t>Reacciones protectoras* cuando</w:t>
            </w:r>
            <w:r>
              <w:rPr>
                <w:rFonts w:ascii="Calibri"/>
                <w:spacing w:val="-16"/>
                <w:sz w:val="16"/>
              </w:rPr>
              <w:t> </w:t>
            </w:r>
            <w:r>
              <w:rPr>
                <w:rFonts w:ascii="Calibri"/>
                <w:sz w:val="16"/>
              </w:rPr>
              <w:t>es tocado.</w:t>
            </w:r>
          </w:p>
          <w:p>
            <w:pPr>
              <w:pStyle w:val="TableParagraph"/>
              <w:numPr>
                <w:ilvl w:val="0"/>
                <w:numId w:val="13"/>
              </w:numPr>
              <w:tabs>
                <w:tab w:pos="465" w:val="left" w:leader="none"/>
                <w:tab w:pos="466" w:val="left" w:leader="none"/>
              </w:tabs>
              <w:spacing w:line="240" w:lineRule="auto" w:before="6" w:after="0"/>
              <w:ind w:left="465" w:right="123" w:hanging="360"/>
              <w:jc w:val="left"/>
              <w:rPr>
                <w:rFonts w:ascii="Calibri"/>
                <w:sz w:val="16"/>
              </w:rPr>
            </w:pPr>
            <w:r>
              <w:rPr>
                <w:rFonts w:ascii="Calibri"/>
                <w:sz w:val="16"/>
              </w:rPr>
              <w:t>Reacciones protectoras* antes de</w:t>
            </w:r>
            <w:r>
              <w:rPr>
                <w:rFonts w:ascii="Calibri"/>
                <w:spacing w:val="-17"/>
                <w:sz w:val="16"/>
              </w:rPr>
              <w:t> </w:t>
            </w:r>
            <w:r>
              <w:rPr>
                <w:rFonts w:ascii="Calibri"/>
                <w:sz w:val="16"/>
              </w:rPr>
              <w:t>ser tocado.</w:t>
            </w:r>
          </w:p>
        </w:tc>
        <w:tc>
          <w:tcPr>
            <w:tcW w:w="996" w:type="dxa"/>
          </w:tcPr>
          <w:p>
            <w:pPr>
              <w:pStyle w:val="TableParagraph"/>
              <w:spacing w:line="178" w:lineRule="exact"/>
              <w:ind w:right="2"/>
              <w:rPr>
                <w:sz w:val="16"/>
              </w:rPr>
            </w:pPr>
            <w:r>
              <w:rPr>
                <w:w w:val="98"/>
                <w:sz w:val="16"/>
              </w:rPr>
              <w:t>0</w:t>
            </w:r>
          </w:p>
          <w:p>
            <w:pPr>
              <w:pStyle w:val="TableParagraph"/>
              <w:spacing w:line="183" w:lineRule="exact"/>
              <w:ind w:right="2"/>
              <w:rPr>
                <w:sz w:val="16"/>
              </w:rPr>
            </w:pPr>
            <w:r>
              <w:rPr>
                <w:w w:val="98"/>
                <w:sz w:val="16"/>
              </w:rPr>
              <w:t>2</w:t>
            </w:r>
          </w:p>
          <w:p>
            <w:pPr>
              <w:pStyle w:val="TableParagraph"/>
              <w:spacing w:before="1"/>
              <w:jc w:val="left"/>
              <w:rPr>
                <w:sz w:val="16"/>
              </w:rPr>
            </w:pPr>
          </w:p>
          <w:p>
            <w:pPr>
              <w:pStyle w:val="TableParagraph"/>
              <w:ind w:right="2"/>
              <w:rPr>
                <w:sz w:val="16"/>
              </w:rPr>
            </w:pPr>
            <w:r>
              <w:rPr>
                <w:w w:val="98"/>
                <w:sz w:val="16"/>
              </w:rPr>
              <w:t>3</w:t>
            </w:r>
          </w:p>
        </w:tc>
      </w:tr>
      <w:tr>
        <w:trPr>
          <w:trHeight w:val="1378" w:hRule="exact"/>
        </w:trPr>
        <w:tc>
          <w:tcPr>
            <w:tcW w:w="2617" w:type="dxa"/>
            <w:gridSpan w:val="2"/>
          </w:tcPr>
          <w:p>
            <w:pPr>
              <w:pStyle w:val="TableParagraph"/>
              <w:tabs>
                <w:tab w:pos="460" w:val="left" w:leader="none"/>
              </w:tabs>
              <w:spacing w:before="1"/>
              <w:ind w:left="100"/>
              <w:jc w:val="left"/>
              <w:rPr>
                <w:rFonts w:ascii="Calibri"/>
                <w:sz w:val="16"/>
              </w:rPr>
            </w:pPr>
            <w:r>
              <w:rPr>
                <w:rFonts w:ascii="Calibri"/>
                <w:sz w:val="16"/>
              </w:rPr>
              <w:t>3.</w:t>
              <w:tab/>
              <w:t>Actividad</w:t>
            </w:r>
          </w:p>
        </w:tc>
        <w:tc>
          <w:tcPr>
            <w:tcW w:w="3020" w:type="dxa"/>
            <w:gridSpan w:val="2"/>
          </w:tcPr>
          <w:p>
            <w:pPr>
              <w:pStyle w:val="TableParagraph"/>
              <w:numPr>
                <w:ilvl w:val="0"/>
                <w:numId w:val="14"/>
              </w:numPr>
              <w:tabs>
                <w:tab w:pos="465" w:val="left" w:leader="none"/>
                <w:tab w:pos="466" w:val="left" w:leader="none"/>
              </w:tabs>
              <w:spacing w:line="194" w:lineRule="exact" w:before="1" w:after="0"/>
              <w:ind w:left="465" w:right="0" w:hanging="360"/>
              <w:jc w:val="left"/>
              <w:rPr>
                <w:rFonts w:ascii="Calibri"/>
                <w:sz w:val="16"/>
              </w:rPr>
            </w:pPr>
            <w:r>
              <w:rPr>
                <w:rFonts w:ascii="Calibri"/>
                <w:sz w:val="16"/>
              </w:rPr>
              <w:t>En descanso:</w:t>
            </w:r>
            <w:r>
              <w:rPr>
                <w:rFonts w:ascii="Calibri"/>
                <w:spacing w:val="-11"/>
                <w:sz w:val="16"/>
              </w:rPr>
              <w:t> </w:t>
            </w:r>
            <w:r>
              <w:rPr>
                <w:rFonts w:ascii="Calibri"/>
                <w:sz w:val="16"/>
              </w:rPr>
              <w:t>durmiendo</w:t>
            </w:r>
          </w:p>
          <w:p>
            <w:pPr>
              <w:pStyle w:val="TableParagraph"/>
              <w:numPr>
                <w:ilvl w:val="0"/>
                <w:numId w:val="14"/>
              </w:numPr>
              <w:tabs>
                <w:tab w:pos="465" w:val="left" w:leader="none"/>
                <w:tab w:pos="466" w:val="left" w:leader="none"/>
              </w:tabs>
              <w:spacing w:line="194" w:lineRule="exact" w:before="0" w:after="0"/>
              <w:ind w:left="465" w:right="0" w:hanging="360"/>
              <w:jc w:val="left"/>
              <w:rPr>
                <w:rFonts w:ascii="Calibri"/>
                <w:sz w:val="16"/>
              </w:rPr>
            </w:pPr>
            <w:r>
              <w:rPr>
                <w:rFonts w:ascii="Calibri"/>
                <w:sz w:val="16"/>
              </w:rPr>
              <w:t>En descanso:</w:t>
            </w:r>
            <w:r>
              <w:rPr>
                <w:rFonts w:ascii="Calibri"/>
                <w:spacing w:val="-10"/>
                <w:sz w:val="16"/>
              </w:rPr>
              <w:t> </w:t>
            </w:r>
            <w:r>
              <w:rPr>
                <w:rFonts w:ascii="Calibri"/>
                <w:sz w:val="16"/>
              </w:rPr>
              <w:t>semiconsiente</w:t>
            </w:r>
          </w:p>
          <w:p>
            <w:pPr>
              <w:pStyle w:val="TableParagraph"/>
              <w:numPr>
                <w:ilvl w:val="0"/>
                <w:numId w:val="14"/>
              </w:numPr>
              <w:tabs>
                <w:tab w:pos="465" w:val="left" w:leader="none"/>
                <w:tab w:pos="466" w:val="left" w:leader="none"/>
              </w:tabs>
              <w:spacing w:line="240" w:lineRule="auto" w:before="2" w:after="0"/>
              <w:ind w:left="465" w:right="0" w:hanging="360"/>
              <w:jc w:val="left"/>
              <w:rPr>
                <w:rFonts w:ascii="Calibri"/>
                <w:sz w:val="16"/>
              </w:rPr>
            </w:pPr>
            <w:r>
              <w:rPr>
                <w:rFonts w:ascii="Calibri"/>
                <w:sz w:val="16"/>
              </w:rPr>
              <w:t>En descanso:</w:t>
            </w:r>
            <w:r>
              <w:rPr>
                <w:rFonts w:ascii="Calibri"/>
                <w:spacing w:val="-10"/>
                <w:sz w:val="16"/>
              </w:rPr>
              <w:t> </w:t>
            </w:r>
            <w:r>
              <w:rPr>
                <w:rFonts w:ascii="Calibri"/>
                <w:sz w:val="16"/>
              </w:rPr>
              <w:t>despierto</w:t>
            </w:r>
          </w:p>
          <w:p>
            <w:pPr>
              <w:pStyle w:val="TableParagraph"/>
              <w:numPr>
                <w:ilvl w:val="0"/>
                <w:numId w:val="14"/>
              </w:numPr>
              <w:tabs>
                <w:tab w:pos="465" w:val="left" w:leader="none"/>
                <w:tab w:pos="466" w:val="left" w:leader="none"/>
              </w:tabs>
              <w:spacing w:line="194" w:lineRule="exact" w:before="1" w:after="0"/>
              <w:ind w:left="465" w:right="0" w:hanging="360"/>
              <w:jc w:val="left"/>
              <w:rPr>
                <w:rFonts w:ascii="Calibri"/>
                <w:sz w:val="16"/>
              </w:rPr>
            </w:pPr>
            <w:r>
              <w:rPr>
                <w:rFonts w:ascii="Calibri"/>
                <w:sz w:val="16"/>
              </w:rPr>
              <w:t>Comiendo</w:t>
            </w:r>
          </w:p>
          <w:p>
            <w:pPr>
              <w:pStyle w:val="TableParagraph"/>
              <w:numPr>
                <w:ilvl w:val="0"/>
                <w:numId w:val="14"/>
              </w:numPr>
              <w:tabs>
                <w:tab w:pos="465" w:val="left" w:leader="none"/>
                <w:tab w:pos="466" w:val="left" w:leader="none"/>
              </w:tabs>
              <w:spacing w:line="240" w:lineRule="auto" w:before="0" w:after="0"/>
              <w:ind w:left="465" w:right="167" w:hanging="360"/>
              <w:jc w:val="left"/>
              <w:rPr>
                <w:rFonts w:ascii="Calibri"/>
                <w:sz w:val="16"/>
              </w:rPr>
            </w:pPr>
            <w:r>
              <w:rPr>
                <w:rFonts w:ascii="Calibri"/>
                <w:sz w:val="16"/>
              </w:rPr>
              <w:t>Agitado (camina constantemente,</w:t>
            </w:r>
            <w:r>
              <w:rPr>
                <w:rFonts w:ascii="Calibri"/>
                <w:spacing w:val="-18"/>
                <w:sz w:val="16"/>
              </w:rPr>
              <w:t> </w:t>
            </w:r>
            <w:r>
              <w:rPr>
                <w:rFonts w:ascii="Calibri"/>
                <w:sz w:val="16"/>
              </w:rPr>
              <w:t>se levanta y </w:t>
            </w:r>
            <w:r>
              <w:rPr>
                <w:rFonts w:ascii="Calibri"/>
                <w:spacing w:val="2"/>
                <w:sz w:val="16"/>
              </w:rPr>
              <w:t>se</w:t>
            </w:r>
            <w:r>
              <w:rPr>
                <w:rFonts w:ascii="Calibri"/>
                <w:spacing w:val="-17"/>
                <w:sz w:val="16"/>
              </w:rPr>
              <w:t> </w:t>
            </w:r>
            <w:r>
              <w:rPr>
                <w:rFonts w:ascii="Calibri"/>
                <w:sz w:val="16"/>
              </w:rPr>
              <w:t>acuesta).</w:t>
            </w:r>
          </w:p>
          <w:p>
            <w:pPr>
              <w:pStyle w:val="TableParagraph"/>
              <w:numPr>
                <w:ilvl w:val="0"/>
                <w:numId w:val="14"/>
              </w:numPr>
              <w:tabs>
                <w:tab w:pos="465" w:val="left" w:leader="none"/>
                <w:tab w:pos="466" w:val="left" w:leader="none"/>
              </w:tabs>
              <w:spacing w:line="240" w:lineRule="auto" w:before="1" w:after="0"/>
              <w:ind w:left="465" w:right="0" w:hanging="360"/>
              <w:jc w:val="left"/>
              <w:rPr>
                <w:rFonts w:ascii="Calibri" w:hAnsi="Calibri"/>
                <w:sz w:val="16"/>
              </w:rPr>
            </w:pPr>
            <w:r>
              <w:rPr>
                <w:rFonts w:ascii="Calibri" w:hAnsi="Calibri"/>
                <w:sz w:val="16"/>
              </w:rPr>
              <w:t>Revolcándose,</w:t>
            </w:r>
            <w:r>
              <w:rPr>
                <w:rFonts w:ascii="Calibri" w:hAnsi="Calibri"/>
                <w:spacing w:val="-13"/>
                <w:sz w:val="16"/>
              </w:rPr>
              <w:t> </w:t>
            </w:r>
            <w:r>
              <w:rPr>
                <w:rFonts w:ascii="Calibri" w:hAnsi="Calibri"/>
                <w:sz w:val="16"/>
              </w:rPr>
              <w:t>golpeándose.</w:t>
            </w:r>
          </w:p>
        </w:tc>
        <w:tc>
          <w:tcPr>
            <w:tcW w:w="996" w:type="dxa"/>
          </w:tcPr>
          <w:p>
            <w:pPr>
              <w:pStyle w:val="TableParagraph"/>
              <w:spacing w:line="183" w:lineRule="exact"/>
              <w:ind w:right="2"/>
              <w:rPr>
                <w:sz w:val="16"/>
              </w:rPr>
            </w:pPr>
            <w:r>
              <w:rPr>
                <w:w w:val="98"/>
                <w:sz w:val="16"/>
              </w:rPr>
              <w:t>0</w:t>
            </w:r>
          </w:p>
          <w:p>
            <w:pPr>
              <w:pStyle w:val="TableParagraph"/>
              <w:spacing w:line="183" w:lineRule="exact"/>
              <w:ind w:right="2"/>
              <w:rPr>
                <w:sz w:val="16"/>
              </w:rPr>
            </w:pPr>
            <w:r>
              <w:rPr>
                <w:w w:val="98"/>
                <w:sz w:val="16"/>
              </w:rPr>
              <w:t>0</w:t>
            </w:r>
          </w:p>
          <w:p>
            <w:pPr>
              <w:pStyle w:val="TableParagraph"/>
              <w:spacing w:line="183" w:lineRule="exact"/>
              <w:ind w:right="2"/>
              <w:rPr>
                <w:sz w:val="16"/>
              </w:rPr>
            </w:pPr>
            <w:r>
              <w:rPr>
                <w:w w:val="99"/>
                <w:sz w:val="16"/>
              </w:rPr>
              <w:t>1</w:t>
            </w:r>
          </w:p>
          <w:p>
            <w:pPr>
              <w:pStyle w:val="TableParagraph"/>
              <w:spacing w:line="183" w:lineRule="exact" w:before="3"/>
              <w:ind w:right="2"/>
              <w:rPr>
                <w:sz w:val="16"/>
              </w:rPr>
            </w:pPr>
            <w:r>
              <w:rPr>
                <w:w w:val="98"/>
                <w:sz w:val="16"/>
              </w:rPr>
              <w:t>0</w:t>
            </w:r>
          </w:p>
          <w:p>
            <w:pPr>
              <w:pStyle w:val="TableParagraph"/>
              <w:spacing w:line="183" w:lineRule="exact"/>
              <w:ind w:right="2"/>
              <w:rPr>
                <w:sz w:val="16"/>
              </w:rPr>
            </w:pPr>
            <w:r>
              <w:rPr>
                <w:w w:val="99"/>
                <w:sz w:val="16"/>
              </w:rPr>
              <w:t>2</w:t>
            </w:r>
          </w:p>
          <w:p>
            <w:pPr>
              <w:pStyle w:val="TableParagraph"/>
              <w:spacing w:before="1"/>
              <w:jc w:val="left"/>
              <w:rPr>
                <w:sz w:val="16"/>
              </w:rPr>
            </w:pPr>
          </w:p>
          <w:p>
            <w:pPr>
              <w:pStyle w:val="TableParagraph"/>
              <w:ind w:right="2"/>
              <w:rPr>
                <w:sz w:val="16"/>
              </w:rPr>
            </w:pPr>
            <w:r>
              <w:rPr>
                <w:w w:val="98"/>
                <w:sz w:val="16"/>
              </w:rPr>
              <w:t>3</w:t>
            </w:r>
          </w:p>
        </w:tc>
      </w:tr>
      <w:tr>
        <w:trPr>
          <w:trHeight w:val="792" w:hRule="exact"/>
        </w:trPr>
        <w:tc>
          <w:tcPr>
            <w:tcW w:w="2617" w:type="dxa"/>
            <w:gridSpan w:val="2"/>
          </w:tcPr>
          <w:p>
            <w:pPr>
              <w:pStyle w:val="TableParagraph"/>
              <w:tabs>
                <w:tab w:pos="460" w:val="left" w:leader="none"/>
              </w:tabs>
              <w:spacing w:line="192" w:lineRule="exact"/>
              <w:ind w:left="100"/>
              <w:jc w:val="left"/>
              <w:rPr>
                <w:rFonts w:ascii="Calibri"/>
                <w:sz w:val="16"/>
              </w:rPr>
            </w:pPr>
            <w:r>
              <w:rPr>
                <w:rFonts w:ascii="Calibri"/>
                <w:sz w:val="16"/>
              </w:rPr>
              <w:t>4.</w:t>
              <w:tab/>
              <w:t>Estado</w:t>
            </w:r>
            <w:r>
              <w:rPr>
                <w:rFonts w:ascii="Calibri"/>
                <w:spacing w:val="-10"/>
                <w:sz w:val="16"/>
              </w:rPr>
              <w:t> </w:t>
            </w:r>
            <w:r>
              <w:rPr>
                <w:rFonts w:ascii="Calibri"/>
                <w:sz w:val="16"/>
              </w:rPr>
              <w:t>mental</w:t>
            </w:r>
          </w:p>
        </w:tc>
        <w:tc>
          <w:tcPr>
            <w:tcW w:w="3020" w:type="dxa"/>
            <w:gridSpan w:val="2"/>
          </w:tcPr>
          <w:p>
            <w:pPr>
              <w:pStyle w:val="TableParagraph"/>
              <w:numPr>
                <w:ilvl w:val="0"/>
                <w:numId w:val="15"/>
              </w:numPr>
              <w:tabs>
                <w:tab w:pos="465" w:val="left" w:leader="none"/>
                <w:tab w:pos="466" w:val="left" w:leader="none"/>
              </w:tabs>
              <w:spacing w:line="192" w:lineRule="exact" w:before="0" w:after="0"/>
              <w:ind w:left="465" w:right="0" w:hanging="360"/>
              <w:jc w:val="left"/>
              <w:rPr>
                <w:rFonts w:ascii="Calibri"/>
                <w:sz w:val="16"/>
              </w:rPr>
            </w:pPr>
            <w:r>
              <w:rPr>
                <w:rFonts w:ascii="Calibri"/>
                <w:sz w:val="16"/>
              </w:rPr>
              <w:t>Sumiso</w:t>
            </w:r>
          </w:p>
          <w:p>
            <w:pPr>
              <w:pStyle w:val="TableParagraph"/>
              <w:numPr>
                <w:ilvl w:val="0"/>
                <w:numId w:val="15"/>
              </w:numPr>
              <w:tabs>
                <w:tab w:pos="465" w:val="left" w:leader="none"/>
                <w:tab w:pos="466" w:val="left" w:leader="none"/>
              </w:tabs>
              <w:spacing w:line="240" w:lineRule="auto" w:before="1" w:after="0"/>
              <w:ind w:left="465" w:right="0" w:hanging="360"/>
              <w:jc w:val="left"/>
              <w:rPr>
                <w:rFonts w:ascii="Calibri"/>
                <w:sz w:val="16"/>
              </w:rPr>
            </w:pPr>
            <w:r>
              <w:rPr>
                <w:rFonts w:ascii="Calibri"/>
                <w:sz w:val="16"/>
              </w:rPr>
              <w:t>Amistoso</w:t>
            </w:r>
          </w:p>
          <w:p>
            <w:pPr>
              <w:pStyle w:val="TableParagraph"/>
              <w:numPr>
                <w:ilvl w:val="0"/>
                <w:numId w:val="15"/>
              </w:numPr>
              <w:tabs>
                <w:tab w:pos="465" w:val="left" w:leader="none"/>
                <w:tab w:pos="466" w:val="left" w:leader="none"/>
              </w:tabs>
              <w:spacing w:line="240" w:lineRule="auto" w:before="1" w:after="0"/>
              <w:ind w:left="465" w:right="0" w:hanging="360"/>
              <w:jc w:val="left"/>
              <w:rPr>
                <w:rFonts w:ascii="Calibri"/>
                <w:sz w:val="16"/>
              </w:rPr>
            </w:pPr>
            <w:r>
              <w:rPr>
                <w:rFonts w:ascii="Calibri"/>
                <w:sz w:val="16"/>
              </w:rPr>
              <w:t>Miedoso</w:t>
            </w:r>
          </w:p>
          <w:p>
            <w:pPr>
              <w:pStyle w:val="TableParagraph"/>
              <w:numPr>
                <w:ilvl w:val="0"/>
                <w:numId w:val="15"/>
              </w:numPr>
              <w:tabs>
                <w:tab w:pos="465" w:val="left" w:leader="none"/>
                <w:tab w:pos="466" w:val="left" w:leader="none"/>
              </w:tabs>
              <w:spacing w:line="240" w:lineRule="auto" w:before="2" w:after="0"/>
              <w:ind w:left="465" w:right="0" w:hanging="360"/>
              <w:jc w:val="left"/>
              <w:rPr>
                <w:rFonts w:ascii="Calibri"/>
                <w:sz w:val="16"/>
              </w:rPr>
            </w:pPr>
            <w:r>
              <w:rPr>
                <w:rFonts w:ascii="Calibri"/>
                <w:sz w:val="16"/>
              </w:rPr>
              <w:t>Agresivo</w:t>
            </w:r>
          </w:p>
        </w:tc>
        <w:tc>
          <w:tcPr>
            <w:tcW w:w="996" w:type="dxa"/>
          </w:tcPr>
          <w:p>
            <w:pPr>
              <w:pStyle w:val="TableParagraph"/>
              <w:spacing w:line="179" w:lineRule="exact"/>
              <w:ind w:right="2"/>
              <w:rPr>
                <w:sz w:val="16"/>
              </w:rPr>
            </w:pPr>
            <w:r>
              <w:rPr>
                <w:w w:val="98"/>
                <w:sz w:val="16"/>
              </w:rPr>
              <w:t>0</w:t>
            </w:r>
          </w:p>
          <w:p>
            <w:pPr>
              <w:pStyle w:val="TableParagraph"/>
              <w:spacing w:line="183" w:lineRule="exact" w:before="3"/>
              <w:ind w:right="2"/>
              <w:rPr>
                <w:sz w:val="16"/>
              </w:rPr>
            </w:pPr>
            <w:r>
              <w:rPr>
                <w:w w:val="99"/>
                <w:sz w:val="16"/>
              </w:rPr>
              <w:t>1</w:t>
            </w:r>
          </w:p>
          <w:p>
            <w:pPr>
              <w:pStyle w:val="TableParagraph"/>
              <w:spacing w:line="182" w:lineRule="exact"/>
              <w:ind w:right="2"/>
              <w:rPr>
                <w:sz w:val="16"/>
              </w:rPr>
            </w:pPr>
            <w:r>
              <w:rPr>
                <w:w w:val="99"/>
                <w:sz w:val="16"/>
              </w:rPr>
              <w:t>2</w:t>
            </w:r>
          </w:p>
          <w:p>
            <w:pPr>
              <w:pStyle w:val="TableParagraph"/>
              <w:spacing w:line="183" w:lineRule="exact"/>
              <w:ind w:right="2"/>
              <w:rPr>
                <w:sz w:val="16"/>
              </w:rPr>
            </w:pPr>
            <w:r>
              <w:rPr>
                <w:w w:val="99"/>
                <w:sz w:val="16"/>
              </w:rPr>
              <w:t>3</w:t>
            </w:r>
          </w:p>
        </w:tc>
      </w:tr>
      <w:tr>
        <w:trPr>
          <w:trHeight w:val="1757" w:hRule="exact"/>
        </w:trPr>
        <w:tc>
          <w:tcPr>
            <w:tcW w:w="2617" w:type="dxa"/>
            <w:gridSpan w:val="2"/>
          </w:tcPr>
          <w:p>
            <w:pPr>
              <w:pStyle w:val="TableParagraph"/>
              <w:tabs>
                <w:tab w:pos="460" w:val="left" w:leader="none"/>
              </w:tabs>
              <w:spacing w:line="192" w:lineRule="exact"/>
              <w:ind w:left="100"/>
              <w:jc w:val="left"/>
              <w:rPr>
                <w:rFonts w:ascii="Calibri"/>
                <w:sz w:val="16"/>
              </w:rPr>
            </w:pPr>
            <w:r>
              <w:rPr>
                <w:rFonts w:ascii="Calibri"/>
                <w:sz w:val="16"/>
              </w:rPr>
              <w:t>5.</w:t>
              <w:tab/>
              <w:t>Postura</w:t>
            </w:r>
          </w:p>
        </w:tc>
        <w:tc>
          <w:tcPr>
            <w:tcW w:w="3020" w:type="dxa"/>
            <w:gridSpan w:val="2"/>
          </w:tcPr>
          <w:p>
            <w:pPr>
              <w:pStyle w:val="TableParagraph"/>
              <w:numPr>
                <w:ilvl w:val="0"/>
                <w:numId w:val="16"/>
              </w:numPr>
              <w:tabs>
                <w:tab w:pos="465" w:val="left" w:leader="none"/>
                <w:tab w:pos="466" w:val="left" w:leader="none"/>
              </w:tabs>
              <w:spacing w:line="242" w:lineRule="auto" w:before="0" w:after="0"/>
              <w:ind w:left="465" w:right="180" w:hanging="360"/>
              <w:jc w:val="left"/>
              <w:rPr>
                <w:rFonts w:ascii="Calibri" w:hAnsi="Calibri"/>
                <w:sz w:val="16"/>
              </w:rPr>
            </w:pPr>
            <w:r>
              <w:rPr>
                <w:rFonts w:ascii="Calibri" w:hAnsi="Calibri"/>
                <w:sz w:val="16"/>
              </w:rPr>
              <w:t>Resguardando o protegiendo el</w:t>
            </w:r>
            <w:r>
              <w:rPr>
                <w:rFonts w:ascii="Calibri" w:hAnsi="Calibri"/>
                <w:spacing w:val="-16"/>
                <w:sz w:val="16"/>
              </w:rPr>
              <w:t> </w:t>
            </w:r>
            <w:r>
              <w:rPr>
                <w:rFonts w:ascii="Calibri" w:hAnsi="Calibri"/>
                <w:sz w:val="16"/>
              </w:rPr>
              <w:t>área afectada (incluye posición</w:t>
            </w:r>
            <w:r>
              <w:rPr>
                <w:rFonts w:ascii="Calibri" w:hAnsi="Calibri"/>
                <w:spacing w:val="-19"/>
                <w:sz w:val="16"/>
              </w:rPr>
              <w:t> </w:t>
            </w:r>
            <w:r>
              <w:rPr>
                <w:rFonts w:ascii="Calibri" w:hAnsi="Calibri"/>
                <w:sz w:val="16"/>
              </w:rPr>
              <w:t>fetal).</w:t>
            </w:r>
          </w:p>
          <w:p>
            <w:pPr>
              <w:pStyle w:val="TableParagraph"/>
              <w:numPr>
                <w:ilvl w:val="0"/>
                <w:numId w:val="16"/>
              </w:numPr>
              <w:tabs>
                <w:tab w:pos="465" w:val="left" w:leader="none"/>
                <w:tab w:pos="466" w:val="left" w:leader="none"/>
              </w:tabs>
              <w:spacing w:line="193" w:lineRule="exact" w:before="0" w:after="0"/>
              <w:ind w:left="465" w:right="0" w:hanging="360"/>
              <w:jc w:val="left"/>
              <w:rPr>
                <w:rFonts w:ascii="Calibri" w:hAnsi="Calibri"/>
                <w:sz w:val="16"/>
              </w:rPr>
            </w:pPr>
            <w:r>
              <w:rPr>
                <w:rFonts w:ascii="Calibri" w:hAnsi="Calibri"/>
                <w:sz w:val="16"/>
              </w:rPr>
              <w:t>Decúbito</w:t>
            </w:r>
            <w:r>
              <w:rPr>
                <w:rFonts w:ascii="Calibri" w:hAnsi="Calibri"/>
                <w:spacing w:val="-15"/>
                <w:sz w:val="16"/>
              </w:rPr>
              <w:t> </w:t>
            </w:r>
            <w:r>
              <w:rPr>
                <w:rFonts w:ascii="Calibri" w:hAnsi="Calibri"/>
                <w:sz w:val="16"/>
              </w:rPr>
              <w:t>lateral</w:t>
            </w:r>
          </w:p>
          <w:p>
            <w:pPr>
              <w:pStyle w:val="TableParagraph"/>
              <w:numPr>
                <w:ilvl w:val="0"/>
                <w:numId w:val="16"/>
              </w:numPr>
              <w:tabs>
                <w:tab w:pos="465" w:val="left" w:leader="none"/>
                <w:tab w:pos="466" w:val="left" w:leader="none"/>
              </w:tabs>
              <w:spacing w:line="193" w:lineRule="exact" w:before="0" w:after="0"/>
              <w:ind w:left="465" w:right="0" w:hanging="360"/>
              <w:jc w:val="left"/>
              <w:rPr>
                <w:rFonts w:ascii="Calibri" w:hAnsi="Calibri"/>
                <w:sz w:val="16"/>
              </w:rPr>
            </w:pPr>
            <w:r>
              <w:rPr>
                <w:rFonts w:ascii="Calibri" w:hAnsi="Calibri"/>
                <w:sz w:val="16"/>
              </w:rPr>
              <w:t>Decúbito</w:t>
            </w:r>
            <w:r>
              <w:rPr>
                <w:rFonts w:ascii="Calibri" w:hAnsi="Calibri"/>
                <w:spacing w:val="-10"/>
                <w:sz w:val="16"/>
              </w:rPr>
              <w:t> </w:t>
            </w:r>
            <w:r>
              <w:rPr>
                <w:rFonts w:ascii="Calibri" w:hAnsi="Calibri"/>
                <w:sz w:val="16"/>
              </w:rPr>
              <w:t>esternal</w:t>
            </w:r>
          </w:p>
          <w:p>
            <w:pPr>
              <w:pStyle w:val="TableParagraph"/>
              <w:ind w:left="105" w:right="197"/>
              <w:jc w:val="left"/>
              <w:rPr>
                <w:sz w:val="16"/>
              </w:rPr>
            </w:pPr>
            <w:r>
              <w:rPr>
                <w:sz w:val="16"/>
              </w:rPr>
              <w:t>Escoja una:</w:t>
            </w:r>
          </w:p>
          <w:p>
            <w:pPr>
              <w:pStyle w:val="TableParagraph"/>
              <w:numPr>
                <w:ilvl w:val="0"/>
                <w:numId w:val="16"/>
              </w:numPr>
              <w:tabs>
                <w:tab w:pos="465" w:val="left" w:leader="none"/>
                <w:tab w:pos="466" w:val="left" w:leader="none"/>
              </w:tabs>
              <w:spacing w:line="240" w:lineRule="auto" w:before="0" w:after="0"/>
              <w:ind w:left="465" w:right="0" w:hanging="360"/>
              <w:jc w:val="left"/>
              <w:rPr>
                <w:rFonts w:ascii="Calibri"/>
                <w:sz w:val="16"/>
              </w:rPr>
            </w:pPr>
            <w:r>
              <w:rPr>
                <w:rFonts w:ascii="Calibri"/>
                <w:sz w:val="16"/>
              </w:rPr>
              <w:t>Sentado o</w:t>
            </w:r>
            <w:r>
              <w:rPr>
                <w:rFonts w:ascii="Calibri"/>
                <w:spacing w:val="-11"/>
                <w:sz w:val="16"/>
              </w:rPr>
              <w:t> </w:t>
            </w:r>
            <w:r>
              <w:rPr>
                <w:rFonts w:ascii="Calibri"/>
                <w:sz w:val="16"/>
              </w:rPr>
              <w:t>parado.</w:t>
            </w:r>
          </w:p>
          <w:p>
            <w:pPr>
              <w:pStyle w:val="TableParagraph"/>
              <w:numPr>
                <w:ilvl w:val="0"/>
                <w:numId w:val="16"/>
              </w:numPr>
              <w:tabs>
                <w:tab w:pos="465" w:val="left" w:leader="none"/>
                <w:tab w:pos="466" w:val="left" w:leader="none"/>
              </w:tabs>
              <w:spacing w:line="240" w:lineRule="auto" w:before="1" w:after="0"/>
              <w:ind w:left="465" w:right="0" w:hanging="360"/>
              <w:jc w:val="left"/>
              <w:rPr>
                <w:rFonts w:ascii="Calibri" w:hAnsi="Calibri"/>
                <w:sz w:val="16"/>
              </w:rPr>
            </w:pPr>
            <w:r>
              <w:rPr>
                <w:rFonts w:ascii="Calibri" w:hAnsi="Calibri"/>
                <w:sz w:val="16"/>
              </w:rPr>
              <w:t>Moviéndose</w:t>
            </w:r>
          </w:p>
          <w:p>
            <w:pPr>
              <w:pStyle w:val="TableParagraph"/>
              <w:numPr>
                <w:ilvl w:val="0"/>
                <w:numId w:val="16"/>
              </w:numPr>
              <w:tabs>
                <w:tab w:pos="465" w:val="left" w:leader="none"/>
                <w:tab w:pos="466" w:val="left" w:leader="none"/>
              </w:tabs>
              <w:spacing w:line="237" w:lineRule="auto" w:before="3" w:after="0"/>
              <w:ind w:left="465" w:right="407" w:hanging="360"/>
              <w:jc w:val="left"/>
              <w:rPr>
                <w:rFonts w:ascii="Calibri" w:hAnsi="Calibri"/>
                <w:sz w:val="16"/>
              </w:rPr>
            </w:pPr>
            <w:r>
              <w:rPr>
                <w:rFonts w:ascii="Calibri" w:hAnsi="Calibri"/>
                <w:sz w:val="16"/>
              </w:rPr>
              <w:t>Postura anormal (pe. posición</w:t>
            </w:r>
            <w:r>
              <w:rPr>
                <w:rFonts w:ascii="Calibri" w:hAnsi="Calibri"/>
                <w:spacing w:val="-17"/>
                <w:sz w:val="16"/>
              </w:rPr>
              <w:t> </w:t>
            </w:r>
            <w:r>
              <w:rPr>
                <w:rFonts w:ascii="Calibri" w:hAnsi="Calibri"/>
                <w:sz w:val="16"/>
              </w:rPr>
              <w:t>de rezo)</w:t>
            </w:r>
          </w:p>
        </w:tc>
        <w:tc>
          <w:tcPr>
            <w:tcW w:w="996" w:type="dxa"/>
          </w:tcPr>
          <w:p>
            <w:pPr>
              <w:pStyle w:val="TableParagraph"/>
              <w:spacing w:line="179" w:lineRule="exact"/>
              <w:ind w:right="2"/>
              <w:rPr>
                <w:sz w:val="16"/>
              </w:rPr>
            </w:pPr>
            <w:r>
              <w:rPr>
                <w:w w:val="98"/>
                <w:sz w:val="16"/>
              </w:rPr>
              <w:t>2</w:t>
            </w:r>
          </w:p>
          <w:p>
            <w:pPr>
              <w:pStyle w:val="TableParagraph"/>
              <w:spacing w:before="1"/>
              <w:jc w:val="left"/>
              <w:rPr>
                <w:sz w:val="16"/>
              </w:rPr>
            </w:pPr>
          </w:p>
          <w:p>
            <w:pPr>
              <w:pStyle w:val="TableParagraph"/>
              <w:spacing w:line="183" w:lineRule="exact"/>
              <w:ind w:right="2"/>
              <w:rPr>
                <w:sz w:val="16"/>
              </w:rPr>
            </w:pPr>
            <w:r>
              <w:rPr>
                <w:w w:val="99"/>
                <w:sz w:val="16"/>
              </w:rPr>
              <w:t>0</w:t>
            </w:r>
          </w:p>
          <w:p>
            <w:pPr>
              <w:pStyle w:val="TableParagraph"/>
              <w:spacing w:line="183" w:lineRule="exact"/>
              <w:ind w:right="2"/>
              <w:rPr>
                <w:sz w:val="16"/>
              </w:rPr>
            </w:pPr>
            <w:r>
              <w:rPr>
                <w:w w:val="98"/>
                <w:sz w:val="16"/>
              </w:rPr>
              <w:t>1</w:t>
            </w:r>
          </w:p>
          <w:p>
            <w:pPr>
              <w:pStyle w:val="TableParagraph"/>
              <w:spacing w:before="1"/>
              <w:jc w:val="left"/>
              <w:rPr>
                <w:sz w:val="16"/>
              </w:rPr>
            </w:pPr>
          </w:p>
          <w:p>
            <w:pPr>
              <w:pStyle w:val="TableParagraph"/>
              <w:spacing w:line="183" w:lineRule="exact"/>
              <w:ind w:right="2"/>
              <w:rPr>
                <w:sz w:val="16"/>
              </w:rPr>
            </w:pPr>
            <w:r>
              <w:rPr>
                <w:w w:val="99"/>
                <w:sz w:val="16"/>
              </w:rPr>
              <w:t>2</w:t>
            </w:r>
          </w:p>
          <w:p>
            <w:pPr>
              <w:pStyle w:val="TableParagraph"/>
              <w:spacing w:line="183" w:lineRule="exact"/>
              <w:ind w:right="2"/>
              <w:rPr>
                <w:sz w:val="16"/>
              </w:rPr>
            </w:pPr>
            <w:r>
              <w:rPr>
                <w:w w:val="99"/>
                <w:sz w:val="16"/>
              </w:rPr>
              <w:t>1</w:t>
            </w:r>
          </w:p>
          <w:p>
            <w:pPr>
              <w:pStyle w:val="TableParagraph"/>
              <w:spacing w:before="3"/>
              <w:ind w:right="2"/>
              <w:rPr>
                <w:sz w:val="16"/>
              </w:rPr>
            </w:pPr>
            <w:r>
              <w:rPr>
                <w:w w:val="99"/>
                <w:sz w:val="16"/>
              </w:rPr>
              <w:t>2</w:t>
            </w:r>
          </w:p>
        </w:tc>
      </w:tr>
      <w:tr>
        <w:trPr>
          <w:trHeight w:val="792" w:hRule="exact"/>
        </w:trPr>
        <w:tc>
          <w:tcPr>
            <w:tcW w:w="2617" w:type="dxa"/>
            <w:gridSpan w:val="2"/>
          </w:tcPr>
          <w:p>
            <w:pPr>
              <w:pStyle w:val="TableParagraph"/>
              <w:tabs>
                <w:tab w:pos="460" w:val="left" w:leader="none"/>
              </w:tabs>
              <w:spacing w:line="192" w:lineRule="exact"/>
              <w:ind w:left="100"/>
              <w:jc w:val="left"/>
              <w:rPr>
                <w:rFonts w:ascii="Calibri" w:hAnsi="Calibri"/>
                <w:sz w:val="10"/>
              </w:rPr>
            </w:pPr>
            <w:r>
              <w:rPr>
                <w:rFonts w:ascii="Calibri" w:hAnsi="Calibri"/>
                <w:sz w:val="16"/>
              </w:rPr>
              <w:t>6.</w:t>
              <w:tab/>
              <w:t>Vocalización</w:t>
            </w:r>
            <w:r>
              <w:rPr>
                <w:rFonts w:ascii="Calibri" w:hAnsi="Calibri"/>
                <w:position w:val="8"/>
                <w:sz w:val="10"/>
              </w:rPr>
              <w:t>+</w:t>
            </w:r>
          </w:p>
        </w:tc>
        <w:tc>
          <w:tcPr>
            <w:tcW w:w="3020" w:type="dxa"/>
            <w:gridSpan w:val="2"/>
          </w:tcPr>
          <w:p>
            <w:pPr>
              <w:pStyle w:val="TableParagraph"/>
              <w:numPr>
                <w:ilvl w:val="0"/>
                <w:numId w:val="17"/>
              </w:numPr>
              <w:tabs>
                <w:tab w:pos="465" w:val="left" w:leader="none"/>
                <w:tab w:pos="466" w:val="left" w:leader="none"/>
              </w:tabs>
              <w:spacing w:line="192" w:lineRule="exact" w:before="0" w:after="0"/>
              <w:ind w:left="465" w:right="0" w:hanging="360"/>
              <w:jc w:val="left"/>
              <w:rPr>
                <w:rFonts w:ascii="Calibri"/>
                <w:sz w:val="16"/>
              </w:rPr>
            </w:pPr>
            <w:r>
              <w:rPr>
                <w:rFonts w:ascii="Calibri"/>
                <w:sz w:val="16"/>
              </w:rPr>
              <w:t>No</w:t>
            </w:r>
            <w:r>
              <w:rPr>
                <w:rFonts w:ascii="Calibri"/>
                <w:spacing w:val="-9"/>
                <w:sz w:val="16"/>
              </w:rPr>
              <w:t> </w:t>
            </w:r>
            <w:r>
              <w:rPr>
                <w:rFonts w:ascii="Calibri"/>
                <w:sz w:val="16"/>
              </w:rPr>
              <w:t>vocaliza</w:t>
            </w:r>
          </w:p>
          <w:p>
            <w:pPr>
              <w:pStyle w:val="TableParagraph"/>
              <w:numPr>
                <w:ilvl w:val="0"/>
                <w:numId w:val="17"/>
              </w:numPr>
              <w:tabs>
                <w:tab w:pos="465" w:val="left" w:leader="none"/>
                <w:tab w:pos="466" w:val="left" w:leader="none"/>
              </w:tabs>
              <w:spacing w:line="240" w:lineRule="auto" w:before="1" w:after="0"/>
              <w:ind w:left="465" w:right="0" w:hanging="360"/>
              <w:jc w:val="left"/>
              <w:rPr>
                <w:rFonts w:ascii="Calibri"/>
                <w:sz w:val="16"/>
              </w:rPr>
            </w:pPr>
            <w:r>
              <w:rPr>
                <w:rFonts w:ascii="Calibri"/>
                <w:sz w:val="16"/>
              </w:rPr>
              <w:t>Vocaliza cuando es</w:t>
            </w:r>
            <w:r>
              <w:rPr>
                <w:rFonts w:ascii="Calibri"/>
                <w:spacing w:val="-14"/>
                <w:sz w:val="16"/>
              </w:rPr>
              <w:t> </w:t>
            </w:r>
            <w:r>
              <w:rPr>
                <w:rFonts w:ascii="Calibri"/>
                <w:sz w:val="16"/>
              </w:rPr>
              <w:t>tocado</w:t>
            </w:r>
          </w:p>
          <w:p>
            <w:pPr>
              <w:pStyle w:val="TableParagraph"/>
              <w:numPr>
                <w:ilvl w:val="0"/>
                <w:numId w:val="17"/>
              </w:numPr>
              <w:tabs>
                <w:tab w:pos="465" w:val="left" w:leader="none"/>
                <w:tab w:pos="466" w:val="left" w:leader="none"/>
              </w:tabs>
              <w:spacing w:line="194" w:lineRule="exact" w:before="1" w:after="0"/>
              <w:ind w:left="465" w:right="0" w:hanging="360"/>
              <w:jc w:val="left"/>
              <w:rPr>
                <w:rFonts w:ascii="Calibri" w:hAnsi="Calibri"/>
                <w:sz w:val="16"/>
              </w:rPr>
            </w:pPr>
            <w:r>
              <w:rPr>
                <w:rFonts w:ascii="Calibri" w:hAnsi="Calibri"/>
                <w:sz w:val="16"/>
              </w:rPr>
              <w:t>Vocalización</w:t>
            </w:r>
            <w:r>
              <w:rPr>
                <w:rFonts w:ascii="Calibri" w:hAnsi="Calibri"/>
                <w:spacing w:val="-16"/>
                <w:sz w:val="16"/>
              </w:rPr>
              <w:t> </w:t>
            </w:r>
            <w:r>
              <w:rPr>
                <w:rFonts w:ascii="Calibri" w:hAnsi="Calibri"/>
                <w:sz w:val="16"/>
              </w:rPr>
              <w:t>intermitente</w:t>
            </w:r>
          </w:p>
          <w:p>
            <w:pPr>
              <w:pStyle w:val="TableParagraph"/>
              <w:numPr>
                <w:ilvl w:val="0"/>
                <w:numId w:val="17"/>
              </w:numPr>
              <w:tabs>
                <w:tab w:pos="465" w:val="left" w:leader="none"/>
                <w:tab w:pos="466" w:val="left" w:leader="none"/>
              </w:tabs>
              <w:spacing w:line="194" w:lineRule="exact" w:before="0" w:after="0"/>
              <w:ind w:left="465" w:right="0" w:hanging="360"/>
              <w:jc w:val="left"/>
              <w:rPr>
                <w:rFonts w:ascii="Calibri" w:hAnsi="Calibri"/>
                <w:sz w:val="16"/>
              </w:rPr>
            </w:pPr>
            <w:r>
              <w:rPr>
                <w:rFonts w:ascii="Calibri" w:hAnsi="Calibri"/>
                <w:sz w:val="16"/>
              </w:rPr>
              <w:t>Vocalización</w:t>
            </w:r>
            <w:r>
              <w:rPr>
                <w:rFonts w:ascii="Calibri" w:hAnsi="Calibri"/>
                <w:spacing w:val="-17"/>
                <w:sz w:val="16"/>
              </w:rPr>
              <w:t> </w:t>
            </w:r>
            <w:r>
              <w:rPr>
                <w:rFonts w:ascii="Calibri" w:hAnsi="Calibri"/>
                <w:sz w:val="16"/>
              </w:rPr>
              <w:t>continua</w:t>
            </w:r>
          </w:p>
        </w:tc>
        <w:tc>
          <w:tcPr>
            <w:tcW w:w="996" w:type="dxa"/>
          </w:tcPr>
          <w:p>
            <w:pPr>
              <w:pStyle w:val="TableParagraph"/>
              <w:spacing w:line="179" w:lineRule="exact"/>
              <w:ind w:right="2"/>
              <w:rPr>
                <w:sz w:val="16"/>
              </w:rPr>
            </w:pPr>
            <w:r>
              <w:rPr>
                <w:w w:val="99"/>
                <w:sz w:val="16"/>
              </w:rPr>
              <w:t>0</w:t>
            </w:r>
          </w:p>
          <w:p>
            <w:pPr>
              <w:pStyle w:val="TableParagraph"/>
              <w:spacing w:line="183" w:lineRule="exact" w:before="3"/>
              <w:ind w:right="2"/>
              <w:rPr>
                <w:sz w:val="16"/>
              </w:rPr>
            </w:pPr>
            <w:r>
              <w:rPr>
                <w:w w:val="99"/>
                <w:sz w:val="16"/>
              </w:rPr>
              <w:t>2</w:t>
            </w:r>
          </w:p>
          <w:p>
            <w:pPr>
              <w:pStyle w:val="TableParagraph"/>
              <w:spacing w:line="182" w:lineRule="exact"/>
              <w:ind w:right="2"/>
              <w:rPr>
                <w:sz w:val="16"/>
              </w:rPr>
            </w:pPr>
            <w:r>
              <w:rPr>
                <w:w w:val="98"/>
                <w:sz w:val="16"/>
              </w:rPr>
              <w:t>2</w:t>
            </w:r>
          </w:p>
          <w:p>
            <w:pPr>
              <w:pStyle w:val="TableParagraph"/>
              <w:spacing w:line="183" w:lineRule="exact"/>
              <w:ind w:right="2"/>
              <w:rPr>
                <w:sz w:val="16"/>
              </w:rPr>
            </w:pPr>
            <w:r>
              <w:rPr>
                <w:w w:val="98"/>
                <w:sz w:val="16"/>
              </w:rPr>
              <w:t>3</w:t>
            </w:r>
          </w:p>
        </w:tc>
      </w:tr>
      <w:tr>
        <w:trPr>
          <w:trHeight w:val="792" w:hRule="exact"/>
        </w:trPr>
        <w:tc>
          <w:tcPr>
            <w:tcW w:w="5637" w:type="dxa"/>
            <w:gridSpan w:val="4"/>
            <w:tcBorders>
              <w:left w:val="nil"/>
              <w:bottom w:val="nil"/>
            </w:tcBorders>
          </w:tcPr>
          <w:p>
            <w:pPr>
              <w:pStyle w:val="TableParagraph"/>
              <w:ind w:left="105" w:right="113"/>
              <w:jc w:val="both"/>
              <w:rPr>
                <w:rFonts w:ascii="Calibri" w:hAnsi="Calibri"/>
                <w:sz w:val="16"/>
              </w:rPr>
            </w:pPr>
            <w:r>
              <w:rPr>
                <w:rFonts w:ascii="Calibri" w:hAnsi="Calibri"/>
                <w:sz w:val="16"/>
              </w:rPr>
              <w:t>*Las reacciones protectoras incluyen movimientos de la cabeza hacia el área afectada, lamerse, morderse, rascarse la herida, tensar los músculos y posturas de protección.</w:t>
            </w:r>
          </w:p>
          <w:p>
            <w:pPr>
              <w:pStyle w:val="TableParagraph"/>
              <w:spacing w:before="1"/>
              <w:ind w:left="105"/>
              <w:jc w:val="both"/>
              <w:rPr>
                <w:rFonts w:ascii="Calibri"/>
                <w:sz w:val="16"/>
              </w:rPr>
            </w:pPr>
            <w:r>
              <w:rPr>
                <w:rFonts w:ascii="Calibri"/>
                <w:sz w:val="16"/>
              </w:rPr>
              <w:t>+ No incluye ladridos de alerta.</w:t>
            </w:r>
          </w:p>
        </w:tc>
        <w:tc>
          <w:tcPr>
            <w:tcW w:w="996" w:type="dxa"/>
          </w:tcPr>
          <w:p>
            <w:pPr>
              <w:pStyle w:val="TableParagraph"/>
              <w:spacing w:before="9"/>
              <w:jc w:val="left"/>
              <w:rPr>
                <w:sz w:val="15"/>
              </w:rPr>
            </w:pPr>
          </w:p>
          <w:p>
            <w:pPr>
              <w:pStyle w:val="TableParagraph"/>
              <w:ind w:left="105"/>
              <w:jc w:val="left"/>
              <w:rPr>
                <w:b/>
                <w:sz w:val="16"/>
              </w:rPr>
            </w:pPr>
            <w:r>
              <w:rPr>
                <w:b/>
                <w:sz w:val="16"/>
              </w:rPr>
              <w:t>TOTAL</w:t>
            </w:r>
          </w:p>
        </w:tc>
      </w:tr>
      <w:tr>
        <w:trPr>
          <w:trHeight w:val="202" w:hRule="exact"/>
        </w:trPr>
        <w:tc>
          <w:tcPr>
            <w:tcW w:w="2300" w:type="dxa"/>
            <w:vMerge w:val="restart"/>
            <w:tcBorders>
              <w:top w:val="nil"/>
              <w:left w:val="nil"/>
            </w:tcBorders>
          </w:tcPr>
          <w:p>
            <w:pPr/>
          </w:p>
        </w:tc>
        <w:tc>
          <w:tcPr>
            <w:tcW w:w="2036" w:type="dxa"/>
            <w:gridSpan w:val="2"/>
          </w:tcPr>
          <w:p>
            <w:pPr>
              <w:pStyle w:val="TableParagraph"/>
              <w:spacing w:line="183" w:lineRule="exact"/>
              <w:ind w:left="101"/>
              <w:jc w:val="left"/>
              <w:rPr>
                <w:b/>
                <w:sz w:val="16"/>
              </w:rPr>
            </w:pPr>
            <w:r>
              <w:rPr>
                <w:b/>
                <w:sz w:val="16"/>
              </w:rPr>
              <w:t>Descripción del dolor</w:t>
            </w:r>
          </w:p>
        </w:tc>
        <w:tc>
          <w:tcPr>
            <w:tcW w:w="2298" w:type="dxa"/>
            <w:gridSpan w:val="2"/>
            <w:vMerge w:val="restart"/>
            <w:tcBorders>
              <w:top w:val="nil"/>
              <w:right w:val="nil"/>
            </w:tcBorders>
          </w:tcPr>
          <w:p>
            <w:pPr/>
          </w:p>
        </w:tc>
      </w:tr>
      <w:tr>
        <w:trPr>
          <w:trHeight w:val="751" w:hRule="exact"/>
        </w:trPr>
        <w:tc>
          <w:tcPr>
            <w:tcW w:w="2300" w:type="dxa"/>
            <w:vMerge/>
            <w:tcBorders>
              <w:left w:val="nil"/>
              <w:bottom w:val="nil"/>
            </w:tcBorders>
          </w:tcPr>
          <w:p>
            <w:pPr/>
          </w:p>
        </w:tc>
        <w:tc>
          <w:tcPr>
            <w:tcW w:w="2036" w:type="dxa"/>
            <w:gridSpan w:val="2"/>
          </w:tcPr>
          <w:p>
            <w:pPr>
              <w:pStyle w:val="TableParagraph"/>
              <w:spacing w:line="179" w:lineRule="exact"/>
              <w:ind w:left="101"/>
              <w:jc w:val="left"/>
              <w:rPr>
                <w:sz w:val="16"/>
              </w:rPr>
            </w:pPr>
            <w:r>
              <w:rPr>
                <w:sz w:val="16"/>
              </w:rPr>
              <w:t>1 – 5     =  dolor leve</w:t>
            </w:r>
          </w:p>
          <w:p>
            <w:pPr>
              <w:pStyle w:val="TableParagraph"/>
              <w:spacing w:line="183" w:lineRule="exact" w:before="3"/>
              <w:ind w:left="101"/>
              <w:jc w:val="left"/>
              <w:rPr>
                <w:sz w:val="16"/>
              </w:rPr>
            </w:pPr>
            <w:r>
              <w:rPr>
                <w:sz w:val="16"/>
              </w:rPr>
              <w:t>6 – 13   = dolor moderado</w:t>
            </w:r>
          </w:p>
          <w:p>
            <w:pPr>
              <w:pStyle w:val="TableParagraph"/>
              <w:spacing w:line="182" w:lineRule="exact"/>
              <w:ind w:left="101"/>
              <w:jc w:val="left"/>
              <w:rPr>
                <w:sz w:val="16"/>
              </w:rPr>
            </w:pPr>
            <w:r>
              <w:rPr>
                <w:sz w:val="16"/>
              </w:rPr>
              <w:t>14 – 21 =dolor severo</w:t>
            </w:r>
          </w:p>
          <w:p>
            <w:pPr>
              <w:pStyle w:val="TableParagraph"/>
              <w:spacing w:line="183" w:lineRule="exact"/>
              <w:ind w:left="101"/>
              <w:jc w:val="left"/>
              <w:rPr>
                <w:sz w:val="16"/>
              </w:rPr>
            </w:pPr>
            <w:r>
              <w:rPr>
                <w:sz w:val="16"/>
              </w:rPr>
              <w:t>21 – 27 = dolor insoportable</w:t>
            </w:r>
          </w:p>
        </w:tc>
        <w:tc>
          <w:tcPr>
            <w:tcW w:w="2298" w:type="dxa"/>
            <w:gridSpan w:val="2"/>
            <w:vMerge/>
            <w:tcBorders>
              <w:bottom w:val="nil"/>
              <w:right w:val="nil"/>
            </w:tcBorders>
          </w:tcPr>
          <w:p>
            <w:pPr/>
          </w:p>
        </w:tc>
      </w:tr>
    </w:tbl>
    <w:p>
      <w:pPr>
        <w:spacing w:after="0"/>
        <w:sectPr>
          <w:pgSz w:w="12240" w:h="15840"/>
          <w:pgMar w:header="0" w:footer="1628" w:top="1500" w:bottom="1880" w:left="1720" w:right="1420"/>
        </w:sectPr>
      </w:pPr>
    </w:p>
    <w:p>
      <w:pPr>
        <w:pStyle w:val="BodyText"/>
        <w:spacing w:before="7"/>
        <w:rPr>
          <w:sz w:val="20"/>
        </w:rPr>
      </w:pPr>
    </w:p>
    <w:p>
      <w:pPr>
        <w:pStyle w:val="BodyText"/>
        <w:spacing w:line="274" w:lineRule="exact" w:before="74"/>
        <w:ind w:left="152" w:right="650"/>
      </w:pPr>
      <w:bookmarkStart w:name="_bookmark32" w:id="52"/>
      <w:bookmarkEnd w:id="52"/>
      <w:r>
        <w:rPr/>
      </w:r>
      <w:r>
        <w:rPr/>
        <w:t>Cuadro 2. Escala compuesta de evaluación del dolor de Glasgow (GCPS, forma corta) (Mich y Hellyer et al. 2009; Hellyer et al. 2011).</w:t>
      </w:r>
    </w:p>
    <w:p>
      <w:pPr>
        <w:pStyle w:val="BodyText"/>
        <w:spacing w:before="2" w:after="1"/>
        <w:rPr>
          <w:sz w:val="18"/>
        </w:rPr>
      </w:pPr>
    </w:p>
    <w:tbl>
      <w:tblPr>
        <w:tblW w:w="0" w:type="auto"/>
        <w:jc w:val="left"/>
        <w:tblInd w:w="1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17"/>
        <w:gridCol w:w="3020"/>
        <w:gridCol w:w="994"/>
      </w:tblGrid>
      <w:tr>
        <w:trPr>
          <w:trHeight w:val="384" w:hRule="exact"/>
        </w:trPr>
        <w:tc>
          <w:tcPr>
            <w:tcW w:w="2617" w:type="dxa"/>
          </w:tcPr>
          <w:p>
            <w:pPr>
              <w:pStyle w:val="TableParagraph"/>
              <w:spacing w:before="95"/>
              <w:ind w:left="806"/>
              <w:jc w:val="left"/>
              <w:rPr>
                <w:b/>
                <w:sz w:val="16"/>
              </w:rPr>
            </w:pPr>
            <w:r>
              <w:rPr>
                <w:b/>
                <w:sz w:val="16"/>
              </w:rPr>
              <w:t>CATEGORÍA</w:t>
            </w:r>
          </w:p>
        </w:tc>
        <w:tc>
          <w:tcPr>
            <w:tcW w:w="3020" w:type="dxa"/>
          </w:tcPr>
          <w:p>
            <w:pPr>
              <w:pStyle w:val="TableParagraph"/>
              <w:spacing w:before="95"/>
              <w:ind w:left="946" w:right="197"/>
              <w:jc w:val="left"/>
              <w:rPr>
                <w:b/>
                <w:sz w:val="16"/>
              </w:rPr>
            </w:pPr>
            <w:r>
              <w:rPr>
                <w:b/>
                <w:sz w:val="16"/>
              </w:rPr>
              <w:t>DESCRIPCIÓN</w:t>
            </w:r>
          </w:p>
        </w:tc>
        <w:tc>
          <w:tcPr>
            <w:tcW w:w="994" w:type="dxa"/>
          </w:tcPr>
          <w:p>
            <w:pPr>
              <w:pStyle w:val="TableParagraph"/>
              <w:spacing w:before="95"/>
              <w:ind w:left="124"/>
              <w:jc w:val="left"/>
              <w:rPr>
                <w:b/>
                <w:sz w:val="16"/>
              </w:rPr>
            </w:pPr>
            <w:r>
              <w:rPr>
                <w:b/>
                <w:sz w:val="16"/>
              </w:rPr>
              <w:t>PUNTAJE</w:t>
            </w:r>
          </w:p>
        </w:tc>
      </w:tr>
      <w:tr>
        <w:trPr>
          <w:trHeight w:val="1320" w:hRule="exact"/>
        </w:trPr>
        <w:tc>
          <w:tcPr>
            <w:tcW w:w="2617" w:type="dxa"/>
            <w:vMerge w:val="restart"/>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tabs>
                <w:tab w:pos="993" w:val="left" w:leader="none"/>
              </w:tabs>
              <w:spacing w:line="194" w:lineRule="exact" w:before="105"/>
              <w:ind w:left="633"/>
              <w:jc w:val="left"/>
              <w:rPr>
                <w:rFonts w:ascii="Calibri"/>
                <w:b/>
                <w:sz w:val="16"/>
              </w:rPr>
            </w:pPr>
            <w:r>
              <w:rPr>
                <w:rFonts w:ascii="Calibri"/>
                <w:b/>
                <w:sz w:val="16"/>
              </w:rPr>
              <w:t>A.</w:t>
              <w:tab/>
              <w:t>Dentro de la jaula</w:t>
            </w:r>
            <w:r>
              <w:rPr>
                <w:rFonts w:ascii="Calibri"/>
                <w:b/>
                <w:spacing w:val="-14"/>
                <w:sz w:val="16"/>
              </w:rPr>
              <w:t> </w:t>
            </w:r>
            <w:r>
              <w:rPr>
                <w:rFonts w:ascii="Calibri"/>
                <w:b/>
                <w:sz w:val="16"/>
              </w:rPr>
              <w:t>el</w:t>
            </w:r>
          </w:p>
          <w:p>
            <w:pPr>
              <w:pStyle w:val="TableParagraph"/>
              <w:spacing w:line="194" w:lineRule="exact"/>
              <w:ind w:left="1296"/>
              <w:jc w:val="left"/>
              <w:rPr>
                <w:rFonts w:ascii="Calibri" w:hAnsi="Calibri"/>
                <w:b/>
                <w:sz w:val="16"/>
              </w:rPr>
            </w:pPr>
            <w:r>
              <w:rPr>
                <w:rFonts w:ascii="Calibri" w:hAnsi="Calibri"/>
                <w:b/>
                <w:sz w:val="16"/>
              </w:rPr>
              <w:t>perro está:</w:t>
            </w:r>
          </w:p>
        </w:tc>
        <w:tc>
          <w:tcPr>
            <w:tcW w:w="3020" w:type="dxa"/>
          </w:tcPr>
          <w:p>
            <w:pPr>
              <w:pStyle w:val="TableParagraph"/>
              <w:tabs>
                <w:tab w:pos="1185" w:val="left" w:leader="none"/>
              </w:tabs>
              <w:spacing w:line="192" w:lineRule="exact"/>
              <w:ind w:left="465" w:right="197"/>
              <w:jc w:val="left"/>
              <w:rPr>
                <w:rFonts w:ascii="Calibri"/>
                <w:sz w:val="16"/>
              </w:rPr>
            </w:pPr>
            <w:r>
              <w:rPr>
                <w:rFonts w:ascii="Calibri"/>
                <w:sz w:val="16"/>
              </w:rPr>
              <w:t>(I)</w:t>
              <w:tab/>
              <w:t>Quieto</w:t>
            </w:r>
          </w:p>
          <w:p>
            <w:pPr>
              <w:pStyle w:val="TableParagraph"/>
              <w:spacing w:before="1"/>
              <w:ind w:left="1186" w:right="197"/>
              <w:jc w:val="left"/>
              <w:rPr>
                <w:rFonts w:ascii="Calibri"/>
                <w:sz w:val="16"/>
              </w:rPr>
            </w:pPr>
            <w:r>
              <w:rPr>
                <w:rFonts w:ascii="Calibri"/>
                <w:sz w:val="16"/>
              </w:rPr>
              <w:t>Llanto intermitente Llanto constante Aullando</w:t>
            </w:r>
          </w:p>
        </w:tc>
        <w:tc>
          <w:tcPr>
            <w:tcW w:w="994" w:type="dxa"/>
          </w:tcPr>
          <w:p>
            <w:pPr>
              <w:pStyle w:val="TableParagraph"/>
              <w:spacing w:line="179" w:lineRule="exact"/>
              <w:rPr>
                <w:sz w:val="16"/>
              </w:rPr>
            </w:pPr>
            <w:r>
              <w:rPr>
                <w:w w:val="99"/>
                <w:sz w:val="16"/>
              </w:rPr>
              <w:t>0</w:t>
            </w:r>
          </w:p>
          <w:p>
            <w:pPr>
              <w:pStyle w:val="TableParagraph"/>
              <w:spacing w:line="183" w:lineRule="exact" w:before="3"/>
              <w:rPr>
                <w:sz w:val="16"/>
              </w:rPr>
            </w:pPr>
            <w:r>
              <w:rPr>
                <w:w w:val="99"/>
                <w:sz w:val="16"/>
              </w:rPr>
              <w:t>1</w:t>
            </w:r>
          </w:p>
          <w:p>
            <w:pPr>
              <w:pStyle w:val="TableParagraph"/>
              <w:spacing w:line="182" w:lineRule="exact"/>
              <w:rPr>
                <w:sz w:val="16"/>
              </w:rPr>
            </w:pPr>
            <w:r>
              <w:rPr>
                <w:w w:val="98"/>
                <w:sz w:val="16"/>
              </w:rPr>
              <w:t>2</w:t>
            </w:r>
          </w:p>
          <w:p>
            <w:pPr>
              <w:pStyle w:val="TableParagraph"/>
              <w:spacing w:line="183" w:lineRule="exact"/>
              <w:rPr>
                <w:sz w:val="16"/>
              </w:rPr>
            </w:pPr>
            <w:r>
              <w:rPr>
                <w:w w:val="98"/>
                <w:sz w:val="16"/>
              </w:rPr>
              <w:t>3</w:t>
            </w:r>
          </w:p>
        </w:tc>
      </w:tr>
      <w:tr>
        <w:trPr>
          <w:trHeight w:val="989" w:hRule="exact"/>
        </w:trPr>
        <w:tc>
          <w:tcPr>
            <w:tcW w:w="2617" w:type="dxa"/>
            <w:vMerge/>
          </w:tcPr>
          <w:p>
            <w:pPr/>
          </w:p>
        </w:tc>
        <w:tc>
          <w:tcPr>
            <w:tcW w:w="3020" w:type="dxa"/>
          </w:tcPr>
          <w:p>
            <w:pPr>
              <w:pStyle w:val="TableParagraph"/>
              <w:tabs>
                <w:tab w:pos="1185" w:val="left" w:leader="none"/>
              </w:tabs>
              <w:ind w:left="1186" w:right="217" w:hanging="721"/>
              <w:jc w:val="left"/>
              <w:rPr>
                <w:rFonts w:ascii="Calibri" w:hAnsi="Calibri"/>
                <w:sz w:val="16"/>
              </w:rPr>
            </w:pPr>
            <w:r>
              <w:rPr>
                <w:rFonts w:ascii="Calibri" w:hAnsi="Calibri"/>
                <w:sz w:val="16"/>
              </w:rPr>
              <w:t>(II)</w:t>
              <w:tab/>
              <w:t>Ignora el</w:t>
            </w:r>
            <w:r>
              <w:rPr>
                <w:rFonts w:ascii="Calibri" w:hAnsi="Calibri"/>
                <w:spacing w:val="-12"/>
                <w:sz w:val="16"/>
              </w:rPr>
              <w:t> </w:t>
            </w:r>
            <w:r>
              <w:rPr>
                <w:rFonts w:ascii="Calibri" w:hAnsi="Calibri"/>
                <w:sz w:val="16"/>
              </w:rPr>
              <w:t>área</w:t>
            </w:r>
            <w:r>
              <w:rPr>
                <w:rFonts w:ascii="Calibri" w:hAnsi="Calibri"/>
                <w:spacing w:val="-5"/>
                <w:sz w:val="16"/>
              </w:rPr>
              <w:t> </w:t>
            </w:r>
            <w:r>
              <w:rPr>
                <w:rFonts w:ascii="Calibri" w:hAnsi="Calibri"/>
                <w:sz w:val="16"/>
              </w:rPr>
              <w:t>afectada</w:t>
            </w:r>
            <w:r>
              <w:rPr>
                <w:rFonts w:ascii="Calibri" w:hAnsi="Calibri"/>
                <w:w w:val="99"/>
                <w:sz w:val="16"/>
              </w:rPr>
              <w:t> </w:t>
            </w:r>
            <w:r>
              <w:rPr>
                <w:rFonts w:ascii="Calibri" w:hAnsi="Calibri"/>
                <w:sz w:val="16"/>
              </w:rPr>
              <w:t>Observa el área</w:t>
            </w:r>
            <w:r>
              <w:rPr>
                <w:rFonts w:ascii="Calibri" w:hAnsi="Calibri"/>
                <w:spacing w:val="-14"/>
                <w:sz w:val="16"/>
              </w:rPr>
              <w:t> </w:t>
            </w:r>
            <w:r>
              <w:rPr>
                <w:rFonts w:ascii="Calibri" w:hAnsi="Calibri"/>
                <w:sz w:val="16"/>
              </w:rPr>
              <w:t>afectada Lame el área afectada Frota el área</w:t>
            </w:r>
            <w:r>
              <w:rPr>
                <w:rFonts w:ascii="Calibri" w:hAnsi="Calibri"/>
                <w:spacing w:val="-16"/>
                <w:sz w:val="16"/>
              </w:rPr>
              <w:t> </w:t>
            </w:r>
            <w:r>
              <w:rPr>
                <w:rFonts w:ascii="Calibri" w:hAnsi="Calibri"/>
                <w:sz w:val="16"/>
              </w:rPr>
              <w:t>afectada</w:t>
            </w:r>
          </w:p>
        </w:tc>
        <w:tc>
          <w:tcPr>
            <w:tcW w:w="994" w:type="dxa"/>
          </w:tcPr>
          <w:p>
            <w:pPr>
              <w:pStyle w:val="TableParagraph"/>
              <w:spacing w:line="178" w:lineRule="exact"/>
              <w:rPr>
                <w:sz w:val="16"/>
              </w:rPr>
            </w:pPr>
            <w:r>
              <w:rPr>
                <w:w w:val="98"/>
                <w:sz w:val="16"/>
              </w:rPr>
              <w:t>0</w:t>
            </w:r>
          </w:p>
          <w:p>
            <w:pPr>
              <w:pStyle w:val="TableParagraph"/>
              <w:spacing w:line="183" w:lineRule="exact"/>
              <w:rPr>
                <w:sz w:val="16"/>
              </w:rPr>
            </w:pPr>
            <w:r>
              <w:rPr>
                <w:w w:val="98"/>
                <w:sz w:val="16"/>
              </w:rPr>
              <w:t>1</w:t>
            </w:r>
          </w:p>
          <w:p>
            <w:pPr>
              <w:pStyle w:val="TableParagraph"/>
              <w:spacing w:line="183" w:lineRule="exact" w:before="3"/>
              <w:rPr>
                <w:sz w:val="16"/>
              </w:rPr>
            </w:pPr>
            <w:r>
              <w:rPr>
                <w:w w:val="99"/>
                <w:sz w:val="16"/>
              </w:rPr>
              <w:t>2</w:t>
            </w:r>
          </w:p>
          <w:p>
            <w:pPr>
              <w:pStyle w:val="TableParagraph"/>
              <w:spacing w:line="183" w:lineRule="exact"/>
              <w:rPr>
                <w:sz w:val="16"/>
              </w:rPr>
            </w:pPr>
            <w:r>
              <w:rPr>
                <w:w w:val="99"/>
                <w:sz w:val="16"/>
              </w:rPr>
              <w:t>3</w:t>
            </w:r>
          </w:p>
        </w:tc>
      </w:tr>
      <w:tr>
        <w:trPr>
          <w:trHeight w:val="1076" w:hRule="exact"/>
        </w:trPr>
        <w:tc>
          <w:tcPr>
            <w:tcW w:w="2617" w:type="dxa"/>
            <w:vMerge/>
          </w:tcPr>
          <w:p>
            <w:pPr/>
          </w:p>
        </w:tc>
        <w:tc>
          <w:tcPr>
            <w:tcW w:w="4014" w:type="dxa"/>
            <w:gridSpan w:val="2"/>
          </w:tcPr>
          <w:p>
            <w:pPr>
              <w:pStyle w:val="TableParagraph"/>
              <w:ind w:left="105" w:right="703"/>
              <w:jc w:val="left"/>
              <w:rPr>
                <w:rFonts w:ascii="Calibri" w:hAnsi="Calibri"/>
                <w:sz w:val="16"/>
              </w:rPr>
            </w:pPr>
            <w:r>
              <w:rPr>
                <w:rFonts w:ascii="Calibri" w:hAnsi="Calibri"/>
                <w:sz w:val="16"/>
              </w:rPr>
              <w:t>** En el caso de fracturas espinales, pélvicas, múltiple de costillas o en caso de requerir asistencia para la locomoción márquelo y proceda con el inciso C.</w:t>
            </w:r>
          </w:p>
          <w:p>
            <w:pPr>
              <w:pStyle w:val="TableParagraph"/>
              <w:tabs>
                <w:tab w:pos="1659" w:val="left" w:leader="none"/>
              </w:tabs>
              <w:spacing w:line="192" w:lineRule="exact"/>
              <w:ind w:left="1186" w:right="703"/>
              <w:jc w:val="left"/>
              <w:rPr>
                <w:rFonts w:ascii="Calibri"/>
                <w:sz w:val="16"/>
              </w:rPr>
            </w:pPr>
            <w:r>
              <w:rPr>
                <w:rFonts w:ascii="Calibri"/>
                <w:sz w:val="16"/>
              </w:rPr>
              <w:t>SI</w:t>
              <w:tab/>
              <w:t>NO</w:t>
            </w:r>
          </w:p>
        </w:tc>
      </w:tr>
      <w:tr>
        <w:trPr>
          <w:trHeight w:val="1378" w:hRule="exact"/>
        </w:trPr>
        <w:tc>
          <w:tcPr>
            <w:tcW w:w="2617" w:type="dxa"/>
          </w:tcPr>
          <w:p>
            <w:pPr>
              <w:pStyle w:val="TableParagraph"/>
              <w:tabs>
                <w:tab w:pos="868" w:val="left" w:leader="none"/>
              </w:tabs>
              <w:spacing w:line="242" w:lineRule="auto"/>
              <w:ind w:left="1080" w:right="158" w:hanging="572"/>
              <w:jc w:val="left"/>
              <w:rPr>
                <w:rFonts w:ascii="Calibri" w:hAnsi="Calibri"/>
                <w:b/>
                <w:sz w:val="16"/>
              </w:rPr>
            </w:pPr>
            <w:r>
              <w:rPr>
                <w:rFonts w:ascii="Calibri" w:hAnsi="Calibri"/>
                <w:b/>
                <w:sz w:val="16"/>
              </w:rPr>
              <w:t>B.</w:t>
              <w:tab/>
              <w:t>Cuando el</w:t>
            </w:r>
            <w:r>
              <w:rPr>
                <w:rFonts w:ascii="Calibri" w:hAnsi="Calibri"/>
                <w:b/>
                <w:spacing w:val="-7"/>
                <w:sz w:val="16"/>
              </w:rPr>
              <w:t> </w:t>
            </w:r>
            <w:r>
              <w:rPr>
                <w:rFonts w:ascii="Calibri" w:hAnsi="Calibri"/>
                <w:b/>
                <w:sz w:val="16"/>
              </w:rPr>
              <w:t>perro</w:t>
            </w:r>
            <w:r>
              <w:rPr>
                <w:rFonts w:ascii="Calibri" w:hAnsi="Calibri"/>
                <w:b/>
                <w:spacing w:val="-5"/>
                <w:sz w:val="16"/>
              </w:rPr>
              <w:t> </w:t>
            </w:r>
            <w:r>
              <w:rPr>
                <w:rFonts w:ascii="Calibri" w:hAnsi="Calibri"/>
                <w:b/>
                <w:sz w:val="16"/>
              </w:rPr>
              <w:t>camina</w:t>
            </w:r>
            <w:r>
              <w:rPr>
                <w:rFonts w:ascii="Calibri" w:hAnsi="Calibri"/>
                <w:b/>
                <w:w w:val="99"/>
                <w:sz w:val="16"/>
              </w:rPr>
              <w:t> </w:t>
            </w:r>
            <w:r>
              <w:rPr>
                <w:rFonts w:ascii="Calibri" w:hAnsi="Calibri"/>
                <w:b/>
                <w:sz w:val="16"/>
              </w:rPr>
              <w:t>o se levanta</w:t>
            </w:r>
            <w:r>
              <w:rPr>
                <w:rFonts w:ascii="Calibri" w:hAnsi="Calibri"/>
                <w:b/>
                <w:spacing w:val="-13"/>
                <w:sz w:val="16"/>
              </w:rPr>
              <w:t> </w:t>
            </w:r>
            <w:r>
              <w:rPr>
                <w:rFonts w:ascii="Calibri" w:hAnsi="Calibri"/>
                <w:b/>
                <w:sz w:val="16"/>
              </w:rPr>
              <w:t>está:</w:t>
            </w:r>
          </w:p>
        </w:tc>
        <w:tc>
          <w:tcPr>
            <w:tcW w:w="3020" w:type="dxa"/>
          </w:tcPr>
          <w:p>
            <w:pPr>
              <w:pStyle w:val="TableParagraph"/>
              <w:tabs>
                <w:tab w:pos="1185" w:val="left" w:leader="none"/>
              </w:tabs>
              <w:ind w:left="1186" w:right="732" w:hanging="721"/>
              <w:jc w:val="left"/>
              <w:rPr>
                <w:rFonts w:ascii="Calibri" w:hAnsi="Calibri"/>
                <w:sz w:val="16"/>
              </w:rPr>
            </w:pPr>
            <w:r>
              <w:rPr>
                <w:rFonts w:ascii="Calibri" w:hAnsi="Calibri"/>
                <w:sz w:val="16"/>
              </w:rPr>
              <w:t>(III)</w:t>
              <w:tab/>
              <w:t>Normal Claudicación Lento o</w:t>
            </w:r>
            <w:r>
              <w:rPr>
                <w:rFonts w:ascii="Calibri" w:hAnsi="Calibri"/>
                <w:spacing w:val="-7"/>
                <w:sz w:val="16"/>
              </w:rPr>
              <w:t> </w:t>
            </w:r>
            <w:r>
              <w:rPr>
                <w:rFonts w:ascii="Calibri" w:hAnsi="Calibri"/>
                <w:sz w:val="16"/>
              </w:rPr>
              <w:t>letárgico Dificultad para incorporarse Rehúsa</w:t>
            </w:r>
            <w:r>
              <w:rPr>
                <w:rFonts w:ascii="Calibri" w:hAnsi="Calibri"/>
                <w:spacing w:val="-9"/>
                <w:sz w:val="16"/>
              </w:rPr>
              <w:t> </w:t>
            </w:r>
            <w:r>
              <w:rPr>
                <w:rFonts w:ascii="Calibri" w:hAnsi="Calibri"/>
                <w:sz w:val="16"/>
              </w:rPr>
              <w:t>moverse</w:t>
            </w:r>
          </w:p>
        </w:tc>
        <w:tc>
          <w:tcPr>
            <w:tcW w:w="994" w:type="dxa"/>
          </w:tcPr>
          <w:p>
            <w:pPr>
              <w:pStyle w:val="TableParagraph"/>
              <w:spacing w:line="179" w:lineRule="exact"/>
              <w:rPr>
                <w:sz w:val="16"/>
              </w:rPr>
            </w:pPr>
            <w:r>
              <w:rPr>
                <w:w w:val="98"/>
                <w:sz w:val="16"/>
              </w:rPr>
              <w:t>0</w:t>
            </w:r>
          </w:p>
          <w:p>
            <w:pPr>
              <w:pStyle w:val="TableParagraph"/>
              <w:spacing w:line="183" w:lineRule="exact" w:before="3"/>
              <w:rPr>
                <w:sz w:val="16"/>
              </w:rPr>
            </w:pPr>
            <w:r>
              <w:rPr>
                <w:w w:val="99"/>
                <w:sz w:val="16"/>
              </w:rPr>
              <w:t>1</w:t>
            </w:r>
          </w:p>
          <w:p>
            <w:pPr>
              <w:pStyle w:val="TableParagraph"/>
              <w:spacing w:line="182" w:lineRule="exact"/>
              <w:rPr>
                <w:sz w:val="16"/>
              </w:rPr>
            </w:pPr>
            <w:r>
              <w:rPr>
                <w:w w:val="98"/>
                <w:sz w:val="16"/>
              </w:rPr>
              <w:t>2</w:t>
            </w:r>
          </w:p>
          <w:p>
            <w:pPr>
              <w:pStyle w:val="TableParagraph"/>
              <w:spacing w:line="183" w:lineRule="exact"/>
              <w:rPr>
                <w:sz w:val="16"/>
              </w:rPr>
            </w:pPr>
            <w:r>
              <w:rPr>
                <w:w w:val="98"/>
                <w:sz w:val="16"/>
              </w:rPr>
              <w:t>3</w:t>
            </w:r>
          </w:p>
          <w:p>
            <w:pPr>
              <w:pStyle w:val="TableParagraph"/>
              <w:spacing w:before="1"/>
              <w:jc w:val="left"/>
              <w:rPr>
                <w:sz w:val="16"/>
              </w:rPr>
            </w:pPr>
          </w:p>
          <w:p>
            <w:pPr>
              <w:pStyle w:val="TableParagraph"/>
              <w:rPr>
                <w:sz w:val="16"/>
              </w:rPr>
            </w:pPr>
            <w:r>
              <w:rPr>
                <w:w w:val="99"/>
                <w:sz w:val="16"/>
              </w:rPr>
              <w:t>4</w:t>
            </w:r>
          </w:p>
        </w:tc>
      </w:tr>
      <w:tr>
        <w:trPr>
          <w:trHeight w:val="1767" w:hRule="exact"/>
        </w:trPr>
        <w:tc>
          <w:tcPr>
            <w:tcW w:w="2617" w:type="dxa"/>
          </w:tcPr>
          <w:p>
            <w:pPr>
              <w:pStyle w:val="TableParagraph"/>
              <w:tabs>
                <w:tab w:pos="854" w:val="left" w:leader="none"/>
              </w:tabs>
              <w:spacing w:line="192" w:lineRule="exact"/>
              <w:ind w:left="494"/>
              <w:jc w:val="left"/>
              <w:rPr>
                <w:rFonts w:ascii="Calibri"/>
                <w:b/>
                <w:sz w:val="16"/>
              </w:rPr>
            </w:pPr>
            <w:r>
              <w:rPr>
                <w:rFonts w:ascii="Calibri"/>
                <w:b/>
                <w:sz w:val="16"/>
              </w:rPr>
              <w:t>C.</w:t>
              <w:tab/>
              <w:t>Si presenta </w:t>
            </w:r>
            <w:r>
              <w:rPr>
                <w:rFonts w:ascii="Calibri"/>
                <w:b/>
                <w:spacing w:val="2"/>
                <w:sz w:val="16"/>
              </w:rPr>
              <w:t>una </w:t>
            </w:r>
            <w:r>
              <w:rPr>
                <w:rFonts w:ascii="Calibri"/>
                <w:b/>
                <w:sz w:val="16"/>
              </w:rPr>
              <w:t>herida</w:t>
            </w:r>
            <w:r>
              <w:rPr>
                <w:rFonts w:ascii="Calibri"/>
                <w:b/>
                <w:spacing w:val="-23"/>
                <w:sz w:val="16"/>
              </w:rPr>
              <w:t> </w:t>
            </w:r>
            <w:r>
              <w:rPr>
                <w:rFonts w:ascii="Calibri"/>
                <w:b/>
                <w:sz w:val="16"/>
              </w:rPr>
              <w:t>o</w:t>
            </w:r>
          </w:p>
          <w:p>
            <w:pPr>
              <w:pStyle w:val="TableParagraph"/>
              <w:spacing w:before="1"/>
              <w:ind w:left="859" w:right="153" w:hanging="2"/>
              <w:rPr>
                <w:rFonts w:ascii="Calibri" w:hAnsi="Calibri"/>
                <w:b/>
                <w:sz w:val="16"/>
              </w:rPr>
            </w:pPr>
            <w:r>
              <w:rPr>
                <w:rFonts w:ascii="Calibri" w:hAnsi="Calibri"/>
                <w:b/>
                <w:sz w:val="16"/>
              </w:rPr>
              <w:t>área dolorosa, incluyendo el</w:t>
            </w:r>
            <w:r>
              <w:rPr>
                <w:rFonts w:ascii="Calibri" w:hAnsi="Calibri"/>
                <w:b/>
                <w:spacing w:val="-13"/>
                <w:sz w:val="16"/>
              </w:rPr>
              <w:t> </w:t>
            </w:r>
            <w:r>
              <w:rPr>
                <w:rFonts w:ascii="Calibri" w:hAnsi="Calibri"/>
                <w:b/>
                <w:sz w:val="16"/>
              </w:rPr>
              <w:t>abdomen, presione gentilmente alrededor del área. Se muestra:</w:t>
            </w:r>
          </w:p>
        </w:tc>
        <w:tc>
          <w:tcPr>
            <w:tcW w:w="3020" w:type="dxa"/>
          </w:tcPr>
          <w:p>
            <w:pPr>
              <w:pStyle w:val="TableParagraph"/>
              <w:tabs>
                <w:tab w:pos="1185" w:val="left" w:leader="none"/>
              </w:tabs>
              <w:spacing w:line="192" w:lineRule="exact"/>
              <w:ind w:left="465" w:right="197"/>
              <w:jc w:val="left"/>
              <w:rPr>
                <w:rFonts w:ascii="Calibri"/>
                <w:sz w:val="16"/>
              </w:rPr>
            </w:pPr>
            <w:r>
              <w:rPr>
                <w:rFonts w:ascii="Calibri"/>
                <w:sz w:val="16"/>
              </w:rPr>
              <w:t>(IV)</w:t>
              <w:tab/>
              <w:t>No hace</w:t>
            </w:r>
            <w:r>
              <w:rPr>
                <w:rFonts w:ascii="Calibri"/>
                <w:spacing w:val="-13"/>
                <w:sz w:val="16"/>
              </w:rPr>
              <w:t> </w:t>
            </w:r>
            <w:r>
              <w:rPr>
                <w:rFonts w:ascii="Calibri"/>
                <w:sz w:val="16"/>
              </w:rPr>
              <w:t>nada</w:t>
            </w:r>
          </w:p>
          <w:p>
            <w:pPr>
              <w:pStyle w:val="TableParagraph"/>
              <w:spacing w:line="192" w:lineRule="exact"/>
              <w:ind w:left="1186" w:right="197"/>
              <w:jc w:val="left"/>
              <w:rPr>
                <w:rFonts w:ascii="Calibri"/>
                <w:sz w:val="16"/>
              </w:rPr>
            </w:pPr>
            <w:r>
              <w:rPr>
                <w:rFonts w:ascii="Calibri"/>
                <w:sz w:val="16"/>
              </w:rPr>
              <w:t>Mira a su alrededor Retrocede</w:t>
            </w:r>
          </w:p>
          <w:p>
            <w:pPr>
              <w:pStyle w:val="TableParagraph"/>
              <w:spacing w:before="6"/>
              <w:ind w:left="1186" w:right="197"/>
              <w:jc w:val="left"/>
              <w:rPr>
                <w:rFonts w:ascii="Calibri" w:hAnsi="Calibri"/>
                <w:sz w:val="16"/>
              </w:rPr>
            </w:pPr>
            <w:r>
              <w:rPr>
                <w:rFonts w:ascii="Calibri" w:hAnsi="Calibri"/>
                <w:sz w:val="16"/>
              </w:rPr>
              <w:t>Gruñe o protege el área Intenta morder</w:t>
            </w:r>
          </w:p>
          <w:p>
            <w:pPr>
              <w:pStyle w:val="TableParagraph"/>
              <w:spacing w:before="1"/>
              <w:ind w:left="1166" w:right="1482"/>
              <w:rPr>
                <w:rFonts w:ascii="Calibri"/>
                <w:sz w:val="16"/>
              </w:rPr>
            </w:pPr>
            <w:r>
              <w:rPr>
                <w:rFonts w:ascii="Calibri"/>
                <w:sz w:val="16"/>
              </w:rPr>
              <w:t>Llora</w:t>
            </w:r>
          </w:p>
        </w:tc>
        <w:tc>
          <w:tcPr>
            <w:tcW w:w="994" w:type="dxa"/>
          </w:tcPr>
          <w:p>
            <w:pPr>
              <w:pStyle w:val="TableParagraph"/>
              <w:spacing w:line="178" w:lineRule="exact"/>
              <w:rPr>
                <w:sz w:val="16"/>
              </w:rPr>
            </w:pPr>
            <w:r>
              <w:rPr>
                <w:w w:val="99"/>
                <w:sz w:val="16"/>
              </w:rPr>
              <w:t>0</w:t>
            </w:r>
          </w:p>
          <w:p>
            <w:pPr>
              <w:pStyle w:val="TableParagraph"/>
              <w:spacing w:line="183" w:lineRule="exact"/>
              <w:rPr>
                <w:sz w:val="16"/>
              </w:rPr>
            </w:pPr>
            <w:r>
              <w:rPr>
                <w:w w:val="99"/>
                <w:sz w:val="16"/>
              </w:rPr>
              <w:t>1</w:t>
            </w:r>
          </w:p>
          <w:p>
            <w:pPr>
              <w:pStyle w:val="TableParagraph"/>
              <w:spacing w:line="183" w:lineRule="exact" w:before="3"/>
              <w:rPr>
                <w:sz w:val="16"/>
              </w:rPr>
            </w:pPr>
            <w:r>
              <w:rPr>
                <w:w w:val="98"/>
                <w:sz w:val="16"/>
              </w:rPr>
              <w:t>2</w:t>
            </w:r>
          </w:p>
          <w:p>
            <w:pPr>
              <w:pStyle w:val="TableParagraph"/>
              <w:spacing w:line="182" w:lineRule="exact"/>
              <w:rPr>
                <w:sz w:val="16"/>
              </w:rPr>
            </w:pPr>
            <w:r>
              <w:rPr>
                <w:w w:val="98"/>
                <w:sz w:val="16"/>
              </w:rPr>
              <w:t>3</w:t>
            </w:r>
          </w:p>
          <w:p>
            <w:pPr>
              <w:pStyle w:val="TableParagraph"/>
              <w:spacing w:line="183" w:lineRule="exact"/>
              <w:rPr>
                <w:sz w:val="16"/>
              </w:rPr>
            </w:pPr>
            <w:r>
              <w:rPr>
                <w:w w:val="99"/>
                <w:sz w:val="16"/>
              </w:rPr>
              <w:t>4</w:t>
            </w:r>
          </w:p>
          <w:p>
            <w:pPr>
              <w:pStyle w:val="TableParagraph"/>
              <w:spacing w:before="3"/>
              <w:rPr>
                <w:sz w:val="16"/>
              </w:rPr>
            </w:pPr>
            <w:r>
              <w:rPr>
                <w:w w:val="98"/>
                <w:sz w:val="16"/>
              </w:rPr>
              <w:t>5</w:t>
            </w:r>
          </w:p>
        </w:tc>
      </w:tr>
      <w:tr>
        <w:trPr>
          <w:trHeight w:val="1114" w:hRule="exact"/>
        </w:trPr>
        <w:tc>
          <w:tcPr>
            <w:tcW w:w="2617" w:type="dxa"/>
            <w:vMerge w:val="restart"/>
          </w:tcPr>
          <w:p>
            <w:pPr>
              <w:pStyle w:val="TableParagraph"/>
              <w:tabs>
                <w:tab w:pos="820" w:val="left" w:leader="none"/>
              </w:tabs>
              <w:spacing w:line="192" w:lineRule="exact"/>
              <w:ind w:left="460"/>
              <w:jc w:val="left"/>
              <w:rPr>
                <w:rFonts w:ascii="Calibri" w:hAnsi="Calibri"/>
                <w:b/>
                <w:sz w:val="16"/>
              </w:rPr>
            </w:pPr>
            <w:r>
              <w:rPr>
                <w:rFonts w:ascii="Calibri" w:hAnsi="Calibri"/>
                <w:b/>
                <w:sz w:val="16"/>
              </w:rPr>
              <w:t>D.</w:t>
              <w:tab/>
              <w:t>En general el perro</w:t>
            </w:r>
            <w:r>
              <w:rPr>
                <w:rFonts w:ascii="Calibri" w:hAnsi="Calibri"/>
                <w:b/>
                <w:spacing w:val="-16"/>
                <w:sz w:val="16"/>
              </w:rPr>
              <w:t> </w:t>
            </w:r>
            <w:r>
              <w:rPr>
                <w:rFonts w:ascii="Calibri" w:hAnsi="Calibri"/>
                <w:b/>
                <w:sz w:val="16"/>
              </w:rPr>
              <w:t>está:</w:t>
            </w:r>
          </w:p>
        </w:tc>
        <w:tc>
          <w:tcPr>
            <w:tcW w:w="3020" w:type="dxa"/>
            <w:vMerge w:val="restart"/>
          </w:tcPr>
          <w:p>
            <w:pPr>
              <w:pStyle w:val="TableParagraph"/>
              <w:numPr>
                <w:ilvl w:val="0"/>
                <w:numId w:val="18"/>
              </w:numPr>
              <w:tabs>
                <w:tab w:pos="1185" w:val="left" w:leader="none"/>
                <w:tab w:pos="1186" w:val="left" w:leader="none"/>
              </w:tabs>
              <w:spacing w:line="242" w:lineRule="auto" w:before="0" w:after="0"/>
              <w:ind w:left="1186" w:right="775" w:hanging="721"/>
              <w:jc w:val="left"/>
              <w:rPr>
                <w:rFonts w:ascii="Calibri" w:hAnsi="Calibri"/>
                <w:sz w:val="16"/>
              </w:rPr>
            </w:pPr>
            <w:r>
              <w:rPr>
                <w:rFonts w:ascii="Calibri" w:hAnsi="Calibri"/>
                <w:sz w:val="16"/>
              </w:rPr>
              <w:t>De buen ánimo Quieto Indiferente o</w:t>
            </w:r>
            <w:r>
              <w:rPr>
                <w:rFonts w:ascii="Calibri" w:hAnsi="Calibri"/>
                <w:spacing w:val="-10"/>
                <w:sz w:val="16"/>
              </w:rPr>
              <w:t> </w:t>
            </w:r>
            <w:r>
              <w:rPr>
                <w:rFonts w:ascii="Calibri" w:hAnsi="Calibri"/>
                <w:sz w:val="16"/>
              </w:rPr>
              <w:t>no</w:t>
            </w:r>
          </w:p>
          <w:p>
            <w:pPr>
              <w:pStyle w:val="TableParagraph"/>
              <w:spacing w:line="242" w:lineRule="auto"/>
              <w:ind w:left="1186" w:right="197"/>
              <w:jc w:val="left"/>
              <w:rPr>
                <w:rFonts w:ascii="Calibri" w:hAnsi="Calibri"/>
                <w:sz w:val="16"/>
              </w:rPr>
            </w:pPr>
            <w:r>
              <w:rPr>
                <w:rFonts w:ascii="Calibri" w:hAnsi="Calibri"/>
                <w:sz w:val="16"/>
              </w:rPr>
              <w:t>responsivo al medio Nervioso o miedoso Deprimido o no responsivo a estímulos</w:t>
            </w:r>
          </w:p>
          <w:p>
            <w:pPr>
              <w:pStyle w:val="TableParagraph"/>
              <w:numPr>
                <w:ilvl w:val="0"/>
                <w:numId w:val="18"/>
              </w:numPr>
              <w:tabs>
                <w:tab w:pos="1185" w:val="left" w:leader="none"/>
                <w:tab w:pos="1186" w:val="left" w:leader="none"/>
              </w:tabs>
              <w:spacing w:line="242" w:lineRule="auto" w:before="0" w:after="0"/>
              <w:ind w:left="1186" w:right="1053" w:hanging="721"/>
              <w:jc w:val="left"/>
              <w:rPr>
                <w:rFonts w:ascii="Calibri" w:hAnsi="Calibri"/>
                <w:sz w:val="16"/>
              </w:rPr>
            </w:pPr>
            <w:r>
              <w:rPr>
                <w:rFonts w:ascii="Calibri" w:hAnsi="Calibri"/>
                <w:w w:val="95"/>
                <w:sz w:val="16"/>
              </w:rPr>
              <w:t>Confortable </w:t>
            </w:r>
            <w:r>
              <w:rPr>
                <w:rFonts w:ascii="Calibri" w:hAnsi="Calibri"/>
                <w:sz w:val="16"/>
              </w:rPr>
              <w:t>Incómodo Quieto</w:t>
            </w:r>
          </w:p>
          <w:p>
            <w:pPr>
              <w:pStyle w:val="TableParagraph"/>
              <w:spacing w:line="242" w:lineRule="auto"/>
              <w:ind w:left="1186" w:right="596"/>
              <w:jc w:val="left"/>
              <w:rPr>
                <w:rFonts w:ascii="Calibri" w:hAnsi="Calibri"/>
                <w:sz w:val="16"/>
              </w:rPr>
            </w:pPr>
            <w:r>
              <w:rPr>
                <w:rFonts w:ascii="Calibri" w:hAnsi="Calibri"/>
                <w:sz w:val="16"/>
              </w:rPr>
              <w:t>Encorvado o tenso Rígido</w:t>
            </w:r>
          </w:p>
        </w:tc>
        <w:tc>
          <w:tcPr>
            <w:tcW w:w="994" w:type="dxa"/>
          </w:tcPr>
          <w:p>
            <w:pPr>
              <w:pStyle w:val="TableParagraph"/>
              <w:spacing w:line="179" w:lineRule="exact"/>
              <w:rPr>
                <w:sz w:val="16"/>
              </w:rPr>
            </w:pPr>
            <w:r>
              <w:rPr>
                <w:w w:val="99"/>
                <w:sz w:val="16"/>
              </w:rPr>
              <w:t>0</w:t>
            </w:r>
          </w:p>
          <w:p>
            <w:pPr>
              <w:pStyle w:val="TableParagraph"/>
              <w:spacing w:line="183" w:lineRule="exact" w:before="3"/>
              <w:rPr>
                <w:sz w:val="16"/>
              </w:rPr>
            </w:pPr>
            <w:r>
              <w:rPr>
                <w:w w:val="98"/>
                <w:sz w:val="16"/>
              </w:rPr>
              <w:t>1</w:t>
            </w:r>
          </w:p>
          <w:p>
            <w:pPr>
              <w:pStyle w:val="TableParagraph"/>
              <w:spacing w:line="183" w:lineRule="exact"/>
              <w:rPr>
                <w:sz w:val="16"/>
              </w:rPr>
            </w:pPr>
            <w:r>
              <w:rPr>
                <w:w w:val="98"/>
                <w:sz w:val="16"/>
              </w:rPr>
              <w:t>2</w:t>
            </w:r>
          </w:p>
          <w:p>
            <w:pPr>
              <w:pStyle w:val="TableParagraph"/>
              <w:spacing w:before="1"/>
              <w:jc w:val="left"/>
              <w:rPr>
                <w:sz w:val="16"/>
              </w:rPr>
            </w:pPr>
          </w:p>
          <w:p>
            <w:pPr>
              <w:pStyle w:val="TableParagraph"/>
              <w:spacing w:line="183" w:lineRule="exact"/>
              <w:rPr>
                <w:sz w:val="16"/>
              </w:rPr>
            </w:pPr>
            <w:r>
              <w:rPr>
                <w:w w:val="98"/>
                <w:sz w:val="16"/>
              </w:rPr>
              <w:t>3</w:t>
            </w:r>
          </w:p>
          <w:p>
            <w:pPr>
              <w:pStyle w:val="TableParagraph"/>
              <w:spacing w:line="183" w:lineRule="exact"/>
              <w:rPr>
                <w:sz w:val="16"/>
              </w:rPr>
            </w:pPr>
            <w:r>
              <w:rPr>
                <w:w w:val="98"/>
                <w:sz w:val="16"/>
              </w:rPr>
              <w:t>4</w:t>
            </w:r>
          </w:p>
        </w:tc>
      </w:tr>
      <w:tr>
        <w:trPr>
          <w:trHeight w:val="1436" w:hRule="exact"/>
        </w:trPr>
        <w:tc>
          <w:tcPr>
            <w:tcW w:w="2617" w:type="dxa"/>
            <w:vMerge/>
          </w:tcPr>
          <w:p>
            <w:pPr/>
          </w:p>
        </w:tc>
        <w:tc>
          <w:tcPr>
            <w:tcW w:w="3020" w:type="dxa"/>
            <w:vMerge/>
          </w:tcPr>
          <w:p>
            <w:pPr/>
          </w:p>
        </w:tc>
        <w:tc>
          <w:tcPr>
            <w:tcW w:w="994" w:type="dxa"/>
          </w:tcPr>
          <w:p>
            <w:pPr>
              <w:pStyle w:val="TableParagraph"/>
              <w:jc w:val="left"/>
              <w:rPr>
                <w:sz w:val="16"/>
              </w:rPr>
            </w:pPr>
          </w:p>
          <w:p>
            <w:pPr>
              <w:pStyle w:val="TableParagraph"/>
              <w:spacing w:before="8"/>
              <w:jc w:val="left"/>
              <w:rPr>
                <w:sz w:val="15"/>
              </w:rPr>
            </w:pPr>
          </w:p>
          <w:p>
            <w:pPr>
              <w:pStyle w:val="TableParagraph"/>
              <w:spacing w:line="183" w:lineRule="exact"/>
              <w:rPr>
                <w:sz w:val="16"/>
              </w:rPr>
            </w:pPr>
            <w:r>
              <w:rPr>
                <w:w w:val="98"/>
                <w:sz w:val="16"/>
              </w:rPr>
              <w:t>0</w:t>
            </w:r>
          </w:p>
          <w:p>
            <w:pPr>
              <w:pStyle w:val="TableParagraph"/>
              <w:spacing w:line="183" w:lineRule="exact"/>
              <w:rPr>
                <w:sz w:val="16"/>
              </w:rPr>
            </w:pPr>
            <w:r>
              <w:rPr>
                <w:w w:val="99"/>
                <w:sz w:val="16"/>
              </w:rPr>
              <w:t>1</w:t>
            </w:r>
          </w:p>
          <w:p>
            <w:pPr>
              <w:pStyle w:val="TableParagraph"/>
              <w:spacing w:line="183" w:lineRule="exact" w:before="3"/>
              <w:rPr>
                <w:sz w:val="16"/>
              </w:rPr>
            </w:pPr>
            <w:r>
              <w:rPr>
                <w:w w:val="99"/>
                <w:sz w:val="16"/>
              </w:rPr>
              <w:t>2</w:t>
            </w:r>
          </w:p>
          <w:p>
            <w:pPr>
              <w:pStyle w:val="TableParagraph"/>
              <w:spacing w:line="182" w:lineRule="exact"/>
              <w:rPr>
                <w:sz w:val="16"/>
              </w:rPr>
            </w:pPr>
            <w:r>
              <w:rPr>
                <w:w w:val="99"/>
                <w:sz w:val="16"/>
              </w:rPr>
              <w:t>3</w:t>
            </w:r>
          </w:p>
          <w:p>
            <w:pPr>
              <w:pStyle w:val="TableParagraph"/>
              <w:spacing w:line="183" w:lineRule="exact"/>
              <w:rPr>
                <w:sz w:val="16"/>
              </w:rPr>
            </w:pPr>
            <w:r>
              <w:rPr>
                <w:w w:val="98"/>
                <w:sz w:val="16"/>
              </w:rPr>
              <w:t>4</w:t>
            </w:r>
          </w:p>
        </w:tc>
      </w:tr>
      <w:tr>
        <w:trPr>
          <w:trHeight w:val="379" w:hRule="exact"/>
        </w:trPr>
        <w:tc>
          <w:tcPr>
            <w:tcW w:w="5637" w:type="dxa"/>
            <w:gridSpan w:val="2"/>
            <w:tcBorders>
              <w:left w:val="nil"/>
              <w:bottom w:val="nil"/>
            </w:tcBorders>
          </w:tcPr>
          <w:p>
            <w:pPr/>
          </w:p>
        </w:tc>
        <w:tc>
          <w:tcPr>
            <w:tcW w:w="994" w:type="dxa"/>
          </w:tcPr>
          <w:p>
            <w:pPr>
              <w:pStyle w:val="TableParagraph"/>
              <w:spacing w:before="2"/>
              <w:jc w:val="left"/>
              <w:rPr>
                <w:sz w:val="16"/>
              </w:rPr>
            </w:pPr>
          </w:p>
          <w:p>
            <w:pPr>
              <w:pStyle w:val="TableParagraph"/>
              <w:ind w:left="105"/>
              <w:jc w:val="left"/>
              <w:rPr>
                <w:b/>
                <w:sz w:val="16"/>
              </w:rPr>
            </w:pPr>
            <w:r>
              <w:rPr>
                <w:b/>
                <w:sz w:val="16"/>
              </w:rPr>
              <w:t>TOTAL</w:t>
            </w:r>
          </w:p>
        </w:tc>
      </w:tr>
    </w:tbl>
    <w:p>
      <w:pPr>
        <w:pStyle w:val="BodyText"/>
        <w:spacing w:before="5"/>
        <w:rPr>
          <w:sz w:val="20"/>
        </w:rPr>
      </w:pPr>
    </w:p>
    <w:tbl>
      <w:tblPr>
        <w:tblW w:w="0" w:type="auto"/>
        <w:jc w:val="left"/>
        <w:tblInd w:w="3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0"/>
      </w:tblGrid>
      <w:tr>
        <w:trPr>
          <w:trHeight w:val="206" w:hRule="exact"/>
        </w:trPr>
        <w:tc>
          <w:tcPr>
            <w:tcW w:w="2050" w:type="dxa"/>
          </w:tcPr>
          <w:p>
            <w:pPr>
              <w:pStyle w:val="TableParagraph"/>
              <w:spacing w:before="1"/>
              <w:ind w:left="105"/>
              <w:jc w:val="left"/>
              <w:rPr>
                <w:rFonts w:ascii="Calibri" w:hAnsi="Calibri"/>
                <w:b/>
                <w:sz w:val="16"/>
              </w:rPr>
            </w:pPr>
            <w:r>
              <w:rPr>
                <w:rFonts w:ascii="Calibri" w:hAnsi="Calibri"/>
                <w:b/>
                <w:sz w:val="16"/>
              </w:rPr>
              <w:t>Descripción del dolor</w:t>
            </w:r>
          </w:p>
        </w:tc>
      </w:tr>
      <w:tr>
        <w:trPr>
          <w:trHeight w:val="792" w:hRule="exact"/>
        </w:trPr>
        <w:tc>
          <w:tcPr>
            <w:tcW w:w="2050" w:type="dxa"/>
          </w:tcPr>
          <w:p>
            <w:pPr>
              <w:pStyle w:val="TableParagraph"/>
              <w:spacing w:line="192" w:lineRule="exact"/>
              <w:ind w:left="105"/>
              <w:jc w:val="left"/>
              <w:rPr>
                <w:rFonts w:ascii="Calibri" w:hAnsi="Calibri"/>
                <w:sz w:val="16"/>
              </w:rPr>
            </w:pPr>
            <w:r>
              <w:rPr>
                <w:rFonts w:ascii="Calibri" w:hAnsi="Calibri"/>
                <w:sz w:val="16"/>
              </w:rPr>
              <w:t>1 – 5  =  dolor leve</w:t>
            </w:r>
          </w:p>
          <w:p>
            <w:pPr>
              <w:pStyle w:val="TableParagraph"/>
              <w:spacing w:before="1"/>
              <w:ind w:left="105"/>
              <w:jc w:val="left"/>
              <w:rPr>
                <w:rFonts w:ascii="Calibri" w:hAnsi="Calibri"/>
                <w:sz w:val="16"/>
              </w:rPr>
            </w:pPr>
            <w:r>
              <w:rPr>
                <w:rFonts w:ascii="Calibri" w:hAnsi="Calibri"/>
                <w:sz w:val="16"/>
              </w:rPr>
              <w:t>6 – 11 = dolor moderado</w:t>
            </w:r>
          </w:p>
          <w:p>
            <w:pPr>
              <w:pStyle w:val="TableParagraph"/>
              <w:spacing w:line="194" w:lineRule="exact" w:before="1"/>
              <w:ind w:left="105"/>
              <w:jc w:val="left"/>
              <w:rPr>
                <w:rFonts w:ascii="Calibri" w:hAnsi="Calibri"/>
                <w:sz w:val="16"/>
              </w:rPr>
            </w:pPr>
            <w:r>
              <w:rPr>
                <w:rFonts w:ascii="Calibri" w:hAnsi="Calibri"/>
                <w:sz w:val="16"/>
              </w:rPr>
              <w:t>12 – 17 =dolor severo</w:t>
            </w:r>
          </w:p>
          <w:p>
            <w:pPr>
              <w:pStyle w:val="TableParagraph"/>
              <w:spacing w:line="194" w:lineRule="exact"/>
              <w:ind w:left="105"/>
              <w:jc w:val="left"/>
              <w:rPr>
                <w:rFonts w:ascii="Calibri" w:hAnsi="Calibri"/>
                <w:sz w:val="16"/>
              </w:rPr>
            </w:pPr>
            <w:r>
              <w:rPr>
                <w:rFonts w:ascii="Calibri" w:hAnsi="Calibri"/>
                <w:sz w:val="16"/>
              </w:rPr>
              <w:t>18 – 24 = dolor insoportable</w:t>
            </w:r>
          </w:p>
        </w:tc>
      </w:tr>
    </w:tbl>
    <w:p>
      <w:pPr>
        <w:spacing w:after="0" w:line="194" w:lineRule="exact"/>
        <w:jc w:val="left"/>
        <w:rPr>
          <w:rFonts w:ascii="Calibri" w:hAnsi="Calibri"/>
          <w:sz w:val="16"/>
        </w:rPr>
        <w:sectPr>
          <w:pgSz w:w="12240" w:h="15840"/>
          <w:pgMar w:header="0" w:footer="1628" w:top="1500" w:bottom="1880" w:left="1720" w:right="1420"/>
        </w:sectPr>
      </w:pPr>
    </w:p>
    <w:p>
      <w:pPr>
        <w:pStyle w:val="BodyText"/>
        <w:spacing w:before="1"/>
        <w:rPr>
          <w:sz w:val="21"/>
        </w:rPr>
      </w:pPr>
    </w:p>
    <w:p>
      <w:pPr>
        <w:pStyle w:val="Heading2"/>
        <w:numPr>
          <w:ilvl w:val="1"/>
          <w:numId w:val="19"/>
        </w:numPr>
        <w:tabs>
          <w:tab w:pos="1296" w:val="left" w:leader="none"/>
        </w:tabs>
        <w:spacing w:line="240" w:lineRule="auto" w:before="69" w:after="0"/>
        <w:ind w:left="1295" w:right="0" w:hanging="360"/>
        <w:jc w:val="left"/>
      </w:pPr>
      <w:bookmarkStart w:name="_bookmark33" w:id="53"/>
      <w:bookmarkEnd w:id="53"/>
      <w:r>
        <w:rPr>
          <w:b w:val="0"/>
        </w:rPr>
      </w:r>
      <w:bookmarkStart w:name="_bookmark33" w:id="54"/>
      <w:bookmarkEnd w:id="54"/>
      <w:r>
        <w:rPr/>
        <w:t>Ana</w:t>
      </w:r>
      <w:r>
        <w:rPr/>
        <w:t>lgésicos y adyuvantes de </w:t>
      </w:r>
      <w:r>
        <w:rPr>
          <w:spacing w:val="-3"/>
        </w:rPr>
        <w:t>la</w:t>
      </w:r>
      <w:r>
        <w:rPr>
          <w:spacing w:val="-11"/>
        </w:rPr>
        <w:t> </w:t>
      </w:r>
      <w:r>
        <w:rPr/>
        <w:t>anestesia.</w:t>
      </w:r>
    </w:p>
    <w:p>
      <w:pPr>
        <w:pStyle w:val="BodyText"/>
        <w:spacing w:before="8"/>
        <w:rPr>
          <w:b/>
          <w:sz w:val="20"/>
        </w:rPr>
      </w:pPr>
    </w:p>
    <w:p>
      <w:pPr>
        <w:pStyle w:val="Heading2"/>
        <w:numPr>
          <w:ilvl w:val="2"/>
          <w:numId w:val="19"/>
        </w:numPr>
        <w:tabs>
          <w:tab w:pos="1416" w:val="left" w:leader="none"/>
        </w:tabs>
        <w:spacing w:line="240" w:lineRule="auto" w:before="0" w:after="0"/>
        <w:ind w:left="1415" w:right="0" w:hanging="542"/>
        <w:jc w:val="left"/>
      </w:pPr>
      <w:bookmarkStart w:name="_bookmark34" w:id="55"/>
      <w:bookmarkEnd w:id="55"/>
      <w:r>
        <w:rPr>
          <w:b w:val="0"/>
        </w:rPr>
      </w:r>
      <w:bookmarkStart w:name="_bookmark34" w:id="56"/>
      <w:bookmarkEnd w:id="56"/>
      <w:r>
        <w:rPr/>
        <w:t>F</w:t>
      </w:r>
      <w:r>
        <w:rPr/>
        <w:t>entanilo</w:t>
      </w:r>
    </w:p>
    <w:p>
      <w:pPr>
        <w:pStyle w:val="BodyText"/>
        <w:spacing w:before="7"/>
        <w:rPr>
          <w:b/>
          <w:sz w:val="20"/>
        </w:rPr>
      </w:pPr>
    </w:p>
    <w:p>
      <w:pPr>
        <w:pStyle w:val="BodyText"/>
        <w:spacing w:line="360" w:lineRule="auto"/>
        <w:ind w:left="152" w:right="112" w:firstLine="566"/>
        <w:jc w:val="both"/>
      </w:pPr>
      <w:r>
        <w:rPr/>
        <w:t>El fentanilo es un analgésico opioide agonista μ puro, de </w:t>
      </w:r>
      <w:r>
        <w:rPr>
          <w:spacing w:val="2"/>
        </w:rPr>
        <w:t>corta </w:t>
      </w:r>
      <w:r>
        <w:rPr/>
        <w:t>acción, altamente liposoluble y 100 veces más potente que </w:t>
      </w:r>
      <w:r>
        <w:rPr>
          <w:spacing w:val="-3"/>
        </w:rPr>
        <w:t>la </w:t>
      </w:r>
      <w:r>
        <w:rPr/>
        <w:t>morfina. El pico de efecto analgésico ocurre en 5 minutos y dura aproximadamente 30 minutos después de su administración intravenosa (Hellyer et al</w:t>
      </w:r>
      <w:r>
        <w:rPr>
          <w:spacing w:val="-5"/>
        </w:rPr>
        <w:t> </w:t>
      </w:r>
      <w:r>
        <w:rPr/>
        <w:t>2011).</w:t>
      </w:r>
    </w:p>
    <w:p>
      <w:pPr>
        <w:pStyle w:val="BodyText"/>
      </w:pPr>
    </w:p>
    <w:p>
      <w:pPr>
        <w:pStyle w:val="Heading2"/>
        <w:numPr>
          <w:ilvl w:val="3"/>
          <w:numId w:val="19"/>
        </w:numPr>
        <w:tabs>
          <w:tab w:pos="1599" w:val="left" w:leader="none"/>
        </w:tabs>
        <w:spacing w:line="240" w:lineRule="auto" w:before="145" w:after="0"/>
        <w:ind w:left="1598" w:right="0" w:hanging="725"/>
        <w:jc w:val="left"/>
      </w:pPr>
      <w:bookmarkStart w:name="_bookmark35" w:id="57"/>
      <w:bookmarkEnd w:id="57"/>
      <w:r>
        <w:rPr>
          <w:b w:val="0"/>
        </w:rPr>
      </w:r>
      <w:bookmarkStart w:name="_bookmark35" w:id="58"/>
      <w:bookmarkEnd w:id="58"/>
      <w:r>
        <w:rPr/>
        <w:t>F</w:t>
      </w:r>
      <w:r>
        <w:rPr/>
        <w:t>armacocinética y</w:t>
      </w:r>
      <w:r>
        <w:rPr>
          <w:spacing w:val="-21"/>
        </w:rPr>
        <w:t> </w:t>
      </w:r>
      <w:r>
        <w:rPr/>
        <w:t>farmacodinamia</w:t>
      </w:r>
    </w:p>
    <w:p>
      <w:pPr>
        <w:pStyle w:val="BodyText"/>
        <w:spacing w:before="7"/>
        <w:rPr>
          <w:b/>
          <w:sz w:val="20"/>
        </w:rPr>
      </w:pPr>
    </w:p>
    <w:p>
      <w:pPr>
        <w:pStyle w:val="BodyText"/>
        <w:spacing w:line="360" w:lineRule="auto"/>
        <w:ind w:left="152" w:right="104" w:firstLine="566"/>
        <w:jc w:val="both"/>
      </w:pPr>
      <w:r>
        <w:rPr/>
        <w:t>El fentanilo se une de manera reversible al receptor opioide µ (agonista OP3), activando varios tipos de proteína G e inhibiendo la actividad de la enzima adenil-ciclasa, esto activa las corrientes de los receptores operados por el ion potasio y suprime las corrientes de voltaje del ion calcio. Esta disminución de la liberación de calcio previene la liberación de neurotransmisores, como la sustancia P en el sistema nervioso central (Figura 7). El fentanilo reduce el requerimiento de los anestésicos e hipnóticos por sus características analgésicas y sedativas (Lamont et al. 1997).</w:t>
      </w:r>
    </w:p>
    <w:p>
      <w:pPr>
        <w:pStyle w:val="BodyText"/>
        <w:spacing w:line="360" w:lineRule="auto" w:before="4"/>
        <w:ind w:left="152" w:right="103" w:firstLine="566"/>
        <w:jc w:val="both"/>
      </w:pPr>
      <w:r>
        <w:rPr/>
        <w:t>Debido a su alta liposolubilidad, el fentanilo se distribuye rápidamente del plasma </w:t>
      </w:r>
      <w:r>
        <w:rPr>
          <w:spacing w:val="4"/>
        </w:rPr>
        <w:t>al </w:t>
      </w:r>
      <w:r>
        <w:rPr/>
        <w:t>SNC, y posteriormente se redistribuye del SNC a tejidos con sitios receptores a los fármacos inactivos, como el tejido graso y el músculo esquelético. Lo anterior disminuye </w:t>
      </w:r>
      <w:r>
        <w:rPr>
          <w:spacing w:val="-3"/>
        </w:rPr>
        <w:t>la </w:t>
      </w:r>
      <w:r>
        <w:rPr/>
        <w:t>concentración plasmática y es responsable de </w:t>
      </w:r>
      <w:r>
        <w:rPr>
          <w:spacing w:val="-5"/>
        </w:rPr>
        <w:t>la </w:t>
      </w:r>
      <w:r>
        <w:rPr/>
        <w:t>rápida terminación del efecto clínico. Sin embargo a grandes dosis o infusiones prolongadas es necesaria </w:t>
      </w:r>
      <w:r>
        <w:rPr>
          <w:spacing w:val="-3"/>
        </w:rPr>
        <w:t>la </w:t>
      </w:r>
      <w:r>
        <w:rPr/>
        <w:t>biotransformación hepática y excreción renal para que desaparezca el efecto clínico. La vida media de eliminación es de 2-3 horas. De acuerdo con </w:t>
      </w:r>
      <w:r>
        <w:rPr>
          <w:spacing w:val="-5"/>
        </w:rPr>
        <w:t>la </w:t>
      </w:r>
      <w:r>
        <w:rPr/>
        <w:t>vida </w:t>
      </w:r>
      <w:r>
        <w:rPr>
          <w:spacing w:val="-3"/>
        </w:rPr>
        <w:t>media </w:t>
      </w:r>
      <w:r>
        <w:rPr/>
        <w:t>sensible al contexto, el tiempo  de eliminación se prolonga y los efectos clínicos pueden persistir por un período </w:t>
      </w:r>
      <w:r>
        <w:rPr>
          <w:spacing w:val="-3"/>
        </w:rPr>
        <w:t>más </w:t>
      </w:r>
      <w:r>
        <w:rPr/>
        <w:t>largo después de una infusión intravenosa (Kukanich y Papich 2009, Hellyer et al</w:t>
      </w:r>
      <w:r>
        <w:rPr>
          <w:spacing w:val="-29"/>
        </w:rPr>
        <w:t> </w:t>
      </w:r>
      <w:r>
        <w:rPr/>
        <w:t>2011).</w:t>
      </w:r>
    </w:p>
    <w:p>
      <w:pPr>
        <w:spacing w:after="0" w:line="360" w:lineRule="auto"/>
        <w:jc w:val="both"/>
        <w:sectPr>
          <w:pgSz w:w="12240" w:h="15840"/>
          <w:pgMar w:header="0" w:footer="1628" w:top="1500" w:bottom="1880" w:left="1720" w:right="1420"/>
        </w:sectPr>
      </w:pPr>
    </w:p>
    <w:p>
      <w:pPr>
        <w:pStyle w:val="BodyText"/>
        <w:spacing w:before="3" w:after="1"/>
        <w:rPr>
          <w:sz w:val="27"/>
        </w:rPr>
      </w:pPr>
    </w:p>
    <w:p>
      <w:pPr>
        <w:pStyle w:val="BodyText"/>
        <w:ind w:left="1210"/>
        <w:rPr>
          <w:sz w:val="20"/>
        </w:rPr>
      </w:pPr>
      <w:r>
        <w:rPr>
          <w:sz w:val="20"/>
        </w:rPr>
        <w:drawing>
          <wp:inline distT="0" distB="0" distL="0" distR="0">
            <wp:extent cx="4268036" cy="2620041"/>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19" cstate="print"/>
                    <a:stretch>
                      <a:fillRect/>
                    </a:stretch>
                  </pic:blipFill>
                  <pic:spPr>
                    <a:xfrm>
                      <a:off x="0" y="0"/>
                      <a:ext cx="4268036" cy="2620041"/>
                    </a:xfrm>
                    <a:prstGeom prst="rect">
                      <a:avLst/>
                    </a:prstGeom>
                  </pic:spPr>
                </pic:pic>
              </a:graphicData>
            </a:graphic>
          </wp:inline>
        </w:drawing>
      </w:r>
      <w:r>
        <w:rPr>
          <w:sz w:val="20"/>
        </w:rPr>
      </w:r>
    </w:p>
    <w:p>
      <w:pPr>
        <w:pStyle w:val="BodyText"/>
        <w:spacing w:before="129"/>
        <w:ind w:left="1012" w:right="70"/>
      </w:pPr>
      <w:bookmarkStart w:name="_bookmark36" w:id="59"/>
      <w:bookmarkEnd w:id="59"/>
      <w:r>
        <w:rPr/>
      </w:r>
      <w:r>
        <w:rPr/>
        <w:t>Figura 7. Mecanismo de acción celular de los opioides </w:t>
      </w:r>
      <w:r>
        <w:rPr>
          <w:u w:val="single"/>
        </w:rPr>
        <w:t>(</w:t>
      </w:r>
      <w:r>
        <w:rPr/>
        <w:t>Miller et al. 2009)</w:t>
      </w:r>
    </w:p>
    <w:p>
      <w:pPr>
        <w:pStyle w:val="BodyText"/>
        <w:rPr>
          <w:sz w:val="20"/>
        </w:rPr>
      </w:pPr>
    </w:p>
    <w:p>
      <w:pPr>
        <w:pStyle w:val="BodyText"/>
        <w:spacing w:before="7"/>
        <w:rPr>
          <w:sz w:val="27"/>
        </w:rPr>
      </w:pPr>
    </w:p>
    <w:p>
      <w:pPr>
        <w:pStyle w:val="Heading2"/>
        <w:numPr>
          <w:ilvl w:val="3"/>
          <w:numId w:val="19"/>
        </w:numPr>
        <w:tabs>
          <w:tab w:pos="1599" w:val="left" w:leader="none"/>
        </w:tabs>
        <w:spacing w:line="240" w:lineRule="auto" w:before="69" w:after="0"/>
        <w:ind w:left="1598" w:right="0" w:hanging="725"/>
        <w:jc w:val="left"/>
      </w:pPr>
      <w:bookmarkStart w:name="_bookmark37" w:id="60"/>
      <w:bookmarkEnd w:id="60"/>
      <w:r>
        <w:rPr>
          <w:b w:val="0"/>
        </w:rPr>
      </w:r>
      <w:bookmarkStart w:name="_bookmark37" w:id="61"/>
      <w:bookmarkEnd w:id="61"/>
      <w:r>
        <w:rPr/>
        <w:t>E</w:t>
      </w:r>
      <w:r>
        <w:rPr/>
        <w:t>fectos</w:t>
      </w:r>
      <w:r>
        <w:rPr>
          <w:spacing w:val="-14"/>
        </w:rPr>
        <w:t> </w:t>
      </w:r>
      <w:r>
        <w:rPr/>
        <w:t>secundarios</w:t>
      </w:r>
    </w:p>
    <w:p>
      <w:pPr>
        <w:pStyle w:val="BodyText"/>
        <w:spacing w:before="8"/>
        <w:rPr>
          <w:b/>
          <w:sz w:val="20"/>
        </w:rPr>
      </w:pPr>
    </w:p>
    <w:p>
      <w:pPr>
        <w:pStyle w:val="BodyText"/>
        <w:spacing w:line="357" w:lineRule="auto"/>
        <w:ind w:left="152" w:right="108" w:firstLine="566"/>
        <w:jc w:val="both"/>
      </w:pPr>
      <w:r>
        <w:rPr/>
        <w:t>En general la estabilidad cardiovascular es muy buena, pues no produce hipotensión por efecto directo sobre los vasos sanguíneos y tampoco por liberación de histamina. La bradicardia puede ser significativa después de la administración intravenosa pero es generalmente responsiva a los anticolinérgicos. La depresión respiratoria es más común en humanos que en perros, sin embargo puede verse una ligera disminución de la frecuencia respiratoria asociada a la administración de otros fármacos depresores del SNC, y mediada principalmente por los receptores μ</w:t>
      </w:r>
      <w:r>
        <w:rPr>
          <w:position w:val="-2"/>
          <w:sz w:val="16"/>
        </w:rPr>
        <w:t>2</w:t>
      </w:r>
      <w:r>
        <w:rPr/>
        <w:t>. Se caracteriza por un incremento en los niveles de la PaCO</w:t>
      </w:r>
      <w:r>
        <w:rPr>
          <w:position w:val="-2"/>
          <w:sz w:val="16"/>
        </w:rPr>
        <w:t>2 </w:t>
      </w:r>
      <w:r>
        <w:rPr/>
        <w:t>sobre todo en pacientes anestesiados en comparación con los conscientes. A nivel gastrointestinal se han reportado algunos casos de constipación con la administración de grandes dosis y por tiempos prolongados. El efecto clásico sobre el sistema genito-urinario es la retención urinaria que también se asocia a grandes dosis (Kukanich y Papich 2009; Hellyer et al. 2011).</w:t>
      </w:r>
    </w:p>
    <w:p>
      <w:pPr>
        <w:spacing w:after="0" w:line="357" w:lineRule="auto"/>
        <w:jc w:val="both"/>
        <w:sectPr>
          <w:pgSz w:w="12240" w:h="15840"/>
          <w:pgMar w:header="0" w:footer="1628" w:top="1500" w:bottom="1880" w:left="1720" w:right="1420"/>
        </w:sectPr>
      </w:pPr>
    </w:p>
    <w:p>
      <w:pPr>
        <w:pStyle w:val="BodyText"/>
        <w:spacing w:before="1"/>
        <w:rPr>
          <w:sz w:val="21"/>
        </w:rPr>
      </w:pPr>
    </w:p>
    <w:p>
      <w:pPr>
        <w:pStyle w:val="Heading2"/>
        <w:numPr>
          <w:ilvl w:val="3"/>
          <w:numId w:val="19"/>
        </w:numPr>
        <w:tabs>
          <w:tab w:pos="1599" w:val="left" w:leader="none"/>
        </w:tabs>
        <w:spacing w:line="240" w:lineRule="auto" w:before="69" w:after="0"/>
        <w:ind w:left="1598" w:right="0" w:hanging="725"/>
        <w:jc w:val="left"/>
      </w:pPr>
      <w:bookmarkStart w:name="_bookmark38" w:id="62"/>
      <w:bookmarkEnd w:id="62"/>
      <w:r>
        <w:rPr>
          <w:b w:val="0"/>
        </w:rPr>
      </w:r>
      <w:bookmarkStart w:name="_bookmark38" w:id="63"/>
      <w:bookmarkEnd w:id="63"/>
      <w:r>
        <w:rPr/>
        <w:t>U</w:t>
      </w:r>
      <w:r>
        <w:rPr/>
        <w:t>sos</w:t>
      </w:r>
      <w:r>
        <w:rPr>
          <w:spacing w:val="-9"/>
        </w:rPr>
        <w:t> </w:t>
      </w:r>
      <w:r>
        <w:rPr/>
        <w:t>clínicos</w:t>
      </w:r>
    </w:p>
    <w:p>
      <w:pPr>
        <w:pStyle w:val="BodyText"/>
        <w:spacing w:before="3"/>
        <w:rPr>
          <w:b/>
          <w:sz w:val="20"/>
        </w:rPr>
      </w:pPr>
    </w:p>
    <w:p>
      <w:pPr>
        <w:pStyle w:val="BodyText"/>
        <w:spacing w:line="350" w:lineRule="auto"/>
        <w:ind w:left="152" w:right="109" w:firstLine="566"/>
        <w:jc w:val="both"/>
      </w:pPr>
      <w:r>
        <w:rPr/>
        <w:t>Debido a su corto período de acción, el fentanilo se recomienda administrarlo por infusión constante (IC) para proveer disminución de </w:t>
      </w:r>
      <w:r>
        <w:rPr>
          <w:spacing w:val="-3"/>
        </w:rPr>
        <w:t>la </w:t>
      </w:r>
      <w:r>
        <w:rPr/>
        <w:t>CAM de anestésicos inhalatorios (Sano </w:t>
      </w:r>
      <w:r>
        <w:rPr>
          <w:spacing w:val="-3"/>
        </w:rPr>
        <w:t>et </w:t>
      </w:r>
      <w:r>
        <w:rPr>
          <w:spacing w:val="-4"/>
        </w:rPr>
        <w:t>al. </w:t>
      </w:r>
      <w:r>
        <w:rPr/>
        <w:t>2006; Steagall et </w:t>
      </w:r>
      <w:r>
        <w:rPr>
          <w:spacing w:val="-4"/>
        </w:rPr>
        <w:t>al. </w:t>
      </w:r>
      <w:r>
        <w:rPr/>
        <w:t>2006; Ueyama et </w:t>
      </w:r>
      <w:r>
        <w:rPr>
          <w:spacing w:val="-3"/>
        </w:rPr>
        <w:t>al. </w:t>
      </w:r>
      <w:r>
        <w:rPr/>
        <w:t>2009) y para producir analgesia trans   y postquirúrgica a dosis de carga de 2 a 5 </w:t>
      </w:r>
      <w:r>
        <w:rPr>
          <w:spacing w:val="3"/>
        </w:rPr>
        <w:t>μg </w:t>
      </w:r>
      <w:r>
        <w:rPr/>
        <w:t>kg</w:t>
      </w:r>
      <w:r>
        <w:rPr>
          <w:position w:val="11"/>
          <w:sz w:val="16"/>
        </w:rPr>
        <w:t>-1</w:t>
      </w:r>
      <w:r>
        <w:rPr/>
        <w:t>, e IC de 5 a 10 μg kg </w:t>
      </w:r>
      <w:r>
        <w:rPr>
          <w:spacing w:val="-3"/>
        </w:rPr>
        <w:t>hr </w:t>
      </w:r>
      <w:r>
        <w:rPr>
          <w:spacing w:val="-3"/>
          <w:position w:val="11"/>
          <w:sz w:val="16"/>
        </w:rPr>
        <w:t>-1    </w:t>
      </w:r>
      <w:r>
        <w:rPr/>
        <w:t>(Wagner et </w:t>
      </w:r>
      <w:r>
        <w:rPr>
          <w:spacing w:val="30"/>
        </w:rPr>
        <w:t> </w:t>
      </w:r>
      <w:r>
        <w:rPr>
          <w:spacing w:val="-4"/>
        </w:rPr>
        <w:t>al.</w:t>
      </w:r>
    </w:p>
    <w:p>
      <w:pPr>
        <w:pStyle w:val="BodyText"/>
        <w:spacing w:line="360" w:lineRule="auto"/>
        <w:ind w:left="152" w:right="113"/>
        <w:jc w:val="both"/>
      </w:pPr>
      <w:r>
        <w:rPr/>
        <w:t>2002; Gurney 2012; Linton et al. 2012). Se pueden utilizar dosis altas en conjunto con midazolam, para inducir a la anestesia en el paciente críticamente enfermo (Hellyer et al. 2011).</w:t>
      </w:r>
    </w:p>
    <w:p>
      <w:pPr>
        <w:pStyle w:val="Heading2"/>
        <w:numPr>
          <w:ilvl w:val="2"/>
          <w:numId w:val="20"/>
        </w:numPr>
        <w:tabs>
          <w:tab w:pos="1416" w:val="left" w:leader="none"/>
        </w:tabs>
        <w:spacing w:line="240" w:lineRule="auto" w:before="8" w:after="0"/>
        <w:ind w:left="1415" w:right="0" w:hanging="542"/>
        <w:jc w:val="left"/>
      </w:pPr>
      <w:bookmarkStart w:name="_bookmark39" w:id="64"/>
      <w:bookmarkEnd w:id="64"/>
      <w:r>
        <w:rPr>
          <w:b w:val="0"/>
        </w:rPr>
      </w:r>
      <w:bookmarkStart w:name="_bookmark39" w:id="65"/>
      <w:bookmarkEnd w:id="65"/>
      <w:r>
        <w:rPr/>
        <w:t>L</w:t>
      </w:r>
      <w:r>
        <w:rPr/>
        <w:t>idocaína</w:t>
      </w:r>
      <w:r>
        <w:rPr>
          <w:spacing w:val="-13"/>
        </w:rPr>
        <w:t> </w:t>
      </w:r>
      <w:r>
        <w:rPr/>
        <w:t>intravenosa</w:t>
      </w:r>
    </w:p>
    <w:p>
      <w:pPr>
        <w:pStyle w:val="BodyText"/>
        <w:spacing w:before="8"/>
        <w:rPr>
          <w:b/>
          <w:sz w:val="20"/>
        </w:rPr>
      </w:pPr>
    </w:p>
    <w:p>
      <w:pPr>
        <w:pStyle w:val="BodyText"/>
        <w:spacing w:line="360" w:lineRule="auto"/>
        <w:ind w:left="152" w:right="112" w:firstLine="566"/>
        <w:jc w:val="both"/>
      </w:pPr>
      <w:r>
        <w:rPr/>
        <w:t>La lidocaína es un anestésico local, amida, bloqueador no selectivo de los canales de sodio (Thomas et al. 2004) utilizada ampliamente en medicina de humanos y veterinaria. Reduce los requerimientos de los anestésicos principalmente por sus características analgésicas y sedativas. Tiene un rápido tiempo de latencia (2-5 minutos) y la duración de su efecto es variable dependiendo de la vía de administración (Webb y Pablo 2009).</w:t>
      </w:r>
    </w:p>
    <w:p>
      <w:pPr>
        <w:pStyle w:val="BodyText"/>
      </w:pPr>
    </w:p>
    <w:p>
      <w:pPr>
        <w:pStyle w:val="Heading2"/>
        <w:numPr>
          <w:ilvl w:val="3"/>
          <w:numId w:val="20"/>
        </w:numPr>
        <w:tabs>
          <w:tab w:pos="1599" w:val="left" w:leader="none"/>
        </w:tabs>
        <w:spacing w:line="240" w:lineRule="auto" w:before="145" w:after="0"/>
        <w:ind w:left="1598" w:right="0" w:hanging="725"/>
        <w:jc w:val="left"/>
      </w:pPr>
      <w:bookmarkStart w:name="_bookmark40" w:id="66"/>
      <w:bookmarkEnd w:id="66"/>
      <w:r>
        <w:rPr>
          <w:b w:val="0"/>
        </w:rPr>
      </w:r>
      <w:bookmarkStart w:name="_bookmark40" w:id="67"/>
      <w:bookmarkEnd w:id="67"/>
      <w:r>
        <w:rPr/>
        <w:t>F</w:t>
      </w:r>
      <w:r>
        <w:rPr/>
        <w:t>armacocinética y</w:t>
      </w:r>
      <w:r>
        <w:rPr>
          <w:spacing w:val="-21"/>
        </w:rPr>
        <w:t> </w:t>
      </w:r>
      <w:r>
        <w:rPr/>
        <w:t>farmacodinamia</w:t>
      </w:r>
    </w:p>
    <w:p>
      <w:pPr>
        <w:pStyle w:val="BodyText"/>
        <w:spacing w:before="7"/>
        <w:rPr>
          <w:b/>
          <w:sz w:val="20"/>
        </w:rPr>
      </w:pPr>
    </w:p>
    <w:p>
      <w:pPr>
        <w:pStyle w:val="BodyText"/>
        <w:spacing w:line="360" w:lineRule="auto"/>
        <w:ind w:left="152" w:right="105" w:firstLine="566"/>
        <w:jc w:val="both"/>
      </w:pPr>
      <w:r>
        <w:rPr/>
        <w:t>Los anestésicos locales bloquean los impulsos nerviosos inhibiendo los canales de sodio individuales, reduciendo con esto la despolarización neuronal (McCleane 2007). Cuando se usan en suficiente concentración, producen un completo bloqueo neuronal; sin embargo, cuando es administrada sistémicamente a dosis bajas, no se observa un efecto en los potenciales de acción en las fibras aferentes Aβ, Aδ, o C. No se sabe aún a ciencia cierta el mecanismo por el cual la lidocaína sistémica produce analgesia, sin embargo, se ha observado que tiene una predominancia de efecto sobre el tejido neural dañado a concentraciones mucho menores que las requeridas para causar un bloqueo completo neuronal.</w:t>
      </w:r>
    </w:p>
    <w:p>
      <w:pPr>
        <w:pStyle w:val="BodyText"/>
        <w:spacing w:line="360" w:lineRule="auto" w:before="9"/>
        <w:ind w:left="152" w:right="111" w:firstLine="566"/>
        <w:jc w:val="both"/>
      </w:pPr>
      <w:r>
        <w:rPr/>
        <w:t>La biotransformación es hepática vía citocromo P-450, con eliminación renal (en humanos) de menos del 2% (Webb y Pablo 2009).</w:t>
      </w:r>
    </w:p>
    <w:p>
      <w:pPr>
        <w:spacing w:after="0" w:line="360" w:lineRule="auto"/>
        <w:jc w:val="both"/>
        <w:sectPr>
          <w:pgSz w:w="12240" w:h="15840"/>
          <w:pgMar w:header="0" w:footer="1628" w:top="1500" w:bottom="1880" w:left="1720" w:right="1420"/>
        </w:sectPr>
      </w:pPr>
    </w:p>
    <w:p>
      <w:pPr>
        <w:pStyle w:val="BodyText"/>
        <w:spacing w:before="1"/>
        <w:rPr>
          <w:sz w:val="21"/>
        </w:rPr>
      </w:pPr>
    </w:p>
    <w:p>
      <w:pPr>
        <w:pStyle w:val="Heading2"/>
        <w:numPr>
          <w:ilvl w:val="3"/>
          <w:numId w:val="20"/>
        </w:numPr>
        <w:tabs>
          <w:tab w:pos="1599" w:val="left" w:leader="none"/>
        </w:tabs>
        <w:spacing w:line="240" w:lineRule="auto" w:before="69" w:after="0"/>
        <w:ind w:left="1598" w:right="0" w:hanging="725"/>
        <w:jc w:val="left"/>
      </w:pPr>
      <w:bookmarkStart w:name="_bookmark41" w:id="68"/>
      <w:bookmarkEnd w:id="68"/>
      <w:r>
        <w:rPr>
          <w:b w:val="0"/>
        </w:rPr>
      </w:r>
      <w:bookmarkStart w:name="_bookmark41" w:id="69"/>
      <w:bookmarkEnd w:id="69"/>
      <w:r>
        <w:rPr/>
        <w:t>E</w:t>
      </w:r>
      <w:r>
        <w:rPr/>
        <w:t>fectos</w:t>
      </w:r>
      <w:r>
        <w:rPr>
          <w:spacing w:val="-14"/>
        </w:rPr>
        <w:t> </w:t>
      </w:r>
      <w:r>
        <w:rPr/>
        <w:t>secundarios</w:t>
      </w:r>
    </w:p>
    <w:p>
      <w:pPr>
        <w:pStyle w:val="BodyText"/>
        <w:spacing w:before="3"/>
        <w:rPr>
          <w:b/>
          <w:sz w:val="20"/>
        </w:rPr>
      </w:pPr>
    </w:p>
    <w:p>
      <w:pPr>
        <w:pStyle w:val="BodyText"/>
        <w:spacing w:line="350" w:lineRule="auto"/>
        <w:ind w:left="152" w:right="109" w:firstLine="566"/>
        <w:jc w:val="both"/>
      </w:pPr>
      <w:r>
        <w:rPr/>
        <w:t>En algunos estudios con animales la lidocaína ha demostrado un efecto inotropo negativo mediado por un efecto con los canales de sodio y calcio (McCleane 2007), sin embargo, eleva el umbral de la fibrilación ventricular en perros, por un efecto directo sobre las células miocárdicas. A dosis de 200 μg kg min </w:t>
      </w:r>
      <w:r>
        <w:rPr>
          <w:position w:val="11"/>
          <w:sz w:val="16"/>
        </w:rPr>
        <w:t>-1  </w:t>
      </w:r>
      <w:r>
        <w:rPr/>
        <w:t>se observó una disminución del  índice</w:t>
      </w:r>
    </w:p>
    <w:p>
      <w:pPr>
        <w:pStyle w:val="BodyText"/>
        <w:spacing w:line="360" w:lineRule="auto"/>
        <w:ind w:left="152" w:right="108"/>
        <w:jc w:val="both"/>
      </w:pPr>
      <w:r>
        <w:rPr/>
        <w:t>latido e incremento de la frecuencia cardiaca en perros (Nunes de Moraes et al. 1998). Vómito, arcadas, temblor, sedación y ataxia también fueron observados en perros conscientes después de la administración de una IC de lidocaína (MacDougall et al. 2009).</w:t>
      </w:r>
    </w:p>
    <w:p>
      <w:pPr>
        <w:pStyle w:val="BodyText"/>
      </w:pPr>
    </w:p>
    <w:p>
      <w:pPr>
        <w:pStyle w:val="Heading2"/>
        <w:numPr>
          <w:ilvl w:val="3"/>
          <w:numId w:val="20"/>
        </w:numPr>
        <w:tabs>
          <w:tab w:pos="1536" w:val="left" w:leader="none"/>
        </w:tabs>
        <w:spacing w:line="240" w:lineRule="auto" w:before="145" w:after="0"/>
        <w:ind w:left="1535" w:right="0" w:hanging="662"/>
        <w:jc w:val="left"/>
      </w:pPr>
      <w:bookmarkStart w:name="_bookmark42" w:id="70"/>
      <w:bookmarkEnd w:id="70"/>
      <w:r>
        <w:rPr>
          <w:b w:val="0"/>
        </w:rPr>
      </w:r>
      <w:bookmarkStart w:name="_bookmark42" w:id="71"/>
      <w:bookmarkEnd w:id="71"/>
      <w:r>
        <w:rPr/>
        <w:t>U</w:t>
      </w:r>
      <w:r>
        <w:rPr/>
        <w:t>sos</w:t>
      </w:r>
      <w:r>
        <w:rPr>
          <w:spacing w:val="-9"/>
        </w:rPr>
        <w:t> </w:t>
      </w:r>
      <w:r>
        <w:rPr/>
        <w:t>clínicos</w:t>
      </w:r>
    </w:p>
    <w:p>
      <w:pPr>
        <w:pStyle w:val="BodyText"/>
        <w:spacing w:before="8"/>
        <w:rPr>
          <w:b/>
          <w:sz w:val="20"/>
        </w:rPr>
      </w:pPr>
    </w:p>
    <w:p>
      <w:pPr>
        <w:pStyle w:val="BodyText"/>
        <w:spacing w:line="360" w:lineRule="auto"/>
        <w:ind w:left="152" w:right="115" w:firstLine="566"/>
        <w:jc w:val="both"/>
      </w:pPr>
      <w:r>
        <w:rPr/>
        <w:t>La lidocaína intravenosa se ha utilizado extensivamente como analgésico único o adjunto de </w:t>
      </w:r>
      <w:r>
        <w:rPr>
          <w:spacing w:val="-5"/>
        </w:rPr>
        <w:t>la </w:t>
      </w:r>
      <w:r>
        <w:rPr/>
        <w:t>analgesia en humanos conscientes y anestesiados (Thomas et </w:t>
      </w:r>
      <w:r>
        <w:rPr>
          <w:spacing w:val="-4"/>
        </w:rPr>
        <w:t>al. </w:t>
      </w:r>
      <w:r>
        <w:rPr/>
        <w:t>2004; Marret et </w:t>
      </w:r>
      <w:r>
        <w:rPr>
          <w:spacing w:val="-4"/>
        </w:rPr>
        <w:t>al. </w:t>
      </w:r>
      <w:r>
        <w:rPr/>
        <w:t>2008; McCarthy et </w:t>
      </w:r>
      <w:r>
        <w:rPr>
          <w:spacing w:val="-3"/>
        </w:rPr>
        <w:t>al. </w:t>
      </w:r>
      <w:r>
        <w:rPr/>
        <w:t>2010; Saadawy et </w:t>
      </w:r>
      <w:r>
        <w:rPr>
          <w:spacing w:val="-3"/>
        </w:rPr>
        <w:t>al. </w:t>
      </w:r>
      <w:r>
        <w:rPr/>
        <w:t>2010; Kim et </w:t>
      </w:r>
      <w:r>
        <w:rPr>
          <w:spacing w:val="-3"/>
        </w:rPr>
        <w:t>al. </w:t>
      </w:r>
      <w:r>
        <w:rPr/>
        <w:t>2011; Grady et </w:t>
      </w:r>
      <w:r>
        <w:rPr>
          <w:spacing w:val="-3"/>
        </w:rPr>
        <w:t>al. </w:t>
      </w:r>
      <w:r>
        <w:rPr/>
        <w:t>2012; Kang et </w:t>
      </w:r>
      <w:r>
        <w:rPr>
          <w:spacing w:val="-3"/>
        </w:rPr>
        <w:t>al. </w:t>
      </w:r>
      <w:r>
        <w:rPr/>
        <w:t>2012; Kim et </w:t>
      </w:r>
      <w:r>
        <w:rPr>
          <w:spacing w:val="-3"/>
        </w:rPr>
        <w:t>al. </w:t>
      </w:r>
      <w:r>
        <w:rPr/>
        <w:t>2013); así también como en animales (Smith et </w:t>
      </w:r>
      <w:r>
        <w:rPr>
          <w:spacing w:val="-3"/>
        </w:rPr>
        <w:t>al. </w:t>
      </w:r>
      <w:r>
        <w:rPr/>
        <w:t>2004; Robertson et </w:t>
      </w:r>
      <w:r>
        <w:rPr>
          <w:spacing w:val="-3"/>
        </w:rPr>
        <w:t>al. </w:t>
      </w:r>
      <w:r>
        <w:rPr/>
        <w:t>2005; MacDougall et </w:t>
      </w:r>
      <w:r>
        <w:rPr>
          <w:spacing w:val="-3"/>
        </w:rPr>
        <w:t>al. </w:t>
      </w:r>
      <w:r>
        <w:rPr/>
        <w:t>2009). Se </w:t>
      </w:r>
      <w:r>
        <w:rPr>
          <w:spacing w:val="-3"/>
        </w:rPr>
        <w:t>ha </w:t>
      </w:r>
      <w:r>
        <w:rPr/>
        <w:t>utilizado exitosamente para  disminuir </w:t>
      </w:r>
      <w:r>
        <w:rPr>
          <w:spacing w:val="-5"/>
        </w:rPr>
        <w:t>la </w:t>
      </w:r>
      <w:r>
        <w:rPr/>
        <w:t>CAM de Isoflurano (Muir et al 2003; Valverde et </w:t>
      </w:r>
      <w:r>
        <w:rPr>
          <w:spacing w:val="-4"/>
        </w:rPr>
        <w:t>al. </w:t>
      </w:r>
      <w:r>
        <w:rPr/>
        <w:t>2004; Wilson et </w:t>
      </w:r>
      <w:r>
        <w:rPr>
          <w:spacing w:val="-3"/>
        </w:rPr>
        <w:t>al. </w:t>
      </w:r>
      <w:r>
        <w:rPr>
          <w:spacing w:val="33"/>
        </w:rPr>
        <w:t> </w:t>
      </w:r>
      <w:r>
        <w:rPr/>
        <w:t>2008)</w:t>
      </w:r>
    </w:p>
    <w:p>
      <w:pPr>
        <w:pStyle w:val="BodyText"/>
        <w:spacing w:line="280" w:lineRule="exact"/>
        <w:ind w:left="152"/>
        <w:jc w:val="both"/>
      </w:pPr>
      <w:r>
        <w:rPr/>
        <w:t>con dosis de carga de 1-2 mg kg</w:t>
      </w:r>
      <w:r>
        <w:rPr>
          <w:position w:val="11"/>
          <w:sz w:val="16"/>
        </w:rPr>
        <w:t>-1  </w:t>
      </w:r>
      <w:r>
        <w:rPr/>
        <w:t>e IC de 50 a 100 μg kg min </w:t>
      </w:r>
      <w:r>
        <w:rPr>
          <w:position w:val="11"/>
          <w:sz w:val="16"/>
        </w:rPr>
        <w:t>-1</w:t>
      </w:r>
      <w:r>
        <w:rPr/>
        <w:t>.</w:t>
      </w:r>
    </w:p>
    <w:p>
      <w:pPr>
        <w:pStyle w:val="BodyText"/>
        <w:rPr>
          <w:sz w:val="28"/>
        </w:rPr>
      </w:pPr>
    </w:p>
    <w:p>
      <w:pPr>
        <w:pStyle w:val="Heading2"/>
        <w:numPr>
          <w:ilvl w:val="2"/>
          <w:numId w:val="21"/>
        </w:numPr>
        <w:tabs>
          <w:tab w:pos="1411" w:val="left" w:leader="none"/>
        </w:tabs>
        <w:spacing w:line="240" w:lineRule="auto" w:before="237" w:after="0"/>
        <w:ind w:left="1411" w:right="0" w:hanging="538"/>
        <w:jc w:val="left"/>
      </w:pPr>
      <w:bookmarkStart w:name="_bookmark43" w:id="72"/>
      <w:bookmarkEnd w:id="72"/>
      <w:r>
        <w:rPr>
          <w:b w:val="0"/>
        </w:rPr>
      </w:r>
      <w:bookmarkStart w:name="_bookmark43" w:id="73"/>
      <w:bookmarkEnd w:id="73"/>
      <w:r>
        <w:rPr/>
        <w:t>K</w:t>
      </w:r>
      <w:r>
        <w:rPr/>
        <w:t>etamina</w:t>
      </w:r>
    </w:p>
    <w:p>
      <w:pPr>
        <w:pStyle w:val="BodyText"/>
        <w:spacing w:before="2"/>
        <w:rPr>
          <w:b/>
          <w:sz w:val="20"/>
        </w:rPr>
      </w:pPr>
    </w:p>
    <w:p>
      <w:pPr>
        <w:pStyle w:val="BodyText"/>
        <w:spacing w:line="360" w:lineRule="auto" w:before="1"/>
        <w:ind w:left="152" w:right="101" w:firstLine="566"/>
        <w:jc w:val="both"/>
      </w:pPr>
      <w:r>
        <w:rPr/>
        <w:t>La ketamina 2-(-0-clorofenol)-2-(metilamino)-ciclohexanona clorhidrato, es un derivado de la fenciclidina, utilizado como anestésico general; siendo recientemente reconocido como un antagonista de los receptores NMDA (N-metil-D-aspartato) que, a dosis bajas, puede contribuir de manera substancial a la analgesia, minimizando la sensibilización del SNC (Posner y Burns 2009; Hellyer et al. 2011).</w:t>
      </w:r>
    </w:p>
    <w:p>
      <w:pPr>
        <w:pStyle w:val="BodyText"/>
      </w:pPr>
    </w:p>
    <w:p>
      <w:pPr>
        <w:pStyle w:val="Heading2"/>
        <w:numPr>
          <w:ilvl w:val="3"/>
          <w:numId w:val="21"/>
        </w:numPr>
        <w:tabs>
          <w:tab w:pos="1599" w:val="left" w:leader="none"/>
        </w:tabs>
        <w:spacing w:line="240" w:lineRule="auto" w:before="150" w:after="0"/>
        <w:ind w:left="1598" w:right="0" w:hanging="725"/>
        <w:jc w:val="left"/>
      </w:pPr>
      <w:bookmarkStart w:name="_bookmark44" w:id="74"/>
      <w:bookmarkEnd w:id="74"/>
      <w:r>
        <w:rPr>
          <w:b w:val="0"/>
        </w:rPr>
      </w:r>
      <w:bookmarkStart w:name="_bookmark44" w:id="75"/>
      <w:bookmarkEnd w:id="75"/>
      <w:r>
        <w:rPr/>
        <w:t>F</w:t>
      </w:r>
      <w:r>
        <w:rPr/>
        <w:t>armacocinética y</w:t>
      </w:r>
      <w:r>
        <w:rPr>
          <w:spacing w:val="-20"/>
        </w:rPr>
        <w:t> </w:t>
      </w:r>
      <w:r>
        <w:rPr/>
        <w:t>Farmacodinamia</w:t>
      </w:r>
    </w:p>
    <w:p>
      <w:pPr>
        <w:pStyle w:val="BodyText"/>
        <w:spacing w:before="2"/>
        <w:rPr>
          <w:b/>
          <w:sz w:val="20"/>
        </w:rPr>
      </w:pPr>
    </w:p>
    <w:p>
      <w:pPr>
        <w:pStyle w:val="BodyText"/>
        <w:spacing w:line="360" w:lineRule="auto" w:before="1"/>
        <w:ind w:left="152" w:right="119" w:firstLine="566"/>
        <w:jc w:val="both"/>
      </w:pPr>
      <w:r>
        <w:rPr/>
        <w:t>La ketamina se une de manera </w:t>
      </w:r>
      <w:r>
        <w:rPr>
          <w:spacing w:val="-3"/>
        </w:rPr>
        <w:t>no </w:t>
      </w:r>
      <w:r>
        <w:rPr/>
        <w:t>competitiva al receptor NMDA. De esta forma previene </w:t>
      </w:r>
      <w:r>
        <w:rPr>
          <w:spacing w:val="-3"/>
        </w:rPr>
        <w:t>la </w:t>
      </w:r>
      <w:r>
        <w:rPr/>
        <w:t>unión del neurotransmisor excitatorio glutamato, resultando en una depresión de</w:t>
      </w:r>
    </w:p>
    <w:p>
      <w:pPr>
        <w:spacing w:after="0" w:line="360"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105"/>
        <w:jc w:val="both"/>
      </w:pPr>
      <w:r>
        <w:rPr>
          <w:spacing w:val="-3"/>
        </w:rPr>
        <w:t>la </w:t>
      </w:r>
      <w:r>
        <w:rPr/>
        <w:t>actividad de los sistemas, talamo-cortical, límbico y reticular activado. La analgesia atribuida a </w:t>
      </w:r>
      <w:r>
        <w:rPr>
          <w:spacing w:val="-3"/>
        </w:rPr>
        <w:t>la </w:t>
      </w:r>
      <w:r>
        <w:rPr/>
        <w:t>ketamina podría estar mediada al menos por dos mecanismos: La activación de los receptores opioides μ y κ y </w:t>
      </w:r>
      <w:r>
        <w:rPr>
          <w:spacing w:val="-3"/>
        </w:rPr>
        <w:t>la </w:t>
      </w:r>
      <w:r>
        <w:rPr/>
        <w:t>prevención de sensibilización central y periférica además de </w:t>
      </w:r>
      <w:r>
        <w:rPr>
          <w:spacing w:val="-3"/>
        </w:rPr>
        <w:t>la </w:t>
      </w:r>
      <w:r>
        <w:rPr/>
        <w:t>sumación temporal (wind up) (Pozzi </w:t>
      </w:r>
      <w:r>
        <w:rPr>
          <w:spacing w:val="3"/>
        </w:rPr>
        <w:t>et </w:t>
      </w:r>
      <w:r>
        <w:rPr/>
        <w:t>al 2006, Posner y Burns 2009) (Figura 8).</w:t>
      </w:r>
    </w:p>
    <w:p>
      <w:pPr>
        <w:pStyle w:val="BodyText"/>
        <w:spacing w:line="362" w:lineRule="auto" w:before="4"/>
        <w:ind w:left="152" w:right="109" w:firstLine="566"/>
        <w:jc w:val="both"/>
      </w:pPr>
      <w:r>
        <w:rPr/>
        <w:pict>
          <v:group style="position:absolute;margin-left:241.649994pt;margin-top:92.123116pt;width:178.35pt;height:202.7pt;mso-position-horizontal-relative:page;mso-position-vertical-relative:paragraph;z-index:-132280" coordorigin="4833,1842" coordsize="3567,4054">
            <v:shape style="position:absolute;left:4833;top:1842;width:3565;height:4054" type="#_x0000_t75" stroked="false">
              <v:imagedata r:id="rId20" o:title=""/>
            </v:shape>
            <v:shape style="position:absolute;left:6615;top:4146;width:1056;height:356" coordorigin="6615,4146" coordsize="1056,356" path="m6825,4237l6813,4239,6803,4245,6615,4425,6864,4500,6876,4501,6887,4498,6896,4491,6901,4480,6903,4468,6899,4457,6892,4448,6881,4443,6873,4440,6680,4440,6666,4382,6774,4356,6845,4289,6852,4279,6854,4268,6852,4257,6846,4246,6836,4240,6825,4237xm6774,4356l6666,4382,6680,4440,6711,4433,6694,4433,6682,4382,6747,4382,6774,4356xm6788,4415l6680,4440,6873,4440,6788,4415xm6682,4382l6694,4433,6731,4397,6682,4382xm6731,4397l6694,4433,6711,4433,6788,4415,6731,4397xm7657,4146l6774,4356,6731,4397,6788,4415,7671,4204,7657,4146xm6747,4382l6682,4382,6731,4397,6747,4382xe" filled="true" fillcolor="#ff0000" stroked="false">
              <v:path arrowok="t"/>
              <v:fill type="solid"/>
            </v:shape>
            <v:shape style="position:absolute;left:6144;top:4119;width:577;height:611" coordorigin="6144,4119" coordsize="577,611" path="m6720,4175l6144,4730m6144,4119l6720,4730e" filled="false" stroked="true" strokeweight="3pt" strokecolor="#ff0000">
              <v:path arrowok="t"/>
            </v:shape>
            <v:shape style="position:absolute;left:7666;top:4024;width:734;height:235" type="#_x0000_t75" stroked="false">
              <v:imagedata r:id="rId21" o:title=""/>
            </v:shape>
            <v:shape style="position:absolute;left:7813;top:4075;width:359;height:159" type="#_x0000_t202" filled="false" stroked="false">
              <v:textbox inset="0,0,0,0">
                <w:txbxContent>
                  <w:p>
                    <w:pPr>
                      <w:spacing w:line="158" w:lineRule="exact" w:before="0"/>
                      <w:ind w:left="0" w:right="-8" w:firstLine="0"/>
                      <w:jc w:val="left"/>
                      <w:rPr>
                        <w:rFonts w:ascii="Arial Black"/>
                        <w:b/>
                        <w:sz w:val="16"/>
                      </w:rPr>
                    </w:pPr>
                    <w:r>
                      <w:rPr>
                        <w:rFonts w:ascii="Arial Black"/>
                        <w:b/>
                        <w:w w:val="95"/>
                        <w:sz w:val="16"/>
                      </w:rPr>
                      <w:t>KET</w:t>
                    </w:r>
                  </w:p>
                </w:txbxContent>
              </v:textbox>
              <w10:wrap type="none"/>
            </v:shape>
            <w10:wrap type="none"/>
          </v:group>
        </w:pict>
      </w:r>
      <w:r>
        <w:rPr/>
        <w:t>Se biotransforma en el hígado por procesos de metilación y el metabolito resultante es la norketamina (activo farmacológicamente) el cual por procesos de hidroxilación se hace más soluble en agua y se elimina en orina (Posner y Burns 2009).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274" w:lineRule="exact" w:before="147"/>
        <w:ind w:left="152" w:right="691"/>
      </w:pPr>
      <w:bookmarkStart w:name="_bookmark45" w:id="76"/>
      <w:bookmarkEnd w:id="76"/>
      <w:r>
        <w:rPr/>
      </w:r>
      <w:r>
        <w:rPr/>
        <w:t>Figura 8. Mecanismo de acción de la ketamina sobre el receptor N-Metil-D-Aspartato (NMDA) (Modificado de Pozzi et al. 2006)</w:t>
      </w:r>
    </w:p>
    <w:p>
      <w:pPr>
        <w:pStyle w:val="BodyText"/>
      </w:pPr>
    </w:p>
    <w:p>
      <w:pPr>
        <w:pStyle w:val="BodyText"/>
        <w:spacing w:before="5"/>
        <w:rPr>
          <w:sz w:val="29"/>
        </w:rPr>
      </w:pPr>
    </w:p>
    <w:p>
      <w:pPr>
        <w:pStyle w:val="Heading2"/>
        <w:numPr>
          <w:ilvl w:val="3"/>
          <w:numId w:val="21"/>
        </w:numPr>
        <w:tabs>
          <w:tab w:pos="1599" w:val="left" w:leader="none"/>
        </w:tabs>
        <w:spacing w:line="240" w:lineRule="auto" w:before="0" w:after="0"/>
        <w:ind w:left="1598" w:right="0" w:hanging="725"/>
        <w:jc w:val="left"/>
      </w:pPr>
      <w:bookmarkStart w:name="_bookmark46" w:id="77"/>
      <w:bookmarkEnd w:id="77"/>
      <w:r>
        <w:rPr>
          <w:b w:val="0"/>
        </w:rPr>
      </w:r>
      <w:bookmarkStart w:name="_bookmark46" w:id="78"/>
      <w:bookmarkEnd w:id="78"/>
      <w:r>
        <w:rPr/>
        <w:t>E</w:t>
      </w:r>
      <w:r>
        <w:rPr/>
        <w:t>fectos</w:t>
      </w:r>
      <w:r>
        <w:rPr>
          <w:spacing w:val="-14"/>
        </w:rPr>
        <w:t> </w:t>
      </w:r>
      <w:r>
        <w:rPr/>
        <w:t>secundarios</w:t>
      </w:r>
    </w:p>
    <w:p>
      <w:pPr>
        <w:pStyle w:val="BodyText"/>
        <w:spacing w:before="7"/>
        <w:rPr>
          <w:b/>
          <w:sz w:val="20"/>
        </w:rPr>
      </w:pPr>
    </w:p>
    <w:p>
      <w:pPr>
        <w:pStyle w:val="BodyText"/>
        <w:spacing w:line="360" w:lineRule="auto"/>
        <w:ind w:left="152" w:right="105" w:firstLine="566"/>
        <w:jc w:val="both"/>
      </w:pPr>
      <w:r>
        <w:rPr/>
        <w:t>A dosis sub-anestésicas, la ketamina no produce los clásicos efectos conductuales de disociación (Wagner et al. 2002; Posner y Burns 2009). Sin embargo, después de infusiones constantes prolongadas aún a dosis subanestésicas, pueden presentarse algunos casos de disforia (Wagner et al. 2002). A estas mismas dosis se observa una mejora en las variables cardiovasculares   mediadas   probablemente   por   la   inhibición   de   la   recaptación    de</w:t>
      </w:r>
    </w:p>
    <w:p>
      <w:pPr>
        <w:spacing w:after="0" w:line="360"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120"/>
        <w:jc w:val="both"/>
      </w:pPr>
      <w:r>
        <w:rPr/>
        <w:t>catecolaminas y liberación de los mismos por las terminaciones nerviosas, además de la inhibición del óxido nítrico (Boscan et al. 2005).</w:t>
      </w:r>
    </w:p>
    <w:p>
      <w:pPr>
        <w:pStyle w:val="BodyText"/>
      </w:pPr>
    </w:p>
    <w:p>
      <w:pPr>
        <w:pStyle w:val="Heading2"/>
        <w:numPr>
          <w:ilvl w:val="3"/>
          <w:numId w:val="21"/>
        </w:numPr>
        <w:tabs>
          <w:tab w:pos="1599" w:val="left" w:leader="none"/>
        </w:tabs>
        <w:spacing w:line="240" w:lineRule="auto" w:before="151" w:after="0"/>
        <w:ind w:left="1598" w:right="0" w:hanging="725"/>
        <w:jc w:val="left"/>
      </w:pPr>
      <w:bookmarkStart w:name="_bookmark47" w:id="79"/>
      <w:bookmarkEnd w:id="79"/>
      <w:r>
        <w:rPr>
          <w:b w:val="0"/>
        </w:rPr>
      </w:r>
      <w:bookmarkStart w:name="_bookmark47" w:id="80"/>
      <w:bookmarkEnd w:id="80"/>
      <w:r>
        <w:rPr/>
        <w:t>U</w:t>
      </w:r>
      <w:r>
        <w:rPr/>
        <w:t>sos</w:t>
      </w:r>
      <w:r>
        <w:rPr>
          <w:spacing w:val="-9"/>
        </w:rPr>
        <w:t> </w:t>
      </w:r>
      <w:r>
        <w:rPr/>
        <w:t>clínicos</w:t>
      </w:r>
    </w:p>
    <w:p>
      <w:pPr>
        <w:pStyle w:val="BodyText"/>
        <w:spacing w:before="2"/>
        <w:rPr>
          <w:b/>
          <w:sz w:val="20"/>
        </w:rPr>
      </w:pPr>
    </w:p>
    <w:p>
      <w:pPr>
        <w:pStyle w:val="BodyText"/>
        <w:spacing w:line="350" w:lineRule="auto" w:before="1"/>
        <w:ind w:left="152" w:right="102" w:firstLine="566"/>
        <w:jc w:val="both"/>
      </w:pPr>
      <w:r>
        <w:rPr/>
        <w:t>La ketamina usada a dosis sub-anestésicas actúa suplementando </w:t>
      </w:r>
      <w:r>
        <w:rPr>
          <w:spacing w:val="-5"/>
        </w:rPr>
        <w:t>la </w:t>
      </w:r>
      <w:r>
        <w:rPr/>
        <w:t>analgesia en </w:t>
      </w:r>
      <w:r>
        <w:rPr>
          <w:spacing w:val="4"/>
        </w:rPr>
        <w:t>el </w:t>
      </w:r>
      <w:r>
        <w:rPr/>
        <w:t>dolor quirúrgico y postquirúrgico en perros (Slingsby &amp; Waterman-Pearson 2000; Wagner et </w:t>
      </w:r>
      <w:r>
        <w:rPr>
          <w:spacing w:val="-4"/>
        </w:rPr>
        <w:t>al. </w:t>
      </w:r>
      <w:r>
        <w:rPr/>
        <w:t>2002) y humanos (Bell et </w:t>
      </w:r>
      <w:r>
        <w:rPr>
          <w:spacing w:val="-3"/>
        </w:rPr>
        <w:t>al. </w:t>
      </w:r>
      <w:r>
        <w:rPr/>
        <w:t>2005; Persson 2013; Barreveld et </w:t>
      </w:r>
      <w:r>
        <w:rPr>
          <w:spacing w:val="-4"/>
        </w:rPr>
        <w:t>al. </w:t>
      </w:r>
      <w:r>
        <w:rPr/>
        <w:t>2013). Las dosis sub-anestésicas se logran administrando una dosis de carga de 0.15-0.7 </w:t>
      </w:r>
      <w:r>
        <w:rPr>
          <w:spacing w:val="-5"/>
        </w:rPr>
        <w:t>mg </w:t>
      </w:r>
      <w:r>
        <w:rPr/>
        <w:t>kg</w:t>
      </w:r>
      <w:r>
        <w:rPr>
          <w:position w:val="11"/>
          <w:sz w:val="16"/>
        </w:rPr>
        <w:t>-1</w:t>
      </w:r>
      <w:r>
        <w:rPr/>
        <w:t>, seguida de una IC de 2-10 µg kg</w:t>
      </w:r>
      <w:r>
        <w:rPr>
          <w:position w:val="11"/>
          <w:sz w:val="16"/>
        </w:rPr>
        <w:t>-1 </w:t>
      </w:r>
      <w:r>
        <w:rPr/>
        <w:t>minuto</w:t>
      </w:r>
      <w:r>
        <w:rPr>
          <w:position w:val="11"/>
          <w:sz w:val="16"/>
        </w:rPr>
        <w:t>-1 </w:t>
      </w:r>
      <w:r>
        <w:rPr/>
        <w:t>(Sarrau </w:t>
      </w:r>
      <w:r>
        <w:rPr>
          <w:spacing w:val="-3"/>
        </w:rPr>
        <w:t>et </w:t>
      </w:r>
      <w:r>
        <w:rPr/>
        <w:t>al 2007; Wagner et </w:t>
      </w:r>
      <w:r>
        <w:rPr>
          <w:spacing w:val="-3"/>
        </w:rPr>
        <w:t>al. </w:t>
      </w:r>
      <w:r>
        <w:rPr/>
        <w:t>2002). La ketamina </w:t>
      </w:r>
      <w:r>
        <w:rPr>
          <w:spacing w:val="-3"/>
        </w:rPr>
        <w:t>ha </w:t>
      </w:r>
      <w:r>
        <w:rPr/>
        <w:t>mejorado el comportamiento de alimentación cuando se ha administrado por IC en perras después de realizarles mastectomía (Sarrau et </w:t>
      </w:r>
      <w:r>
        <w:rPr>
          <w:spacing w:val="-3"/>
        </w:rPr>
        <w:t>al. </w:t>
      </w:r>
      <w:r>
        <w:rPr/>
        <w:t>2007), sin embargo </w:t>
      </w:r>
      <w:r>
        <w:rPr>
          <w:spacing w:val="-3"/>
        </w:rPr>
        <w:t>no </w:t>
      </w:r>
      <w:r>
        <w:rPr/>
        <w:t>demostró un</w:t>
      </w:r>
      <w:r>
        <w:rPr>
          <w:spacing w:val="50"/>
        </w:rPr>
        <w:t> </w:t>
      </w:r>
      <w:r>
        <w:rPr/>
        <w:t>efecto</w:t>
      </w:r>
    </w:p>
    <w:p>
      <w:pPr>
        <w:pStyle w:val="BodyText"/>
        <w:spacing w:line="360" w:lineRule="auto" w:before="14"/>
        <w:ind w:left="152" w:right="116"/>
        <w:jc w:val="both"/>
      </w:pPr>
      <w:r>
        <w:rPr/>
        <w:t>en </w:t>
      </w:r>
      <w:r>
        <w:rPr>
          <w:spacing w:val="-3"/>
        </w:rPr>
        <w:t>la </w:t>
      </w:r>
      <w:r>
        <w:rPr/>
        <w:t>disminución del requerimiento de opioides. La ketamina por IC </w:t>
      </w:r>
      <w:r>
        <w:rPr>
          <w:spacing w:val="-3"/>
        </w:rPr>
        <w:t>ha </w:t>
      </w:r>
      <w:r>
        <w:rPr/>
        <w:t>demostrado también </w:t>
      </w:r>
      <w:r>
        <w:rPr>
          <w:spacing w:val="-3"/>
        </w:rPr>
        <w:t>la </w:t>
      </w:r>
      <w:r>
        <w:rPr/>
        <w:t>disminución de </w:t>
      </w:r>
      <w:r>
        <w:rPr>
          <w:spacing w:val="-3"/>
        </w:rPr>
        <w:t>la </w:t>
      </w:r>
      <w:r>
        <w:rPr/>
        <w:t>CAM del isoflurano y sevoflurano </w:t>
      </w:r>
      <w:r>
        <w:rPr>
          <w:spacing w:val="-3"/>
        </w:rPr>
        <w:t>(Muir </w:t>
      </w:r>
      <w:r>
        <w:rPr/>
        <w:t>et </w:t>
      </w:r>
      <w:r>
        <w:rPr>
          <w:spacing w:val="-3"/>
        </w:rPr>
        <w:t>al. </w:t>
      </w:r>
      <w:r>
        <w:rPr/>
        <w:t>2003; Solano  et </w:t>
      </w:r>
      <w:r>
        <w:rPr>
          <w:spacing w:val="-4"/>
        </w:rPr>
        <w:t>al. </w:t>
      </w:r>
      <w:r>
        <w:rPr/>
        <w:t>2006; Wilson et </w:t>
      </w:r>
      <w:r>
        <w:rPr>
          <w:spacing w:val="-3"/>
        </w:rPr>
        <w:t>al.</w:t>
      </w:r>
      <w:r>
        <w:rPr>
          <w:spacing w:val="17"/>
        </w:rPr>
        <w:t> </w:t>
      </w:r>
      <w:r>
        <w:rPr/>
        <w:t>2008).</w:t>
      </w:r>
    </w:p>
    <w:p>
      <w:pPr>
        <w:pStyle w:val="BodyText"/>
      </w:pPr>
    </w:p>
    <w:p>
      <w:pPr>
        <w:pStyle w:val="Heading2"/>
        <w:numPr>
          <w:ilvl w:val="2"/>
          <w:numId w:val="21"/>
        </w:numPr>
        <w:tabs>
          <w:tab w:pos="1416" w:val="left" w:leader="none"/>
        </w:tabs>
        <w:spacing w:line="240" w:lineRule="auto" w:before="150" w:after="0"/>
        <w:ind w:left="1415" w:right="0" w:hanging="542"/>
        <w:jc w:val="left"/>
      </w:pPr>
      <w:bookmarkStart w:name="_bookmark48" w:id="81"/>
      <w:bookmarkEnd w:id="81"/>
      <w:r>
        <w:rPr>
          <w:b w:val="0"/>
        </w:rPr>
      </w:r>
      <w:bookmarkStart w:name="_bookmark48" w:id="82"/>
      <w:bookmarkEnd w:id="82"/>
      <w:r>
        <w:rPr/>
        <w:t>D</w:t>
      </w:r>
      <w:r>
        <w:rPr/>
        <w:t>exmedetomidina</w:t>
      </w:r>
    </w:p>
    <w:p>
      <w:pPr>
        <w:pStyle w:val="BodyText"/>
        <w:spacing w:before="2"/>
        <w:rPr>
          <w:b/>
          <w:sz w:val="20"/>
        </w:rPr>
      </w:pPr>
    </w:p>
    <w:p>
      <w:pPr>
        <w:pStyle w:val="BodyText"/>
        <w:spacing w:line="357" w:lineRule="auto" w:before="1"/>
        <w:ind w:left="152" w:right="101" w:firstLine="566"/>
        <w:jc w:val="both"/>
      </w:pPr>
      <w:r>
        <w:rPr/>
        <w:t>La dexmedetomidina (4-[(1R)-1-(2,3-dimetilfenil) etil]-3H-imidazole) es el dextro- enantiómero de </w:t>
      </w:r>
      <w:r>
        <w:rPr>
          <w:spacing w:val="-3"/>
        </w:rPr>
        <w:t>la </w:t>
      </w:r>
      <w:r>
        <w:rPr/>
        <w:t>mezcla racémica de </w:t>
      </w:r>
      <w:r>
        <w:rPr>
          <w:spacing w:val="-3"/>
        </w:rPr>
        <w:t>la </w:t>
      </w:r>
      <w:r>
        <w:rPr/>
        <w:t>medetomidina (Posner y Burns 2009a). Es el más potente y selectivo agonista de los receptores α</w:t>
      </w:r>
      <w:r>
        <w:rPr>
          <w:position w:val="-2"/>
          <w:sz w:val="16"/>
        </w:rPr>
        <w:t>2</w:t>
      </w:r>
      <w:r>
        <w:rPr/>
        <w:t>-adrenérgicos. La selectividad α</w:t>
      </w:r>
      <w:r>
        <w:rPr>
          <w:position w:val="-2"/>
          <w:sz w:val="16"/>
        </w:rPr>
        <w:t>2 </w:t>
      </w:r>
      <w:r>
        <w:rPr/>
        <w:t>/ α</w:t>
      </w:r>
      <w:r>
        <w:rPr>
          <w:position w:val="-2"/>
          <w:sz w:val="16"/>
        </w:rPr>
        <w:t>1 </w:t>
      </w:r>
      <w:r>
        <w:rPr/>
        <w:t>es 1620 para </w:t>
      </w:r>
      <w:r>
        <w:rPr>
          <w:spacing w:val="-3"/>
        </w:rPr>
        <w:t>la </w:t>
      </w:r>
      <w:r>
        <w:rPr/>
        <w:t>dexmedetomidina, en comparación </w:t>
      </w:r>
      <w:r>
        <w:rPr>
          <w:spacing w:val="2"/>
        </w:rPr>
        <w:t>con </w:t>
      </w:r>
      <w:r>
        <w:rPr/>
        <w:t>160 para </w:t>
      </w:r>
      <w:r>
        <w:rPr>
          <w:spacing w:val="-3"/>
        </w:rPr>
        <w:t>la </w:t>
      </w:r>
      <w:r>
        <w:rPr/>
        <w:t>xilazina. La estimulación  de los receptores α</w:t>
      </w:r>
      <w:r>
        <w:rPr>
          <w:position w:val="-2"/>
          <w:sz w:val="16"/>
        </w:rPr>
        <w:t>2</w:t>
      </w:r>
      <w:r>
        <w:rPr/>
        <w:t>-A induce analgesia, hipnosis, sedación, inhibición de </w:t>
      </w:r>
      <w:r>
        <w:rPr>
          <w:spacing w:val="-3"/>
        </w:rPr>
        <w:t>la </w:t>
      </w:r>
      <w:r>
        <w:rPr/>
        <w:t>secreción de insulina y simpatolisis (Valverde</w:t>
      </w:r>
      <w:r>
        <w:rPr>
          <w:spacing w:val="-12"/>
        </w:rPr>
        <w:t> </w:t>
      </w:r>
      <w:r>
        <w:rPr/>
        <w:t>2010).</w:t>
      </w:r>
    </w:p>
    <w:p>
      <w:pPr>
        <w:pStyle w:val="BodyText"/>
      </w:pPr>
    </w:p>
    <w:p>
      <w:pPr>
        <w:pStyle w:val="Heading2"/>
        <w:numPr>
          <w:ilvl w:val="3"/>
          <w:numId w:val="21"/>
        </w:numPr>
        <w:tabs>
          <w:tab w:pos="1599" w:val="left" w:leader="none"/>
        </w:tabs>
        <w:spacing w:line="240" w:lineRule="auto" w:before="148" w:after="0"/>
        <w:ind w:left="1598" w:right="0" w:hanging="725"/>
        <w:jc w:val="left"/>
      </w:pPr>
      <w:bookmarkStart w:name="_bookmark49" w:id="83"/>
      <w:bookmarkEnd w:id="83"/>
      <w:r>
        <w:rPr>
          <w:b w:val="0"/>
        </w:rPr>
      </w:r>
      <w:bookmarkStart w:name="_bookmark49" w:id="84"/>
      <w:bookmarkEnd w:id="84"/>
      <w:r>
        <w:rPr/>
        <w:t>F</w:t>
      </w:r>
      <w:r>
        <w:rPr/>
        <w:t>armacocinética y</w:t>
      </w:r>
      <w:r>
        <w:rPr>
          <w:spacing w:val="-20"/>
        </w:rPr>
        <w:t> </w:t>
      </w:r>
      <w:r>
        <w:rPr/>
        <w:t>Farmacodinamia</w:t>
      </w:r>
    </w:p>
    <w:p>
      <w:pPr>
        <w:pStyle w:val="BodyText"/>
        <w:spacing w:before="2"/>
        <w:rPr>
          <w:b/>
          <w:sz w:val="20"/>
        </w:rPr>
      </w:pPr>
    </w:p>
    <w:p>
      <w:pPr>
        <w:pStyle w:val="BodyText"/>
        <w:spacing w:line="357" w:lineRule="auto" w:before="1"/>
        <w:ind w:left="152" w:right="105" w:firstLine="566"/>
        <w:jc w:val="both"/>
      </w:pPr>
      <w:r>
        <w:rPr/>
        <w:t>La estimulación del receptor α</w:t>
      </w:r>
      <w:r>
        <w:rPr>
          <w:position w:val="-2"/>
          <w:sz w:val="16"/>
        </w:rPr>
        <w:t>2 </w:t>
      </w:r>
      <w:r>
        <w:rPr/>
        <w:t>adrenérgico produce la inhibición de la adenil-ciclasa resultando en la disminución de la síntesis de monofosfato cíclico de adenosina (AMPc) a partir del trifosfato de adenosina (ATP) (Murrel y Hellebrekers 2005). Un mecanismo alterno es la activación de los receptores de proteína-G, los cuales disminuyen la excitación</w:t>
      </w:r>
    </w:p>
    <w:p>
      <w:pPr>
        <w:spacing w:after="0" w:line="357"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173"/>
      </w:pPr>
      <w:r>
        <w:rPr/>
        <w:t>neuronal debido a la apertura de canales de potasio, disminución del flujo interno de calcio y la inhibición de la adenil-ciclasa (Valverde 2010). (Figura 9)</w:t>
      </w:r>
    </w:p>
    <w:p>
      <w:pPr>
        <w:pStyle w:val="BodyText"/>
        <w:spacing w:line="360" w:lineRule="auto" w:before="4"/>
        <w:ind w:left="152" w:right="106" w:firstLine="566"/>
        <w:jc w:val="both"/>
      </w:pPr>
      <w:r>
        <w:rPr/>
        <w:t>El efecto antinociceptivo se da tanto a nivel supraespinal, como espinal. A nivel espinal se inhibe la señal nociceptiva ya sea por inhibición de la liberación de neurotransmisores desde las fibras nerviosas aferentes primarias a las neuronas de segundo orden y afectando la modulación pre y post sináptica de las señales nociceptivas que ingresan en el asta dorsal de la médula espinal. A nivel supra espinal el efecto se da al modularse la información nociceptiva de ascenso hacia el diencéfalo y sistema límbico. El locus ceroleous se reconoce como un sitio preferencial para la generación de la sedación y analgesia supraespinal (Murrel y Hellebrekers 2005).</w:t>
      </w:r>
    </w:p>
    <w:p>
      <w:pPr>
        <w:pStyle w:val="BodyText"/>
        <w:spacing w:line="362" w:lineRule="auto" w:before="4"/>
        <w:ind w:left="152" w:right="111" w:firstLine="566"/>
        <w:jc w:val="both"/>
      </w:pPr>
      <w:r>
        <w:rPr/>
        <w:t>La dexmedetomidina es biotransformada por hidroxilación hepática y aclarada por el riñón en el perro (Kuusela et al. 2000).</w:t>
      </w:r>
    </w:p>
    <w:p>
      <w:pPr>
        <w:pStyle w:val="BodyText"/>
        <w:rPr>
          <w:sz w:val="20"/>
        </w:rPr>
      </w:pPr>
    </w:p>
    <w:p>
      <w:pPr>
        <w:pStyle w:val="BodyText"/>
        <w:spacing w:before="2"/>
        <w:rPr>
          <w:sz w:val="13"/>
        </w:rPr>
      </w:pPr>
      <w:r>
        <w:rPr/>
        <w:drawing>
          <wp:anchor distT="0" distB="0" distL="0" distR="0" allowOverlap="1" layoutInCell="1" locked="0" behindDoc="0" simplePos="0" relativeHeight="1168">
            <wp:simplePos x="0" y="0"/>
            <wp:positionH relativeFrom="page">
              <wp:posOffset>1190625</wp:posOffset>
            </wp:positionH>
            <wp:positionV relativeFrom="paragraph">
              <wp:posOffset>121003</wp:posOffset>
            </wp:positionV>
            <wp:extent cx="5601964" cy="3007804"/>
            <wp:effectExtent l="0" t="0" r="0" b="0"/>
            <wp:wrapTopAndBottom/>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2" cstate="print"/>
                    <a:stretch>
                      <a:fillRect/>
                    </a:stretch>
                  </pic:blipFill>
                  <pic:spPr>
                    <a:xfrm>
                      <a:off x="0" y="0"/>
                      <a:ext cx="5601964" cy="3007804"/>
                    </a:xfrm>
                    <a:prstGeom prst="rect">
                      <a:avLst/>
                    </a:prstGeom>
                  </pic:spPr>
                </pic:pic>
              </a:graphicData>
            </a:graphic>
          </wp:anchor>
        </w:drawing>
      </w:r>
    </w:p>
    <w:p>
      <w:pPr>
        <w:pStyle w:val="BodyText"/>
        <w:spacing w:line="274" w:lineRule="exact" w:before="115"/>
        <w:ind w:left="152" w:right="70"/>
      </w:pPr>
      <w:bookmarkStart w:name="_bookmark50" w:id="85"/>
      <w:bookmarkEnd w:id="85"/>
      <w:r>
        <w:rPr/>
      </w:r>
      <w:r>
        <w:rPr/>
        <w:t>Figura 9. Mecanismo de acción celular de la dexmedetomidina y algunos efectos mediados por la activación de diferentes subtipos de receptores α</w:t>
      </w:r>
      <w:r>
        <w:rPr>
          <w:position w:val="-2"/>
          <w:sz w:val="16"/>
        </w:rPr>
        <w:t>2  </w:t>
      </w:r>
      <w:r>
        <w:rPr/>
        <w:t>adrenérgicos (Paris et al. 2005).</w:t>
      </w:r>
    </w:p>
    <w:p>
      <w:pPr>
        <w:spacing w:after="0" w:line="274" w:lineRule="exact"/>
        <w:sectPr>
          <w:pgSz w:w="12240" w:h="15840"/>
          <w:pgMar w:header="0" w:footer="1628" w:top="1500" w:bottom="1880" w:left="1720" w:right="1420"/>
        </w:sectPr>
      </w:pPr>
    </w:p>
    <w:p>
      <w:pPr>
        <w:pStyle w:val="BodyText"/>
        <w:spacing w:before="1"/>
        <w:rPr>
          <w:sz w:val="21"/>
        </w:rPr>
      </w:pPr>
    </w:p>
    <w:p>
      <w:pPr>
        <w:pStyle w:val="Heading2"/>
        <w:numPr>
          <w:ilvl w:val="3"/>
          <w:numId w:val="21"/>
        </w:numPr>
        <w:tabs>
          <w:tab w:pos="1599" w:val="left" w:leader="none"/>
        </w:tabs>
        <w:spacing w:line="240" w:lineRule="auto" w:before="69" w:after="0"/>
        <w:ind w:left="1598" w:right="0" w:hanging="725"/>
        <w:jc w:val="left"/>
      </w:pPr>
      <w:bookmarkStart w:name="_bookmark51" w:id="86"/>
      <w:bookmarkEnd w:id="86"/>
      <w:r>
        <w:rPr>
          <w:b w:val="0"/>
        </w:rPr>
      </w:r>
      <w:bookmarkStart w:name="_bookmark51" w:id="87"/>
      <w:bookmarkEnd w:id="87"/>
      <w:r>
        <w:rPr/>
        <w:t>E</w:t>
      </w:r>
      <w:r>
        <w:rPr/>
        <w:t>fectos secundarios y sobre los sistemas</w:t>
      </w:r>
      <w:r>
        <w:rPr>
          <w:spacing w:val="-28"/>
        </w:rPr>
        <w:t> </w:t>
      </w:r>
      <w:r>
        <w:rPr/>
        <w:t>corporales</w:t>
      </w:r>
    </w:p>
    <w:p>
      <w:pPr>
        <w:pStyle w:val="BodyText"/>
        <w:spacing w:before="3"/>
        <w:rPr>
          <w:b/>
          <w:sz w:val="20"/>
        </w:rPr>
      </w:pPr>
    </w:p>
    <w:p>
      <w:pPr>
        <w:pStyle w:val="BodyText"/>
        <w:spacing w:line="357" w:lineRule="auto"/>
        <w:ind w:left="152" w:right="107" w:firstLine="566"/>
        <w:jc w:val="both"/>
      </w:pPr>
      <w:r>
        <w:rPr/>
        <w:t>Sobre el sistema cardiovascular, se da un incremento inicial en </w:t>
      </w:r>
      <w:r>
        <w:rPr>
          <w:spacing w:val="-3"/>
        </w:rPr>
        <w:t>la </w:t>
      </w:r>
      <w:r>
        <w:rPr/>
        <w:t>presión sanguínea, resultante de </w:t>
      </w:r>
      <w:r>
        <w:rPr>
          <w:spacing w:val="-3"/>
        </w:rPr>
        <w:t>la </w:t>
      </w:r>
      <w:r>
        <w:rPr/>
        <w:t>vasoconstricción periférica mediada por </w:t>
      </w:r>
      <w:r>
        <w:rPr>
          <w:spacing w:val="-5"/>
        </w:rPr>
        <w:t>la </w:t>
      </w:r>
      <w:r>
        <w:rPr/>
        <w:t>activación de los receptores α</w:t>
      </w:r>
      <w:r>
        <w:rPr>
          <w:position w:val="-2"/>
          <w:sz w:val="16"/>
        </w:rPr>
        <w:t>2   </w:t>
      </w:r>
      <w:r>
        <w:rPr/>
        <w:t>en el </w:t>
      </w:r>
      <w:r>
        <w:rPr>
          <w:spacing w:val="-3"/>
        </w:rPr>
        <w:t>músculo </w:t>
      </w:r>
      <w:r>
        <w:rPr/>
        <w:t>liso vascular. Esto se asocia a un incremento en el tono vagal con disminución de </w:t>
      </w:r>
      <w:r>
        <w:rPr>
          <w:spacing w:val="-3"/>
        </w:rPr>
        <w:t>la </w:t>
      </w:r>
      <w:r>
        <w:rPr/>
        <w:t>frecuencia cardiaca. </w:t>
      </w:r>
      <w:r>
        <w:rPr>
          <w:spacing w:val="3"/>
        </w:rPr>
        <w:t>El </w:t>
      </w:r>
      <w:r>
        <w:rPr/>
        <w:t>gasto cardiaco disminuye, aparentemente por un efecto depresor directo sobre el miocardio, por una disminución </w:t>
      </w:r>
      <w:r>
        <w:rPr>
          <w:spacing w:val="6"/>
        </w:rPr>
        <w:t>en </w:t>
      </w:r>
      <w:r>
        <w:rPr>
          <w:spacing w:val="-3"/>
        </w:rPr>
        <w:t>la </w:t>
      </w:r>
      <w:r>
        <w:rPr/>
        <w:t>respuesta a </w:t>
      </w:r>
      <w:r>
        <w:rPr>
          <w:spacing w:val="-5"/>
        </w:rPr>
        <w:t>la </w:t>
      </w:r>
      <w:r>
        <w:rPr/>
        <w:t>postcarga incrementada por los agonistas α</w:t>
      </w:r>
      <w:r>
        <w:rPr>
          <w:position w:val="-2"/>
          <w:sz w:val="16"/>
        </w:rPr>
        <w:t>2 </w:t>
      </w:r>
      <w:r>
        <w:rPr/>
        <w:t>y </w:t>
      </w:r>
      <w:r>
        <w:rPr>
          <w:spacing w:val="2"/>
        </w:rPr>
        <w:t>por </w:t>
      </w:r>
      <w:r>
        <w:rPr/>
        <w:t>hipoxia y disfunción en respuesta a </w:t>
      </w:r>
      <w:r>
        <w:rPr>
          <w:spacing w:val="-3"/>
        </w:rPr>
        <w:t>la </w:t>
      </w:r>
      <w:r>
        <w:rPr/>
        <w:t>vasoconstricción coronaria (Murrel y Hellebrekers</w:t>
      </w:r>
      <w:r>
        <w:rPr>
          <w:spacing w:val="-24"/>
        </w:rPr>
        <w:t> </w:t>
      </w:r>
      <w:r>
        <w:rPr/>
        <w:t>2005).</w:t>
      </w:r>
    </w:p>
    <w:p>
      <w:pPr>
        <w:pStyle w:val="BodyText"/>
        <w:spacing w:line="360" w:lineRule="auto" w:before="6"/>
        <w:ind w:left="152" w:right="109" w:firstLine="566"/>
        <w:jc w:val="both"/>
      </w:pPr>
      <w:r>
        <w:rPr/>
        <w:t>La dexmedetomidina disminuye los requerimientos de oxígeno y el flujo sanguíneo en todo el organismo, apenas a niveles ligeramente superiores a </w:t>
      </w:r>
      <w:r>
        <w:rPr>
          <w:spacing w:val="-5"/>
        </w:rPr>
        <w:t>la </w:t>
      </w:r>
      <w:r>
        <w:rPr/>
        <w:t>hipoperfusión. </w:t>
      </w:r>
      <w:r>
        <w:rPr>
          <w:spacing w:val="-3"/>
        </w:rPr>
        <w:t>Asimismo </w:t>
      </w:r>
      <w:r>
        <w:rPr/>
        <w:t>tiene un efecto anti-arritmogénico mediado a través de receptores imidazólicos (Murrel y Hellebrekers 2005, Valverde</w:t>
      </w:r>
      <w:r>
        <w:rPr>
          <w:spacing w:val="-11"/>
        </w:rPr>
        <w:t> </w:t>
      </w:r>
      <w:r>
        <w:rPr/>
        <w:t>2010).</w:t>
      </w:r>
    </w:p>
    <w:p>
      <w:pPr>
        <w:pStyle w:val="BodyText"/>
      </w:pPr>
    </w:p>
    <w:p>
      <w:pPr>
        <w:pStyle w:val="Heading2"/>
        <w:numPr>
          <w:ilvl w:val="3"/>
          <w:numId w:val="21"/>
        </w:numPr>
        <w:tabs>
          <w:tab w:pos="1599" w:val="left" w:leader="none"/>
        </w:tabs>
        <w:spacing w:line="240" w:lineRule="auto" w:before="145" w:after="0"/>
        <w:ind w:left="1598" w:right="0" w:hanging="725"/>
        <w:jc w:val="left"/>
      </w:pPr>
      <w:bookmarkStart w:name="_bookmark52" w:id="88"/>
      <w:bookmarkEnd w:id="88"/>
      <w:r>
        <w:rPr>
          <w:b w:val="0"/>
        </w:rPr>
      </w:r>
      <w:bookmarkStart w:name="_bookmark52" w:id="89"/>
      <w:bookmarkEnd w:id="89"/>
      <w:r>
        <w:rPr/>
        <w:t>U</w:t>
      </w:r>
      <w:r>
        <w:rPr/>
        <w:t>sos</w:t>
      </w:r>
      <w:r>
        <w:rPr>
          <w:spacing w:val="-9"/>
        </w:rPr>
        <w:t> </w:t>
      </w:r>
      <w:r>
        <w:rPr/>
        <w:t>clínicos</w:t>
      </w:r>
    </w:p>
    <w:p>
      <w:pPr>
        <w:pStyle w:val="BodyText"/>
        <w:spacing w:before="8"/>
        <w:rPr>
          <w:b/>
          <w:sz w:val="20"/>
        </w:rPr>
      </w:pPr>
    </w:p>
    <w:p>
      <w:pPr>
        <w:pStyle w:val="BodyText"/>
        <w:spacing w:line="360" w:lineRule="auto"/>
        <w:ind w:left="152" w:right="107" w:firstLine="566"/>
        <w:jc w:val="both"/>
      </w:pPr>
      <w:r>
        <w:rPr/>
        <w:t>La dexmedetomidina se ha utilizado de manera común en la anestesia de perros y gatos, por su habilidad para reducir los requerimientos de inducción y mantenimiento de otros agentes anestésicos (Khan et al. 1999b; Uilenreef et al. 2008), y para el manejo del dolor postquirúrgico (Valtolina et al. 2009).</w:t>
      </w:r>
    </w:p>
    <w:p>
      <w:pPr>
        <w:pStyle w:val="BodyText"/>
        <w:spacing w:line="280" w:lineRule="exact"/>
        <w:ind w:left="719" w:right="70"/>
      </w:pPr>
      <w:r>
        <w:rPr/>
        <w:t>A dosis de carga de 3µg kg </w:t>
      </w:r>
      <w:r>
        <w:rPr>
          <w:position w:val="11"/>
          <w:sz w:val="16"/>
        </w:rPr>
        <w:t>-1  </w:t>
      </w:r>
      <w:r>
        <w:rPr/>
        <w:t>e infusiones constantes de 3µg kg </w:t>
      </w:r>
      <w:r>
        <w:rPr>
          <w:position w:val="11"/>
          <w:sz w:val="16"/>
        </w:rPr>
        <w:t>-1  </w:t>
      </w:r>
      <w:r>
        <w:rPr/>
        <w:t>hora </w:t>
      </w:r>
      <w:r>
        <w:rPr>
          <w:position w:val="11"/>
          <w:sz w:val="16"/>
        </w:rPr>
        <w:t>-1</w:t>
      </w:r>
      <w:r>
        <w:rPr/>
        <w:t>, la CAM  de</w:t>
      </w:r>
    </w:p>
    <w:p>
      <w:pPr>
        <w:pStyle w:val="BodyText"/>
        <w:spacing w:before="137"/>
        <w:ind w:left="152" w:right="70"/>
      </w:pPr>
      <w:r>
        <w:rPr/>
        <w:t>isoflurano se redujo en un 59% (Pascoe et al. 2006).</w:t>
      </w:r>
    </w:p>
    <w:p>
      <w:pPr>
        <w:pStyle w:val="BodyText"/>
        <w:spacing w:line="350" w:lineRule="auto" w:before="101"/>
        <w:ind w:left="152" w:right="103" w:firstLine="566"/>
        <w:jc w:val="both"/>
      </w:pPr>
      <w:r>
        <w:rPr/>
        <w:t>Cuando </w:t>
      </w:r>
      <w:r>
        <w:rPr>
          <w:spacing w:val="-5"/>
        </w:rPr>
        <w:t>la </w:t>
      </w:r>
      <w:r>
        <w:rPr/>
        <w:t>dexmedetomidina se usó a dosis de carga de 25 µg m </w:t>
      </w:r>
      <w:r>
        <w:rPr>
          <w:spacing w:val="-3"/>
          <w:position w:val="11"/>
          <w:sz w:val="16"/>
        </w:rPr>
        <w:t>-2 </w:t>
      </w:r>
      <w:r>
        <w:rPr/>
        <w:t>(equivalente a 1 µg kg </w:t>
      </w:r>
      <w:r>
        <w:rPr>
          <w:position w:val="11"/>
          <w:sz w:val="16"/>
        </w:rPr>
        <w:t>-1</w:t>
      </w:r>
      <w:r>
        <w:rPr/>
        <w:t>) e IC de 25 µg m </w:t>
      </w:r>
      <w:r>
        <w:rPr>
          <w:spacing w:val="-3"/>
          <w:position w:val="11"/>
          <w:sz w:val="16"/>
        </w:rPr>
        <w:t>-2 </w:t>
      </w:r>
      <w:r>
        <w:rPr/>
        <w:t>hora </w:t>
      </w:r>
      <w:r>
        <w:rPr>
          <w:position w:val="11"/>
          <w:sz w:val="16"/>
        </w:rPr>
        <w:t>-1</w:t>
      </w:r>
      <w:r>
        <w:rPr/>
        <w:t>, durante 24 horas postquirúrgicas, produjo analgesia postoperatoria sin reacciones secundarias clínicas, sin embargo el 27% de los perros  requirió analgesia de rescate (Valtolina et </w:t>
      </w:r>
      <w:r>
        <w:rPr>
          <w:spacing w:val="-4"/>
        </w:rPr>
        <w:t>al.</w:t>
      </w:r>
      <w:r>
        <w:rPr>
          <w:spacing w:val="-9"/>
        </w:rPr>
        <w:t> </w:t>
      </w:r>
      <w:r>
        <w:rPr/>
        <w:t>2009).</w:t>
      </w:r>
    </w:p>
    <w:p>
      <w:pPr>
        <w:spacing w:after="0" w:line="350" w:lineRule="auto"/>
        <w:jc w:val="both"/>
        <w:sectPr>
          <w:pgSz w:w="12240" w:h="15840"/>
          <w:pgMar w:header="0" w:footer="1628" w:top="1500" w:bottom="1880" w:left="1720" w:right="1420"/>
        </w:sectPr>
      </w:pPr>
    </w:p>
    <w:p>
      <w:pPr>
        <w:pStyle w:val="BodyText"/>
        <w:rPr>
          <w:sz w:val="20"/>
        </w:rPr>
      </w:pPr>
    </w:p>
    <w:p>
      <w:pPr>
        <w:pStyle w:val="BodyText"/>
        <w:spacing w:before="5"/>
        <w:rPr>
          <w:sz w:val="22"/>
        </w:rPr>
      </w:pPr>
    </w:p>
    <w:p>
      <w:pPr>
        <w:pStyle w:val="Heading1"/>
      </w:pPr>
      <w:bookmarkStart w:name="_bookmark53" w:id="90"/>
      <w:bookmarkEnd w:id="90"/>
      <w:r>
        <w:rPr>
          <w:b w:val="0"/>
        </w:rPr>
      </w:r>
      <w:r>
        <w:rPr/>
        <w:t>CAPÍTULO III</w:t>
      </w:r>
    </w:p>
    <w:p>
      <w:pPr>
        <w:pStyle w:val="BodyText"/>
        <w:rPr>
          <w:b/>
          <w:sz w:val="20"/>
        </w:rPr>
      </w:pPr>
    </w:p>
    <w:p>
      <w:pPr>
        <w:pStyle w:val="BodyText"/>
        <w:rPr>
          <w:b/>
          <w:sz w:val="20"/>
        </w:rPr>
      </w:pPr>
    </w:p>
    <w:p>
      <w:pPr>
        <w:pStyle w:val="BodyText"/>
        <w:rPr>
          <w:b/>
          <w:sz w:val="20"/>
        </w:rPr>
      </w:pPr>
    </w:p>
    <w:p>
      <w:pPr>
        <w:pStyle w:val="BodyText"/>
        <w:spacing w:before="4"/>
        <w:rPr>
          <w:b/>
        </w:rPr>
      </w:pPr>
    </w:p>
    <w:p>
      <w:pPr>
        <w:spacing w:before="63"/>
        <w:ind w:left="152" w:right="70" w:firstLine="0"/>
        <w:jc w:val="left"/>
        <w:rPr>
          <w:b/>
          <w:sz w:val="28"/>
        </w:rPr>
      </w:pPr>
      <w:bookmarkStart w:name="_bookmark54" w:id="91"/>
      <w:bookmarkEnd w:id="91"/>
      <w:r>
        <w:rPr/>
      </w:r>
      <w:r>
        <w:rPr>
          <w:b/>
          <w:sz w:val="28"/>
        </w:rPr>
        <w:t>Justificación</w:t>
      </w:r>
    </w:p>
    <w:p>
      <w:pPr>
        <w:pStyle w:val="BodyText"/>
        <w:rPr>
          <w:b/>
          <w:sz w:val="28"/>
        </w:rPr>
      </w:pPr>
    </w:p>
    <w:p>
      <w:pPr>
        <w:pStyle w:val="BodyText"/>
        <w:spacing w:before="3"/>
        <w:rPr>
          <w:b/>
          <w:sz w:val="33"/>
        </w:rPr>
      </w:pPr>
    </w:p>
    <w:p>
      <w:pPr>
        <w:pStyle w:val="BodyText"/>
        <w:spacing w:line="360" w:lineRule="auto"/>
        <w:ind w:left="152" w:right="105" w:firstLine="566"/>
        <w:jc w:val="both"/>
      </w:pPr>
      <w:r>
        <w:rPr/>
        <w:t>Proporcionar una alternativa farmacológica capaz de disminuir los requerimientos de los anestésicos inhalatorios durante </w:t>
      </w:r>
      <w:r>
        <w:rPr>
          <w:spacing w:val="-5"/>
        </w:rPr>
        <w:t>la </w:t>
      </w:r>
      <w:r>
        <w:rPr/>
        <w:t>anestesia general en el perro, en donde se  proporcione analgesia</w:t>
      </w:r>
      <w:r>
        <w:rPr>
          <w:spacing w:val="-20"/>
        </w:rPr>
        <w:t> </w:t>
      </w:r>
      <w:r>
        <w:rPr/>
        <w:t>perioperatoria.</w:t>
      </w:r>
    </w:p>
    <w:p>
      <w:pPr>
        <w:spacing w:after="0" w:line="360" w:lineRule="auto"/>
        <w:jc w:val="both"/>
        <w:sectPr>
          <w:pgSz w:w="12240" w:h="15840"/>
          <w:pgMar w:header="0" w:footer="1628" w:top="1500" w:bottom="1880" w:left="1720" w:right="1420"/>
        </w:sectPr>
      </w:pPr>
    </w:p>
    <w:p>
      <w:pPr>
        <w:pStyle w:val="BodyText"/>
        <w:rPr>
          <w:sz w:val="20"/>
        </w:rPr>
      </w:pPr>
    </w:p>
    <w:p>
      <w:pPr>
        <w:pStyle w:val="BodyText"/>
        <w:spacing w:before="5"/>
        <w:rPr>
          <w:sz w:val="22"/>
        </w:rPr>
      </w:pPr>
    </w:p>
    <w:p>
      <w:pPr>
        <w:pStyle w:val="Heading1"/>
        <w:ind w:right="104"/>
      </w:pPr>
      <w:bookmarkStart w:name="_bookmark55" w:id="92"/>
      <w:bookmarkEnd w:id="92"/>
      <w:r>
        <w:rPr>
          <w:b w:val="0"/>
        </w:rPr>
      </w:r>
      <w:r>
        <w:rPr/>
        <w:t>CAPÍTULO IV</w:t>
      </w:r>
    </w:p>
    <w:p>
      <w:pPr>
        <w:pStyle w:val="BodyText"/>
        <w:rPr>
          <w:b/>
          <w:sz w:val="20"/>
        </w:rPr>
      </w:pPr>
    </w:p>
    <w:p>
      <w:pPr>
        <w:pStyle w:val="BodyText"/>
        <w:rPr>
          <w:b/>
          <w:sz w:val="20"/>
        </w:rPr>
      </w:pPr>
    </w:p>
    <w:p>
      <w:pPr>
        <w:pStyle w:val="BodyText"/>
        <w:rPr>
          <w:b/>
          <w:sz w:val="20"/>
        </w:rPr>
      </w:pPr>
    </w:p>
    <w:p>
      <w:pPr>
        <w:pStyle w:val="BodyText"/>
        <w:spacing w:before="7"/>
        <w:rPr>
          <w:b/>
          <w:sz w:val="20"/>
        </w:rPr>
      </w:pPr>
    </w:p>
    <w:p>
      <w:pPr>
        <w:spacing w:before="63"/>
        <w:ind w:left="152" w:right="70" w:firstLine="0"/>
        <w:jc w:val="left"/>
        <w:rPr>
          <w:b/>
          <w:sz w:val="28"/>
        </w:rPr>
      </w:pPr>
      <w:bookmarkStart w:name="_bookmark56" w:id="93"/>
      <w:bookmarkEnd w:id="93"/>
      <w:r>
        <w:rPr/>
      </w:r>
      <w:r>
        <w:rPr>
          <w:b/>
          <w:sz w:val="28"/>
        </w:rPr>
        <w:t>Hipótesis</w:t>
      </w:r>
    </w:p>
    <w:p>
      <w:pPr>
        <w:pStyle w:val="BodyText"/>
        <w:rPr>
          <w:b/>
          <w:sz w:val="28"/>
        </w:rPr>
      </w:pPr>
    </w:p>
    <w:p>
      <w:pPr>
        <w:pStyle w:val="BodyText"/>
        <w:spacing w:before="8"/>
        <w:rPr>
          <w:b/>
          <w:sz w:val="25"/>
        </w:rPr>
      </w:pPr>
    </w:p>
    <w:p>
      <w:pPr>
        <w:pStyle w:val="BodyText"/>
        <w:spacing w:line="360" w:lineRule="auto"/>
        <w:ind w:left="152" w:right="100" w:firstLine="566"/>
        <w:jc w:val="both"/>
      </w:pPr>
      <w:r>
        <w:rPr/>
        <w:t>La combinación de lidocaína, ketamina y dexmedetomidina en infusión intravenosa continua, disminuye en mayor proporción los requerimientos de isoflurano y mejora la analgesia postquirúrgica en comparación con cada uno de los fármacos por separado, con  un comportamiento similar a </w:t>
      </w:r>
      <w:r>
        <w:rPr>
          <w:spacing w:val="-5"/>
        </w:rPr>
        <w:t>la </w:t>
      </w:r>
      <w:r>
        <w:rPr/>
        <w:t>infusión continua intravenosa de</w:t>
      </w:r>
      <w:r>
        <w:rPr>
          <w:spacing w:val="-21"/>
        </w:rPr>
        <w:t> </w:t>
      </w:r>
      <w:r>
        <w:rPr/>
        <w:t>fentanilo.</w:t>
      </w:r>
    </w:p>
    <w:p>
      <w:pPr>
        <w:spacing w:after="0" w:line="360" w:lineRule="auto"/>
        <w:jc w:val="both"/>
        <w:sectPr>
          <w:pgSz w:w="12240" w:h="15840"/>
          <w:pgMar w:header="0" w:footer="1628" w:top="1500" w:bottom="1880" w:left="1720" w:right="1420"/>
        </w:sectPr>
      </w:pPr>
    </w:p>
    <w:p>
      <w:pPr>
        <w:pStyle w:val="BodyText"/>
        <w:rPr>
          <w:sz w:val="20"/>
        </w:rPr>
      </w:pPr>
    </w:p>
    <w:p>
      <w:pPr>
        <w:pStyle w:val="BodyText"/>
        <w:spacing w:before="5"/>
        <w:rPr>
          <w:sz w:val="22"/>
        </w:rPr>
      </w:pPr>
    </w:p>
    <w:p>
      <w:pPr>
        <w:pStyle w:val="Heading1"/>
        <w:ind w:right="100"/>
      </w:pPr>
      <w:bookmarkStart w:name="_bookmark57" w:id="94"/>
      <w:bookmarkEnd w:id="94"/>
      <w:r>
        <w:rPr>
          <w:b w:val="0"/>
        </w:rPr>
      </w:r>
      <w:r>
        <w:rPr/>
        <w:t>CAPÍTULO V</w:t>
      </w:r>
    </w:p>
    <w:p>
      <w:pPr>
        <w:pStyle w:val="BodyText"/>
        <w:rPr>
          <w:b/>
          <w:sz w:val="20"/>
        </w:rPr>
      </w:pPr>
    </w:p>
    <w:p>
      <w:pPr>
        <w:pStyle w:val="BodyText"/>
        <w:rPr>
          <w:b/>
          <w:sz w:val="20"/>
        </w:rPr>
      </w:pPr>
    </w:p>
    <w:p>
      <w:pPr>
        <w:pStyle w:val="BodyText"/>
        <w:rPr>
          <w:b/>
          <w:sz w:val="20"/>
        </w:rPr>
      </w:pPr>
    </w:p>
    <w:p>
      <w:pPr>
        <w:spacing w:before="204"/>
        <w:ind w:left="152" w:right="70" w:firstLine="0"/>
        <w:jc w:val="left"/>
        <w:rPr>
          <w:b/>
          <w:sz w:val="28"/>
        </w:rPr>
      </w:pPr>
      <w:bookmarkStart w:name="_bookmark58" w:id="95"/>
      <w:bookmarkEnd w:id="95"/>
      <w:r>
        <w:rPr/>
      </w:r>
      <w:r>
        <w:rPr>
          <w:b/>
          <w:sz w:val="28"/>
        </w:rPr>
        <w:t>Objetivo</w:t>
      </w:r>
    </w:p>
    <w:p>
      <w:pPr>
        <w:pStyle w:val="BodyText"/>
        <w:spacing w:line="360" w:lineRule="auto" w:before="233"/>
        <w:ind w:left="152" w:right="101" w:firstLine="566"/>
        <w:jc w:val="both"/>
      </w:pPr>
      <w:r>
        <w:rPr/>
        <w:t>El objetivo de este estudio </w:t>
      </w:r>
      <w:r>
        <w:rPr>
          <w:spacing w:val="-3"/>
        </w:rPr>
        <w:t>fue </w:t>
      </w:r>
      <w:r>
        <w:rPr/>
        <w:t>evaluar los efectos sobre el requerimiento  de  isoflurano y analgésicos postoperatorios de </w:t>
      </w:r>
      <w:r>
        <w:rPr>
          <w:spacing w:val="-3"/>
        </w:rPr>
        <w:t>la </w:t>
      </w:r>
      <w:r>
        <w:rPr/>
        <w:t>infusión continua intravenosa (IV) del fentanilo (FENT), lidocaina (LIDO), ketamina (KET), dexmedetomidina (DEX), o </w:t>
      </w:r>
      <w:r>
        <w:rPr>
          <w:spacing w:val="-5"/>
        </w:rPr>
        <w:t>la </w:t>
      </w:r>
      <w:r>
        <w:rPr/>
        <w:t>combinación lidocaína-ketamina-dexmedetomidina (LKD) en perras sometidas a ovariohisterectomía</w:t>
      </w:r>
      <w:r>
        <w:rPr>
          <w:spacing w:val="-18"/>
        </w:rPr>
        <w:t> </w:t>
      </w:r>
      <w:r>
        <w:rPr/>
        <w:t>electiva.</w:t>
      </w:r>
    </w:p>
    <w:p>
      <w:pPr>
        <w:spacing w:after="0" w:line="360" w:lineRule="auto"/>
        <w:jc w:val="both"/>
        <w:sectPr>
          <w:pgSz w:w="12240" w:h="15840"/>
          <w:pgMar w:header="0" w:footer="1628" w:top="1500" w:bottom="1880" w:left="1720" w:right="1420"/>
        </w:sectPr>
      </w:pPr>
    </w:p>
    <w:p>
      <w:pPr>
        <w:pStyle w:val="BodyText"/>
        <w:rPr>
          <w:sz w:val="20"/>
        </w:rPr>
      </w:pPr>
    </w:p>
    <w:p>
      <w:pPr>
        <w:pStyle w:val="BodyText"/>
        <w:spacing w:before="5"/>
        <w:rPr>
          <w:sz w:val="22"/>
        </w:rPr>
      </w:pPr>
    </w:p>
    <w:p>
      <w:pPr>
        <w:pStyle w:val="Heading1"/>
        <w:ind w:right="104"/>
      </w:pPr>
      <w:bookmarkStart w:name="_bookmark59" w:id="96"/>
      <w:bookmarkEnd w:id="96"/>
      <w:r>
        <w:rPr>
          <w:b w:val="0"/>
        </w:rPr>
      </w:r>
      <w:r>
        <w:rPr/>
        <w:t>CAPÍTULO VI</w:t>
      </w:r>
    </w:p>
    <w:p>
      <w:pPr>
        <w:pStyle w:val="BodyText"/>
        <w:spacing w:before="6"/>
        <w:rPr>
          <w:b/>
          <w:sz w:val="15"/>
        </w:rPr>
      </w:pPr>
    </w:p>
    <w:p>
      <w:pPr>
        <w:spacing w:before="62"/>
        <w:ind w:left="152" w:right="70" w:firstLine="0"/>
        <w:jc w:val="left"/>
        <w:rPr>
          <w:b/>
          <w:sz w:val="28"/>
        </w:rPr>
      </w:pPr>
      <w:bookmarkStart w:name="_bookmark60" w:id="97"/>
      <w:bookmarkEnd w:id="97"/>
      <w:r>
        <w:rPr/>
      </w:r>
      <w:r>
        <w:rPr>
          <w:b/>
          <w:sz w:val="28"/>
        </w:rPr>
        <w:t>Material y método</w:t>
      </w:r>
    </w:p>
    <w:p>
      <w:pPr>
        <w:pStyle w:val="Heading2"/>
        <w:numPr>
          <w:ilvl w:val="1"/>
          <w:numId w:val="22"/>
        </w:numPr>
        <w:tabs>
          <w:tab w:pos="1296" w:val="left" w:leader="none"/>
        </w:tabs>
        <w:spacing w:line="240" w:lineRule="auto" w:before="200" w:after="0"/>
        <w:ind w:left="1295" w:right="0" w:hanging="360"/>
        <w:jc w:val="left"/>
      </w:pPr>
      <w:bookmarkStart w:name="_bookmark61" w:id="98"/>
      <w:bookmarkEnd w:id="98"/>
      <w:r>
        <w:rPr>
          <w:b w:val="0"/>
        </w:rPr>
      </w:r>
      <w:bookmarkStart w:name="_bookmark61" w:id="99"/>
      <w:bookmarkEnd w:id="99"/>
      <w:r>
        <w:rPr/>
        <w:t>Su</w:t>
      </w:r>
      <w:r>
        <w:rPr/>
        <w:t>jetos de</w:t>
      </w:r>
      <w:r>
        <w:rPr>
          <w:spacing w:val="-8"/>
        </w:rPr>
        <w:t> </w:t>
      </w:r>
      <w:r>
        <w:rPr/>
        <w:t>Estudio</w:t>
      </w:r>
    </w:p>
    <w:p>
      <w:pPr>
        <w:pStyle w:val="BodyText"/>
        <w:spacing w:before="7"/>
        <w:rPr>
          <w:b/>
          <w:sz w:val="20"/>
        </w:rPr>
      </w:pPr>
    </w:p>
    <w:p>
      <w:pPr>
        <w:pStyle w:val="BodyText"/>
        <w:spacing w:line="360" w:lineRule="auto"/>
        <w:ind w:left="152" w:right="103" w:firstLine="566"/>
        <w:jc w:val="both"/>
      </w:pPr>
      <w:r>
        <w:rPr/>
        <w:t>En este estudio su utilizaron 54 perras no gestantes de diferentes razas, con una edad promedio de 2.5</w:t>
      </w:r>
      <w:r>
        <w:rPr>
          <w:rFonts w:ascii="Symbol" w:hAnsi="Symbol"/>
        </w:rPr>
        <w:t></w:t>
      </w:r>
      <w:r>
        <w:rPr/>
        <w:t>1.0 años y un peso promedio de 15</w:t>
      </w:r>
      <w:r>
        <w:rPr>
          <w:rFonts w:ascii="Symbol" w:hAnsi="Symbol"/>
        </w:rPr>
        <w:t></w:t>
      </w:r>
      <w:r>
        <w:rPr/>
        <w:t>2.3 kg. Para determinar su estado de salud se realizó un examen físico completo y pruebas de laboratorio como: hemograma, química sanguínea (urea, creatinina, ALT, AST, FAS, bilirrubinas, albumina), pruebas de coagulación y examen general de orina. Se determinaron como criterios de exclusión perros que tuvieran datos de laboratorio anormales, arritmias cardiacas, obesidad (condición corporal mayor de 6 en escala del 1 al 9) o cualquier signo clínico que evidenciara enfermedad.</w:t>
      </w:r>
    </w:p>
    <w:p>
      <w:pPr>
        <w:pStyle w:val="BodyText"/>
        <w:spacing w:line="362" w:lineRule="auto" w:before="4"/>
        <w:ind w:left="152" w:right="119" w:firstLine="566"/>
        <w:jc w:val="both"/>
      </w:pPr>
      <w:r>
        <w:rPr/>
        <w:t>Los animales se incluyeron en el estudio previo consentimiento por escrito de los propietarios.</w:t>
      </w:r>
    </w:p>
    <w:p>
      <w:pPr>
        <w:pStyle w:val="BodyText"/>
        <w:spacing w:line="360" w:lineRule="auto" w:before="1"/>
        <w:ind w:left="152" w:right="111" w:firstLine="566"/>
        <w:jc w:val="both"/>
      </w:pPr>
      <w:r>
        <w:rPr/>
        <w:t>El estudio se realizó en las instalaciones del Hospital Veterinario para Pequeñas Especies de la Facultad de Medicina Veterinaria y Zootecnia de la Universidad Autónoma del Estado de México y en la Clínica de Pequeñas Especies de la Facultad de Medicina Veterinaria y Zootecnia de la Universidad Autónoma de Yucatán.</w:t>
      </w:r>
    </w:p>
    <w:p>
      <w:pPr>
        <w:pStyle w:val="BodyText"/>
        <w:spacing w:before="4"/>
        <w:ind w:left="719" w:right="70"/>
      </w:pPr>
      <w:r>
        <w:rPr/>
        <w:t>El estudio realizado en este trabajo fue de tipo clínico aleatorio y ciego.</w:t>
      </w:r>
    </w:p>
    <w:p>
      <w:pPr>
        <w:pStyle w:val="BodyText"/>
      </w:pPr>
    </w:p>
    <w:p>
      <w:pPr>
        <w:pStyle w:val="BodyText"/>
        <w:spacing w:before="2"/>
      </w:pPr>
    </w:p>
    <w:p>
      <w:pPr>
        <w:pStyle w:val="Heading2"/>
        <w:numPr>
          <w:ilvl w:val="1"/>
          <w:numId w:val="22"/>
        </w:numPr>
        <w:tabs>
          <w:tab w:pos="1238" w:val="left" w:leader="none"/>
        </w:tabs>
        <w:spacing w:line="240" w:lineRule="auto" w:before="0" w:after="0"/>
        <w:ind w:left="1237" w:right="0" w:hanging="364"/>
        <w:jc w:val="left"/>
      </w:pPr>
      <w:bookmarkStart w:name="_bookmark62" w:id="100"/>
      <w:bookmarkEnd w:id="100"/>
      <w:r>
        <w:rPr>
          <w:b w:val="0"/>
        </w:rPr>
      </w:r>
      <w:bookmarkStart w:name="_bookmark62" w:id="101"/>
      <w:bookmarkEnd w:id="101"/>
      <w:r>
        <w:rPr/>
        <w:t>Di</w:t>
      </w:r>
      <w:r>
        <w:rPr/>
        <w:t>seño</w:t>
      </w:r>
      <w:r>
        <w:rPr>
          <w:spacing w:val="-20"/>
        </w:rPr>
        <w:t> </w:t>
      </w:r>
      <w:r>
        <w:rPr/>
        <w:t>experimental.</w:t>
      </w:r>
    </w:p>
    <w:p>
      <w:pPr>
        <w:pStyle w:val="BodyText"/>
        <w:spacing w:before="1"/>
        <w:rPr>
          <w:b/>
          <w:sz w:val="21"/>
        </w:rPr>
      </w:pPr>
    </w:p>
    <w:p>
      <w:pPr>
        <w:pStyle w:val="Heading2"/>
        <w:spacing w:before="0"/>
        <w:ind w:left="873" w:right="70" w:firstLine="0"/>
      </w:pPr>
      <w:bookmarkStart w:name="_bookmark63" w:id="102"/>
      <w:bookmarkEnd w:id="102"/>
      <w:r>
        <w:rPr>
          <w:b w:val="0"/>
        </w:rPr>
      </w:r>
      <w:r>
        <w:rPr/>
        <w:t>6.2.1 Procedimiento anestésico y tratamientos</w:t>
      </w:r>
    </w:p>
    <w:p>
      <w:pPr>
        <w:pStyle w:val="BodyText"/>
        <w:spacing w:before="2"/>
        <w:rPr>
          <w:b/>
          <w:sz w:val="20"/>
        </w:rPr>
      </w:pPr>
    </w:p>
    <w:p>
      <w:pPr>
        <w:pStyle w:val="BodyText"/>
        <w:spacing w:line="357" w:lineRule="auto" w:before="1"/>
        <w:ind w:left="152" w:right="107" w:firstLine="566"/>
        <w:jc w:val="both"/>
      </w:pPr>
      <w:r>
        <w:rPr/>
        <w:t>En todos los animales se realizó un ayuno de solidos de 8 horas y 2 horas de líquidos. 5 minutos antes de la inducción anestésica, se obtuvo una muestra de sangre arterial tomada directamente de la arteria femoral utilizando jeringas heparinizadas (Pro-vent Plus 1mL; Smiths Medical, MN, USA) para su análisis gasométrico (PaO</w:t>
      </w:r>
      <w:r>
        <w:rPr>
          <w:position w:val="-2"/>
          <w:sz w:val="16"/>
        </w:rPr>
        <w:t>2</w:t>
      </w:r>
      <w:r>
        <w:rPr/>
        <w:t>), presión parcial de dióxido de carbono (PaCO</w:t>
      </w:r>
      <w:r>
        <w:rPr>
          <w:position w:val="-2"/>
          <w:sz w:val="16"/>
        </w:rPr>
        <w:t>2</w:t>
      </w:r>
      <w:r>
        <w:rPr/>
        <w:t>), pH, bicarbonato (HCO</w:t>
      </w:r>
      <w:r>
        <w:rPr>
          <w:position w:val="-2"/>
          <w:sz w:val="16"/>
        </w:rPr>
        <w:t>3</w:t>
      </w:r>
      <w:r>
        <w:rPr/>
        <w:t>-), lactato    y glucosa (IL GEM Premier 3000,</w:t>
      </w:r>
    </w:p>
    <w:p>
      <w:pPr>
        <w:spacing w:after="0" w:line="357"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70"/>
      </w:pPr>
      <w:r>
        <w:rPr/>
        <w:t>Instrumentation Laboratory, MA, USA). Las mediciones de gases arteriales fueron corregidas de acuerdo a la temperatura corporal.</w:t>
      </w:r>
    </w:p>
    <w:p>
      <w:pPr>
        <w:pStyle w:val="BodyText"/>
        <w:spacing w:line="352" w:lineRule="auto" w:before="4"/>
        <w:ind w:left="152" w:right="109" w:firstLine="566"/>
        <w:jc w:val="both"/>
      </w:pPr>
      <w:r>
        <w:rPr/>
        <w:t>La vena cefálica se cateterizó asépticamente, colocando un catéter calibre 20 conectado a un puerto para inyección tipo luer (BD-luer loK; Becton Dickinson and Company, NJ, USA). La terapia de líquidos se realizó administrando solución salina fisiológica al 0.9% (Solución DX-CS; Pisa Farmacéutica, México) a una velocidad de administración de 3 mL kg</w:t>
      </w:r>
      <w:r>
        <w:rPr>
          <w:position w:val="11"/>
          <w:sz w:val="16"/>
        </w:rPr>
        <w:t>-1  </w:t>
      </w:r>
      <w:r>
        <w:rPr/>
        <w:t>hora</w:t>
      </w:r>
      <w:r>
        <w:rPr>
          <w:position w:val="11"/>
          <w:sz w:val="16"/>
        </w:rPr>
        <w:t>-1  </w:t>
      </w:r>
      <w:r>
        <w:rPr/>
        <w:t>durante todo el proceso anestésico. Se utilizó para   esto</w:t>
      </w:r>
    </w:p>
    <w:p>
      <w:pPr>
        <w:pStyle w:val="BodyText"/>
        <w:spacing w:line="274" w:lineRule="exact"/>
        <w:ind w:left="152" w:right="70"/>
      </w:pPr>
      <w:r>
        <w:rPr/>
        <w:t>un infusor de jeringa electrónico (Graseby 3400; Graseby Medical, UK).</w:t>
      </w:r>
    </w:p>
    <w:p>
      <w:pPr>
        <w:pStyle w:val="BodyText"/>
        <w:spacing w:line="350" w:lineRule="auto" w:before="137"/>
        <w:ind w:left="152" w:right="102" w:firstLine="566"/>
        <w:jc w:val="both"/>
      </w:pPr>
      <w:r>
        <w:rPr/>
        <w:t>La inducción de </w:t>
      </w:r>
      <w:r>
        <w:rPr>
          <w:spacing w:val="-3"/>
        </w:rPr>
        <w:t>la </w:t>
      </w:r>
      <w:r>
        <w:rPr/>
        <w:t>anestesia se realizó con </w:t>
      </w:r>
      <w:r>
        <w:rPr>
          <w:spacing w:val="-3"/>
        </w:rPr>
        <w:t>la </w:t>
      </w:r>
      <w:r>
        <w:rPr/>
        <w:t>administración endovenosa de propofol a una dosis de 6 </w:t>
      </w:r>
      <w:r>
        <w:rPr>
          <w:spacing w:val="-5"/>
        </w:rPr>
        <w:t>mg </w:t>
      </w:r>
      <w:r>
        <w:rPr/>
        <w:t>kg</w:t>
      </w:r>
      <w:r>
        <w:rPr>
          <w:position w:val="11"/>
          <w:sz w:val="16"/>
        </w:rPr>
        <w:t>-1 </w:t>
      </w:r>
      <w:r>
        <w:rPr/>
        <w:t>(Diprivan; Zeneca Pharma, México). La administración transcurrió en el lapso de un minuto. Los perros se intubaron por </w:t>
      </w:r>
      <w:r>
        <w:rPr>
          <w:spacing w:val="-5"/>
        </w:rPr>
        <w:t>la </w:t>
      </w:r>
      <w:r>
        <w:rPr/>
        <w:t>vía orotraqueal por </w:t>
      </w:r>
      <w:r>
        <w:rPr>
          <w:spacing w:val="-4"/>
        </w:rPr>
        <w:t>medio </w:t>
      </w:r>
      <w:r>
        <w:rPr/>
        <w:t>de una sonda con globo en </w:t>
      </w:r>
      <w:r>
        <w:rPr>
          <w:spacing w:val="-3"/>
        </w:rPr>
        <w:t>la </w:t>
      </w:r>
      <w:r>
        <w:rPr/>
        <w:t>punta </w:t>
      </w:r>
      <w:r>
        <w:rPr>
          <w:spacing w:val="-3"/>
        </w:rPr>
        <w:t>la </w:t>
      </w:r>
      <w:r>
        <w:rPr/>
        <w:t>cual se conectó a un sistema de respiración por </w:t>
      </w:r>
      <w:r>
        <w:rPr>
          <w:spacing w:val="38"/>
        </w:rPr>
        <w:t> </w:t>
      </w:r>
      <w:r>
        <w:rPr/>
        <w:t>reinhalación</w:t>
      </w:r>
    </w:p>
    <w:p>
      <w:pPr>
        <w:pStyle w:val="BodyText"/>
        <w:spacing w:before="14"/>
        <w:ind w:left="152" w:right="70"/>
      </w:pPr>
      <w:r>
        <w:rPr/>
        <w:t>(Multiplus MEVD; Royal Medical Co. Ltd., South Korea).</w:t>
      </w:r>
    </w:p>
    <w:p>
      <w:pPr>
        <w:pStyle w:val="BodyText"/>
        <w:spacing w:line="345" w:lineRule="auto" w:before="137"/>
        <w:ind w:left="152" w:right="109" w:firstLine="566"/>
        <w:jc w:val="both"/>
      </w:pPr>
      <w:r>
        <w:rPr/>
        <w:t>Para el mantenimiento de la anestesia se utilizó Isoflurano (Isoflurane USP, Piramal Health Care, India) vaporizado en oxígeno al 100%, a un flujo de oxígeno aproximado de 100mL kg</w:t>
      </w:r>
      <w:r>
        <w:rPr>
          <w:position w:val="11"/>
          <w:sz w:val="16"/>
        </w:rPr>
        <w:t>-1  </w:t>
      </w:r>
      <w:r>
        <w:rPr/>
        <w:t>minuto</w:t>
      </w:r>
      <w:r>
        <w:rPr>
          <w:position w:val="11"/>
          <w:sz w:val="16"/>
        </w:rPr>
        <w:t>-1 </w:t>
      </w:r>
      <w:r>
        <w:rPr/>
        <w:t>el cual se redujo a  50 mL kg</w:t>
      </w:r>
      <w:r>
        <w:rPr>
          <w:position w:val="11"/>
          <w:sz w:val="16"/>
        </w:rPr>
        <w:t>-1 </w:t>
      </w:r>
      <w:r>
        <w:rPr/>
        <w:t>minuto</w:t>
      </w:r>
      <w:r>
        <w:rPr>
          <w:position w:val="11"/>
          <w:sz w:val="16"/>
        </w:rPr>
        <w:t>-1 </w:t>
      </w:r>
      <w:r>
        <w:rPr/>
        <w:t>después de 15 minutos.</w:t>
      </w:r>
    </w:p>
    <w:p>
      <w:pPr>
        <w:pStyle w:val="BodyText"/>
        <w:spacing w:line="357" w:lineRule="auto" w:before="3"/>
        <w:ind w:left="152" w:right="104" w:firstLine="566"/>
        <w:jc w:val="both"/>
      </w:pPr>
      <w:r>
        <w:rPr/>
        <w:t>Todos los animales fueron ventilados mecánicamente con ventilación por presión intermitente positiva, </w:t>
      </w:r>
      <w:r>
        <w:rPr>
          <w:spacing w:val="-5"/>
        </w:rPr>
        <w:t>la </w:t>
      </w:r>
      <w:r>
        <w:rPr/>
        <w:t>cual empezó desde el inicio de </w:t>
      </w:r>
      <w:r>
        <w:rPr>
          <w:spacing w:val="-5"/>
        </w:rPr>
        <w:t>la </w:t>
      </w:r>
      <w:r>
        <w:rPr/>
        <w:t>anestesia (Vent V; Royal Medical Co. Ltd). El ventilador se ajustó para mantener los niveles de dióxido de carbono en rangos normales (concentración telerespiratoria de dióxido de carbono (PE´CO</w:t>
      </w:r>
      <w:r>
        <w:rPr>
          <w:position w:val="-2"/>
          <w:sz w:val="16"/>
        </w:rPr>
        <w:t>2</w:t>
      </w:r>
      <w:r>
        <w:rPr/>
        <w:t>) 33-45 mmHg, 4.4-5.9 kPa). Los perros se colocaron en decúbito dorsal y se les cateterizó </w:t>
      </w:r>
      <w:r>
        <w:rPr>
          <w:spacing w:val="-3"/>
        </w:rPr>
        <w:t>la </w:t>
      </w:r>
      <w:r>
        <w:rPr/>
        <w:t>arteria dorsal metatarsiana, utilizando un catéter calibre 22 (Introcan; B-Braun, Brazil). La vía arterial permitió </w:t>
      </w:r>
      <w:r>
        <w:rPr>
          <w:spacing w:val="-5"/>
        </w:rPr>
        <w:t>la </w:t>
      </w:r>
      <w:r>
        <w:rPr/>
        <w:t>toma de muestras sanguíneas y </w:t>
      </w:r>
      <w:r>
        <w:rPr>
          <w:spacing w:val="-3"/>
        </w:rPr>
        <w:t>la </w:t>
      </w:r>
      <w:r>
        <w:rPr/>
        <w:t>monitorización de </w:t>
      </w:r>
      <w:r>
        <w:rPr>
          <w:spacing w:val="-5"/>
        </w:rPr>
        <w:t>la </w:t>
      </w:r>
      <w:r>
        <w:rPr/>
        <w:t>presión arterial. Se  utilizó una manta térmica (HoMedics HP300-A; HoMedics, China) durante todo el proceso anestésico, con el fin de mantener </w:t>
      </w:r>
      <w:r>
        <w:rPr>
          <w:spacing w:val="-5"/>
        </w:rPr>
        <w:t>la </w:t>
      </w:r>
      <w:r>
        <w:rPr/>
        <w:t>temperatura corporal entre 37 y</w:t>
      </w:r>
      <w:r>
        <w:rPr>
          <w:spacing w:val="-8"/>
        </w:rPr>
        <w:t> </w:t>
      </w:r>
      <w:r>
        <w:rPr/>
        <w:t>38°C.</w:t>
      </w:r>
    </w:p>
    <w:p>
      <w:pPr>
        <w:pStyle w:val="BodyText"/>
        <w:spacing w:line="360" w:lineRule="auto" w:before="6"/>
        <w:ind w:left="152" w:right="107" w:firstLine="566"/>
        <w:jc w:val="both"/>
      </w:pPr>
      <w:r>
        <w:rPr/>
        <w:t>Todos los procedimientos quirúrgicos se realizaron por el mismo cirujano y asistente. El abordaje quirúrgico se realizó con una incisión en la línea media que involucró piel, tejido subcutáneo y aponeurosis del músculo recto abdominal. Se utilizó la técnica modificada de  tres pinzas (Padilha  et  al.  2011).  El peritoneo  y la  línea  alba se  cerraron</w:t>
      </w:r>
    </w:p>
    <w:p>
      <w:pPr>
        <w:spacing w:after="0" w:line="360"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70"/>
      </w:pPr>
      <w:r>
        <w:rPr/>
        <w:t>juntos utilizando un surgete continuo simple y monofilamento absorbible como material de sutura.</w:t>
      </w:r>
    </w:p>
    <w:p>
      <w:pPr>
        <w:pStyle w:val="BodyText"/>
        <w:spacing w:line="360" w:lineRule="auto" w:before="4"/>
        <w:ind w:left="152" w:right="114" w:firstLine="566"/>
        <w:jc w:val="both"/>
      </w:pPr>
      <w:r>
        <w:rPr/>
        <w:t>El tejido subcutáneo se suturó por separado utilizando el mismo material y patrón de sutura. La piel se suturó por medio un patrón de sutura subcuticular y puntos simples separados utilizando nylon monofilamento.</w:t>
      </w:r>
    </w:p>
    <w:p>
      <w:pPr>
        <w:pStyle w:val="BodyText"/>
        <w:spacing w:line="360" w:lineRule="auto" w:before="4"/>
        <w:ind w:left="152" w:right="104" w:firstLine="566"/>
        <w:jc w:val="both"/>
      </w:pPr>
      <w:r>
        <w:rPr/>
        <w:t>Cinco minutos después de la inducción de la anestesia, los perros fueron distribuidos de manera aleatoria a uno de los siguientes grupos:</w:t>
      </w:r>
    </w:p>
    <w:p>
      <w:pPr>
        <w:pStyle w:val="BodyText"/>
      </w:pPr>
    </w:p>
    <w:p>
      <w:pPr>
        <w:pStyle w:val="ListParagraph"/>
        <w:numPr>
          <w:ilvl w:val="2"/>
          <w:numId w:val="10"/>
        </w:numPr>
        <w:tabs>
          <w:tab w:pos="720" w:val="left" w:leader="none"/>
        </w:tabs>
        <w:spacing w:line="328" w:lineRule="auto" w:before="145" w:after="0"/>
        <w:ind w:left="719" w:right="160" w:hanging="283"/>
        <w:jc w:val="left"/>
        <w:rPr>
          <w:sz w:val="24"/>
        </w:rPr>
      </w:pPr>
      <w:r>
        <w:rPr>
          <w:b/>
          <w:sz w:val="24"/>
        </w:rPr>
        <w:t>Grupo I FENT</w:t>
      </w:r>
      <w:r>
        <w:rPr>
          <w:sz w:val="24"/>
        </w:rPr>
        <w:t>: Los animales pertenecientes a este grupo se </w:t>
      </w:r>
      <w:r>
        <w:rPr>
          <w:spacing w:val="-4"/>
          <w:sz w:val="24"/>
        </w:rPr>
        <w:t>les </w:t>
      </w:r>
      <w:r>
        <w:rPr>
          <w:sz w:val="24"/>
        </w:rPr>
        <w:t>administró una dosis de carga de 5 µg kg</w:t>
      </w:r>
      <w:r>
        <w:rPr>
          <w:position w:val="11"/>
          <w:sz w:val="16"/>
        </w:rPr>
        <w:t>-1 </w:t>
      </w:r>
      <w:r>
        <w:rPr>
          <w:sz w:val="24"/>
        </w:rPr>
        <w:t>de citrato de </w:t>
      </w:r>
      <w:r>
        <w:rPr>
          <w:spacing w:val="-3"/>
          <w:sz w:val="24"/>
        </w:rPr>
        <w:t>fentanilo </w:t>
      </w:r>
      <w:r>
        <w:rPr>
          <w:sz w:val="24"/>
        </w:rPr>
        <w:t>(Fentanest; Janssen, México) seguido de una  infusión continua (IC) de 10 µg kg</w:t>
      </w:r>
      <w:r>
        <w:rPr>
          <w:position w:val="11"/>
          <w:sz w:val="16"/>
        </w:rPr>
        <w:t>-1</w:t>
      </w:r>
      <w:r>
        <w:rPr>
          <w:spacing w:val="4"/>
          <w:position w:val="11"/>
          <w:sz w:val="16"/>
        </w:rPr>
        <w:t> </w:t>
      </w:r>
      <w:r>
        <w:rPr>
          <w:sz w:val="24"/>
        </w:rPr>
        <w:t>hora</w:t>
      </w:r>
      <w:r>
        <w:rPr>
          <w:position w:val="11"/>
          <w:sz w:val="16"/>
        </w:rPr>
        <w:t>-1</w:t>
      </w:r>
      <w:r>
        <w:rPr>
          <w:sz w:val="24"/>
        </w:rPr>
        <w:t>.</w:t>
      </w:r>
    </w:p>
    <w:p>
      <w:pPr>
        <w:pStyle w:val="ListParagraph"/>
        <w:numPr>
          <w:ilvl w:val="2"/>
          <w:numId w:val="10"/>
        </w:numPr>
        <w:tabs>
          <w:tab w:pos="720" w:val="left" w:leader="none"/>
        </w:tabs>
        <w:spacing w:line="328" w:lineRule="auto" w:before="29" w:after="0"/>
        <w:ind w:left="719" w:right="273" w:hanging="283"/>
        <w:jc w:val="left"/>
        <w:rPr>
          <w:sz w:val="24"/>
        </w:rPr>
      </w:pPr>
      <w:r>
        <w:rPr>
          <w:b/>
          <w:sz w:val="24"/>
        </w:rPr>
        <w:t>Grupo II KET: </w:t>
      </w:r>
      <w:r>
        <w:rPr>
          <w:sz w:val="24"/>
        </w:rPr>
        <w:t>Los animales pertenecientes a este grupo recibieron una dosis de carga de 1 </w:t>
      </w:r>
      <w:r>
        <w:rPr>
          <w:spacing w:val="-5"/>
          <w:sz w:val="24"/>
        </w:rPr>
        <w:t>mg </w:t>
      </w:r>
      <w:r>
        <w:rPr>
          <w:sz w:val="24"/>
        </w:rPr>
        <w:t>kg</w:t>
      </w:r>
      <w:r>
        <w:rPr>
          <w:position w:val="11"/>
          <w:sz w:val="16"/>
        </w:rPr>
        <w:t>-1  </w:t>
      </w:r>
      <w:r>
        <w:rPr>
          <w:sz w:val="24"/>
        </w:rPr>
        <w:t>de ketamina (Inoketan</w:t>
      </w:r>
      <w:r>
        <w:rPr>
          <w:b/>
          <w:sz w:val="24"/>
        </w:rPr>
        <w:t>; </w:t>
      </w:r>
      <w:r>
        <w:rPr>
          <w:sz w:val="24"/>
        </w:rPr>
        <w:t>Virbac, México) seguido de una IC de</w:t>
      </w:r>
      <w:r>
        <w:rPr>
          <w:spacing w:val="-23"/>
          <w:sz w:val="24"/>
        </w:rPr>
        <w:t> </w:t>
      </w:r>
      <w:r>
        <w:rPr>
          <w:sz w:val="24"/>
        </w:rPr>
        <w:t>40</w:t>
      </w:r>
    </w:p>
    <w:p>
      <w:pPr>
        <w:spacing w:line="300" w:lineRule="exact" w:before="0"/>
        <w:ind w:left="719" w:right="70" w:firstLine="0"/>
        <w:jc w:val="left"/>
        <w:rPr>
          <w:sz w:val="24"/>
        </w:rPr>
      </w:pPr>
      <w:r>
        <w:rPr>
          <w:sz w:val="24"/>
        </w:rPr>
        <w:t>µg kg</w:t>
      </w:r>
      <w:r>
        <w:rPr>
          <w:position w:val="11"/>
          <w:sz w:val="16"/>
        </w:rPr>
        <w:t>-1 </w:t>
      </w:r>
      <w:r>
        <w:rPr>
          <w:sz w:val="24"/>
        </w:rPr>
        <w:t>minuto</w:t>
      </w:r>
      <w:r>
        <w:rPr>
          <w:position w:val="11"/>
          <w:sz w:val="16"/>
        </w:rPr>
        <w:t>-1</w:t>
      </w:r>
      <w:r>
        <w:rPr>
          <w:sz w:val="24"/>
        </w:rPr>
        <w:t>.</w:t>
      </w:r>
    </w:p>
    <w:p>
      <w:pPr>
        <w:pStyle w:val="ListParagraph"/>
        <w:numPr>
          <w:ilvl w:val="2"/>
          <w:numId w:val="10"/>
        </w:numPr>
        <w:tabs>
          <w:tab w:pos="720" w:val="left" w:leader="none"/>
        </w:tabs>
        <w:spacing w:line="331" w:lineRule="auto" w:before="137" w:after="0"/>
        <w:ind w:left="719" w:right="295" w:hanging="283"/>
        <w:jc w:val="left"/>
        <w:rPr>
          <w:sz w:val="24"/>
        </w:rPr>
      </w:pPr>
      <w:r>
        <w:rPr>
          <w:b/>
          <w:sz w:val="24"/>
        </w:rPr>
        <w:t>Grupo III LIDO: </w:t>
      </w:r>
      <w:r>
        <w:rPr>
          <w:sz w:val="24"/>
        </w:rPr>
        <w:t>Los animales pertenecientes a este grupo se </w:t>
      </w:r>
      <w:r>
        <w:rPr>
          <w:spacing w:val="-3"/>
          <w:sz w:val="24"/>
        </w:rPr>
        <w:t>les </w:t>
      </w:r>
      <w:r>
        <w:rPr>
          <w:sz w:val="24"/>
        </w:rPr>
        <w:t>administró una dosis de carga de 2 </w:t>
      </w:r>
      <w:r>
        <w:rPr>
          <w:spacing w:val="-5"/>
          <w:sz w:val="24"/>
        </w:rPr>
        <w:t>mg </w:t>
      </w:r>
      <w:r>
        <w:rPr>
          <w:sz w:val="24"/>
        </w:rPr>
        <w:t>kg</w:t>
      </w:r>
      <w:r>
        <w:rPr>
          <w:position w:val="11"/>
          <w:sz w:val="16"/>
        </w:rPr>
        <w:t>-1 </w:t>
      </w:r>
      <w:r>
        <w:rPr>
          <w:sz w:val="24"/>
        </w:rPr>
        <w:t>de lidocaína (Pisacaína 2%; Pisa Farmacéutica, México) seguido de una IC de 100 µg kg</w:t>
      </w:r>
      <w:r>
        <w:rPr>
          <w:position w:val="11"/>
          <w:sz w:val="16"/>
        </w:rPr>
        <w:t>-1</w:t>
      </w:r>
      <w:r>
        <w:rPr>
          <w:spacing w:val="11"/>
          <w:position w:val="11"/>
          <w:sz w:val="16"/>
        </w:rPr>
        <w:t> </w:t>
      </w:r>
      <w:r>
        <w:rPr>
          <w:sz w:val="24"/>
        </w:rPr>
        <w:t>minuto</w:t>
      </w:r>
      <w:r>
        <w:rPr>
          <w:position w:val="11"/>
          <w:sz w:val="16"/>
        </w:rPr>
        <w:t>-1</w:t>
      </w:r>
      <w:r>
        <w:rPr>
          <w:sz w:val="24"/>
        </w:rPr>
        <w:t>.</w:t>
      </w:r>
    </w:p>
    <w:p>
      <w:pPr>
        <w:pStyle w:val="ListParagraph"/>
        <w:numPr>
          <w:ilvl w:val="2"/>
          <w:numId w:val="10"/>
        </w:numPr>
        <w:tabs>
          <w:tab w:pos="720" w:val="left" w:leader="none"/>
        </w:tabs>
        <w:spacing w:line="331" w:lineRule="auto" w:before="21" w:after="0"/>
        <w:ind w:left="719" w:right="122" w:hanging="283"/>
        <w:jc w:val="left"/>
        <w:rPr>
          <w:sz w:val="24"/>
        </w:rPr>
      </w:pPr>
      <w:r>
        <w:rPr>
          <w:b/>
          <w:sz w:val="24"/>
        </w:rPr>
        <w:t>Grupo IV DEX</w:t>
      </w:r>
      <w:r>
        <w:rPr>
          <w:sz w:val="24"/>
        </w:rPr>
        <w:t>: Los animales pertenecientes a este grupo se </w:t>
      </w:r>
      <w:r>
        <w:rPr>
          <w:spacing w:val="-4"/>
          <w:sz w:val="24"/>
        </w:rPr>
        <w:t>les </w:t>
      </w:r>
      <w:r>
        <w:rPr>
          <w:sz w:val="24"/>
        </w:rPr>
        <w:t>administró una dosis de carga de 1 µg kg</w:t>
      </w:r>
      <w:r>
        <w:rPr>
          <w:position w:val="11"/>
          <w:sz w:val="16"/>
        </w:rPr>
        <w:t>-1 </w:t>
      </w:r>
      <w:r>
        <w:rPr>
          <w:sz w:val="24"/>
        </w:rPr>
        <w:t>de dexmedetomidina (Dexdormitor</w:t>
      </w:r>
      <w:r>
        <w:rPr>
          <w:b/>
          <w:sz w:val="24"/>
        </w:rPr>
        <w:t>; </w:t>
      </w:r>
      <w:r>
        <w:rPr>
          <w:sz w:val="24"/>
        </w:rPr>
        <w:t>Pfizer Animal Health, México) seguido de una IC de 3 µg kg</w:t>
      </w:r>
      <w:r>
        <w:rPr>
          <w:position w:val="11"/>
          <w:sz w:val="16"/>
        </w:rPr>
        <w:t>-1</w:t>
      </w:r>
      <w:r>
        <w:rPr>
          <w:spacing w:val="7"/>
          <w:position w:val="11"/>
          <w:sz w:val="16"/>
        </w:rPr>
        <w:t> </w:t>
      </w:r>
      <w:r>
        <w:rPr>
          <w:sz w:val="24"/>
        </w:rPr>
        <w:t>hora</w:t>
      </w:r>
      <w:r>
        <w:rPr>
          <w:position w:val="11"/>
          <w:sz w:val="16"/>
        </w:rPr>
        <w:t>-1</w:t>
      </w:r>
      <w:r>
        <w:rPr>
          <w:sz w:val="24"/>
        </w:rPr>
        <w:t>.</w:t>
      </w:r>
    </w:p>
    <w:p>
      <w:pPr>
        <w:pStyle w:val="ListParagraph"/>
        <w:numPr>
          <w:ilvl w:val="2"/>
          <w:numId w:val="10"/>
        </w:numPr>
        <w:tabs>
          <w:tab w:pos="720" w:val="left" w:leader="none"/>
        </w:tabs>
        <w:spacing w:line="328" w:lineRule="auto" w:before="21" w:after="0"/>
        <w:ind w:left="719" w:right="104" w:hanging="283"/>
        <w:jc w:val="both"/>
        <w:rPr>
          <w:sz w:val="16"/>
        </w:rPr>
      </w:pPr>
      <w:r>
        <w:rPr>
          <w:b/>
          <w:sz w:val="24"/>
        </w:rPr>
        <w:t>Grupo V LKD: </w:t>
      </w:r>
      <w:r>
        <w:rPr>
          <w:sz w:val="24"/>
        </w:rPr>
        <w:t>Los animales pertenecientes a este grupo se </w:t>
      </w:r>
      <w:r>
        <w:rPr>
          <w:spacing w:val="-4"/>
          <w:sz w:val="24"/>
        </w:rPr>
        <w:t>les </w:t>
      </w:r>
      <w:r>
        <w:rPr>
          <w:sz w:val="24"/>
        </w:rPr>
        <w:t>administro una dosis de carga de 2 </w:t>
      </w:r>
      <w:r>
        <w:rPr>
          <w:spacing w:val="-5"/>
          <w:sz w:val="24"/>
        </w:rPr>
        <w:t>mg </w:t>
      </w:r>
      <w:r>
        <w:rPr>
          <w:sz w:val="24"/>
        </w:rPr>
        <w:t>kg </w:t>
      </w:r>
      <w:r>
        <w:rPr>
          <w:spacing w:val="-3"/>
          <w:position w:val="11"/>
          <w:sz w:val="16"/>
        </w:rPr>
        <w:t>-1 </w:t>
      </w:r>
      <w:r>
        <w:rPr>
          <w:sz w:val="24"/>
        </w:rPr>
        <w:t>de lidocaína seguido de una IC de 100 µg kg</w:t>
      </w:r>
      <w:r>
        <w:rPr>
          <w:position w:val="11"/>
          <w:sz w:val="16"/>
        </w:rPr>
        <w:t>-1 </w:t>
      </w:r>
      <w:r>
        <w:rPr>
          <w:sz w:val="24"/>
        </w:rPr>
        <w:t>minuto</w:t>
      </w:r>
      <w:r>
        <w:rPr>
          <w:position w:val="11"/>
          <w:sz w:val="16"/>
        </w:rPr>
        <w:t>-1</w:t>
      </w:r>
      <w:r>
        <w:rPr>
          <w:sz w:val="24"/>
        </w:rPr>
        <w:t>, dosis de carga de 1 </w:t>
      </w:r>
      <w:r>
        <w:rPr>
          <w:spacing w:val="-5"/>
          <w:sz w:val="24"/>
        </w:rPr>
        <w:t>mg </w:t>
      </w:r>
      <w:r>
        <w:rPr>
          <w:sz w:val="24"/>
        </w:rPr>
        <w:t>kg</w:t>
      </w:r>
      <w:r>
        <w:rPr>
          <w:position w:val="11"/>
          <w:sz w:val="16"/>
        </w:rPr>
        <w:t>-1 </w:t>
      </w:r>
      <w:r>
        <w:rPr>
          <w:sz w:val="24"/>
        </w:rPr>
        <w:t>de ketamina seguido de una IC de 40 µg kg</w:t>
      </w:r>
      <w:r>
        <w:rPr>
          <w:position w:val="11"/>
          <w:sz w:val="16"/>
        </w:rPr>
        <w:t>-1 </w:t>
      </w:r>
      <w:r>
        <w:rPr>
          <w:sz w:val="24"/>
        </w:rPr>
        <w:t>minuto</w:t>
      </w:r>
      <w:r>
        <w:rPr>
          <w:position w:val="11"/>
          <w:sz w:val="16"/>
        </w:rPr>
        <w:t>-1 </w:t>
      </w:r>
      <w:r>
        <w:rPr>
          <w:sz w:val="24"/>
        </w:rPr>
        <w:t>y una dosis de carga de 1 µg kg</w:t>
      </w:r>
      <w:r>
        <w:rPr>
          <w:position w:val="11"/>
          <w:sz w:val="16"/>
        </w:rPr>
        <w:t>-1  </w:t>
      </w:r>
      <w:r>
        <w:rPr>
          <w:sz w:val="24"/>
        </w:rPr>
        <w:t>de dexmedetomidina seguido de una IC de 3 µg kg</w:t>
      </w:r>
      <w:r>
        <w:rPr>
          <w:position w:val="11"/>
          <w:sz w:val="16"/>
        </w:rPr>
        <w:t>-1 </w:t>
      </w:r>
      <w:r>
        <w:rPr>
          <w:spacing w:val="9"/>
          <w:position w:val="11"/>
          <w:sz w:val="16"/>
        </w:rPr>
        <w:t> </w:t>
      </w:r>
      <w:r>
        <w:rPr>
          <w:sz w:val="24"/>
        </w:rPr>
        <w:t>hora</w:t>
      </w:r>
      <w:r>
        <w:rPr>
          <w:position w:val="11"/>
          <w:sz w:val="16"/>
        </w:rPr>
        <w:t>-</w:t>
      </w:r>
    </w:p>
    <w:p>
      <w:pPr>
        <w:spacing w:line="305" w:lineRule="exact" w:before="0"/>
        <w:ind w:left="719" w:right="70" w:firstLine="0"/>
        <w:jc w:val="left"/>
        <w:rPr>
          <w:sz w:val="24"/>
        </w:rPr>
      </w:pPr>
      <w:r>
        <w:rPr>
          <w:sz w:val="16"/>
        </w:rPr>
        <w:t>1</w:t>
      </w:r>
      <w:r>
        <w:rPr>
          <w:position w:val="-10"/>
          <w:sz w:val="24"/>
        </w:rPr>
        <w:t>.</w:t>
      </w:r>
    </w:p>
    <w:p>
      <w:pPr>
        <w:pStyle w:val="ListParagraph"/>
        <w:numPr>
          <w:ilvl w:val="2"/>
          <w:numId w:val="10"/>
        </w:numPr>
        <w:tabs>
          <w:tab w:pos="720" w:val="left" w:leader="none"/>
        </w:tabs>
        <w:spacing w:line="343" w:lineRule="auto" w:before="137" w:after="0"/>
        <w:ind w:left="719" w:right="104" w:hanging="283"/>
        <w:jc w:val="both"/>
        <w:rPr>
          <w:sz w:val="24"/>
        </w:rPr>
      </w:pPr>
      <w:r>
        <w:rPr>
          <w:b/>
          <w:sz w:val="24"/>
        </w:rPr>
        <w:t>Grupo VI CONTROL/BUT: </w:t>
      </w:r>
      <w:r>
        <w:rPr>
          <w:sz w:val="24"/>
        </w:rPr>
        <w:t>Los animales pertenecientes a este grupo recibieron una dosis de carga de 0.4 </w:t>
      </w:r>
      <w:r>
        <w:rPr>
          <w:spacing w:val="-5"/>
          <w:sz w:val="24"/>
        </w:rPr>
        <w:t>mg </w:t>
      </w:r>
      <w:r>
        <w:rPr>
          <w:sz w:val="24"/>
        </w:rPr>
        <w:t>kg</w:t>
      </w:r>
      <w:r>
        <w:rPr>
          <w:position w:val="11"/>
          <w:sz w:val="16"/>
        </w:rPr>
        <w:t>-1 </w:t>
      </w:r>
      <w:r>
        <w:rPr>
          <w:sz w:val="24"/>
        </w:rPr>
        <w:t>de butorfanol IV (Torbugesic; Fort Dodge, IA, USA) seguido de una IC de solución salina fisiológica al</w:t>
      </w:r>
      <w:r>
        <w:rPr>
          <w:spacing w:val="-23"/>
          <w:sz w:val="24"/>
        </w:rPr>
        <w:t> </w:t>
      </w:r>
      <w:r>
        <w:rPr>
          <w:sz w:val="24"/>
        </w:rPr>
        <w:t>0.9%.</w:t>
      </w:r>
    </w:p>
    <w:p>
      <w:pPr>
        <w:spacing w:after="0" w:line="343" w:lineRule="auto"/>
        <w:jc w:val="both"/>
        <w:rPr>
          <w:sz w:val="24"/>
        </w:rPr>
        <w:sectPr>
          <w:pgSz w:w="12240" w:h="15840"/>
          <w:pgMar w:header="0" w:footer="1628" w:top="1500" w:bottom="1880" w:left="1720" w:right="1420"/>
        </w:sectPr>
      </w:pPr>
    </w:p>
    <w:p>
      <w:pPr>
        <w:pStyle w:val="BodyText"/>
        <w:spacing w:before="8"/>
        <w:rPr>
          <w:sz w:val="16"/>
        </w:rPr>
      </w:pPr>
    </w:p>
    <w:p>
      <w:pPr>
        <w:pStyle w:val="BodyText"/>
        <w:spacing w:line="352" w:lineRule="auto" w:before="79"/>
        <w:ind w:left="152" w:right="101" w:firstLine="566"/>
        <w:jc w:val="both"/>
      </w:pPr>
      <w:r>
        <w:rPr/>
        <w:t>Las dosis de carga se diluyeron a un volumen final de 0.2 mL kg</w:t>
      </w:r>
      <w:r>
        <w:rPr>
          <w:position w:val="11"/>
          <w:sz w:val="16"/>
        </w:rPr>
        <w:t>-1 </w:t>
      </w:r>
      <w:r>
        <w:rPr/>
        <w:t>con solución de agua inyectable, y se administró por vía IV a una velocidad de administración que tardó 2 minutos. En todos los grupos los fármacos se diluyeron en un volumen total de 60 mL con solución salina al 0.9%, administrándose a razón de 2 ml kg</w:t>
      </w:r>
      <w:r>
        <w:rPr>
          <w:position w:val="11"/>
          <w:sz w:val="16"/>
        </w:rPr>
        <w:t>-1 </w:t>
      </w:r>
      <w:r>
        <w:rPr/>
        <w:t>hora</w:t>
      </w:r>
      <w:r>
        <w:rPr>
          <w:position w:val="11"/>
          <w:sz w:val="16"/>
        </w:rPr>
        <w:t>-1</w:t>
      </w:r>
      <w:r>
        <w:rPr/>
        <w:t>. Todas las IC empezaron inmediatamente después de la dosis de carga y se infundieron a lo largo de todo el procedimiento anestésico (Colleague 3; Baxter, IN, USA).</w:t>
      </w:r>
    </w:p>
    <w:p>
      <w:pPr>
        <w:pStyle w:val="BodyText"/>
        <w:spacing w:before="12"/>
        <w:ind w:left="719" w:right="70"/>
      </w:pPr>
      <w:r>
        <w:rPr/>
        <w:t>La cirugía comenzó 45 minutos después de iniciada la IC.</w:t>
      </w:r>
    </w:p>
    <w:p>
      <w:pPr>
        <w:pStyle w:val="BodyText"/>
      </w:pPr>
    </w:p>
    <w:p>
      <w:pPr>
        <w:pStyle w:val="BodyText"/>
        <w:spacing w:before="7"/>
      </w:pPr>
    </w:p>
    <w:p>
      <w:pPr>
        <w:pStyle w:val="Heading2"/>
        <w:numPr>
          <w:ilvl w:val="1"/>
          <w:numId w:val="23"/>
        </w:numPr>
        <w:tabs>
          <w:tab w:pos="1233" w:val="left" w:leader="none"/>
        </w:tabs>
        <w:spacing w:line="240" w:lineRule="auto" w:before="0" w:after="0"/>
        <w:ind w:left="1233" w:right="0" w:hanging="360"/>
        <w:jc w:val="left"/>
      </w:pPr>
      <w:bookmarkStart w:name="_bookmark64" w:id="103"/>
      <w:bookmarkEnd w:id="103"/>
      <w:r>
        <w:rPr>
          <w:b w:val="0"/>
        </w:rPr>
      </w:r>
      <w:bookmarkStart w:name="_bookmark64" w:id="104"/>
      <w:bookmarkEnd w:id="104"/>
      <w:r>
        <w:rPr/>
        <w:t>M</w:t>
      </w:r>
      <w:r>
        <w:rPr/>
        <w:t>onitorización y Profundidad</w:t>
      </w:r>
      <w:r>
        <w:rPr>
          <w:spacing w:val="-15"/>
        </w:rPr>
        <w:t> </w:t>
      </w:r>
      <w:r>
        <w:rPr/>
        <w:t>Anestésica</w:t>
      </w:r>
    </w:p>
    <w:p>
      <w:pPr>
        <w:pStyle w:val="BodyText"/>
        <w:spacing w:before="2"/>
        <w:rPr>
          <w:b/>
          <w:sz w:val="20"/>
        </w:rPr>
      </w:pPr>
    </w:p>
    <w:p>
      <w:pPr>
        <w:pStyle w:val="BodyText"/>
        <w:spacing w:line="360" w:lineRule="auto" w:before="1"/>
        <w:ind w:left="152" w:right="101" w:firstLine="566"/>
        <w:jc w:val="both"/>
      </w:pPr>
      <w:r>
        <w:rPr/>
        <w:t>Se monitorizaron de manera continua la concentración inspirada de ISO (F</w:t>
      </w:r>
      <w:r>
        <w:rPr>
          <w:sz w:val="16"/>
        </w:rPr>
        <w:t>I</w:t>
      </w:r>
      <w:r>
        <w:rPr/>
        <w:t>Iso), </w:t>
      </w:r>
      <w:r>
        <w:rPr>
          <w:spacing w:val="-5"/>
        </w:rPr>
        <w:t>la </w:t>
      </w:r>
      <w:r>
        <w:rPr/>
        <w:t>concentración tele-espiratoria de ISO (</w:t>
      </w:r>
      <w:r>
        <w:rPr>
          <w:u w:val="single"/>
        </w:rPr>
        <w:t>F</w:t>
      </w:r>
      <w:r>
        <w:rPr>
          <w:sz w:val="16"/>
          <w:u w:val="single"/>
        </w:rPr>
        <w:t>ET</w:t>
      </w:r>
      <w:r>
        <w:rPr>
          <w:u w:val="single"/>
        </w:rPr>
        <w:t>´Iso</w:t>
      </w:r>
      <w:r>
        <w:rPr/>
        <w:t>) y </w:t>
      </w:r>
      <w:r>
        <w:rPr>
          <w:spacing w:val="-3"/>
        </w:rPr>
        <w:t>la </w:t>
      </w:r>
      <w:r>
        <w:rPr/>
        <w:t>frecuencia respiratoria (FR) por </w:t>
      </w:r>
      <w:r>
        <w:rPr>
          <w:spacing w:val="-4"/>
        </w:rPr>
        <w:t>medio</w:t>
      </w:r>
      <w:r>
        <w:rPr>
          <w:spacing w:val="52"/>
        </w:rPr>
        <w:t> </w:t>
      </w:r>
      <w:r>
        <w:rPr/>
        <w:t>de </w:t>
      </w:r>
      <w:r>
        <w:rPr>
          <w:spacing w:val="-5"/>
        </w:rPr>
        <w:t>la </w:t>
      </w:r>
      <w:r>
        <w:rPr/>
        <w:t>colección de muestras de gas a partir de </w:t>
      </w:r>
      <w:r>
        <w:rPr>
          <w:spacing w:val="-3"/>
        </w:rPr>
        <w:t>la </w:t>
      </w:r>
      <w:r>
        <w:rPr/>
        <w:t>parte proximal del tubo endotraqueal (V9400 Capnograph Agent monitor; Surgivet, MA, USA). El analizador de gases se calibró antes del comienzo de cada estudio, utilizando una mezcla de gases estándar proveída por  el fabricante (Agent Calibration kit,</w:t>
      </w:r>
      <w:r>
        <w:rPr>
          <w:spacing w:val="-22"/>
        </w:rPr>
        <w:t> </w:t>
      </w:r>
      <w:r>
        <w:rPr/>
        <w:t>Surgivet).</w:t>
      </w:r>
    </w:p>
    <w:p>
      <w:pPr>
        <w:pStyle w:val="BodyText"/>
        <w:spacing w:line="360" w:lineRule="auto" w:before="4"/>
        <w:ind w:left="152" w:right="100" w:firstLine="566"/>
        <w:jc w:val="both"/>
      </w:pPr>
      <w:r>
        <w:rPr/>
        <w:t>La frecuencia cardiaca (FC) y ritmo se obtuvieron a partir del trazo del electrocardiógrafo (ECG) utilizando la derivada II. La presión arterial sistólica, diastólica y media (PAS, PAD y PAM respectivamente) se monitorizaron continuamente (Advisor; Surgivet) a partir de la cateterización de la arteria dorsal metatarsiana, a la cual se  le conectó una extensión con solución salina heparinizada, conectada asimismo a un transductor de presión (Becton &amp; Dickinson, USA). El punto de referencia cero  para calibrar el transductor de presión se logró al colocarlo al nivel del esternón mientras el paciente se encontraba en decúbito lateral.</w:t>
      </w:r>
    </w:p>
    <w:p>
      <w:pPr>
        <w:pStyle w:val="BodyText"/>
        <w:spacing w:line="357" w:lineRule="auto" w:before="4"/>
        <w:ind w:left="152" w:right="101" w:firstLine="566"/>
        <w:jc w:val="both"/>
      </w:pPr>
      <w:r>
        <w:rPr/>
        <w:t>La saturación de oxígeno de la oxihemoglobina detectada en el pulso (SpO</w:t>
      </w:r>
      <w:r>
        <w:rPr>
          <w:position w:val="-2"/>
          <w:sz w:val="16"/>
        </w:rPr>
        <w:t>2</w:t>
      </w:r>
      <w:r>
        <w:rPr/>
        <w:t>) se monitorizó con un sensor convencional el cual fue colocado a nivel de la arteria sublingual (Advisor, Surgivet). La temperatura rectal (TR) se midió por medio de un termómetro digital. Las muestras de sangre arterial se colectaron para su análisis a los 10, 20 y 30 minutos durante el procedimiento quirúrgico y a los 10 minutos después de retirar el tubo endotraqueal (POST).</w:t>
      </w:r>
    </w:p>
    <w:p>
      <w:pPr>
        <w:spacing w:after="0" w:line="357"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105" w:firstLine="566"/>
        <w:jc w:val="both"/>
      </w:pPr>
      <w:r>
        <w:rPr/>
        <w:t>Los datos se recabaron inmediatamente al comienzo de </w:t>
      </w:r>
      <w:r>
        <w:rPr>
          <w:spacing w:val="-5"/>
        </w:rPr>
        <w:t>la </w:t>
      </w:r>
      <w:r>
        <w:rPr/>
        <w:t>incisión de piel (T0, basal), inmediatamente después de </w:t>
      </w:r>
      <w:r>
        <w:rPr>
          <w:spacing w:val="-3"/>
        </w:rPr>
        <w:t>la </w:t>
      </w:r>
      <w:r>
        <w:rPr/>
        <w:t>celiotomía (T1), durante </w:t>
      </w:r>
      <w:r>
        <w:rPr>
          <w:spacing w:val="-5"/>
        </w:rPr>
        <w:t>la </w:t>
      </w:r>
      <w:r>
        <w:rPr/>
        <w:t>tracción y ligadura (justo antes de </w:t>
      </w:r>
      <w:r>
        <w:rPr>
          <w:spacing w:val="-3"/>
        </w:rPr>
        <w:t>la </w:t>
      </w:r>
      <w:r>
        <w:rPr/>
        <w:t>excisión) del ovario izquierdo (T2) y ovario derecho (T3), al tiempo del enclampamiento del útero para </w:t>
      </w:r>
      <w:r>
        <w:rPr>
          <w:spacing w:val="-5"/>
        </w:rPr>
        <w:t>la </w:t>
      </w:r>
      <w:r>
        <w:rPr/>
        <w:t>realización de </w:t>
      </w:r>
      <w:r>
        <w:rPr>
          <w:spacing w:val="-3"/>
        </w:rPr>
        <w:t>la </w:t>
      </w:r>
      <w:r>
        <w:rPr/>
        <w:t>histerectomía (T4), al momento del cierre de </w:t>
      </w:r>
      <w:r>
        <w:rPr>
          <w:spacing w:val="-3"/>
        </w:rPr>
        <w:t>la </w:t>
      </w:r>
      <w:r>
        <w:rPr/>
        <w:t>pared abdominal (T5), durante el cierre del tejido subcutáneo (T6) y al punto </w:t>
      </w:r>
      <w:r>
        <w:rPr>
          <w:spacing w:val="-4"/>
        </w:rPr>
        <w:t>medio </w:t>
      </w:r>
      <w:r>
        <w:rPr/>
        <w:t>del cierre de </w:t>
      </w:r>
      <w:r>
        <w:rPr>
          <w:spacing w:val="-3"/>
        </w:rPr>
        <w:t>la </w:t>
      </w:r>
      <w:r>
        <w:rPr/>
        <w:t>piel</w:t>
      </w:r>
      <w:r>
        <w:rPr>
          <w:spacing w:val="2"/>
        </w:rPr>
        <w:t> </w:t>
      </w:r>
      <w:r>
        <w:rPr/>
        <w:t>(T7).</w:t>
      </w:r>
    </w:p>
    <w:p>
      <w:pPr>
        <w:pStyle w:val="BodyText"/>
        <w:spacing w:line="360" w:lineRule="auto" w:before="4"/>
        <w:ind w:left="152" w:right="106" w:firstLine="566"/>
        <w:jc w:val="both"/>
      </w:pPr>
      <w:r>
        <w:rPr/>
        <w:t>El nivel de profundidad anestésica se evaluó por medio de la ausencia del reflejo palpebral, la falta de tono en la mandíbula y PAM entre 60 y 90 mmHg. Se permitieron valores altos de la PAM si el reflejo palpebral y el tono de la mandíbula se encontraban ausentes sin respuesta al estímulo quirúrgico.</w:t>
      </w:r>
    </w:p>
    <w:p>
      <w:pPr>
        <w:pStyle w:val="BodyText"/>
        <w:spacing w:line="360" w:lineRule="auto" w:before="4"/>
        <w:ind w:left="152" w:right="108" w:firstLine="566"/>
        <w:jc w:val="both"/>
      </w:pPr>
      <w:r>
        <w:rPr/>
        <w:t>El vaporizador se ajustó en función a los signos clínicos antes mencionados y a </w:t>
      </w:r>
      <w:r>
        <w:rPr>
          <w:spacing w:val="-3"/>
        </w:rPr>
        <w:t>las </w:t>
      </w:r>
      <w:r>
        <w:rPr/>
        <w:t>respuestas autonómicas resultantes del estímulo quirúrgico. Si </w:t>
      </w:r>
      <w:r>
        <w:rPr>
          <w:spacing w:val="-3"/>
        </w:rPr>
        <w:t>la </w:t>
      </w:r>
      <w:r>
        <w:rPr/>
        <w:t>PAM o </w:t>
      </w:r>
      <w:r>
        <w:rPr>
          <w:spacing w:val="-5"/>
        </w:rPr>
        <w:t>la </w:t>
      </w:r>
      <w:r>
        <w:rPr/>
        <w:t>FC subían más de un 20% sobre los valores basales en algún momento determinado de </w:t>
      </w:r>
      <w:r>
        <w:rPr>
          <w:spacing w:val="-5"/>
        </w:rPr>
        <w:t>la </w:t>
      </w:r>
      <w:r>
        <w:rPr/>
        <w:t>cirugía, entonces el procedimiento quirúrgico se detenía y </w:t>
      </w:r>
      <w:r>
        <w:rPr>
          <w:spacing w:val="-3"/>
        </w:rPr>
        <w:t>la </w:t>
      </w:r>
      <w:r>
        <w:rPr/>
        <w:t>concentración de ISO se incrementaba. De manera contraria, si </w:t>
      </w:r>
      <w:r>
        <w:rPr>
          <w:spacing w:val="-3"/>
        </w:rPr>
        <w:t>la </w:t>
      </w:r>
      <w:r>
        <w:rPr/>
        <w:t>PAM o FC disminuía por </w:t>
      </w:r>
      <w:r>
        <w:rPr>
          <w:spacing w:val="-3"/>
        </w:rPr>
        <w:t>debajo </w:t>
      </w:r>
      <w:r>
        <w:rPr/>
        <w:t>del 20% de los valores basales,   </w:t>
      </w:r>
      <w:r>
        <w:rPr>
          <w:spacing w:val="53"/>
        </w:rPr>
        <w:t> </w:t>
      </w:r>
      <w:r>
        <w:rPr>
          <w:spacing w:val="-5"/>
        </w:rPr>
        <w:t>la</w:t>
      </w:r>
    </w:p>
    <w:p>
      <w:pPr>
        <w:pStyle w:val="BodyText"/>
        <w:spacing w:line="328" w:lineRule="auto" w:before="8"/>
        <w:ind w:left="152" w:right="173"/>
      </w:pPr>
      <w:r>
        <w:rPr/>
        <w:t>concentración de ISO se reducía. Cuando </w:t>
      </w:r>
      <w:r>
        <w:rPr>
          <w:spacing w:val="-5"/>
        </w:rPr>
        <w:t>la </w:t>
      </w:r>
      <w:r>
        <w:rPr/>
        <w:t>PAM se encontraba por </w:t>
      </w:r>
      <w:r>
        <w:rPr>
          <w:spacing w:val="-3"/>
        </w:rPr>
        <w:t>debajo </w:t>
      </w:r>
      <w:r>
        <w:rPr/>
        <w:t>de 60 mmHg,  se administró 5 </w:t>
      </w:r>
      <w:r>
        <w:rPr>
          <w:spacing w:val="-5"/>
        </w:rPr>
        <w:t>mL </w:t>
      </w:r>
      <w:r>
        <w:rPr/>
        <w:t>kg</w:t>
      </w:r>
      <w:r>
        <w:rPr>
          <w:position w:val="11"/>
          <w:sz w:val="16"/>
        </w:rPr>
        <w:t>-1  </w:t>
      </w:r>
      <w:r>
        <w:rPr/>
        <w:t>de solución salina fisiológica al 0.9% durante 15</w:t>
      </w:r>
      <w:r>
        <w:rPr>
          <w:spacing w:val="-32"/>
        </w:rPr>
        <w:t> </w:t>
      </w:r>
      <w:r>
        <w:rPr/>
        <w:t>minutos.</w:t>
      </w:r>
    </w:p>
    <w:p>
      <w:pPr>
        <w:pStyle w:val="BodyText"/>
        <w:spacing w:line="360" w:lineRule="auto" w:before="24"/>
        <w:ind w:left="152" w:right="98" w:firstLine="566"/>
        <w:jc w:val="both"/>
      </w:pPr>
      <w:r>
        <w:rPr/>
        <w:t>Se registró el tiempo quirúrgico (tiempo desde </w:t>
      </w:r>
      <w:r>
        <w:rPr>
          <w:spacing w:val="-5"/>
        </w:rPr>
        <w:t>la </w:t>
      </w:r>
      <w:r>
        <w:rPr/>
        <w:t>primera incisión hasta </w:t>
      </w:r>
      <w:r>
        <w:rPr>
          <w:spacing w:val="-5"/>
        </w:rPr>
        <w:t>la </w:t>
      </w:r>
      <w:r>
        <w:rPr/>
        <w:t>colocación del último punto de sutura), tiempo de anestesia (tiempo desde </w:t>
      </w:r>
      <w:r>
        <w:rPr>
          <w:spacing w:val="-3"/>
        </w:rPr>
        <w:t>la </w:t>
      </w:r>
      <w:r>
        <w:rPr/>
        <w:t>administración de propofol hasta el cierre del vaporizador) y el tiempo de extubación (tiempo desde el cierre del vaporizador hasta el retiro del tubo endotraqueal). Los perros fueron desconectados del circuito de reinhalación de </w:t>
      </w:r>
      <w:r>
        <w:rPr>
          <w:spacing w:val="-3"/>
        </w:rPr>
        <w:t>la </w:t>
      </w:r>
      <w:r>
        <w:rPr/>
        <w:t>máquina de anestesia al momento de </w:t>
      </w:r>
      <w:r>
        <w:rPr>
          <w:spacing w:val="-3"/>
        </w:rPr>
        <w:t>la </w:t>
      </w:r>
      <w:r>
        <w:rPr/>
        <w:t>extubación. Se registraron también los tiempos necesarios para: el primer movimiento de levantamiento de cabeza, para completar el decúbito esternal y el tiempo para levantarse en  cuadripedestacion (tiempo transcurrido desde el cierre del vaporizador hasta </w:t>
      </w:r>
      <w:r>
        <w:rPr>
          <w:spacing w:val="-5"/>
        </w:rPr>
        <w:t>la </w:t>
      </w:r>
      <w:r>
        <w:rPr/>
        <w:t>cuadripedestación, definida como </w:t>
      </w:r>
      <w:r>
        <w:rPr>
          <w:spacing w:val="-5"/>
        </w:rPr>
        <w:t>la </w:t>
      </w:r>
      <w:r>
        <w:rPr/>
        <w:t>habilidad de mantenerse de pie por </w:t>
      </w:r>
      <w:r>
        <w:rPr>
          <w:spacing w:val="-5"/>
        </w:rPr>
        <w:t>lo </w:t>
      </w:r>
      <w:r>
        <w:rPr/>
        <w:t>menos durante  10 segundos sin asistencia). La extubación se realizó una vez que el deglutorio o de tos fueron</w:t>
      </w:r>
      <w:r>
        <w:rPr>
          <w:spacing w:val="-11"/>
        </w:rPr>
        <w:t> </w:t>
      </w:r>
      <w:r>
        <w:rPr/>
        <w:t>evidentes.</w:t>
      </w:r>
    </w:p>
    <w:p>
      <w:pPr>
        <w:spacing w:after="0" w:line="360" w:lineRule="auto"/>
        <w:jc w:val="both"/>
        <w:sectPr>
          <w:pgSz w:w="12240" w:h="15840"/>
          <w:pgMar w:header="0" w:footer="1628" w:top="1500" w:bottom="1880" w:left="1720" w:right="1420"/>
        </w:sectPr>
      </w:pPr>
    </w:p>
    <w:p>
      <w:pPr>
        <w:pStyle w:val="BodyText"/>
        <w:spacing w:before="1"/>
        <w:rPr>
          <w:sz w:val="21"/>
        </w:rPr>
      </w:pPr>
    </w:p>
    <w:p>
      <w:pPr>
        <w:pStyle w:val="Heading2"/>
        <w:numPr>
          <w:ilvl w:val="1"/>
          <w:numId w:val="23"/>
        </w:numPr>
        <w:tabs>
          <w:tab w:pos="1238" w:val="left" w:leader="none"/>
        </w:tabs>
        <w:spacing w:line="240" w:lineRule="auto" w:before="69" w:after="0"/>
        <w:ind w:left="1237" w:right="0" w:hanging="364"/>
        <w:jc w:val="left"/>
      </w:pPr>
      <w:bookmarkStart w:name="_bookmark65" w:id="105"/>
      <w:bookmarkEnd w:id="105"/>
      <w:r>
        <w:rPr>
          <w:b w:val="0"/>
        </w:rPr>
      </w:r>
      <w:bookmarkStart w:name="_bookmark65" w:id="106"/>
      <w:bookmarkEnd w:id="106"/>
      <w:r>
        <w:rPr/>
        <w:t>I</w:t>
      </w:r>
      <w:r>
        <w:rPr/>
        <w:t>nfusión constante</w:t>
      </w:r>
      <w:r>
        <w:rPr>
          <w:spacing w:val="-28"/>
        </w:rPr>
        <w:t> </w:t>
      </w:r>
      <w:r>
        <w:rPr/>
        <w:t>postquirúrgica</w:t>
      </w:r>
    </w:p>
    <w:p>
      <w:pPr>
        <w:pStyle w:val="BodyText"/>
        <w:spacing w:before="3"/>
        <w:rPr>
          <w:b/>
          <w:sz w:val="20"/>
        </w:rPr>
      </w:pPr>
    </w:p>
    <w:p>
      <w:pPr>
        <w:pStyle w:val="BodyText"/>
        <w:spacing w:line="362" w:lineRule="auto"/>
        <w:ind w:left="152" w:right="118" w:firstLine="566"/>
        <w:jc w:val="both"/>
      </w:pPr>
      <w:r>
        <w:rPr/>
        <w:t>Al finalizar la cirugía, se redujeron las dosis de la IC de los fármacos por un período de 4 horas como sigue:</w:t>
      </w:r>
    </w:p>
    <w:p>
      <w:pPr>
        <w:pStyle w:val="ListParagraph"/>
        <w:numPr>
          <w:ilvl w:val="2"/>
          <w:numId w:val="10"/>
        </w:numPr>
        <w:tabs>
          <w:tab w:pos="720" w:val="left" w:leader="none"/>
        </w:tabs>
        <w:spacing w:line="277" w:lineRule="exact" w:before="0" w:after="0"/>
        <w:ind w:left="719" w:right="0" w:hanging="283"/>
        <w:jc w:val="left"/>
        <w:rPr>
          <w:sz w:val="24"/>
        </w:rPr>
      </w:pPr>
      <w:r>
        <w:rPr>
          <w:b/>
          <w:sz w:val="24"/>
        </w:rPr>
        <w:t>Grupo I FENT: </w:t>
      </w:r>
      <w:r>
        <w:rPr>
          <w:sz w:val="24"/>
        </w:rPr>
        <w:t>Fentanilo en (IC) a una dosis de 2.5 µg kg</w:t>
      </w:r>
      <w:r>
        <w:rPr>
          <w:position w:val="11"/>
          <w:sz w:val="16"/>
        </w:rPr>
        <w:t>-1 </w:t>
      </w:r>
      <w:r>
        <w:rPr>
          <w:sz w:val="24"/>
        </w:rPr>
        <w:t>hora</w:t>
      </w:r>
      <w:r>
        <w:rPr>
          <w:position w:val="11"/>
          <w:sz w:val="16"/>
        </w:rPr>
        <w:t>-1</w:t>
      </w:r>
      <w:r>
        <w:rPr>
          <w:sz w:val="24"/>
        </w:rPr>
        <w:t>.</w:t>
      </w:r>
    </w:p>
    <w:p>
      <w:pPr>
        <w:pStyle w:val="BodyText"/>
        <w:rPr>
          <w:sz w:val="28"/>
        </w:rPr>
      </w:pPr>
    </w:p>
    <w:p>
      <w:pPr>
        <w:pStyle w:val="ListParagraph"/>
        <w:numPr>
          <w:ilvl w:val="2"/>
          <w:numId w:val="10"/>
        </w:numPr>
        <w:tabs>
          <w:tab w:pos="720" w:val="left" w:leader="none"/>
        </w:tabs>
        <w:spacing w:line="240" w:lineRule="auto" w:before="192" w:after="0"/>
        <w:ind w:left="719" w:right="0" w:hanging="283"/>
        <w:jc w:val="left"/>
        <w:rPr>
          <w:sz w:val="24"/>
        </w:rPr>
      </w:pPr>
      <w:r>
        <w:rPr>
          <w:b/>
          <w:sz w:val="24"/>
        </w:rPr>
        <w:t>Grupo II KET</w:t>
      </w:r>
      <w:r>
        <w:rPr>
          <w:sz w:val="24"/>
        </w:rPr>
        <w:t>: Ketamina en IC a una dosis de 10 µg kg</w:t>
      </w:r>
      <w:r>
        <w:rPr>
          <w:position w:val="11"/>
          <w:sz w:val="16"/>
        </w:rPr>
        <w:t>-1 </w:t>
      </w:r>
      <w:r>
        <w:rPr>
          <w:sz w:val="24"/>
        </w:rPr>
        <w:t>minuto</w:t>
      </w:r>
      <w:r>
        <w:rPr>
          <w:position w:val="11"/>
          <w:sz w:val="16"/>
        </w:rPr>
        <w:t>-1</w:t>
      </w:r>
      <w:r>
        <w:rPr>
          <w:sz w:val="24"/>
        </w:rPr>
        <w:t>.</w:t>
      </w:r>
    </w:p>
    <w:p>
      <w:pPr>
        <w:pStyle w:val="BodyText"/>
        <w:rPr>
          <w:sz w:val="28"/>
        </w:rPr>
      </w:pPr>
    </w:p>
    <w:p>
      <w:pPr>
        <w:pStyle w:val="ListParagraph"/>
        <w:numPr>
          <w:ilvl w:val="2"/>
          <w:numId w:val="10"/>
        </w:numPr>
        <w:tabs>
          <w:tab w:pos="720" w:val="left" w:leader="none"/>
        </w:tabs>
        <w:spacing w:line="240" w:lineRule="auto" w:before="197" w:after="0"/>
        <w:ind w:left="719" w:right="0" w:hanging="283"/>
        <w:jc w:val="left"/>
        <w:rPr>
          <w:sz w:val="24"/>
        </w:rPr>
      </w:pPr>
      <w:r>
        <w:rPr>
          <w:b/>
          <w:sz w:val="24"/>
        </w:rPr>
        <w:t>Grupo III LIDO: </w:t>
      </w:r>
      <w:r>
        <w:rPr>
          <w:sz w:val="24"/>
        </w:rPr>
        <w:t>Lidocaina en IC a una dosis de 25 µg kg</w:t>
      </w:r>
      <w:r>
        <w:rPr>
          <w:position w:val="11"/>
          <w:sz w:val="16"/>
        </w:rPr>
        <w:t>-1</w:t>
      </w:r>
      <w:r>
        <w:rPr>
          <w:spacing w:val="4"/>
          <w:position w:val="11"/>
          <w:sz w:val="16"/>
        </w:rPr>
        <w:t> </w:t>
      </w:r>
      <w:r>
        <w:rPr>
          <w:sz w:val="24"/>
        </w:rPr>
        <w:t>minuto</w:t>
      </w:r>
      <w:r>
        <w:rPr>
          <w:position w:val="11"/>
          <w:sz w:val="16"/>
        </w:rPr>
        <w:t>-1</w:t>
      </w:r>
      <w:r>
        <w:rPr>
          <w:sz w:val="24"/>
        </w:rPr>
        <w:t>.</w:t>
      </w:r>
    </w:p>
    <w:p>
      <w:pPr>
        <w:pStyle w:val="BodyText"/>
        <w:rPr>
          <w:sz w:val="28"/>
        </w:rPr>
      </w:pPr>
    </w:p>
    <w:p>
      <w:pPr>
        <w:pStyle w:val="ListParagraph"/>
        <w:numPr>
          <w:ilvl w:val="2"/>
          <w:numId w:val="10"/>
        </w:numPr>
        <w:tabs>
          <w:tab w:pos="720" w:val="left" w:leader="none"/>
        </w:tabs>
        <w:spacing w:line="240" w:lineRule="auto" w:before="192" w:after="0"/>
        <w:ind w:left="719" w:right="0" w:hanging="283"/>
        <w:jc w:val="left"/>
        <w:rPr>
          <w:sz w:val="24"/>
        </w:rPr>
      </w:pPr>
      <w:r>
        <w:rPr>
          <w:b/>
          <w:sz w:val="24"/>
        </w:rPr>
        <w:t>Grupo IV DEX: </w:t>
      </w:r>
      <w:r>
        <w:rPr>
          <w:sz w:val="24"/>
        </w:rPr>
        <w:t>Dexmedetomidina en IC a una dosis de 1 µg kg</w:t>
      </w:r>
      <w:r>
        <w:rPr>
          <w:position w:val="11"/>
          <w:sz w:val="16"/>
        </w:rPr>
        <w:t>-1</w:t>
      </w:r>
      <w:r>
        <w:rPr>
          <w:spacing w:val="1"/>
          <w:position w:val="11"/>
          <w:sz w:val="16"/>
        </w:rPr>
        <w:t> </w:t>
      </w:r>
      <w:r>
        <w:rPr>
          <w:sz w:val="24"/>
        </w:rPr>
        <w:t>hora</w:t>
      </w:r>
      <w:r>
        <w:rPr>
          <w:position w:val="11"/>
          <w:sz w:val="16"/>
        </w:rPr>
        <w:t>-1</w:t>
      </w:r>
      <w:r>
        <w:rPr>
          <w:sz w:val="24"/>
        </w:rPr>
        <w:t>.</w:t>
      </w:r>
    </w:p>
    <w:p>
      <w:pPr>
        <w:pStyle w:val="BodyText"/>
        <w:rPr>
          <w:sz w:val="28"/>
        </w:rPr>
      </w:pPr>
    </w:p>
    <w:p>
      <w:pPr>
        <w:pStyle w:val="ListParagraph"/>
        <w:numPr>
          <w:ilvl w:val="2"/>
          <w:numId w:val="10"/>
        </w:numPr>
        <w:tabs>
          <w:tab w:pos="720" w:val="left" w:leader="none"/>
        </w:tabs>
        <w:spacing w:line="328" w:lineRule="auto" w:before="197" w:after="0"/>
        <w:ind w:left="719" w:right="331" w:hanging="283"/>
        <w:jc w:val="left"/>
        <w:rPr>
          <w:sz w:val="24"/>
        </w:rPr>
      </w:pPr>
      <w:r>
        <w:rPr>
          <w:b/>
          <w:sz w:val="24"/>
        </w:rPr>
        <w:t>Grupo V LKD</w:t>
      </w:r>
      <w:r>
        <w:rPr>
          <w:sz w:val="24"/>
        </w:rPr>
        <w:t>: Lidocaina en IC de 25 µg kg</w:t>
      </w:r>
      <w:r>
        <w:rPr>
          <w:position w:val="11"/>
          <w:sz w:val="16"/>
        </w:rPr>
        <w:t>-1 </w:t>
      </w:r>
      <w:r>
        <w:rPr>
          <w:sz w:val="24"/>
        </w:rPr>
        <w:t>minuto-1 (LIDO), Ketamina en IC a una dosis de 10 µg kg</w:t>
      </w:r>
      <w:r>
        <w:rPr>
          <w:position w:val="11"/>
          <w:sz w:val="16"/>
        </w:rPr>
        <w:t>-1  </w:t>
      </w:r>
      <w:r>
        <w:rPr>
          <w:sz w:val="24"/>
        </w:rPr>
        <w:t>minuto</w:t>
      </w:r>
      <w:r>
        <w:rPr>
          <w:position w:val="11"/>
          <w:sz w:val="16"/>
        </w:rPr>
        <w:t>-1 </w:t>
      </w:r>
      <w:r>
        <w:rPr>
          <w:sz w:val="24"/>
        </w:rPr>
        <w:t>en IC a una dosis de 1 µg kg</w:t>
      </w:r>
      <w:r>
        <w:rPr>
          <w:position w:val="11"/>
          <w:sz w:val="16"/>
        </w:rPr>
        <w:t>-1</w:t>
      </w:r>
      <w:r>
        <w:rPr>
          <w:spacing w:val="-1"/>
          <w:position w:val="11"/>
          <w:sz w:val="16"/>
        </w:rPr>
        <w:t> </w:t>
      </w:r>
      <w:r>
        <w:rPr>
          <w:sz w:val="24"/>
        </w:rPr>
        <w:t>hora</w:t>
      </w:r>
      <w:r>
        <w:rPr>
          <w:position w:val="11"/>
          <w:sz w:val="16"/>
        </w:rPr>
        <w:t>-1</w:t>
      </w:r>
      <w:r>
        <w:rPr>
          <w:sz w:val="24"/>
        </w:rPr>
        <w:t>.</w:t>
      </w:r>
    </w:p>
    <w:p>
      <w:pPr>
        <w:pStyle w:val="BodyText"/>
        <w:spacing w:before="4"/>
        <w:rPr>
          <w:sz w:val="35"/>
        </w:rPr>
      </w:pPr>
    </w:p>
    <w:p>
      <w:pPr>
        <w:pStyle w:val="ListParagraph"/>
        <w:numPr>
          <w:ilvl w:val="2"/>
          <w:numId w:val="10"/>
        </w:numPr>
        <w:tabs>
          <w:tab w:pos="720" w:val="left" w:leader="none"/>
        </w:tabs>
        <w:spacing w:line="240" w:lineRule="auto" w:before="0" w:after="0"/>
        <w:ind w:left="719" w:right="0" w:hanging="283"/>
        <w:jc w:val="left"/>
        <w:rPr>
          <w:sz w:val="24"/>
        </w:rPr>
      </w:pPr>
      <w:r>
        <w:rPr>
          <w:b/>
          <w:sz w:val="24"/>
        </w:rPr>
        <w:t>Grupo VI CONTROL/BUT: </w:t>
      </w:r>
      <w:r>
        <w:rPr>
          <w:sz w:val="24"/>
        </w:rPr>
        <w:t>Solución salina al 0.9% en IC a 2 </w:t>
      </w:r>
      <w:r>
        <w:rPr>
          <w:spacing w:val="-3"/>
          <w:sz w:val="24"/>
        </w:rPr>
        <w:t>ml </w:t>
      </w:r>
      <w:r>
        <w:rPr>
          <w:sz w:val="24"/>
        </w:rPr>
        <w:t>kg</w:t>
      </w:r>
      <w:r>
        <w:rPr>
          <w:position w:val="11"/>
          <w:sz w:val="16"/>
        </w:rPr>
        <w:t>-1</w:t>
      </w:r>
      <w:r>
        <w:rPr>
          <w:spacing w:val="9"/>
          <w:position w:val="11"/>
          <w:sz w:val="16"/>
        </w:rPr>
        <w:t> </w:t>
      </w:r>
      <w:r>
        <w:rPr>
          <w:sz w:val="24"/>
        </w:rPr>
        <w:t>hora</w:t>
      </w:r>
      <w:r>
        <w:rPr>
          <w:position w:val="11"/>
          <w:sz w:val="16"/>
        </w:rPr>
        <w:t>-1</w:t>
      </w:r>
      <w:r>
        <w:rPr>
          <w:sz w:val="24"/>
        </w:rPr>
        <w:t>.</w:t>
      </w:r>
    </w:p>
    <w:p>
      <w:pPr>
        <w:pStyle w:val="BodyText"/>
        <w:rPr>
          <w:sz w:val="28"/>
        </w:rPr>
      </w:pPr>
    </w:p>
    <w:p>
      <w:pPr>
        <w:pStyle w:val="BodyText"/>
        <w:spacing w:before="11"/>
        <w:rPr>
          <w:sz w:val="28"/>
        </w:rPr>
      </w:pPr>
    </w:p>
    <w:p>
      <w:pPr>
        <w:pStyle w:val="Heading2"/>
        <w:numPr>
          <w:ilvl w:val="1"/>
          <w:numId w:val="23"/>
        </w:numPr>
        <w:tabs>
          <w:tab w:pos="1238" w:val="left" w:leader="none"/>
        </w:tabs>
        <w:spacing w:line="240" w:lineRule="auto" w:before="0" w:after="0"/>
        <w:ind w:left="1237" w:right="0" w:hanging="364"/>
        <w:jc w:val="left"/>
      </w:pPr>
      <w:bookmarkStart w:name="_bookmark66" w:id="107"/>
      <w:bookmarkEnd w:id="107"/>
      <w:r>
        <w:rPr>
          <w:b w:val="0"/>
        </w:rPr>
      </w:r>
      <w:bookmarkStart w:name="_bookmark66" w:id="108"/>
      <w:bookmarkEnd w:id="108"/>
      <w:r>
        <w:rPr/>
        <w:t>E</w:t>
      </w:r>
      <w:r>
        <w:rPr/>
        <w:t>valuación de </w:t>
      </w:r>
      <w:r>
        <w:rPr>
          <w:spacing w:val="-3"/>
        </w:rPr>
        <w:t>la </w:t>
      </w:r>
      <w:r>
        <w:rPr/>
        <w:t>sedación y del dolor</w:t>
      </w:r>
      <w:r>
        <w:rPr>
          <w:spacing w:val="-18"/>
        </w:rPr>
        <w:t> </w:t>
      </w:r>
      <w:r>
        <w:rPr/>
        <w:t>postquirúrgico</w:t>
      </w:r>
    </w:p>
    <w:p>
      <w:pPr>
        <w:pStyle w:val="BodyText"/>
        <w:spacing w:before="8"/>
        <w:rPr>
          <w:b/>
          <w:sz w:val="20"/>
        </w:rPr>
      </w:pPr>
    </w:p>
    <w:p>
      <w:pPr>
        <w:pStyle w:val="BodyText"/>
        <w:spacing w:line="360" w:lineRule="auto"/>
        <w:ind w:left="152" w:right="107" w:firstLine="566"/>
        <w:jc w:val="both"/>
      </w:pPr>
      <w:r>
        <w:rPr/>
        <w:t>Los perros fueron admitidos a las instalaciones de los hospitales 16 a 18 horas antes de </w:t>
      </w:r>
      <w:r>
        <w:rPr>
          <w:spacing w:val="-5"/>
        </w:rPr>
        <w:t>la </w:t>
      </w:r>
      <w:r>
        <w:rPr/>
        <w:t>cirugía, permitiéndoseles interactuar con el observador por al menos durante una hora, en un ambiente tranquilo. </w:t>
      </w:r>
      <w:r>
        <w:rPr>
          <w:spacing w:val="3"/>
        </w:rPr>
        <w:t>El </w:t>
      </w:r>
      <w:r>
        <w:rPr/>
        <w:t>grado de sedación y dolor </w:t>
      </w:r>
      <w:r>
        <w:rPr>
          <w:spacing w:val="-3"/>
        </w:rPr>
        <w:t>fue </w:t>
      </w:r>
      <w:r>
        <w:rPr/>
        <w:t>evaluado aproximadamente 90 minutos previos a </w:t>
      </w:r>
      <w:r>
        <w:rPr>
          <w:spacing w:val="-5"/>
        </w:rPr>
        <w:t>la </w:t>
      </w:r>
      <w:r>
        <w:rPr/>
        <w:t>inducción de </w:t>
      </w:r>
      <w:r>
        <w:rPr>
          <w:spacing w:val="-3"/>
        </w:rPr>
        <w:t>la </w:t>
      </w:r>
      <w:r>
        <w:rPr/>
        <w:t>anestesia (Tiempo 0), y a las 1, 2, 3, 4, 5, </w:t>
      </w:r>
      <w:r>
        <w:rPr>
          <w:spacing w:val="-3"/>
        </w:rPr>
        <w:t>6, </w:t>
      </w:r>
      <w:r>
        <w:rPr/>
        <w:t>7, 8, </w:t>
      </w:r>
      <w:r>
        <w:rPr>
          <w:spacing w:val="-3"/>
        </w:rPr>
        <w:t>9,  </w:t>
      </w:r>
      <w:r>
        <w:rPr/>
        <w:t>10,</w:t>
      </w:r>
    </w:p>
    <w:p>
      <w:pPr>
        <w:pStyle w:val="BodyText"/>
        <w:spacing w:line="360" w:lineRule="auto" w:before="4"/>
        <w:ind w:left="152" w:right="70"/>
      </w:pPr>
      <w:r>
        <w:rPr/>
        <w:t>11, 12, 16, 18, 20, 22 y 24 horas posteriores al procedimiento quirúrgico por el observador, que no tuvo conocimiento de los tratamientos administrados.</w:t>
      </w:r>
    </w:p>
    <w:p>
      <w:pPr>
        <w:pStyle w:val="BodyText"/>
        <w:spacing w:line="362" w:lineRule="auto" w:before="4"/>
        <w:ind w:left="152" w:right="115" w:firstLine="566"/>
        <w:jc w:val="both"/>
      </w:pPr>
      <w:r>
        <w:rPr/>
        <w:t>El dolor postquirúrgico se evaluó utilizando tres distintas escalas de dolor: la escala compuesta para la evaluación del dolor de Glasgow (GCPS, forma corta), la escala de dolor de la Universidad de Melbourne (UMPS) y la escala de posicionamiento numérico (NRS).</w:t>
      </w:r>
    </w:p>
    <w:p>
      <w:pPr>
        <w:pStyle w:val="BodyText"/>
        <w:spacing w:line="360" w:lineRule="auto" w:before="1"/>
        <w:ind w:left="152" w:right="108" w:firstLine="566"/>
        <w:jc w:val="both"/>
      </w:pPr>
      <w:r>
        <w:rPr/>
        <w:t>La forma corta de GCPS incluye 30 opciones dentro de seis categorías de comportamiento. Dentro de cada categoría las opciones están ordenadas numéricamente  de</w:t>
      </w:r>
    </w:p>
    <w:p>
      <w:pPr>
        <w:spacing w:after="0" w:line="360" w:lineRule="auto"/>
        <w:jc w:val="both"/>
        <w:sectPr>
          <w:pgSz w:w="12240" w:h="15840"/>
          <w:pgMar w:header="0" w:footer="1628" w:top="1500" w:bottom="1880" w:left="1720" w:right="1420"/>
        </w:sectPr>
      </w:pPr>
    </w:p>
    <w:p>
      <w:pPr>
        <w:pStyle w:val="BodyText"/>
        <w:spacing w:before="7"/>
        <w:rPr>
          <w:sz w:val="20"/>
        </w:rPr>
      </w:pPr>
    </w:p>
    <w:p>
      <w:pPr>
        <w:pStyle w:val="BodyText"/>
        <w:spacing w:line="360" w:lineRule="auto" w:before="69"/>
        <w:ind w:left="152" w:right="105"/>
        <w:jc w:val="both"/>
      </w:pPr>
      <w:r>
        <w:rPr/>
        <w:t>acuerdo con el dolor asociado. La máxima puntuación de dolor a alcanzar es de 24. Para la evaluación del dolor el observador apuntaba la opción que se ajustaba a la conducta del perro, dentro de cada categoría, en el momento de la evaluación. Se efectuó asimismo la palpación de la herida quirúrgica, registrándose los cambios de postura y movimiento.</w:t>
      </w:r>
    </w:p>
    <w:p>
      <w:pPr>
        <w:pStyle w:val="BodyText"/>
        <w:spacing w:line="360" w:lineRule="auto" w:before="4"/>
        <w:ind w:left="152" w:right="107" w:firstLine="566"/>
        <w:jc w:val="both"/>
      </w:pPr>
      <w:r>
        <w:rPr/>
        <w:t>La UMPS incluye múltiples opciones en seis categorías de datos o conductas asociadas a la respuesta al dolor. Estas categorías incluyen datos fisiológicos, respuesta a la palpación de la herida, actividad, estado mental, postura y vocalización. La máxima calificación a alcanzar es de 27 puntos (Firth &amp; Haldane 1999).</w:t>
      </w:r>
    </w:p>
    <w:p>
      <w:pPr>
        <w:pStyle w:val="BodyText"/>
        <w:spacing w:line="360" w:lineRule="auto" w:before="4"/>
        <w:ind w:left="152" w:right="100" w:firstLine="566"/>
        <w:jc w:val="both"/>
      </w:pPr>
      <w:r>
        <w:rPr/>
        <w:t>La NRS se derivó del uso de líneas de 100 mm que fueron divididas entre 10 y numeradas de manera consecutiva (Mathews et al. 2013). La ausencia total de dolor se calificó como “0” y el dolor máximo como “10”. El observador asignó un número entre 0 y 10 de acuerdo con al grado de dolor percibido.</w:t>
      </w:r>
    </w:p>
    <w:p>
      <w:pPr>
        <w:pStyle w:val="BodyText"/>
        <w:spacing w:line="360" w:lineRule="auto" w:before="4"/>
        <w:ind w:left="152" w:right="101" w:firstLine="566"/>
        <w:jc w:val="both"/>
      </w:pPr>
      <w:r>
        <w:rPr/>
        <w:t>Para la evaluación del dolor, el perro se examinó sin ser sacado de su jaula y sin ser molestado. El observador llamaba al perro por su nombre, mientras se observaban sus reacciones y comportamiento. El paciente se manipulaba con gentileza y se evaluaba la frecuencia cardiaca y respiratoria; asimismo se le animaba a cada paciente para moverse y caminar. Se realizó una ligera palpación de la herida quirúrgica y el abdomen, anotando la calificación correspondiente en cada una de las escalas de dolor.</w:t>
      </w:r>
    </w:p>
    <w:p>
      <w:pPr>
        <w:pStyle w:val="BodyText"/>
        <w:spacing w:before="2"/>
        <w:rPr>
          <w:sz w:val="21"/>
        </w:rPr>
      </w:pPr>
    </w:p>
    <w:p>
      <w:pPr>
        <w:pStyle w:val="BodyText"/>
        <w:spacing w:line="360" w:lineRule="auto" w:before="1"/>
        <w:ind w:left="152" w:right="104" w:firstLine="566"/>
        <w:jc w:val="both"/>
      </w:pPr>
      <w:r>
        <w:rPr/>
        <w:t>La sedación también fue evaluada utilizando NRS, donde el paciente totalmente consciente se calificó como “0” y el totalmente inconsciente como “10”. De manera adicional, el cuidado postquirúrgico incluyó la administración de alimento y agua una hora después.</w:t>
      </w:r>
    </w:p>
    <w:p>
      <w:pPr>
        <w:pStyle w:val="BodyText"/>
        <w:spacing w:before="2"/>
        <w:rPr>
          <w:sz w:val="21"/>
        </w:rPr>
      </w:pPr>
    </w:p>
    <w:p>
      <w:pPr>
        <w:pStyle w:val="BodyText"/>
        <w:spacing w:line="360" w:lineRule="auto"/>
        <w:ind w:left="152" w:right="115"/>
        <w:jc w:val="both"/>
      </w:pPr>
      <w:r>
        <w:rPr/>
        <w:t>En todos los pacientes se vació la vejiga antes de ser colocados en su jaula y antes de cada evaluación.</w:t>
      </w:r>
    </w:p>
    <w:p>
      <w:pPr>
        <w:pStyle w:val="BodyText"/>
        <w:spacing w:line="360" w:lineRule="auto" w:before="8"/>
        <w:ind w:left="152" w:right="111" w:firstLine="566"/>
        <w:jc w:val="both"/>
      </w:pPr>
      <w:r>
        <w:rPr/>
        <w:t>Se permitió que los perros caminaran al exterior de las instalaciones para que pudieran orinar y defecar al menos cada 4</w:t>
      </w:r>
      <w:r>
        <w:rPr>
          <w:spacing w:val="-20"/>
        </w:rPr>
        <w:t> </w:t>
      </w:r>
      <w:r>
        <w:rPr/>
        <w:t>horas.</w:t>
      </w:r>
    </w:p>
    <w:p>
      <w:pPr>
        <w:spacing w:after="0" w:line="360" w:lineRule="auto"/>
        <w:jc w:val="both"/>
        <w:sectPr>
          <w:pgSz w:w="12240" w:h="15840"/>
          <w:pgMar w:header="0" w:footer="1628" w:top="1500" w:bottom="1880" w:left="1720" w:right="1420"/>
        </w:sectPr>
      </w:pPr>
    </w:p>
    <w:p>
      <w:pPr>
        <w:pStyle w:val="BodyText"/>
        <w:spacing w:before="1"/>
        <w:rPr>
          <w:sz w:val="21"/>
        </w:rPr>
      </w:pPr>
    </w:p>
    <w:p>
      <w:pPr>
        <w:pStyle w:val="Heading2"/>
        <w:numPr>
          <w:ilvl w:val="1"/>
          <w:numId w:val="23"/>
        </w:numPr>
        <w:tabs>
          <w:tab w:pos="1238" w:val="left" w:leader="none"/>
        </w:tabs>
        <w:spacing w:line="240" w:lineRule="auto" w:before="69" w:after="0"/>
        <w:ind w:left="1237" w:right="0" w:hanging="364"/>
        <w:jc w:val="left"/>
      </w:pPr>
      <w:bookmarkStart w:name="_bookmark67" w:id="109"/>
      <w:bookmarkEnd w:id="109"/>
      <w:r>
        <w:rPr>
          <w:b w:val="0"/>
        </w:rPr>
      </w:r>
      <w:bookmarkStart w:name="_bookmark67" w:id="110"/>
      <w:bookmarkEnd w:id="110"/>
      <w:r>
        <w:rPr/>
        <w:t>Ana</w:t>
      </w:r>
      <w:r>
        <w:rPr/>
        <w:t>lgesia de</w:t>
      </w:r>
      <w:r>
        <w:rPr>
          <w:spacing w:val="-16"/>
        </w:rPr>
        <w:t> </w:t>
      </w:r>
      <w:r>
        <w:rPr/>
        <w:t>rescate</w:t>
      </w:r>
    </w:p>
    <w:p>
      <w:pPr>
        <w:pStyle w:val="BodyText"/>
        <w:spacing w:before="3"/>
        <w:rPr>
          <w:b/>
          <w:sz w:val="20"/>
        </w:rPr>
      </w:pPr>
    </w:p>
    <w:p>
      <w:pPr>
        <w:pStyle w:val="BodyText"/>
        <w:spacing w:line="345" w:lineRule="auto"/>
        <w:ind w:left="152" w:right="99" w:firstLine="566"/>
        <w:jc w:val="both"/>
      </w:pPr>
      <w:r>
        <w:rPr/>
        <w:t>Cuando los valores de la escala NRS, UMPS, GCPS se encontraban con un valor de ≥ 4, ≥ 10, ≥ 9, respectivamente, se proporcionó analgesia de rescate con la administración intramuscular de morfina (0.5 mg kg</w:t>
      </w:r>
      <w:r>
        <w:rPr>
          <w:position w:val="11"/>
          <w:sz w:val="16"/>
        </w:rPr>
        <w:t>-1</w:t>
      </w:r>
      <w:r>
        <w:rPr/>
        <w:t>) y  subcutánea de carprofeno (4 mg kg</w:t>
      </w:r>
      <w:r>
        <w:rPr>
          <w:position w:val="11"/>
          <w:sz w:val="16"/>
        </w:rPr>
        <w:t>-1</w:t>
      </w:r>
      <w:r>
        <w:rPr/>
        <w:t>). Los   datos</w:t>
      </w:r>
    </w:p>
    <w:p>
      <w:pPr>
        <w:pStyle w:val="BodyText"/>
        <w:spacing w:line="350" w:lineRule="auto" w:before="3"/>
        <w:ind w:left="152" w:right="103"/>
        <w:jc w:val="both"/>
      </w:pPr>
      <w:r>
        <w:rPr/>
        <w:t>registrados después de la administración de la analgesia de rescate se excluyeron  del análisis estadístico. Los perros fueron reevaluados cada 20 minutos después con el objetivo de asegurar un correcto efecto analgésico. Al momento del alta de la clínica (a las 24 horas) se prescribió carprofeno a una dosis de 4 mg mg kg</w:t>
      </w:r>
      <w:r>
        <w:rPr>
          <w:position w:val="11"/>
          <w:sz w:val="16"/>
        </w:rPr>
        <w:t>-1  </w:t>
      </w:r>
      <w:r>
        <w:rPr/>
        <w:t>cada 24 horas por tres días por vía</w:t>
      </w:r>
    </w:p>
    <w:p>
      <w:pPr>
        <w:pStyle w:val="BodyText"/>
        <w:spacing w:line="273" w:lineRule="exact"/>
        <w:ind w:left="152"/>
        <w:jc w:val="both"/>
      </w:pPr>
      <w:r>
        <w:rPr/>
        <w:t>oral.</w:t>
      </w:r>
    </w:p>
    <w:p>
      <w:pPr>
        <w:pStyle w:val="Heading2"/>
        <w:numPr>
          <w:ilvl w:val="1"/>
          <w:numId w:val="23"/>
        </w:numPr>
        <w:tabs>
          <w:tab w:pos="1238" w:val="left" w:leader="none"/>
        </w:tabs>
        <w:spacing w:line="240" w:lineRule="auto" w:before="141" w:after="0"/>
        <w:ind w:left="1237" w:right="0" w:hanging="364"/>
        <w:jc w:val="left"/>
      </w:pPr>
      <w:bookmarkStart w:name="_bookmark68" w:id="111"/>
      <w:bookmarkEnd w:id="111"/>
      <w:r>
        <w:rPr>
          <w:b w:val="0"/>
        </w:rPr>
      </w:r>
      <w:bookmarkStart w:name="_bookmark68" w:id="112"/>
      <w:bookmarkEnd w:id="112"/>
      <w:r>
        <w:rPr/>
        <w:t>Aná</w:t>
      </w:r>
      <w:r>
        <w:rPr/>
        <w:t>lisis</w:t>
      </w:r>
      <w:r>
        <w:rPr>
          <w:spacing w:val="-11"/>
        </w:rPr>
        <w:t> </w:t>
      </w:r>
      <w:r>
        <w:rPr/>
        <w:t>estadístico</w:t>
      </w:r>
    </w:p>
    <w:p>
      <w:pPr>
        <w:pStyle w:val="BodyText"/>
        <w:spacing w:before="8"/>
        <w:rPr>
          <w:b/>
          <w:sz w:val="20"/>
        </w:rPr>
      </w:pPr>
    </w:p>
    <w:p>
      <w:pPr>
        <w:pStyle w:val="BodyText"/>
        <w:spacing w:line="360" w:lineRule="auto"/>
        <w:ind w:left="152" w:right="110" w:firstLine="566"/>
        <w:jc w:val="both"/>
      </w:pPr>
      <w:r>
        <w:rPr/>
        <w:t>La prueba de Shapiro-Wilk se utilizó para analizar </w:t>
      </w:r>
      <w:r>
        <w:rPr>
          <w:spacing w:val="-5"/>
        </w:rPr>
        <w:t>la </w:t>
      </w:r>
      <w:r>
        <w:rPr/>
        <w:t>normalidad de los datos. Los datos paramétricos se expresaron como </w:t>
      </w:r>
      <w:r>
        <w:rPr>
          <w:spacing w:val="-3"/>
        </w:rPr>
        <w:t>media </w:t>
      </w:r>
      <w:r>
        <w:rPr/>
        <w:t>± desviación estándar (DS) y los </w:t>
      </w:r>
      <w:r>
        <w:rPr>
          <w:spacing w:val="-3"/>
        </w:rPr>
        <w:t>no </w:t>
      </w:r>
      <w:r>
        <w:rPr/>
        <w:t>paramétricos como medianas y rangos. Para estudiar los cambios temporales durante </w:t>
      </w:r>
      <w:r>
        <w:rPr>
          <w:spacing w:val="-3"/>
        </w:rPr>
        <w:t>la </w:t>
      </w:r>
      <w:r>
        <w:rPr/>
        <w:t>anestesia en cada grupo, se utilizó el análisis de varianza (ANOVA de una vía) de mediciones repetidas seguido de </w:t>
      </w:r>
      <w:r>
        <w:rPr>
          <w:spacing w:val="-5"/>
        </w:rPr>
        <w:t>la </w:t>
      </w:r>
      <w:r>
        <w:rPr/>
        <w:t>prueba de Dunnett cuando fuera apropiado. Para </w:t>
      </w:r>
      <w:r>
        <w:rPr>
          <w:spacing w:val="-5"/>
        </w:rPr>
        <w:t>la </w:t>
      </w:r>
      <w:r>
        <w:rPr/>
        <w:t>comparación entre grupos en cada tiempo quirúrgico, se utilizó ANOVA de una vía</w:t>
      </w:r>
      <w:r>
        <w:rPr>
          <w:spacing w:val="-29"/>
        </w:rPr>
        <w:t> </w:t>
      </w:r>
      <w:r>
        <w:rPr/>
        <w:t>seguido de un post-hoc de Tukey. Para el análisis de los datos </w:t>
      </w:r>
      <w:r>
        <w:rPr>
          <w:spacing w:val="-3"/>
        </w:rPr>
        <w:t>no </w:t>
      </w:r>
      <w:r>
        <w:rPr/>
        <w:t>paramétricos dentro de cada grupo en el período posquirúrgico, se utilizó </w:t>
      </w:r>
      <w:r>
        <w:rPr>
          <w:spacing w:val="-5"/>
        </w:rPr>
        <w:t>la </w:t>
      </w:r>
      <w:r>
        <w:rPr/>
        <w:t>prueba de Friedman, seguido de </w:t>
      </w:r>
      <w:r>
        <w:rPr>
          <w:spacing w:val="-3"/>
        </w:rPr>
        <w:t>la </w:t>
      </w:r>
      <w:r>
        <w:rPr/>
        <w:t>prueba de comparación múltiple de Dunns, si existiera alguna diferencia significativa. </w:t>
      </w:r>
      <w:r>
        <w:rPr>
          <w:spacing w:val="3"/>
        </w:rPr>
        <w:t>El </w:t>
      </w:r>
      <w:r>
        <w:rPr/>
        <w:t>análisis de los datos </w:t>
      </w:r>
      <w:r>
        <w:rPr>
          <w:spacing w:val="-3"/>
        </w:rPr>
        <w:t>no </w:t>
      </w:r>
      <w:r>
        <w:rPr/>
        <w:t>paramétricos entre los distintos grupos se realizó por </w:t>
      </w:r>
      <w:r>
        <w:rPr>
          <w:spacing w:val="-4"/>
        </w:rPr>
        <w:t>medio </w:t>
      </w:r>
      <w:r>
        <w:rPr/>
        <w:t>de </w:t>
      </w:r>
      <w:r>
        <w:rPr>
          <w:spacing w:val="-3"/>
        </w:rPr>
        <w:t>la </w:t>
      </w:r>
      <w:r>
        <w:rPr/>
        <w:t>prueba de Kruskall-Wallis, seguida de </w:t>
      </w:r>
      <w:r>
        <w:rPr>
          <w:spacing w:val="-3"/>
        </w:rPr>
        <w:t>la </w:t>
      </w:r>
      <w:r>
        <w:rPr/>
        <w:t>prueba de comparación múltiple de Dunns. Las diferencias en </w:t>
      </w:r>
      <w:r>
        <w:rPr>
          <w:spacing w:val="-3"/>
        </w:rPr>
        <w:t>la </w:t>
      </w:r>
      <w:r>
        <w:rPr/>
        <w:t>incidencia del fallo del tratamiento se analizaron utilizando </w:t>
      </w:r>
      <w:r>
        <w:rPr>
          <w:spacing w:val="-5"/>
        </w:rPr>
        <w:t>la </w:t>
      </w:r>
      <w:r>
        <w:rPr/>
        <w:t>prueba exacta de Fisher. Se fijaron las diferencias estadísticas significativas a un valor de p &lt; 0.05. Se utilizó el paquete estadístico GraphPad Prism 5.0 (GraphPad Software Inc., Ver. 5.0 San Diego, </w:t>
      </w:r>
      <w:r>
        <w:rPr>
          <w:spacing w:val="-3"/>
        </w:rPr>
        <w:t>CA, </w:t>
      </w:r>
      <w:r>
        <w:rPr/>
        <w:t>USA).</w:t>
      </w:r>
    </w:p>
    <w:p>
      <w:pPr>
        <w:spacing w:after="0" w:line="360" w:lineRule="auto"/>
        <w:jc w:val="both"/>
        <w:sectPr>
          <w:pgSz w:w="12240" w:h="15840"/>
          <w:pgMar w:header="0" w:footer="1628" w:top="1500" w:bottom="1880" w:left="1720" w:right="1420"/>
        </w:sectPr>
      </w:pPr>
    </w:p>
    <w:p>
      <w:pPr>
        <w:pStyle w:val="BodyText"/>
        <w:spacing w:before="7"/>
        <w:rPr>
          <w:sz w:val="21"/>
        </w:rPr>
      </w:pPr>
    </w:p>
    <w:p>
      <w:pPr>
        <w:pStyle w:val="Heading1"/>
        <w:spacing w:before="60"/>
      </w:pPr>
      <w:bookmarkStart w:name="_bookmark69" w:id="113"/>
      <w:bookmarkEnd w:id="113"/>
      <w:r>
        <w:rPr>
          <w:b w:val="0"/>
        </w:rPr>
      </w:r>
      <w:r>
        <w:rPr/>
        <w:t>CAPÍTULO VII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14"/>
        <w:ind w:left="152" w:right="70" w:firstLine="0"/>
        <w:jc w:val="left"/>
        <w:rPr>
          <w:b/>
          <w:sz w:val="28"/>
        </w:rPr>
      </w:pPr>
      <w:bookmarkStart w:name="_bookmark70" w:id="114"/>
      <w:bookmarkEnd w:id="114"/>
      <w:r>
        <w:rPr/>
      </w:r>
      <w:r>
        <w:rPr>
          <w:b/>
          <w:sz w:val="28"/>
        </w:rPr>
        <w:t>Resultados</w:t>
      </w:r>
    </w:p>
    <w:p>
      <w:pPr>
        <w:pStyle w:val="Heading2"/>
        <w:numPr>
          <w:ilvl w:val="1"/>
          <w:numId w:val="24"/>
        </w:numPr>
        <w:tabs>
          <w:tab w:pos="1238" w:val="left" w:leader="none"/>
        </w:tabs>
        <w:spacing w:line="240" w:lineRule="auto" w:before="200" w:after="0"/>
        <w:ind w:left="1237" w:right="0" w:hanging="364"/>
        <w:jc w:val="left"/>
      </w:pPr>
      <w:bookmarkStart w:name="_bookmark71" w:id="115"/>
      <w:bookmarkEnd w:id="115"/>
      <w:r>
        <w:rPr>
          <w:b w:val="0"/>
        </w:rPr>
      </w:r>
      <w:bookmarkStart w:name="_bookmark71" w:id="116"/>
      <w:bookmarkEnd w:id="116"/>
      <w:r>
        <w:rPr/>
        <w:t>A</w:t>
      </w:r>
      <w:r>
        <w:rPr/>
        <w:t>rtículo científico número</w:t>
      </w:r>
      <w:r>
        <w:rPr>
          <w:spacing w:val="-16"/>
        </w:rPr>
        <w:t> </w:t>
      </w:r>
      <w:r>
        <w:rPr/>
        <w:t>1.</w:t>
      </w:r>
    </w:p>
    <w:p>
      <w:pPr>
        <w:spacing w:after="0" w:line="240" w:lineRule="auto"/>
        <w:jc w:val="left"/>
        <w:sectPr>
          <w:pgSz w:w="12240" w:h="15840"/>
          <w:pgMar w:header="0" w:footer="1628" w:top="1500" w:bottom="1880" w:left="1720" w:right="1420"/>
        </w:sectPr>
      </w:pPr>
    </w:p>
    <w:p>
      <w:pPr>
        <w:pStyle w:val="BodyText"/>
        <w:spacing w:before="4"/>
        <w:rPr>
          <w:sz w:val="17"/>
        </w:rPr>
      </w:pPr>
      <w:r>
        <w:rPr/>
        <w:drawing>
          <wp:anchor distT="0" distB="0" distL="0" distR="0" allowOverlap="1" layoutInCell="1" locked="0" behindDoc="0" simplePos="0" relativeHeight="1192">
            <wp:simplePos x="0" y="0"/>
            <wp:positionH relativeFrom="page">
              <wp:posOffset>1188085</wp:posOffset>
            </wp:positionH>
            <wp:positionV relativeFrom="page">
              <wp:posOffset>1152144</wp:posOffset>
            </wp:positionV>
            <wp:extent cx="5054600" cy="7973440"/>
            <wp:effectExtent l="0" t="0" r="0" b="0"/>
            <wp:wrapNone/>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23" cstate="print"/>
                    <a:stretch>
                      <a:fillRect/>
                    </a:stretch>
                  </pic:blipFill>
                  <pic:spPr>
                    <a:xfrm>
                      <a:off x="0" y="0"/>
                      <a:ext cx="5054600" cy="7973440"/>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216">
            <wp:simplePos x="0" y="0"/>
            <wp:positionH relativeFrom="page">
              <wp:posOffset>1188085</wp:posOffset>
            </wp:positionH>
            <wp:positionV relativeFrom="page">
              <wp:posOffset>1152144</wp:posOffset>
            </wp:positionV>
            <wp:extent cx="4974590" cy="7900415"/>
            <wp:effectExtent l="0" t="0" r="0" b="0"/>
            <wp:wrapNone/>
            <wp:docPr id="23" name="image13.png" descr=""/>
            <wp:cNvGraphicFramePr>
              <a:graphicFrameLocks noChangeAspect="1"/>
            </wp:cNvGraphicFramePr>
            <a:graphic>
              <a:graphicData uri="http://schemas.openxmlformats.org/drawingml/2006/picture">
                <pic:pic>
                  <pic:nvPicPr>
                    <pic:cNvPr id="24" name="image13.png"/>
                    <pic:cNvPicPr/>
                  </pic:nvPicPr>
                  <pic:blipFill>
                    <a:blip r:embed="rId24" cstate="print"/>
                    <a:stretch>
                      <a:fillRect/>
                    </a:stretch>
                  </pic:blipFill>
                  <pic:spPr>
                    <a:xfrm>
                      <a:off x="0" y="0"/>
                      <a:ext cx="4974590" cy="7900415"/>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240">
            <wp:simplePos x="0" y="0"/>
            <wp:positionH relativeFrom="page">
              <wp:posOffset>1188085</wp:posOffset>
            </wp:positionH>
            <wp:positionV relativeFrom="page">
              <wp:posOffset>1152144</wp:posOffset>
            </wp:positionV>
            <wp:extent cx="4850130" cy="7812024"/>
            <wp:effectExtent l="0" t="0" r="0" b="0"/>
            <wp:wrapNone/>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25" cstate="print"/>
                    <a:stretch>
                      <a:fillRect/>
                    </a:stretch>
                  </pic:blipFill>
                  <pic:spPr>
                    <a:xfrm>
                      <a:off x="0" y="0"/>
                      <a:ext cx="4850130" cy="7812024"/>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264">
            <wp:simplePos x="0" y="0"/>
            <wp:positionH relativeFrom="page">
              <wp:posOffset>1188085</wp:posOffset>
            </wp:positionH>
            <wp:positionV relativeFrom="page">
              <wp:posOffset>1152144</wp:posOffset>
            </wp:positionV>
            <wp:extent cx="4930140" cy="7906511"/>
            <wp:effectExtent l="0" t="0" r="0" b="0"/>
            <wp:wrapNone/>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26" cstate="print"/>
                    <a:stretch>
                      <a:fillRect/>
                    </a:stretch>
                  </pic:blipFill>
                  <pic:spPr>
                    <a:xfrm>
                      <a:off x="0" y="0"/>
                      <a:ext cx="4930140" cy="7906511"/>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288">
            <wp:simplePos x="0" y="0"/>
            <wp:positionH relativeFrom="page">
              <wp:posOffset>1188085</wp:posOffset>
            </wp:positionH>
            <wp:positionV relativeFrom="page">
              <wp:posOffset>1152144</wp:posOffset>
            </wp:positionV>
            <wp:extent cx="4893945" cy="7878190"/>
            <wp:effectExtent l="0" t="0" r="0" b="0"/>
            <wp:wrapNone/>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27" cstate="print"/>
                    <a:stretch>
                      <a:fillRect/>
                    </a:stretch>
                  </pic:blipFill>
                  <pic:spPr>
                    <a:xfrm>
                      <a:off x="0" y="0"/>
                      <a:ext cx="4893945" cy="7878190"/>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312">
            <wp:simplePos x="0" y="0"/>
            <wp:positionH relativeFrom="page">
              <wp:posOffset>1188085</wp:posOffset>
            </wp:positionH>
            <wp:positionV relativeFrom="page">
              <wp:posOffset>1152144</wp:posOffset>
            </wp:positionV>
            <wp:extent cx="4893945" cy="7848600"/>
            <wp:effectExtent l="0" t="0" r="0" b="0"/>
            <wp:wrapNone/>
            <wp:docPr id="31" name="image17.png" descr=""/>
            <wp:cNvGraphicFramePr>
              <a:graphicFrameLocks noChangeAspect="1"/>
            </wp:cNvGraphicFramePr>
            <a:graphic>
              <a:graphicData uri="http://schemas.openxmlformats.org/drawingml/2006/picture">
                <pic:pic>
                  <pic:nvPicPr>
                    <pic:cNvPr id="32" name="image17.png"/>
                    <pic:cNvPicPr/>
                  </pic:nvPicPr>
                  <pic:blipFill>
                    <a:blip r:embed="rId28" cstate="print"/>
                    <a:stretch>
                      <a:fillRect/>
                    </a:stretch>
                  </pic:blipFill>
                  <pic:spPr>
                    <a:xfrm>
                      <a:off x="0" y="0"/>
                      <a:ext cx="4893945" cy="7848600"/>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336">
            <wp:simplePos x="0" y="0"/>
            <wp:positionH relativeFrom="page">
              <wp:posOffset>1188085</wp:posOffset>
            </wp:positionH>
            <wp:positionV relativeFrom="page">
              <wp:posOffset>1152144</wp:posOffset>
            </wp:positionV>
            <wp:extent cx="4945380" cy="7951215"/>
            <wp:effectExtent l="0" t="0" r="0" b="0"/>
            <wp:wrapNone/>
            <wp:docPr id="33" name="image18.png" descr=""/>
            <wp:cNvGraphicFramePr>
              <a:graphicFrameLocks noChangeAspect="1"/>
            </wp:cNvGraphicFramePr>
            <a:graphic>
              <a:graphicData uri="http://schemas.openxmlformats.org/drawingml/2006/picture">
                <pic:pic>
                  <pic:nvPicPr>
                    <pic:cNvPr id="34" name="image18.png"/>
                    <pic:cNvPicPr/>
                  </pic:nvPicPr>
                  <pic:blipFill>
                    <a:blip r:embed="rId29" cstate="print"/>
                    <a:stretch>
                      <a:fillRect/>
                    </a:stretch>
                  </pic:blipFill>
                  <pic:spPr>
                    <a:xfrm>
                      <a:off x="0" y="0"/>
                      <a:ext cx="4945380" cy="7951215"/>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360">
            <wp:simplePos x="0" y="0"/>
            <wp:positionH relativeFrom="page">
              <wp:posOffset>1188085</wp:posOffset>
            </wp:positionH>
            <wp:positionV relativeFrom="page">
              <wp:posOffset>1152144</wp:posOffset>
            </wp:positionV>
            <wp:extent cx="4930140" cy="7943088"/>
            <wp:effectExtent l="0" t="0" r="0" b="0"/>
            <wp:wrapNone/>
            <wp:docPr id="35" name="image19.png" descr=""/>
            <wp:cNvGraphicFramePr>
              <a:graphicFrameLocks noChangeAspect="1"/>
            </wp:cNvGraphicFramePr>
            <a:graphic>
              <a:graphicData uri="http://schemas.openxmlformats.org/drawingml/2006/picture">
                <pic:pic>
                  <pic:nvPicPr>
                    <pic:cNvPr id="36" name="image19.png"/>
                    <pic:cNvPicPr/>
                  </pic:nvPicPr>
                  <pic:blipFill>
                    <a:blip r:embed="rId30" cstate="print"/>
                    <a:stretch>
                      <a:fillRect/>
                    </a:stretch>
                  </pic:blipFill>
                  <pic:spPr>
                    <a:xfrm>
                      <a:off x="0" y="0"/>
                      <a:ext cx="4930140" cy="7943088"/>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384">
            <wp:simplePos x="0" y="0"/>
            <wp:positionH relativeFrom="page">
              <wp:posOffset>1188085</wp:posOffset>
            </wp:positionH>
            <wp:positionV relativeFrom="page">
              <wp:posOffset>1152144</wp:posOffset>
            </wp:positionV>
            <wp:extent cx="4893945" cy="7891272"/>
            <wp:effectExtent l="0" t="0" r="0" b="0"/>
            <wp:wrapNone/>
            <wp:docPr id="37" name="image20.png" descr=""/>
            <wp:cNvGraphicFramePr>
              <a:graphicFrameLocks noChangeAspect="1"/>
            </wp:cNvGraphicFramePr>
            <a:graphic>
              <a:graphicData uri="http://schemas.openxmlformats.org/drawingml/2006/picture">
                <pic:pic>
                  <pic:nvPicPr>
                    <pic:cNvPr id="38" name="image20.png"/>
                    <pic:cNvPicPr/>
                  </pic:nvPicPr>
                  <pic:blipFill>
                    <a:blip r:embed="rId31" cstate="print"/>
                    <a:stretch>
                      <a:fillRect/>
                    </a:stretch>
                  </pic:blipFill>
                  <pic:spPr>
                    <a:xfrm>
                      <a:off x="0" y="0"/>
                      <a:ext cx="4893945" cy="7891272"/>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408">
            <wp:simplePos x="0" y="0"/>
            <wp:positionH relativeFrom="page">
              <wp:posOffset>1188085</wp:posOffset>
            </wp:positionH>
            <wp:positionV relativeFrom="page">
              <wp:posOffset>1152144</wp:posOffset>
            </wp:positionV>
            <wp:extent cx="4893945" cy="7878190"/>
            <wp:effectExtent l="0" t="0" r="0" b="0"/>
            <wp:wrapNone/>
            <wp:docPr id="39" name="image21.png" descr=""/>
            <wp:cNvGraphicFramePr>
              <a:graphicFrameLocks noChangeAspect="1"/>
            </wp:cNvGraphicFramePr>
            <a:graphic>
              <a:graphicData uri="http://schemas.openxmlformats.org/drawingml/2006/picture">
                <pic:pic>
                  <pic:nvPicPr>
                    <pic:cNvPr id="40" name="image21.png"/>
                    <pic:cNvPicPr/>
                  </pic:nvPicPr>
                  <pic:blipFill>
                    <a:blip r:embed="rId32" cstate="print"/>
                    <a:stretch>
                      <a:fillRect/>
                    </a:stretch>
                  </pic:blipFill>
                  <pic:spPr>
                    <a:xfrm>
                      <a:off x="0" y="0"/>
                      <a:ext cx="4893945" cy="7878190"/>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spacing w:before="4"/>
        <w:rPr>
          <w:sz w:val="17"/>
        </w:rPr>
      </w:pPr>
      <w:r>
        <w:rPr/>
        <w:drawing>
          <wp:anchor distT="0" distB="0" distL="0" distR="0" allowOverlap="1" layoutInCell="1" locked="0" behindDoc="0" simplePos="0" relativeHeight="1432">
            <wp:simplePos x="0" y="0"/>
            <wp:positionH relativeFrom="page">
              <wp:posOffset>1188085</wp:posOffset>
            </wp:positionH>
            <wp:positionV relativeFrom="page">
              <wp:posOffset>1152144</wp:posOffset>
            </wp:positionV>
            <wp:extent cx="4850130" cy="7863586"/>
            <wp:effectExtent l="0" t="0" r="0" b="0"/>
            <wp:wrapNone/>
            <wp:docPr id="41" name="image22.png" descr=""/>
            <wp:cNvGraphicFramePr>
              <a:graphicFrameLocks noChangeAspect="1"/>
            </wp:cNvGraphicFramePr>
            <a:graphic>
              <a:graphicData uri="http://schemas.openxmlformats.org/drawingml/2006/picture">
                <pic:pic>
                  <pic:nvPicPr>
                    <pic:cNvPr id="42" name="image22.png"/>
                    <pic:cNvPicPr/>
                  </pic:nvPicPr>
                  <pic:blipFill>
                    <a:blip r:embed="rId33" cstate="print"/>
                    <a:stretch>
                      <a:fillRect/>
                    </a:stretch>
                  </pic:blipFill>
                  <pic:spPr>
                    <a:xfrm>
                      <a:off x="0" y="0"/>
                      <a:ext cx="4850130" cy="7863586"/>
                    </a:xfrm>
                    <a:prstGeom prst="rect">
                      <a:avLst/>
                    </a:prstGeom>
                  </pic:spPr>
                </pic:pic>
              </a:graphicData>
            </a:graphic>
          </wp:anchor>
        </w:drawing>
      </w:r>
    </w:p>
    <w:p>
      <w:pPr>
        <w:spacing w:after="0"/>
        <w:rPr>
          <w:sz w:val="17"/>
        </w:rPr>
        <w:sectPr>
          <w:pgSz w:w="12240" w:h="15840"/>
          <w:pgMar w:header="0" w:footer="1628" w:top="1500" w:bottom="1820" w:left="1720" w:right="1420"/>
        </w:sectPr>
      </w:pPr>
    </w:p>
    <w:p>
      <w:pPr>
        <w:pStyle w:val="BodyText"/>
        <w:rPr>
          <w:sz w:val="20"/>
        </w:rPr>
      </w:pPr>
    </w:p>
    <w:p>
      <w:pPr>
        <w:pStyle w:val="BodyText"/>
        <w:spacing w:before="10"/>
      </w:pPr>
    </w:p>
    <w:p>
      <w:pPr>
        <w:pStyle w:val="Heading2"/>
        <w:numPr>
          <w:ilvl w:val="1"/>
          <w:numId w:val="24"/>
        </w:numPr>
        <w:tabs>
          <w:tab w:pos="1296" w:val="left" w:leader="none"/>
        </w:tabs>
        <w:spacing w:line="240" w:lineRule="auto" w:before="69" w:after="0"/>
        <w:ind w:left="1295" w:right="0" w:hanging="360"/>
        <w:jc w:val="left"/>
      </w:pPr>
      <w:bookmarkStart w:name="_bookmark72" w:id="117"/>
      <w:bookmarkEnd w:id="117"/>
      <w:r>
        <w:rPr>
          <w:b w:val="0"/>
        </w:rPr>
      </w:r>
      <w:bookmarkStart w:name="_bookmark72" w:id="118"/>
      <w:bookmarkEnd w:id="118"/>
      <w:r>
        <w:rPr/>
        <w:t>A</w:t>
      </w:r>
      <w:r>
        <w:rPr/>
        <w:t>rtículo científico número 2. Correo del</w:t>
      </w:r>
      <w:r>
        <w:rPr>
          <w:spacing w:val="-25"/>
        </w:rPr>
        <w:t> </w:t>
      </w:r>
      <w:r>
        <w:rPr/>
        <w:t>editor.</w:t>
      </w:r>
    </w:p>
    <w:p>
      <w:pPr>
        <w:pStyle w:val="BodyText"/>
        <w:rPr>
          <w:b/>
          <w:sz w:val="20"/>
        </w:rPr>
      </w:pPr>
    </w:p>
    <w:p>
      <w:pPr>
        <w:pStyle w:val="BodyText"/>
        <w:rPr>
          <w:b/>
          <w:sz w:val="20"/>
        </w:rPr>
      </w:pPr>
    </w:p>
    <w:p>
      <w:pPr>
        <w:pStyle w:val="BodyText"/>
        <w:rPr>
          <w:b/>
          <w:sz w:val="20"/>
        </w:rPr>
      </w:pPr>
    </w:p>
    <w:p>
      <w:pPr>
        <w:pStyle w:val="BodyText"/>
        <w:spacing w:before="8"/>
        <w:rPr>
          <w:b/>
          <w:sz w:val="10"/>
        </w:rPr>
      </w:pPr>
    </w:p>
    <w:tbl>
      <w:tblPr>
        <w:tblW w:w="0" w:type="auto"/>
        <w:jc w:val="left"/>
        <w:tblInd w:w="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4"/>
        <w:gridCol w:w="8163"/>
      </w:tblGrid>
      <w:tr>
        <w:trPr>
          <w:trHeight w:val="216" w:hRule="exact"/>
        </w:trPr>
        <w:tc>
          <w:tcPr>
            <w:tcW w:w="674" w:type="dxa"/>
          </w:tcPr>
          <w:p>
            <w:pPr>
              <w:pStyle w:val="TableParagraph"/>
              <w:spacing w:line="205" w:lineRule="exact"/>
              <w:jc w:val="left"/>
              <w:rPr>
                <w:sz w:val="20"/>
              </w:rPr>
            </w:pPr>
            <w:r>
              <w:rPr>
                <w:sz w:val="20"/>
              </w:rPr>
              <w:t>De:</w:t>
            </w:r>
          </w:p>
        </w:tc>
        <w:tc>
          <w:tcPr>
            <w:tcW w:w="8163" w:type="dxa"/>
          </w:tcPr>
          <w:p>
            <w:pPr>
              <w:pStyle w:val="TableParagraph"/>
              <w:spacing w:line="205" w:lineRule="exact"/>
              <w:ind w:left="37" w:right="-19"/>
              <w:jc w:val="left"/>
              <w:rPr>
                <w:sz w:val="20"/>
              </w:rPr>
            </w:pPr>
            <w:hyperlink r:id="rId34">
              <w:r>
                <w:rPr>
                  <w:sz w:val="20"/>
                </w:rPr>
                <w:t>VAAedoffice@wiley.com</w:t>
              </w:r>
            </w:hyperlink>
          </w:p>
        </w:tc>
      </w:tr>
      <w:tr>
        <w:trPr>
          <w:trHeight w:val="230" w:hRule="exact"/>
        </w:trPr>
        <w:tc>
          <w:tcPr>
            <w:tcW w:w="674" w:type="dxa"/>
          </w:tcPr>
          <w:p>
            <w:pPr>
              <w:pStyle w:val="TableParagraph"/>
              <w:spacing w:line="220" w:lineRule="exact"/>
              <w:jc w:val="left"/>
              <w:rPr>
                <w:sz w:val="20"/>
              </w:rPr>
            </w:pPr>
            <w:r>
              <w:rPr>
                <w:sz w:val="20"/>
              </w:rPr>
              <w:t>Asunto:</w:t>
            </w:r>
          </w:p>
        </w:tc>
        <w:tc>
          <w:tcPr>
            <w:tcW w:w="8163" w:type="dxa"/>
          </w:tcPr>
          <w:p>
            <w:pPr>
              <w:pStyle w:val="TableParagraph"/>
              <w:spacing w:line="220" w:lineRule="exact"/>
              <w:ind w:left="37" w:right="-19"/>
              <w:jc w:val="left"/>
              <w:rPr>
                <w:sz w:val="20"/>
              </w:rPr>
            </w:pPr>
            <w:r>
              <w:rPr>
                <w:sz w:val="20"/>
              </w:rPr>
              <w:t>Veterinary Anaesthesia and Analgesia - Manuscript VAA-13-0210</w:t>
            </w:r>
          </w:p>
        </w:tc>
      </w:tr>
      <w:tr>
        <w:trPr>
          <w:trHeight w:val="230" w:hRule="exact"/>
        </w:trPr>
        <w:tc>
          <w:tcPr>
            <w:tcW w:w="674" w:type="dxa"/>
          </w:tcPr>
          <w:p>
            <w:pPr>
              <w:pStyle w:val="TableParagraph"/>
              <w:spacing w:line="220" w:lineRule="exact"/>
              <w:jc w:val="left"/>
              <w:rPr>
                <w:sz w:val="20"/>
              </w:rPr>
            </w:pPr>
            <w:r>
              <w:rPr>
                <w:sz w:val="20"/>
              </w:rPr>
              <w:t>Fecha:</w:t>
            </w:r>
          </w:p>
        </w:tc>
        <w:tc>
          <w:tcPr>
            <w:tcW w:w="8163" w:type="dxa"/>
          </w:tcPr>
          <w:p>
            <w:pPr>
              <w:pStyle w:val="TableParagraph"/>
              <w:spacing w:line="220" w:lineRule="exact"/>
              <w:ind w:left="37" w:right="-19"/>
              <w:jc w:val="left"/>
              <w:rPr>
                <w:sz w:val="20"/>
              </w:rPr>
            </w:pPr>
            <w:r>
              <w:rPr>
                <w:sz w:val="20"/>
              </w:rPr>
              <w:t>Mie, 25 de Septiembre de 2013, 17:44</w:t>
            </w:r>
          </w:p>
        </w:tc>
      </w:tr>
      <w:tr>
        <w:trPr>
          <w:trHeight w:val="231" w:hRule="exact"/>
        </w:trPr>
        <w:tc>
          <w:tcPr>
            <w:tcW w:w="674" w:type="dxa"/>
          </w:tcPr>
          <w:p>
            <w:pPr>
              <w:pStyle w:val="TableParagraph"/>
              <w:spacing w:line="220" w:lineRule="exact"/>
              <w:jc w:val="left"/>
              <w:rPr>
                <w:sz w:val="20"/>
              </w:rPr>
            </w:pPr>
            <w:r>
              <w:rPr>
                <w:sz w:val="20"/>
              </w:rPr>
              <w:t>Para:</w:t>
            </w:r>
          </w:p>
        </w:tc>
        <w:tc>
          <w:tcPr>
            <w:tcW w:w="8163" w:type="dxa"/>
          </w:tcPr>
          <w:p>
            <w:pPr>
              <w:pStyle w:val="TableParagraph"/>
              <w:spacing w:line="220" w:lineRule="exact"/>
              <w:ind w:left="37" w:right="-19"/>
              <w:jc w:val="left"/>
              <w:rPr>
                <w:sz w:val="20"/>
              </w:rPr>
            </w:pPr>
            <w:r>
              <w:rPr>
                <w:sz w:val="20"/>
              </w:rPr>
              <w:t>gublan@uady.mx,egublan@gmail.com</w:t>
            </w:r>
          </w:p>
        </w:tc>
      </w:tr>
      <w:tr>
        <w:trPr>
          <w:trHeight w:val="855" w:hRule="exact"/>
        </w:trPr>
        <w:tc>
          <w:tcPr>
            <w:tcW w:w="674" w:type="dxa"/>
            <w:tcBorders>
              <w:bottom w:val="single" w:sz="6" w:space="0" w:color="9F9F9F"/>
            </w:tcBorders>
          </w:tcPr>
          <w:p>
            <w:pPr>
              <w:pStyle w:val="TableParagraph"/>
              <w:spacing w:line="220" w:lineRule="exact"/>
              <w:jc w:val="left"/>
              <w:rPr>
                <w:sz w:val="20"/>
              </w:rPr>
            </w:pPr>
            <w:r>
              <w:rPr>
                <w:sz w:val="20"/>
              </w:rPr>
              <w:t>Cc:</w:t>
            </w:r>
          </w:p>
        </w:tc>
        <w:tc>
          <w:tcPr>
            <w:tcW w:w="8163" w:type="dxa"/>
            <w:tcBorders>
              <w:bottom w:val="single" w:sz="6" w:space="0" w:color="9F9F9F"/>
            </w:tcBorders>
          </w:tcPr>
          <w:p>
            <w:pPr>
              <w:pStyle w:val="TableParagraph"/>
              <w:spacing w:line="235" w:lineRule="auto"/>
              <w:ind w:left="37" w:right="-19"/>
              <w:jc w:val="left"/>
              <w:rPr>
                <w:sz w:val="20"/>
              </w:rPr>
            </w:pPr>
            <w:r>
              <w:rPr>
                <w:sz w:val="20"/>
              </w:rPr>
              <w:t>gublan@uady.mx,egublan@gmail.com,josemaurovictoriamora@hotmail.com,ibanvet@gmail.com,cs arceo@uady.mx,bgonza@uady.mx,acevedoacm@gmail.com,gabymarin11@hotmail.com,psteagall</w:t>
            </w:r>
          </w:p>
          <w:p>
            <w:pPr>
              <w:pStyle w:val="TableParagraph"/>
              <w:spacing w:before="1"/>
              <w:ind w:left="37" w:right="-19"/>
              <w:jc w:val="left"/>
              <w:rPr>
                <w:sz w:val="20"/>
              </w:rPr>
            </w:pPr>
            <w:r>
              <w:rPr>
                <w:sz w:val="20"/>
              </w:rPr>
              <w:t>@gmail.com</w:t>
            </w:r>
          </w:p>
        </w:tc>
      </w:tr>
      <w:tr>
        <w:trPr>
          <w:trHeight w:val="6442" w:hRule="exact"/>
        </w:trPr>
        <w:tc>
          <w:tcPr>
            <w:tcW w:w="8837" w:type="dxa"/>
            <w:gridSpan w:val="2"/>
            <w:tcBorders>
              <w:top w:val="single" w:sz="6" w:space="0" w:color="9F9F9F"/>
              <w:bottom w:val="single" w:sz="6" w:space="0" w:color="9F9F9F"/>
            </w:tcBorders>
          </w:tcPr>
          <w:p>
            <w:pPr>
              <w:pStyle w:val="TableParagraph"/>
              <w:spacing w:before="11"/>
              <w:jc w:val="left"/>
              <w:rPr>
                <w:b/>
                <w:sz w:val="23"/>
              </w:rPr>
            </w:pPr>
          </w:p>
          <w:p>
            <w:pPr>
              <w:pStyle w:val="TableParagraph"/>
              <w:ind w:right="2158"/>
              <w:jc w:val="left"/>
              <w:rPr>
                <w:sz w:val="20"/>
              </w:rPr>
            </w:pPr>
            <w:r>
              <w:rPr>
                <w:sz w:val="20"/>
              </w:rPr>
              <w:t>25-Sep-2013</w:t>
            </w:r>
          </w:p>
          <w:p>
            <w:pPr>
              <w:pStyle w:val="TableParagraph"/>
              <w:jc w:val="left"/>
              <w:rPr>
                <w:b/>
                <w:sz w:val="20"/>
              </w:rPr>
            </w:pPr>
          </w:p>
          <w:p>
            <w:pPr>
              <w:pStyle w:val="TableParagraph"/>
              <w:spacing w:before="1"/>
              <w:ind w:right="2158"/>
              <w:jc w:val="left"/>
              <w:rPr>
                <w:sz w:val="20"/>
              </w:rPr>
            </w:pPr>
            <w:r>
              <w:rPr>
                <w:sz w:val="20"/>
              </w:rPr>
              <w:t>Dear Dr. GUTIERREZ-BLANCO,</w:t>
            </w:r>
          </w:p>
          <w:p>
            <w:pPr>
              <w:pStyle w:val="TableParagraph"/>
              <w:spacing w:before="1"/>
              <w:jc w:val="left"/>
              <w:rPr>
                <w:b/>
                <w:sz w:val="20"/>
              </w:rPr>
            </w:pPr>
          </w:p>
          <w:p>
            <w:pPr>
              <w:pStyle w:val="TableParagraph"/>
              <w:ind w:right="2158"/>
              <w:jc w:val="left"/>
              <w:rPr>
                <w:sz w:val="20"/>
              </w:rPr>
            </w:pPr>
            <w:r>
              <w:rPr>
                <w:sz w:val="20"/>
              </w:rPr>
              <w:t>Your manuscript entitled "Postoperative analgesic effects of either a constant rate infusion of fentanyl, lidocaine, ketamine, dexmedetomidine, or the combination lidocaine-ketamine-dexmedetomidine after ovariohysterectomy in dogs</w:t>
            </w:r>
            <w:r>
              <w:rPr>
                <w:b/>
                <w:sz w:val="20"/>
              </w:rPr>
              <w:t>" has successfully been submitted online </w:t>
            </w:r>
            <w:r>
              <w:rPr>
                <w:sz w:val="20"/>
              </w:rPr>
              <w:t>and is presently being given full consideration for publication in Veterinary Anaesthesia and Analgesia.</w:t>
            </w:r>
          </w:p>
          <w:p>
            <w:pPr>
              <w:pStyle w:val="TableParagraph"/>
              <w:spacing w:before="1"/>
              <w:jc w:val="left"/>
              <w:rPr>
                <w:b/>
                <w:sz w:val="20"/>
              </w:rPr>
            </w:pPr>
          </w:p>
          <w:p>
            <w:pPr>
              <w:pStyle w:val="TableParagraph"/>
              <w:ind w:right="2158"/>
              <w:jc w:val="left"/>
              <w:rPr>
                <w:sz w:val="20"/>
              </w:rPr>
            </w:pPr>
            <w:r>
              <w:rPr>
                <w:sz w:val="20"/>
              </w:rPr>
              <w:t>Your manuscript ID is VAA-13-0210.</w:t>
            </w:r>
          </w:p>
          <w:p>
            <w:pPr>
              <w:pStyle w:val="TableParagraph"/>
              <w:jc w:val="left"/>
              <w:rPr>
                <w:b/>
                <w:sz w:val="20"/>
              </w:rPr>
            </w:pPr>
          </w:p>
          <w:p>
            <w:pPr>
              <w:pStyle w:val="TableParagraph"/>
              <w:spacing w:before="1"/>
              <w:ind w:right="1968"/>
              <w:jc w:val="left"/>
              <w:rPr>
                <w:sz w:val="20"/>
              </w:rPr>
            </w:pPr>
            <w:r>
              <w:rPr>
                <w:sz w:val="20"/>
              </w:rPr>
              <w:t>Please mention the above manuscript ID in all future correspondence or when calling the Editorial Office with questions. If there are any changes to your mailing or</w:t>
            </w:r>
          </w:p>
          <w:p>
            <w:pPr>
              <w:pStyle w:val="TableParagraph"/>
              <w:ind w:right="2158"/>
              <w:jc w:val="left"/>
              <w:rPr>
                <w:sz w:val="20"/>
              </w:rPr>
            </w:pPr>
            <w:r>
              <w:rPr>
                <w:sz w:val="20"/>
              </w:rPr>
              <w:t>e-mail address, please log into Manuscript Central at </w:t>
            </w:r>
            <w:hyperlink r:id="rId35">
              <w:r>
                <w:rPr>
                  <w:color w:val="0000FF"/>
                  <w:sz w:val="20"/>
                  <w:u w:val="single" w:color="0000FF"/>
                </w:rPr>
                <w:t>http://mc.manuscriptcentral.com/vaa </w:t>
              </w:r>
            </w:hyperlink>
            <w:r>
              <w:rPr>
                <w:sz w:val="20"/>
              </w:rPr>
              <w:t>and edit your user information accordingly.</w:t>
            </w:r>
          </w:p>
          <w:p>
            <w:pPr>
              <w:pStyle w:val="TableParagraph"/>
              <w:spacing w:before="1"/>
              <w:jc w:val="left"/>
              <w:rPr>
                <w:b/>
                <w:sz w:val="20"/>
              </w:rPr>
            </w:pPr>
          </w:p>
          <w:p>
            <w:pPr>
              <w:pStyle w:val="TableParagraph"/>
              <w:ind w:right="1968"/>
              <w:jc w:val="left"/>
              <w:rPr>
                <w:sz w:val="20"/>
              </w:rPr>
            </w:pPr>
            <w:r>
              <w:rPr>
                <w:sz w:val="20"/>
              </w:rPr>
              <w:t>You can also view the status of your manuscript at any time by checking your Author Centre after logging into </w:t>
            </w:r>
            <w:hyperlink r:id="rId35">
              <w:r>
                <w:rPr>
                  <w:color w:val="0000FF"/>
                  <w:sz w:val="20"/>
                  <w:u w:val="single" w:color="0000FF"/>
                </w:rPr>
                <w:t>http://mc.manuscriptcentral.com/vaa</w:t>
              </w:r>
            </w:hyperlink>
          </w:p>
          <w:p>
            <w:pPr>
              <w:pStyle w:val="TableParagraph"/>
              <w:spacing w:before="7"/>
              <w:jc w:val="left"/>
              <w:rPr>
                <w:b/>
                <w:sz w:val="19"/>
              </w:rPr>
            </w:pPr>
          </w:p>
          <w:p>
            <w:pPr>
              <w:pStyle w:val="TableParagraph"/>
              <w:spacing w:line="480" w:lineRule="auto"/>
              <w:ind w:right="2046"/>
              <w:jc w:val="left"/>
              <w:rPr>
                <w:sz w:val="20"/>
              </w:rPr>
            </w:pPr>
            <w:r>
              <w:rPr>
                <w:sz w:val="20"/>
              </w:rPr>
              <w:t>Thank you for submitting your manuscript to Veterinary Anaesthesia and Analgesia. Yours sincerely,</w:t>
            </w:r>
          </w:p>
          <w:p>
            <w:pPr>
              <w:pStyle w:val="TableParagraph"/>
              <w:spacing w:before="10"/>
              <w:ind w:right="2158"/>
              <w:jc w:val="left"/>
              <w:rPr>
                <w:sz w:val="20"/>
              </w:rPr>
            </w:pPr>
            <w:r>
              <w:rPr>
                <w:sz w:val="20"/>
              </w:rPr>
              <w:t>Cherrylyn Arenga</w:t>
            </w:r>
          </w:p>
          <w:p>
            <w:pPr>
              <w:pStyle w:val="TableParagraph"/>
              <w:ind w:right="2158"/>
              <w:jc w:val="left"/>
              <w:rPr>
                <w:sz w:val="20"/>
              </w:rPr>
            </w:pPr>
            <w:r>
              <w:rPr>
                <w:sz w:val="20"/>
              </w:rPr>
              <w:t>Veterinary Anaesthesia and Analgesia</w:t>
            </w:r>
          </w:p>
        </w:tc>
      </w:tr>
    </w:tbl>
    <w:p>
      <w:pPr>
        <w:spacing w:after="0"/>
        <w:jc w:val="left"/>
        <w:rPr>
          <w:sz w:val="20"/>
        </w:rPr>
        <w:sectPr>
          <w:pgSz w:w="12240" w:h="15840"/>
          <w:pgMar w:header="0" w:footer="1628" w:top="1500" w:bottom="1820" w:left="1720" w:right="1420"/>
        </w:sectPr>
      </w:pPr>
    </w:p>
    <w:p>
      <w:pPr>
        <w:pStyle w:val="BodyText"/>
        <w:spacing w:before="3" w:after="1"/>
        <w:rPr>
          <w:sz w:val="27"/>
        </w:rPr>
      </w:pPr>
    </w:p>
    <w:p>
      <w:pPr>
        <w:pStyle w:val="BodyText"/>
        <w:ind w:left="151"/>
        <w:rPr>
          <w:sz w:val="20"/>
        </w:rPr>
      </w:pPr>
      <w:r>
        <w:rPr>
          <w:sz w:val="20"/>
        </w:rPr>
        <w:drawing>
          <wp:inline distT="0" distB="0" distL="0" distR="0">
            <wp:extent cx="5664490" cy="6307931"/>
            <wp:effectExtent l="0" t="0" r="0" b="0"/>
            <wp:docPr id="43" name="image23.jpeg" descr=""/>
            <wp:cNvGraphicFramePr>
              <a:graphicFrameLocks noChangeAspect="1"/>
            </wp:cNvGraphicFramePr>
            <a:graphic>
              <a:graphicData uri="http://schemas.openxmlformats.org/drawingml/2006/picture">
                <pic:pic>
                  <pic:nvPicPr>
                    <pic:cNvPr id="44" name="image23.jpeg"/>
                    <pic:cNvPicPr/>
                  </pic:nvPicPr>
                  <pic:blipFill>
                    <a:blip r:embed="rId36" cstate="print"/>
                    <a:stretch>
                      <a:fillRect/>
                    </a:stretch>
                  </pic:blipFill>
                  <pic:spPr>
                    <a:xfrm>
                      <a:off x="0" y="0"/>
                      <a:ext cx="5664490" cy="6307931"/>
                    </a:xfrm>
                    <a:prstGeom prst="rect">
                      <a:avLst/>
                    </a:prstGeom>
                  </pic:spPr>
                </pic:pic>
              </a:graphicData>
            </a:graphic>
          </wp:inline>
        </w:drawing>
      </w:r>
      <w:r>
        <w:rPr>
          <w:sz w:val="20"/>
        </w:rPr>
      </w:r>
    </w:p>
    <w:p>
      <w:pPr>
        <w:spacing w:after="0"/>
        <w:rPr>
          <w:sz w:val="20"/>
        </w:rPr>
        <w:sectPr>
          <w:pgSz w:w="12240" w:h="15840"/>
          <w:pgMar w:header="0" w:footer="1628" w:top="1500" w:bottom="1820" w:left="1720" w:right="1240"/>
        </w:sectPr>
      </w:pPr>
    </w:p>
    <w:p>
      <w:pPr>
        <w:pStyle w:val="BodyText"/>
        <w:spacing w:before="8"/>
        <w:rPr>
          <w:sz w:val="21"/>
        </w:rPr>
      </w:pPr>
    </w:p>
    <w:p>
      <w:pPr>
        <w:spacing w:line="477" w:lineRule="auto" w:before="63"/>
        <w:ind w:left="152" w:right="123" w:firstLine="0"/>
        <w:jc w:val="left"/>
        <w:rPr>
          <w:b/>
          <w:sz w:val="28"/>
        </w:rPr>
      </w:pPr>
      <w:r>
        <w:rPr>
          <w:b/>
          <w:sz w:val="28"/>
        </w:rPr>
        <w:t>Postoperative analgesic effects of either a constant rate infusion of fentanyl, lidocaine, ketamine, dexmedetomidine, or the combination lidocaine-ketamine-dexmedetomidine after ovariohysterectomy in dogs</w:t>
      </w:r>
    </w:p>
    <w:p>
      <w:pPr>
        <w:pStyle w:val="BodyText"/>
        <w:rPr>
          <w:b/>
          <w:sz w:val="28"/>
        </w:rPr>
      </w:pPr>
    </w:p>
    <w:p>
      <w:pPr>
        <w:pStyle w:val="BodyText"/>
        <w:rPr>
          <w:b/>
          <w:sz w:val="26"/>
        </w:rPr>
      </w:pPr>
    </w:p>
    <w:p>
      <w:pPr>
        <w:pStyle w:val="BodyText"/>
        <w:spacing w:line="448" w:lineRule="auto"/>
        <w:ind w:left="152" w:right="106"/>
        <w:rPr>
          <w:sz w:val="16"/>
        </w:rPr>
      </w:pPr>
      <w:r>
        <w:rPr/>
        <w:t>Eduardo Gutierrez-Blanco</w:t>
      </w:r>
      <w:r>
        <w:rPr>
          <w:position w:val="11"/>
          <w:sz w:val="16"/>
        </w:rPr>
        <w:t>*</w:t>
      </w:r>
      <w:r>
        <w:rPr/>
        <w:t>, José M Victoria-Mora</w:t>
      </w:r>
      <w:r>
        <w:rPr>
          <w:position w:val="11"/>
          <w:sz w:val="16"/>
        </w:rPr>
        <w:t>ȸ</w:t>
      </w:r>
      <w:r>
        <w:rPr/>
        <w:t>, Jose A Ibancovichi-Camarillo</w:t>
      </w:r>
      <w:r>
        <w:rPr>
          <w:position w:val="11"/>
          <w:sz w:val="16"/>
        </w:rPr>
        <w:t>‡</w:t>
      </w:r>
      <w:r>
        <w:rPr/>
        <w:t>, Carlos H Sauri-Arceo</w:t>
      </w:r>
      <w:r>
        <w:rPr>
          <w:position w:val="11"/>
          <w:sz w:val="16"/>
        </w:rPr>
        <w:t>*</w:t>
      </w:r>
      <w:r>
        <w:rPr/>
        <w:t>, Manuel E Bolio-González</w:t>
      </w:r>
      <w:r>
        <w:rPr>
          <w:position w:val="11"/>
          <w:sz w:val="16"/>
        </w:rPr>
        <w:t>*</w:t>
      </w:r>
      <w:r>
        <w:rPr/>
        <w:t>, Carlos M Acevedo-Arcique</w:t>
      </w:r>
      <w:r>
        <w:rPr>
          <w:position w:val="11"/>
          <w:sz w:val="16"/>
        </w:rPr>
        <w:t>‡</w:t>
      </w:r>
      <w:r>
        <w:rPr/>
        <w:t>, Gabriela Marin- Cano </w:t>
      </w:r>
      <w:r>
        <w:rPr>
          <w:position w:val="11"/>
          <w:sz w:val="16"/>
        </w:rPr>
        <w:t>ȸ</w:t>
      </w:r>
      <w:r>
        <w:rPr/>
        <w:t>, Paulo VM Steagall</w:t>
      </w:r>
      <w:r>
        <w:rPr>
          <w:position w:val="11"/>
          <w:sz w:val="16"/>
        </w:rPr>
        <w:t>§</w:t>
      </w:r>
    </w:p>
    <w:p>
      <w:pPr>
        <w:spacing w:line="360" w:lineRule="auto" w:before="218"/>
        <w:ind w:left="152" w:right="70" w:firstLine="0"/>
        <w:jc w:val="left"/>
        <w:rPr>
          <w:b/>
          <w:sz w:val="24"/>
        </w:rPr>
      </w:pPr>
      <w:r>
        <w:rPr>
          <w:b/>
          <w:sz w:val="24"/>
        </w:rPr>
        <w:t>*Department of Animal Health and Preventive Medicine, Faculty of Veterinary Medicine, Yucatan Autonomous University, Merida, Mexico</w:t>
      </w:r>
    </w:p>
    <w:p>
      <w:pPr>
        <w:spacing w:line="362" w:lineRule="auto" w:before="84"/>
        <w:ind w:left="152" w:right="370" w:firstLine="0"/>
        <w:jc w:val="left"/>
        <w:rPr>
          <w:b/>
          <w:sz w:val="24"/>
        </w:rPr>
      </w:pPr>
      <w:r>
        <w:rPr>
          <w:position w:val="11"/>
          <w:sz w:val="16"/>
        </w:rPr>
        <w:t>‡</w:t>
      </w:r>
      <w:r>
        <w:rPr>
          <w:b/>
          <w:sz w:val="24"/>
        </w:rPr>
        <w:t>Department of Veterinary Anesthesiology, Faculty of Veterinary Medicine. Mexico State Autonomous University, Toluca, Mexico.</w:t>
      </w:r>
    </w:p>
    <w:p>
      <w:pPr>
        <w:spacing w:line="360" w:lineRule="auto" w:before="90"/>
        <w:ind w:left="152" w:right="70" w:firstLine="0"/>
        <w:jc w:val="left"/>
        <w:rPr>
          <w:b/>
          <w:sz w:val="24"/>
        </w:rPr>
      </w:pPr>
      <w:r>
        <w:rPr>
          <w:b/>
          <w:position w:val="11"/>
          <w:sz w:val="16"/>
        </w:rPr>
        <w:t>ȸ</w:t>
      </w:r>
      <w:r>
        <w:rPr>
          <w:b/>
          <w:sz w:val="24"/>
        </w:rPr>
        <w:t>Department of Veterinary Orthopedics and Traumatology, Faculty of Veterinary Medicine, Mexico State Autonomous University, Toluca, Mexico.</w:t>
      </w:r>
    </w:p>
    <w:p>
      <w:pPr>
        <w:spacing w:line="360" w:lineRule="auto" w:before="89"/>
        <w:ind w:left="152" w:right="749" w:firstLine="0"/>
        <w:jc w:val="left"/>
        <w:rPr>
          <w:b/>
          <w:sz w:val="24"/>
        </w:rPr>
      </w:pPr>
      <w:r>
        <w:rPr>
          <w:b/>
          <w:position w:val="11"/>
          <w:sz w:val="16"/>
        </w:rPr>
        <w:t>§ </w:t>
      </w:r>
      <w:r>
        <w:rPr>
          <w:b/>
          <w:sz w:val="24"/>
        </w:rPr>
        <w:t>Department of Clinical Sciences, Faculty of Veterinary Medicine, University of Montreal, Saint-Hyacinthe, QC, Canada</w:t>
      </w:r>
    </w:p>
    <w:p>
      <w:pPr>
        <w:spacing w:line="362" w:lineRule="auto" w:before="124"/>
        <w:ind w:left="152" w:right="70" w:firstLine="0"/>
        <w:jc w:val="left"/>
        <w:rPr>
          <w:b/>
          <w:sz w:val="24"/>
        </w:rPr>
      </w:pPr>
      <w:r>
        <w:rPr>
          <w:sz w:val="24"/>
        </w:rPr>
        <w:t>Correspondence: </w:t>
      </w:r>
      <w:r>
        <w:rPr>
          <w:b/>
          <w:sz w:val="24"/>
        </w:rPr>
        <w:t>Eduardo Gutierrez-Blanco, Department of Animal Health and Preventive Medicine, Faculty of Veterinary Medicine, Yucatan Autonomous University, Km 15.5 road Merida-Xmatkuil, Merida, Yucatan, Mexico</w:t>
      </w:r>
    </w:p>
    <w:p>
      <w:pPr>
        <w:spacing w:before="121"/>
        <w:ind w:left="152" w:right="70" w:firstLine="0"/>
        <w:jc w:val="left"/>
        <w:rPr>
          <w:b/>
          <w:sz w:val="24"/>
        </w:rPr>
      </w:pPr>
      <w:r>
        <w:rPr>
          <w:b/>
          <w:sz w:val="24"/>
        </w:rPr>
        <w:t>Tel: +52 999 9423200 Branch 16</w:t>
      </w:r>
    </w:p>
    <w:p>
      <w:pPr>
        <w:pStyle w:val="BodyText"/>
        <w:spacing w:before="8"/>
        <w:rPr>
          <w:b/>
          <w:sz w:val="22"/>
        </w:rPr>
      </w:pPr>
    </w:p>
    <w:p>
      <w:pPr>
        <w:spacing w:before="0"/>
        <w:ind w:left="152" w:right="70" w:firstLine="0"/>
        <w:jc w:val="left"/>
        <w:rPr>
          <w:b/>
          <w:sz w:val="24"/>
        </w:rPr>
      </w:pPr>
      <w:r>
        <w:rPr>
          <w:b/>
          <w:sz w:val="24"/>
        </w:rPr>
        <w:t>Email: </w:t>
      </w:r>
      <w:hyperlink r:id="rId37">
        <w:r>
          <w:rPr>
            <w:b/>
            <w:sz w:val="24"/>
          </w:rPr>
          <w:t>gublan@uady.mx</w:t>
        </w:r>
      </w:hyperlink>
    </w:p>
    <w:p>
      <w:pPr>
        <w:pStyle w:val="BodyText"/>
        <w:spacing w:before="4"/>
        <w:rPr>
          <w:b/>
          <w:sz w:val="22"/>
        </w:rPr>
      </w:pPr>
    </w:p>
    <w:p>
      <w:pPr>
        <w:spacing w:before="0"/>
        <w:ind w:left="152" w:right="70" w:firstLine="0"/>
        <w:jc w:val="left"/>
        <w:rPr>
          <w:b/>
          <w:sz w:val="24"/>
        </w:rPr>
      </w:pPr>
      <w:r>
        <w:rPr>
          <w:b/>
          <w:sz w:val="24"/>
        </w:rPr>
        <w:t>Suggested running title: Postoperative analgesia in dogs</w:t>
      </w:r>
    </w:p>
    <w:p>
      <w:pPr>
        <w:spacing w:after="0"/>
        <w:jc w:val="left"/>
        <w:rPr>
          <w:sz w:val="24"/>
        </w:rPr>
        <w:sectPr>
          <w:pgSz w:w="12240" w:h="15840"/>
          <w:pgMar w:header="0" w:footer="1628" w:top="1500" w:bottom="1820" w:left="1720" w:right="1420"/>
        </w:sectPr>
      </w:pPr>
    </w:p>
    <w:p>
      <w:pPr>
        <w:pStyle w:val="BodyText"/>
        <w:spacing w:before="7"/>
        <w:rPr>
          <w:b/>
          <w:sz w:val="20"/>
        </w:rPr>
      </w:pPr>
    </w:p>
    <w:p>
      <w:pPr>
        <w:pStyle w:val="ListParagraph"/>
        <w:numPr>
          <w:ilvl w:val="0"/>
          <w:numId w:val="10"/>
        </w:numPr>
        <w:tabs>
          <w:tab w:pos="712" w:val="left" w:leader="none"/>
          <w:tab w:pos="713" w:val="left" w:leader="none"/>
        </w:tabs>
        <w:spacing w:line="343" w:lineRule="auto" w:before="69" w:after="0"/>
        <w:ind w:left="232" w:right="6638" w:firstLine="0"/>
        <w:jc w:val="left"/>
        <w:rPr>
          <w:sz w:val="24"/>
        </w:rPr>
      </w:pPr>
      <w:r>
        <w:rPr>
          <w:sz w:val="24"/>
        </w:rPr>
        <w:t>XX = Material</w:t>
      </w:r>
      <w:r>
        <w:rPr>
          <w:spacing w:val="-14"/>
          <w:sz w:val="24"/>
        </w:rPr>
        <w:t> </w:t>
      </w:r>
      <w:r>
        <w:rPr>
          <w:sz w:val="24"/>
        </w:rPr>
        <w:t>removed 2</w:t>
      </w:r>
    </w:p>
    <w:p>
      <w:pPr>
        <w:pStyle w:val="ListParagraph"/>
        <w:numPr>
          <w:ilvl w:val="0"/>
          <w:numId w:val="25"/>
        </w:numPr>
        <w:tabs>
          <w:tab w:pos="712" w:val="left" w:leader="none"/>
          <w:tab w:pos="713" w:val="left" w:leader="none"/>
        </w:tabs>
        <w:spacing w:line="240" w:lineRule="auto" w:before="14" w:after="0"/>
        <w:ind w:left="712" w:right="0" w:hanging="480"/>
        <w:jc w:val="left"/>
        <w:rPr>
          <w:b/>
          <w:sz w:val="28"/>
        </w:rPr>
      </w:pPr>
      <w:r>
        <w:rPr>
          <w:b/>
          <w:sz w:val="28"/>
        </w:rPr>
        <w:t>Abstract</w:t>
      </w:r>
    </w:p>
    <w:p>
      <w:pPr>
        <w:pStyle w:val="ListParagraph"/>
        <w:numPr>
          <w:ilvl w:val="0"/>
          <w:numId w:val="25"/>
        </w:numPr>
        <w:tabs>
          <w:tab w:pos="712" w:val="left" w:leader="none"/>
          <w:tab w:pos="713" w:val="left" w:leader="none"/>
        </w:tabs>
        <w:spacing w:line="240" w:lineRule="auto" w:before="113" w:after="0"/>
        <w:ind w:left="712" w:right="0" w:hanging="480"/>
        <w:jc w:val="left"/>
        <w:rPr>
          <w:sz w:val="24"/>
        </w:rPr>
      </w:pPr>
      <w:r>
        <w:rPr>
          <w:b/>
          <w:sz w:val="24"/>
        </w:rPr>
        <w:t>Objective </w:t>
      </w:r>
      <w:r>
        <w:rPr>
          <w:sz w:val="24"/>
        </w:rPr>
        <w:t>To evaluate the postoperative analgesic effects of a constant rate infusion</w:t>
      </w:r>
      <w:r>
        <w:rPr>
          <w:spacing w:val="-31"/>
          <w:sz w:val="24"/>
        </w:rPr>
        <w:t> </w:t>
      </w:r>
      <w:r>
        <w:rPr>
          <w:sz w:val="24"/>
        </w:rPr>
        <w:t>(CRI)</w:t>
      </w:r>
    </w:p>
    <w:p>
      <w:pPr>
        <w:pStyle w:val="BodyText"/>
        <w:spacing w:before="11"/>
        <w:rPr>
          <w:sz w:val="17"/>
        </w:rPr>
      </w:pPr>
    </w:p>
    <w:p>
      <w:pPr>
        <w:pStyle w:val="ListParagraph"/>
        <w:numPr>
          <w:ilvl w:val="0"/>
          <w:numId w:val="25"/>
        </w:numPr>
        <w:tabs>
          <w:tab w:pos="712" w:val="left" w:leader="none"/>
          <w:tab w:pos="713" w:val="left" w:leader="none"/>
        </w:tabs>
        <w:spacing w:line="240" w:lineRule="auto" w:before="69" w:after="0"/>
        <w:ind w:left="712" w:right="0" w:hanging="480"/>
        <w:jc w:val="left"/>
        <w:rPr>
          <w:sz w:val="24"/>
        </w:rPr>
      </w:pPr>
      <w:r>
        <w:rPr>
          <w:sz w:val="24"/>
        </w:rPr>
        <w:t>of either fentanyl (FENT), lidocaine (LID), ketamine (KET), dexmedetomidine (DEX),</w:t>
      </w:r>
      <w:r>
        <w:rPr>
          <w:spacing w:val="-27"/>
          <w:sz w:val="24"/>
        </w:rPr>
        <w:t> </w:t>
      </w:r>
      <w:r>
        <w:rPr>
          <w:sz w:val="24"/>
        </w:rPr>
        <w:t>or</w:t>
      </w:r>
    </w:p>
    <w:p>
      <w:pPr>
        <w:pStyle w:val="BodyText"/>
        <w:rPr>
          <w:sz w:val="18"/>
        </w:rPr>
      </w:pPr>
    </w:p>
    <w:p>
      <w:pPr>
        <w:pStyle w:val="ListParagraph"/>
        <w:numPr>
          <w:ilvl w:val="0"/>
          <w:numId w:val="25"/>
        </w:numPr>
        <w:tabs>
          <w:tab w:pos="712" w:val="left" w:leader="none"/>
          <w:tab w:pos="713" w:val="left" w:leader="none"/>
        </w:tabs>
        <w:spacing w:line="240" w:lineRule="auto" w:before="69" w:after="0"/>
        <w:ind w:left="712" w:right="0" w:hanging="480"/>
        <w:jc w:val="left"/>
        <w:rPr>
          <w:sz w:val="24"/>
        </w:rPr>
      </w:pPr>
      <w:r>
        <w:rPr>
          <w:sz w:val="24"/>
        </w:rPr>
        <w:t>the combination lidocaine-ketamine-dexmedetomidine (LKD) </w:t>
      </w:r>
      <w:r>
        <w:rPr>
          <w:spacing w:val="-3"/>
          <w:sz w:val="24"/>
        </w:rPr>
        <w:t>in</w:t>
      </w:r>
      <w:r>
        <w:rPr>
          <w:spacing w:val="-12"/>
          <w:sz w:val="24"/>
        </w:rPr>
        <w:t> </w:t>
      </w:r>
      <w:r>
        <w:rPr>
          <w:sz w:val="24"/>
        </w:rPr>
        <w:t>dogs.</w:t>
      </w:r>
    </w:p>
    <w:p>
      <w:pPr>
        <w:pStyle w:val="BodyText"/>
      </w:pPr>
    </w:p>
    <w:p>
      <w:pPr>
        <w:pStyle w:val="BodyText"/>
        <w:ind w:left="232"/>
      </w:pPr>
      <w:r>
        <w:rPr/>
        <w:t>7</w:t>
      </w:r>
    </w:p>
    <w:p>
      <w:pPr>
        <w:pStyle w:val="BodyText"/>
        <w:spacing w:before="11"/>
        <w:rPr>
          <w:sz w:val="17"/>
        </w:rPr>
      </w:pPr>
    </w:p>
    <w:p>
      <w:pPr>
        <w:tabs>
          <w:tab w:pos="712" w:val="left" w:leader="none"/>
        </w:tabs>
        <w:spacing w:before="69"/>
        <w:ind w:left="232" w:right="0" w:firstLine="0"/>
        <w:jc w:val="left"/>
        <w:rPr>
          <w:sz w:val="24"/>
        </w:rPr>
      </w:pPr>
      <w:r>
        <w:rPr>
          <w:sz w:val="24"/>
        </w:rPr>
        <w:t>8</w:t>
        <w:tab/>
      </w:r>
      <w:r>
        <w:rPr>
          <w:b/>
          <w:sz w:val="24"/>
        </w:rPr>
        <w:t>Study Design </w:t>
      </w:r>
      <w:r>
        <w:rPr>
          <w:sz w:val="24"/>
        </w:rPr>
        <w:t>Randomized, prospective, blinded, clinical</w:t>
      </w:r>
      <w:r>
        <w:rPr>
          <w:spacing w:val="-28"/>
          <w:sz w:val="24"/>
        </w:rPr>
        <w:t> </w:t>
      </w:r>
      <w:r>
        <w:rPr>
          <w:sz w:val="24"/>
        </w:rPr>
        <w:t>study.</w:t>
      </w:r>
    </w:p>
    <w:p>
      <w:pPr>
        <w:pStyle w:val="BodyText"/>
      </w:pPr>
    </w:p>
    <w:p>
      <w:pPr>
        <w:pStyle w:val="BodyText"/>
        <w:ind w:left="232"/>
      </w:pPr>
      <w:r>
        <w:rPr/>
        <w:t>9</w:t>
      </w:r>
    </w:p>
    <w:p>
      <w:pPr>
        <w:pStyle w:val="BodyText"/>
        <w:spacing w:before="11"/>
        <w:rPr>
          <w:sz w:val="17"/>
        </w:rPr>
      </w:pPr>
    </w:p>
    <w:p>
      <w:pPr>
        <w:tabs>
          <w:tab w:pos="712" w:val="left" w:leader="none"/>
        </w:tabs>
        <w:spacing w:line="480" w:lineRule="auto" w:before="69"/>
        <w:ind w:left="112" w:right="6585" w:firstLine="0"/>
        <w:jc w:val="left"/>
        <w:rPr>
          <w:sz w:val="24"/>
        </w:rPr>
      </w:pPr>
      <w:r>
        <w:rPr>
          <w:sz w:val="24"/>
        </w:rPr>
        <w:t>10</w:t>
        <w:tab/>
      </w:r>
      <w:r>
        <w:rPr>
          <w:b/>
          <w:sz w:val="24"/>
        </w:rPr>
        <w:t>Animals </w:t>
      </w:r>
      <w:r>
        <w:rPr>
          <w:sz w:val="24"/>
        </w:rPr>
        <w:t>Fifty</w:t>
      </w:r>
      <w:r>
        <w:rPr>
          <w:spacing w:val="-5"/>
          <w:sz w:val="24"/>
        </w:rPr>
        <w:t> </w:t>
      </w:r>
      <w:r>
        <w:rPr>
          <w:sz w:val="24"/>
        </w:rPr>
        <w:t>four</w:t>
      </w:r>
      <w:r>
        <w:rPr>
          <w:spacing w:val="3"/>
          <w:sz w:val="24"/>
        </w:rPr>
        <w:t> </w:t>
      </w:r>
      <w:r>
        <w:rPr>
          <w:sz w:val="24"/>
        </w:rPr>
        <w:t>dogs</w:t>
      </w:r>
      <w:r>
        <w:rPr>
          <w:w w:val="99"/>
          <w:sz w:val="24"/>
        </w:rPr>
        <w:t> </w:t>
      </w:r>
      <w:r>
        <w:rPr>
          <w:sz w:val="24"/>
        </w:rPr>
        <w:t>11</w:t>
      </w:r>
    </w:p>
    <w:p>
      <w:pPr>
        <w:pStyle w:val="ListParagraph"/>
        <w:numPr>
          <w:ilvl w:val="0"/>
          <w:numId w:val="26"/>
        </w:numPr>
        <w:tabs>
          <w:tab w:pos="712" w:val="left" w:leader="none"/>
          <w:tab w:pos="713" w:val="left" w:leader="none"/>
        </w:tabs>
        <w:spacing w:line="240" w:lineRule="auto" w:before="15" w:after="0"/>
        <w:ind w:left="712" w:right="0" w:hanging="600"/>
        <w:jc w:val="left"/>
        <w:rPr>
          <w:b/>
          <w:sz w:val="24"/>
        </w:rPr>
      </w:pPr>
      <w:r>
        <w:rPr>
          <w:b/>
          <w:sz w:val="24"/>
        </w:rPr>
        <w:t>Methods</w:t>
      </w:r>
    </w:p>
    <w:p>
      <w:pPr>
        <w:pStyle w:val="BodyText"/>
        <w:spacing w:before="6"/>
        <w:rPr>
          <w:b/>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Anesthesia was induced with propofol and maintained with isoflurane </w:t>
      </w:r>
      <w:r>
        <w:rPr>
          <w:spacing w:val="-3"/>
          <w:sz w:val="24"/>
        </w:rPr>
        <w:t>in </w:t>
      </w:r>
      <w:r>
        <w:rPr>
          <w:sz w:val="24"/>
        </w:rPr>
        <w:t>100%</w:t>
      </w:r>
      <w:r>
        <w:rPr>
          <w:spacing w:val="-27"/>
          <w:sz w:val="24"/>
        </w:rPr>
        <w:t> </w:t>
      </w:r>
      <w:r>
        <w:rPr>
          <w:sz w:val="24"/>
        </w:rPr>
        <w:t>oxygen.</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Treatments were delivered as a CRI after bolus administration and given until the end</w:t>
      </w:r>
      <w:r>
        <w:rPr>
          <w:spacing w:val="-35"/>
          <w:sz w:val="24"/>
        </w:rPr>
        <w:t> </w:t>
      </w:r>
      <w:r>
        <w:rPr>
          <w:sz w:val="24"/>
        </w:rPr>
        <w:t>of</w:t>
      </w:r>
    </w:p>
    <w:p>
      <w:pPr>
        <w:pStyle w:val="BodyText"/>
        <w:rPr>
          <w:sz w:val="18"/>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surgery. </w:t>
      </w:r>
      <w:r>
        <w:rPr>
          <w:spacing w:val="-3"/>
          <w:sz w:val="24"/>
        </w:rPr>
        <w:t>At </w:t>
      </w:r>
      <w:r>
        <w:rPr>
          <w:sz w:val="24"/>
        </w:rPr>
        <w:t>that time point, doses were decreased, and administered </w:t>
      </w:r>
      <w:r>
        <w:rPr>
          <w:spacing w:val="-3"/>
          <w:sz w:val="24"/>
        </w:rPr>
        <w:t>in </w:t>
      </w:r>
      <w:r>
        <w:rPr>
          <w:sz w:val="24"/>
        </w:rPr>
        <w:t>the</w:t>
      </w:r>
      <w:r>
        <w:rPr>
          <w:spacing w:val="-18"/>
          <w:sz w:val="24"/>
        </w:rPr>
        <w:t> </w:t>
      </w:r>
      <w:r>
        <w:rPr>
          <w:sz w:val="24"/>
        </w:rPr>
        <w:t>postoperative</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period for 4h as follows: saline 0.9%/butorphanol (butorphanol 0.4 mg/kg IV</w:t>
      </w:r>
      <w:r>
        <w:rPr>
          <w:spacing w:val="-21"/>
          <w:sz w:val="24"/>
        </w:rPr>
        <w:t> </w:t>
      </w:r>
      <w:r>
        <w:rPr>
          <w:sz w:val="24"/>
        </w:rPr>
        <w:t>after</w:t>
      </w:r>
    </w:p>
    <w:p>
      <w:pPr>
        <w:pStyle w:val="BodyText"/>
        <w:spacing w:before="10"/>
        <w:rPr>
          <w:sz w:val="20"/>
        </w:rPr>
      </w:pPr>
    </w:p>
    <w:p>
      <w:pPr>
        <w:pStyle w:val="ListParagraph"/>
        <w:numPr>
          <w:ilvl w:val="0"/>
          <w:numId w:val="26"/>
        </w:numPr>
        <w:tabs>
          <w:tab w:pos="712" w:val="left" w:leader="none"/>
          <w:tab w:pos="713" w:val="left" w:leader="none"/>
        </w:tabs>
        <w:spacing w:line="240" w:lineRule="auto" w:before="0" w:after="0"/>
        <w:ind w:left="712" w:right="0" w:hanging="600"/>
        <w:jc w:val="left"/>
        <w:rPr>
          <w:sz w:val="24"/>
        </w:rPr>
      </w:pPr>
      <w:r>
        <w:rPr>
          <w:sz w:val="24"/>
        </w:rPr>
        <w:t>induction, saline 0.9% CRI, CONTROL/BUT); FENT (2.5 µg kg</w:t>
      </w:r>
      <w:r>
        <w:rPr>
          <w:position w:val="11"/>
          <w:sz w:val="16"/>
        </w:rPr>
        <w:t>-1 </w:t>
      </w:r>
      <w:r>
        <w:rPr>
          <w:sz w:val="24"/>
        </w:rPr>
        <w:t>hour</w:t>
      </w:r>
      <w:r>
        <w:rPr>
          <w:position w:val="11"/>
          <w:sz w:val="16"/>
        </w:rPr>
        <w:t>-1</w:t>
      </w:r>
      <w:r>
        <w:rPr>
          <w:sz w:val="24"/>
        </w:rPr>
        <w:t>); ketamine (10</w:t>
      </w:r>
      <w:r>
        <w:rPr>
          <w:spacing w:val="-4"/>
          <w:sz w:val="24"/>
        </w:rPr>
        <w:t> </w:t>
      </w:r>
      <w:r>
        <w:rPr>
          <w:sz w:val="24"/>
        </w:rPr>
        <w:t>µg</w:t>
      </w:r>
    </w:p>
    <w:p>
      <w:pPr>
        <w:pStyle w:val="ListParagraph"/>
        <w:numPr>
          <w:ilvl w:val="0"/>
          <w:numId w:val="26"/>
        </w:numPr>
        <w:tabs>
          <w:tab w:pos="712" w:val="left" w:leader="none"/>
          <w:tab w:pos="713" w:val="left" w:leader="none"/>
        </w:tabs>
        <w:spacing w:line="240" w:lineRule="auto" w:before="241" w:after="0"/>
        <w:ind w:left="712" w:right="0" w:hanging="600"/>
        <w:jc w:val="left"/>
        <w:rPr>
          <w:sz w:val="24"/>
        </w:rPr>
      </w:pPr>
      <w:r>
        <w:rPr>
          <w:sz w:val="24"/>
        </w:rPr>
        <w:t>kg</w:t>
      </w:r>
      <w:r>
        <w:rPr>
          <w:position w:val="11"/>
          <w:sz w:val="16"/>
        </w:rPr>
        <w:t>-1  </w:t>
      </w:r>
      <w:r>
        <w:rPr>
          <w:sz w:val="24"/>
        </w:rPr>
        <w:t>minute</w:t>
      </w:r>
      <w:r>
        <w:rPr>
          <w:position w:val="11"/>
          <w:sz w:val="16"/>
        </w:rPr>
        <w:t>-1</w:t>
      </w:r>
      <w:r>
        <w:rPr>
          <w:sz w:val="24"/>
        </w:rPr>
        <w:t>), lidocaine (25 µg kg</w:t>
      </w:r>
      <w:r>
        <w:rPr>
          <w:position w:val="11"/>
          <w:sz w:val="16"/>
        </w:rPr>
        <w:t>-1 </w:t>
      </w:r>
      <w:r>
        <w:rPr>
          <w:sz w:val="24"/>
        </w:rPr>
        <w:t>minute</w:t>
      </w:r>
      <w:r>
        <w:rPr>
          <w:position w:val="11"/>
          <w:sz w:val="16"/>
        </w:rPr>
        <w:t>-1</w:t>
      </w:r>
      <w:r>
        <w:rPr>
          <w:sz w:val="24"/>
        </w:rPr>
        <w:t>); dexmedetomidine (1 µg kg</w:t>
      </w:r>
      <w:r>
        <w:rPr>
          <w:position w:val="11"/>
          <w:sz w:val="16"/>
        </w:rPr>
        <w:t>-1 </w:t>
      </w:r>
      <w:r>
        <w:rPr>
          <w:sz w:val="24"/>
        </w:rPr>
        <w:t>hour</w:t>
      </w:r>
      <w:r>
        <w:rPr>
          <w:position w:val="11"/>
          <w:sz w:val="16"/>
        </w:rPr>
        <w:t>-1</w:t>
      </w:r>
      <w:r>
        <w:rPr>
          <w:sz w:val="24"/>
        </w:rPr>
        <w:t>); or a</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combination of LKD at the aforementioned doses. Postoperative analgesia was</w:t>
      </w:r>
      <w:r>
        <w:rPr>
          <w:spacing w:val="-28"/>
          <w:sz w:val="24"/>
        </w:rPr>
        <w:t> </w:t>
      </w:r>
      <w:r>
        <w:rPr>
          <w:sz w:val="24"/>
        </w:rPr>
        <w:t>evaluated</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using</w:t>
      </w:r>
      <w:r>
        <w:rPr>
          <w:spacing w:val="-3"/>
          <w:sz w:val="24"/>
        </w:rPr>
        <w:t> </w:t>
      </w:r>
      <w:r>
        <w:rPr>
          <w:sz w:val="24"/>
        </w:rPr>
        <w:t>three</w:t>
      </w:r>
      <w:r>
        <w:rPr>
          <w:spacing w:val="-4"/>
          <w:sz w:val="24"/>
        </w:rPr>
        <w:t> </w:t>
      </w:r>
      <w:r>
        <w:rPr>
          <w:sz w:val="24"/>
        </w:rPr>
        <w:t>different</w:t>
      </w:r>
      <w:r>
        <w:rPr>
          <w:spacing w:val="2"/>
          <w:sz w:val="24"/>
        </w:rPr>
        <w:t> </w:t>
      </w:r>
      <w:r>
        <w:rPr>
          <w:sz w:val="24"/>
        </w:rPr>
        <w:t>pain</w:t>
      </w:r>
      <w:r>
        <w:rPr>
          <w:spacing w:val="-8"/>
          <w:sz w:val="24"/>
        </w:rPr>
        <w:t> </w:t>
      </w:r>
      <w:r>
        <w:rPr>
          <w:sz w:val="24"/>
        </w:rPr>
        <w:t>scales</w:t>
      </w:r>
      <w:r>
        <w:rPr>
          <w:spacing w:val="-5"/>
          <w:sz w:val="24"/>
        </w:rPr>
        <w:t> </w:t>
      </w:r>
      <w:r>
        <w:rPr>
          <w:sz w:val="24"/>
        </w:rPr>
        <w:t>(Glasgow</w:t>
      </w:r>
      <w:r>
        <w:rPr>
          <w:spacing w:val="-4"/>
          <w:sz w:val="24"/>
        </w:rPr>
        <w:t> </w:t>
      </w:r>
      <w:r>
        <w:rPr>
          <w:sz w:val="24"/>
        </w:rPr>
        <w:t>composite</w:t>
      </w:r>
      <w:r>
        <w:rPr>
          <w:spacing w:val="-4"/>
          <w:sz w:val="24"/>
        </w:rPr>
        <w:t> </w:t>
      </w:r>
      <w:r>
        <w:rPr>
          <w:sz w:val="24"/>
        </w:rPr>
        <w:t>pain</w:t>
      </w:r>
      <w:r>
        <w:rPr>
          <w:spacing w:val="-8"/>
          <w:sz w:val="24"/>
        </w:rPr>
        <w:t> </w:t>
      </w:r>
      <w:r>
        <w:rPr>
          <w:sz w:val="24"/>
        </w:rPr>
        <w:t>scale,</w:t>
      </w:r>
      <w:r>
        <w:rPr>
          <w:spacing w:val="-1"/>
          <w:sz w:val="24"/>
        </w:rPr>
        <w:t> </w:t>
      </w:r>
      <w:r>
        <w:rPr>
          <w:sz w:val="24"/>
        </w:rPr>
        <w:t>University</w:t>
      </w:r>
      <w:r>
        <w:rPr>
          <w:spacing w:val="-12"/>
          <w:sz w:val="24"/>
        </w:rPr>
        <w:t> </w:t>
      </w:r>
      <w:r>
        <w:rPr>
          <w:spacing w:val="4"/>
          <w:sz w:val="24"/>
        </w:rPr>
        <w:t>of</w:t>
      </w:r>
      <w:r>
        <w:rPr>
          <w:spacing w:val="-10"/>
          <w:sz w:val="24"/>
        </w:rPr>
        <w:t> </w:t>
      </w:r>
      <w:r>
        <w:rPr>
          <w:sz w:val="24"/>
        </w:rPr>
        <w:t>Melbourne</w:t>
      </w:r>
    </w:p>
    <w:p>
      <w:pPr>
        <w:pStyle w:val="BodyText"/>
        <w:rPr>
          <w:sz w:val="18"/>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pain scale, and numerical rating scale) up to 24h after surgery. Rescue analgesia</w:t>
      </w:r>
      <w:r>
        <w:rPr>
          <w:spacing w:val="-38"/>
          <w:sz w:val="24"/>
        </w:rPr>
        <w:t> </w:t>
      </w:r>
      <w:r>
        <w:rPr>
          <w:sz w:val="24"/>
        </w:rPr>
        <w:t>was</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provided with morphine and carprofen. Data were analyzed using Friedman or</w:t>
      </w:r>
      <w:r>
        <w:rPr>
          <w:spacing w:val="-33"/>
          <w:sz w:val="24"/>
        </w:rPr>
        <w:t> </w:t>
      </w:r>
      <w:r>
        <w:rPr>
          <w:sz w:val="24"/>
        </w:rPr>
        <w:t>Kruskal-</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Wallis test with appropriate post-hoc testing (</w:t>
      </w:r>
      <w:r>
        <w:rPr>
          <w:i/>
          <w:sz w:val="24"/>
        </w:rPr>
        <w:t>P </w:t>
      </w:r>
      <w:r>
        <w:rPr>
          <w:sz w:val="24"/>
        </w:rPr>
        <w:t>&lt;</w:t>
      </w:r>
      <w:r>
        <w:rPr>
          <w:spacing w:val="-14"/>
          <w:sz w:val="24"/>
        </w:rPr>
        <w:t> </w:t>
      </w:r>
      <w:r>
        <w:rPr>
          <w:sz w:val="24"/>
        </w:rPr>
        <w:t>0.05).</w:t>
      </w:r>
    </w:p>
    <w:p>
      <w:pPr>
        <w:spacing w:after="0" w:line="240" w:lineRule="auto"/>
        <w:jc w:val="left"/>
        <w:rPr>
          <w:sz w:val="24"/>
        </w:rPr>
        <w:sectPr>
          <w:pgSz w:w="12240" w:h="15840"/>
          <w:pgMar w:header="0" w:footer="1628" w:top="1500" w:bottom="1880" w:left="1160" w:right="1420"/>
        </w:sectPr>
      </w:pPr>
    </w:p>
    <w:p>
      <w:pPr>
        <w:pStyle w:val="BodyText"/>
        <w:spacing w:before="1"/>
        <w:rPr>
          <w:sz w:val="21"/>
        </w:rPr>
      </w:pPr>
    </w:p>
    <w:p>
      <w:pPr>
        <w:pStyle w:val="ListParagraph"/>
        <w:numPr>
          <w:ilvl w:val="0"/>
          <w:numId w:val="26"/>
        </w:numPr>
        <w:tabs>
          <w:tab w:pos="712" w:val="left" w:leader="none"/>
          <w:tab w:pos="713" w:val="left" w:leader="none"/>
        </w:tabs>
        <w:spacing w:line="240" w:lineRule="auto" w:before="69" w:after="0"/>
        <w:ind w:left="712" w:right="0" w:hanging="600"/>
        <w:jc w:val="left"/>
        <w:rPr>
          <w:b/>
          <w:sz w:val="24"/>
        </w:rPr>
      </w:pPr>
      <w:r>
        <w:rPr>
          <w:b/>
          <w:sz w:val="24"/>
        </w:rPr>
        <w:t>Results</w:t>
      </w:r>
    </w:p>
    <w:p>
      <w:pPr>
        <w:pStyle w:val="BodyText"/>
        <w:spacing w:before="7"/>
        <w:rPr>
          <w:b/>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Groups (n) that required rescue analgesia included CONTROL (8), KET (3), DEX (2),</w:t>
      </w:r>
      <w:r>
        <w:rPr>
          <w:spacing w:val="-35"/>
          <w:sz w:val="24"/>
        </w:rPr>
        <w:t> </w:t>
      </w:r>
      <w:r>
        <w:rPr>
          <w:sz w:val="24"/>
        </w:rPr>
        <w:t>and</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LID (2).  There was a significantly higher incidence of treatment failure</w:t>
      </w:r>
      <w:r>
        <w:rPr>
          <w:spacing w:val="-24"/>
          <w:sz w:val="24"/>
        </w:rPr>
        <w:t> </w:t>
      </w:r>
      <w:r>
        <w:rPr>
          <w:spacing w:val="-3"/>
          <w:sz w:val="24"/>
        </w:rPr>
        <w:t>in</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CONTROL/BUT when compared with other groups. </w:t>
      </w:r>
      <w:r>
        <w:rPr>
          <w:spacing w:val="-3"/>
          <w:sz w:val="24"/>
        </w:rPr>
        <w:t>LKD </w:t>
      </w:r>
      <w:r>
        <w:rPr>
          <w:sz w:val="24"/>
        </w:rPr>
        <w:t>pain scores were</w:t>
      </w:r>
      <w:r>
        <w:rPr>
          <w:spacing w:val="-25"/>
          <w:sz w:val="24"/>
        </w:rPr>
        <w:t> </w:t>
      </w:r>
      <w:r>
        <w:rPr>
          <w:sz w:val="24"/>
        </w:rPr>
        <w:t>significantly</w:t>
      </w:r>
    </w:p>
    <w:p>
      <w:pPr>
        <w:pStyle w:val="BodyText"/>
        <w:rPr>
          <w:sz w:val="18"/>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decreased at different time points than other treatments. Overall, CONTROL/BUT</w:t>
      </w:r>
      <w:r>
        <w:rPr>
          <w:spacing w:val="-33"/>
          <w:sz w:val="24"/>
        </w:rPr>
        <w:t> </w:t>
      </w:r>
      <w:r>
        <w:rPr>
          <w:sz w:val="24"/>
        </w:rPr>
        <w:t>pain</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scores were significantly higher than FENT, DEX and LKD, but not than KET or LIDO</w:t>
      </w:r>
      <w:r>
        <w:rPr>
          <w:spacing w:val="-36"/>
          <w:sz w:val="24"/>
        </w:rPr>
        <w:t> </w:t>
      </w:r>
      <w:r>
        <w:rPr>
          <w:sz w:val="24"/>
        </w:rPr>
        <w:t>at</w:t>
      </w:r>
    </w:p>
    <w:p>
      <w:pPr>
        <w:pStyle w:val="BodyText"/>
        <w:spacing w:before="11"/>
        <w:rPr>
          <w:sz w:val="17"/>
        </w:rPr>
      </w:pPr>
    </w:p>
    <w:p>
      <w:pPr>
        <w:pStyle w:val="ListParagraph"/>
        <w:numPr>
          <w:ilvl w:val="0"/>
          <w:numId w:val="26"/>
        </w:numPr>
        <w:tabs>
          <w:tab w:pos="712" w:val="left" w:leader="none"/>
          <w:tab w:pos="713" w:val="left" w:leader="none"/>
        </w:tabs>
        <w:spacing w:line="240" w:lineRule="auto" w:before="69" w:after="0"/>
        <w:ind w:left="712" w:right="0" w:hanging="600"/>
        <w:jc w:val="left"/>
        <w:rPr>
          <w:sz w:val="24"/>
        </w:rPr>
      </w:pPr>
      <w:r>
        <w:rPr>
          <w:sz w:val="24"/>
        </w:rPr>
        <w:t>1h. Fentanyl and LKD sedation scores were higher than CONTROL at</w:t>
      </w:r>
      <w:r>
        <w:rPr>
          <w:spacing w:val="-28"/>
          <w:sz w:val="24"/>
        </w:rPr>
        <w:t> </w:t>
      </w:r>
      <w:r>
        <w:rPr>
          <w:sz w:val="24"/>
        </w:rPr>
        <w:t>1h.</w:t>
      </w:r>
    </w:p>
    <w:p>
      <w:pPr>
        <w:pStyle w:val="BodyText"/>
      </w:pPr>
    </w:p>
    <w:p>
      <w:pPr>
        <w:pStyle w:val="BodyText"/>
        <w:ind w:left="112"/>
      </w:pPr>
      <w:r>
        <w:rPr/>
        <w:t>31</w:t>
      </w:r>
    </w:p>
    <w:p>
      <w:pPr>
        <w:pStyle w:val="BodyText"/>
        <w:spacing w:before="4"/>
        <w:rPr>
          <w:sz w:val="18"/>
        </w:rPr>
      </w:pPr>
    </w:p>
    <w:p>
      <w:pPr>
        <w:pStyle w:val="ListParagraph"/>
        <w:numPr>
          <w:ilvl w:val="0"/>
          <w:numId w:val="27"/>
        </w:numPr>
        <w:tabs>
          <w:tab w:pos="775" w:val="left" w:leader="none"/>
          <w:tab w:pos="776" w:val="left" w:leader="none"/>
        </w:tabs>
        <w:spacing w:line="240" w:lineRule="auto" w:before="70" w:after="0"/>
        <w:ind w:left="775" w:right="0" w:hanging="663"/>
        <w:jc w:val="left"/>
        <w:rPr>
          <w:b/>
          <w:sz w:val="24"/>
        </w:rPr>
      </w:pPr>
      <w:r>
        <w:rPr>
          <w:b/>
          <w:sz w:val="24"/>
        </w:rPr>
        <w:t>Conclusions and Clinical</w:t>
      </w:r>
      <w:r>
        <w:rPr>
          <w:b/>
          <w:spacing w:val="-17"/>
          <w:sz w:val="24"/>
        </w:rPr>
        <w:t> </w:t>
      </w:r>
      <w:r>
        <w:rPr>
          <w:b/>
          <w:sz w:val="24"/>
        </w:rPr>
        <w:t>Relevance</w:t>
      </w:r>
    </w:p>
    <w:p>
      <w:pPr>
        <w:pStyle w:val="BodyText"/>
        <w:spacing w:before="6"/>
        <w:rPr>
          <w:b/>
          <w:sz w:val="17"/>
        </w:rPr>
      </w:pPr>
    </w:p>
    <w:p>
      <w:pPr>
        <w:pStyle w:val="ListParagraph"/>
        <w:numPr>
          <w:ilvl w:val="0"/>
          <w:numId w:val="27"/>
        </w:numPr>
        <w:tabs>
          <w:tab w:pos="712" w:val="left" w:leader="none"/>
          <w:tab w:pos="713" w:val="left" w:leader="none"/>
        </w:tabs>
        <w:spacing w:line="240" w:lineRule="auto" w:before="69" w:after="0"/>
        <w:ind w:left="712" w:right="0" w:hanging="600"/>
        <w:jc w:val="left"/>
        <w:rPr>
          <w:sz w:val="24"/>
        </w:rPr>
      </w:pPr>
      <w:r>
        <w:rPr>
          <w:sz w:val="24"/>
        </w:rPr>
        <w:t>The combination LKD resulted </w:t>
      </w:r>
      <w:r>
        <w:rPr>
          <w:spacing w:val="-3"/>
          <w:sz w:val="24"/>
        </w:rPr>
        <w:t>in </w:t>
      </w:r>
      <w:r>
        <w:rPr>
          <w:sz w:val="24"/>
        </w:rPr>
        <w:t>adequate postoperative analgesia.</w:t>
      </w:r>
      <w:r>
        <w:rPr>
          <w:spacing w:val="-34"/>
          <w:sz w:val="24"/>
        </w:rPr>
        <w:t> </w:t>
      </w:r>
      <w:r>
        <w:rPr>
          <w:sz w:val="24"/>
        </w:rPr>
        <w:t>Lidocaine,</w:t>
      </w:r>
    </w:p>
    <w:p>
      <w:pPr>
        <w:pStyle w:val="BodyText"/>
        <w:spacing w:before="11"/>
        <w:rPr>
          <w:sz w:val="17"/>
        </w:rPr>
      </w:pPr>
    </w:p>
    <w:p>
      <w:pPr>
        <w:pStyle w:val="ListParagraph"/>
        <w:numPr>
          <w:ilvl w:val="0"/>
          <w:numId w:val="27"/>
        </w:numPr>
        <w:tabs>
          <w:tab w:pos="712" w:val="left" w:leader="none"/>
          <w:tab w:pos="713" w:val="left" w:leader="none"/>
        </w:tabs>
        <w:spacing w:line="240" w:lineRule="auto" w:before="69" w:after="0"/>
        <w:ind w:left="712" w:right="0" w:hanging="600"/>
        <w:jc w:val="left"/>
        <w:rPr>
          <w:sz w:val="24"/>
        </w:rPr>
      </w:pPr>
      <w:r>
        <w:rPr>
          <w:sz w:val="24"/>
        </w:rPr>
        <w:t>CONTROL/BUT, KET and DEX may not </w:t>
      </w:r>
      <w:r>
        <w:rPr>
          <w:spacing w:val="-3"/>
          <w:sz w:val="24"/>
        </w:rPr>
        <w:t>be </w:t>
      </w:r>
      <w:r>
        <w:rPr>
          <w:sz w:val="24"/>
        </w:rPr>
        <w:t>effective for treatment of postoperative</w:t>
      </w:r>
      <w:r>
        <w:rPr>
          <w:spacing w:val="-24"/>
          <w:sz w:val="24"/>
        </w:rPr>
        <w:t> </w:t>
      </w:r>
      <w:r>
        <w:rPr>
          <w:spacing w:val="2"/>
          <w:sz w:val="24"/>
        </w:rPr>
        <w:t>pain</w:t>
      </w:r>
    </w:p>
    <w:p>
      <w:pPr>
        <w:pStyle w:val="BodyText"/>
        <w:rPr>
          <w:sz w:val="18"/>
        </w:rPr>
      </w:pPr>
    </w:p>
    <w:p>
      <w:pPr>
        <w:pStyle w:val="ListParagraph"/>
        <w:numPr>
          <w:ilvl w:val="0"/>
          <w:numId w:val="27"/>
        </w:numPr>
        <w:tabs>
          <w:tab w:pos="712" w:val="left" w:leader="none"/>
          <w:tab w:pos="713" w:val="left" w:leader="none"/>
        </w:tabs>
        <w:spacing w:line="240" w:lineRule="auto" w:before="69" w:after="0"/>
        <w:ind w:left="712" w:right="0" w:hanging="600"/>
        <w:jc w:val="left"/>
        <w:rPr>
          <w:sz w:val="24"/>
        </w:rPr>
      </w:pPr>
      <w:r>
        <w:rPr>
          <w:spacing w:val="-3"/>
          <w:sz w:val="24"/>
        </w:rPr>
        <w:t>in </w:t>
      </w:r>
      <w:r>
        <w:rPr>
          <w:sz w:val="24"/>
        </w:rPr>
        <w:t>dogs undergoing</w:t>
      </w:r>
      <w:r>
        <w:rPr>
          <w:spacing w:val="-14"/>
          <w:sz w:val="24"/>
        </w:rPr>
        <w:t> </w:t>
      </w:r>
      <w:r>
        <w:rPr>
          <w:sz w:val="24"/>
        </w:rPr>
        <w:t>ovariohysterectomy.</w:t>
      </w:r>
    </w:p>
    <w:p>
      <w:pPr>
        <w:pStyle w:val="BodyText"/>
        <w:spacing w:before="11"/>
        <w:rPr>
          <w:sz w:val="17"/>
        </w:rPr>
      </w:pPr>
    </w:p>
    <w:p>
      <w:pPr>
        <w:pStyle w:val="ListParagraph"/>
        <w:numPr>
          <w:ilvl w:val="0"/>
          <w:numId w:val="27"/>
        </w:numPr>
        <w:tabs>
          <w:tab w:pos="712" w:val="left" w:leader="none"/>
          <w:tab w:pos="713" w:val="left" w:leader="none"/>
        </w:tabs>
        <w:spacing w:line="240" w:lineRule="auto" w:before="69" w:after="0"/>
        <w:ind w:left="712" w:right="0" w:hanging="600"/>
        <w:jc w:val="left"/>
        <w:rPr>
          <w:i/>
          <w:sz w:val="24"/>
        </w:rPr>
      </w:pPr>
      <w:r>
        <w:rPr>
          <w:b/>
          <w:i/>
          <w:sz w:val="24"/>
        </w:rPr>
        <w:t>Key words: </w:t>
      </w:r>
      <w:r>
        <w:rPr>
          <w:i/>
          <w:sz w:val="24"/>
        </w:rPr>
        <w:t>analgesia; constant-rate-infusion; pain scales;</w:t>
      </w:r>
      <w:r>
        <w:rPr>
          <w:i/>
          <w:spacing w:val="-10"/>
          <w:sz w:val="24"/>
        </w:rPr>
        <w:t> </w:t>
      </w:r>
      <w:r>
        <w:rPr>
          <w:i/>
          <w:sz w:val="24"/>
        </w:rPr>
        <w:t>dog</w:t>
      </w:r>
    </w:p>
    <w:p>
      <w:pPr>
        <w:pStyle w:val="BodyText"/>
        <w:rPr>
          <w:i/>
        </w:rPr>
      </w:pPr>
    </w:p>
    <w:p>
      <w:pPr>
        <w:pStyle w:val="BodyText"/>
        <w:ind w:left="112"/>
      </w:pPr>
      <w:r>
        <w:rPr/>
        <w:t>37</w:t>
      </w:r>
    </w:p>
    <w:p>
      <w:pPr>
        <w:spacing w:after="0"/>
        <w:sectPr>
          <w:pgSz w:w="12240" w:h="15840"/>
          <w:pgMar w:header="0" w:footer="1628" w:top="1500" w:bottom="1880" w:left="1160" w:right="1420"/>
        </w:sectPr>
      </w:pPr>
    </w:p>
    <w:p>
      <w:pPr>
        <w:pStyle w:val="BodyText"/>
        <w:spacing w:before="1"/>
        <w:rPr>
          <w:sz w:val="21"/>
        </w:rPr>
      </w:pPr>
    </w:p>
    <w:p>
      <w:pPr>
        <w:pStyle w:val="ListParagraph"/>
        <w:numPr>
          <w:ilvl w:val="0"/>
          <w:numId w:val="28"/>
        </w:numPr>
        <w:tabs>
          <w:tab w:pos="712" w:val="left" w:leader="none"/>
          <w:tab w:pos="713" w:val="left" w:leader="none"/>
        </w:tabs>
        <w:spacing w:line="240" w:lineRule="auto" w:before="69" w:after="0"/>
        <w:ind w:left="712" w:right="0" w:hanging="600"/>
        <w:jc w:val="left"/>
        <w:rPr>
          <w:b/>
          <w:sz w:val="24"/>
        </w:rPr>
      </w:pPr>
      <w:r>
        <w:rPr>
          <w:b/>
          <w:sz w:val="24"/>
        </w:rPr>
        <w:t>Introduction</w:t>
      </w:r>
    </w:p>
    <w:p>
      <w:pPr>
        <w:pStyle w:val="BodyText"/>
        <w:spacing w:before="7"/>
        <w:rPr>
          <w:b/>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Drugs such as fentanyl, lidocaine, ketamine and/or dexmedetomidine have been</w:t>
      </w:r>
      <w:r>
        <w:rPr>
          <w:spacing w:val="-24"/>
          <w:sz w:val="24"/>
        </w:rPr>
        <w:t> </w:t>
      </w:r>
      <w:r>
        <w:rPr>
          <w:sz w:val="24"/>
        </w:rPr>
        <w:t>commonly</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administered to provide inhalant anesthetic-sparing effects and perioperative analgesia</w:t>
      </w:r>
      <w:r>
        <w:rPr>
          <w:spacing w:val="-27"/>
          <w:sz w:val="24"/>
        </w:rPr>
        <w:t> </w:t>
      </w:r>
      <w:r>
        <w:rPr>
          <w:spacing w:val="-3"/>
          <w:sz w:val="24"/>
        </w:rPr>
        <w:t>in</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dogs (Wagner et </w:t>
      </w:r>
      <w:r>
        <w:rPr>
          <w:spacing w:val="-4"/>
          <w:sz w:val="24"/>
        </w:rPr>
        <w:t>al. </w:t>
      </w:r>
      <w:r>
        <w:rPr>
          <w:sz w:val="24"/>
        </w:rPr>
        <w:t>2002; Steagall et </w:t>
      </w:r>
      <w:r>
        <w:rPr>
          <w:spacing w:val="-4"/>
          <w:sz w:val="24"/>
        </w:rPr>
        <w:t>al. </w:t>
      </w:r>
      <w:r>
        <w:rPr>
          <w:sz w:val="24"/>
        </w:rPr>
        <w:t>2006; Lin et </w:t>
      </w:r>
      <w:r>
        <w:rPr>
          <w:spacing w:val="-4"/>
          <w:sz w:val="24"/>
        </w:rPr>
        <w:t>al. </w:t>
      </w:r>
      <w:r>
        <w:rPr>
          <w:sz w:val="24"/>
        </w:rPr>
        <w:t>2008; Uilenreef et </w:t>
      </w:r>
      <w:r>
        <w:rPr>
          <w:spacing w:val="-3"/>
          <w:sz w:val="24"/>
        </w:rPr>
        <w:t>al. </w:t>
      </w:r>
      <w:r>
        <w:rPr>
          <w:sz w:val="24"/>
        </w:rPr>
        <w:t>2008;</w:t>
      </w:r>
      <w:r>
        <w:rPr>
          <w:spacing w:val="42"/>
          <w:sz w:val="24"/>
        </w:rPr>
        <w:t> </w:t>
      </w:r>
      <w:r>
        <w:rPr>
          <w:sz w:val="24"/>
        </w:rPr>
        <w:t>Ortega</w:t>
      </w:r>
    </w:p>
    <w:p>
      <w:pPr>
        <w:pStyle w:val="BodyText"/>
        <w:rPr>
          <w:sz w:val="18"/>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&amp; Cruz 2011; Columbano </w:t>
      </w:r>
      <w:r>
        <w:rPr>
          <w:spacing w:val="-3"/>
          <w:sz w:val="24"/>
        </w:rPr>
        <w:t>et </w:t>
      </w:r>
      <w:r>
        <w:rPr>
          <w:spacing w:val="-4"/>
          <w:sz w:val="24"/>
        </w:rPr>
        <w:t>al. </w:t>
      </w:r>
      <w:r>
        <w:rPr>
          <w:sz w:val="24"/>
        </w:rPr>
        <w:t>2012; Gutierrez-Blanco et </w:t>
      </w:r>
      <w:r>
        <w:rPr>
          <w:spacing w:val="-3"/>
          <w:sz w:val="24"/>
        </w:rPr>
        <w:t>al. </w:t>
      </w:r>
      <w:r>
        <w:rPr>
          <w:sz w:val="24"/>
        </w:rPr>
        <w:t>2013). However, there</w:t>
      </w:r>
      <w:r>
        <w:rPr>
          <w:spacing w:val="19"/>
          <w:sz w:val="24"/>
        </w:rPr>
        <w:t> </w:t>
      </w:r>
      <w:r>
        <w:rPr>
          <w:spacing w:val="-5"/>
          <w:sz w:val="24"/>
        </w:rPr>
        <w:t>is</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limited information available on the efficacy and early post-operative analgesic</w:t>
      </w:r>
      <w:r>
        <w:rPr>
          <w:spacing w:val="-34"/>
          <w:sz w:val="24"/>
        </w:rPr>
        <w:t> </w:t>
      </w:r>
      <w:r>
        <w:rPr>
          <w:sz w:val="24"/>
        </w:rPr>
        <w:t>effects</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provided by these agents when given alone, or </w:t>
      </w:r>
      <w:r>
        <w:rPr>
          <w:spacing w:val="-3"/>
          <w:sz w:val="24"/>
        </w:rPr>
        <w:t>in </w:t>
      </w:r>
      <w:r>
        <w:rPr>
          <w:sz w:val="24"/>
        </w:rPr>
        <w:t>combination, as a constant rate</w:t>
      </w:r>
      <w:r>
        <w:rPr>
          <w:spacing w:val="-29"/>
          <w:sz w:val="24"/>
        </w:rPr>
        <w:t> </w:t>
      </w:r>
      <w:r>
        <w:rPr>
          <w:sz w:val="24"/>
        </w:rPr>
        <w:t>infusion</w:t>
      </w:r>
    </w:p>
    <w:p>
      <w:pPr>
        <w:pStyle w:val="BodyText"/>
        <w:rPr>
          <w:sz w:val="18"/>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(CRI) to dogs undergoing</w:t>
      </w:r>
      <w:r>
        <w:rPr>
          <w:spacing w:val="-19"/>
          <w:sz w:val="24"/>
        </w:rPr>
        <w:t> </w:t>
      </w:r>
      <w:r>
        <w:rPr>
          <w:sz w:val="24"/>
        </w:rPr>
        <w:t>surgery.</w:t>
      </w:r>
    </w:p>
    <w:p>
      <w:pPr>
        <w:pStyle w:val="BodyText"/>
        <w:spacing w:before="11"/>
        <w:rPr>
          <w:sz w:val="17"/>
        </w:rPr>
      </w:pPr>
    </w:p>
    <w:p>
      <w:pPr>
        <w:pStyle w:val="ListParagraph"/>
        <w:numPr>
          <w:ilvl w:val="0"/>
          <w:numId w:val="28"/>
        </w:numPr>
        <w:tabs>
          <w:tab w:pos="1432" w:val="left" w:leader="none"/>
          <w:tab w:pos="1433" w:val="left" w:leader="none"/>
        </w:tabs>
        <w:spacing w:line="240" w:lineRule="auto" w:before="69" w:after="0"/>
        <w:ind w:left="1433" w:right="0" w:hanging="1321"/>
        <w:jc w:val="left"/>
        <w:rPr>
          <w:sz w:val="24"/>
        </w:rPr>
      </w:pPr>
      <w:r>
        <w:rPr>
          <w:sz w:val="24"/>
        </w:rPr>
        <w:t>The </w:t>
      </w:r>
      <w:r>
        <w:rPr>
          <w:spacing w:val="-3"/>
          <w:sz w:val="24"/>
        </w:rPr>
        <w:t>first </w:t>
      </w:r>
      <w:r>
        <w:rPr>
          <w:sz w:val="24"/>
        </w:rPr>
        <w:t>part of this study reported the isoflurane-sparing and cardiovascular</w:t>
      </w:r>
      <w:r>
        <w:rPr>
          <w:spacing w:val="-7"/>
          <w:sz w:val="24"/>
        </w:rPr>
        <w:t> </w:t>
      </w:r>
      <w:r>
        <w:rPr>
          <w:sz w:val="24"/>
        </w:rPr>
        <w:t>effects</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of a CRI of either fentanyl (FENT), lidocaine (LIDO), ketamine (KET),</w:t>
      </w:r>
      <w:r>
        <w:rPr>
          <w:spacing w:val="-40"/>
          <w:sz w:val="24"/>
        </w:rPr>
        <w:t> </w:t>
      </w:r>
      <w:r>
        <w:rPr>
          <w:sz w:val="24"/>
        </w:rPr>
        <w:t>dexmedetomidine</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(DEX), or the combination lidocaine-ketamine-dexmedetomidine (LKD) </w:t>
      </w:r>
      <w:r>
        <w:rPr>
          <w:spacing w:val="-3"/>
          <w:sz w:val="24"/>
        </w:rPr>
        <w:t>in</w:t>
      </w:r>
      <w:r>
        <w:rPr>
          <w:spacing w:val="-21"/>
          <w:sz w:val="24"/>
        </w:rPr>
        <w:t> </w:t>
      </w:r>
      <w:r>
        <w:rPr>
          <w:sz w:val="24"/>
        </w:rPr>
        <w:t>dogs</w:t>
      </w:r>
    </w:p>
    <w:p>
      <w:pPr>
        <w:pStyle w:val="BodyText"/>
        <w:rPr>
          <w:sz w:val="18"/>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undergoing ovariohysterectomy (Gutierrez-Blanco et </w:t>
      </w:r>
      <w:r>
        <w:rPr>
          <w:spacing w:val="-4"/>
          <w:sz w:val="24"/>
        </w:rPr>
        <w:t>al. </w:t>
      </w:r>
      <w:r>
        <w:rPr>
          <w:sz w:val="24"/>
        </w:rPr>
        <w:t>2013). The second part of</w:t>
      </w:r>
      <w:r>
        <w:rPr>
          <w:spacing w:val="-9"/>
          <w:sz w:val="24"/>
        </w:rPr>
        <w:t> </w:t>
      </w:r>
      <w:r>
        <w:rPr>
          <w:sz w:val="24"/>
        </w:rPr>
        <w:t>the</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study aimed to evaluate postoperative analgesic effects provided by the</w:t>
      </w:r>
      <w:r>
        <w:rPr>
          <w:spacing w:val="-39"/>
          <w:sz w:val="24"/>
        </w:rPr>
        <w:t> </w:t>
      </w:r>
      <w:r>
        <w:rPr>
          <w:sz w:val="24"/>
        </w:rPr>
        <w:t>aforementioned</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treatments </w:t>
      </w:r>
      <w:r>
        <w:rPr>
          <w:spacing w:val="-3"/>
          <w:sz w:val="24"/>
        </w:rPr>
        <w:t>in </w:t>
      </w:r>
      <w:r>
        <w:rPr>
          <w:sz w:val="24"/>
        </w:rPr>
        <w:t>the </w:t>
      </w:r>
      <w:r>
        <w:rPr>
          <w:spacing w:val="-3"/>
          <w:sz w:val="24"/>
        </w:rPr>
        <w:t>same </w:t>
      </w:r>
      <w:r>
        <w:rPr>
          <w:sz w:val="24"/>
        </w:rPr>
        <w:t>population of dogs. The authors hypothesized that treated</w:t>
      </w:r>
      <w:r>
        <w:rPr>
          <w:spacing w:val="2"/>
          <w:sz w:val="24"/>
        </w:rPr>
        <w:t> </w:t>
      </w:r>
      <w:r>
        <w:rPr>
          <w:sz w:val="24"/>
        </w:rPr>
        <w:t>groups</w:t>
      </w:r>
    </w:p>
    <w:p>
      <w:pPr>
        <w:pStyle w:val="BodyText"/>
        <w:rPr>
          <w:sz w:val="18"/>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would present lower pain scores when compared with a control group treated</w:t>
      </w:r>
      <w:r>
        <w:rPr>
          <w:spacing w:val="-24"/>
          <w:sz w:val="24"/>
        </w:rPr>
        <w:t> </w:t>
      </w:r>
      <w:r>
        <w:rPr>
          <w:sz w:val="24"/>
        </w:rPr>
        <w:t>with</w:t>
      </w:r>
    </w:p>
    <w:p>
      <w:pPr>
        <w:pStyle w:val="BodyText"/>
        <w:spacing w:before="11"/>
        <w:rPr>
          <w:sz w:val="17"/>
        </w:rPr>
      </w:pPr>
    </w:p>
    <w:p>
      <w:pPr>
        <w:pStyle w:val="ListParagraph"/>
        <w:numPr>
          <w:ilvl w:val="0"/>
          <w:numId w:val="28"/>
        </w:numPr>
        <w:tabs>
          <w:tab w:pos="712" w:val="left" w:leader="none"/>
          <w:tab w:pos="713" w:val="left" w:leader="none"/>
        </w:tabs>
        <w:spacing w:line="240" w:lineRule="auto" w:before="69" w:after="0"/>
        <w:ind w:left="712" w:right="0" w:hanging="600"/>
        <w:jc w:val="left"/>
        <w:rPr>
          <w:sz w:val="24"/>
        </w:rPr>
      </w:pPr>
      <w:r>
        <w:rPr>
          <w:sz w:val="24"/>
        </w:rPr>
        <w:t>butorphanol</w:t>
      </w:r>
      <w:r>
        <w:rPr>
          <w:spacing w:val="-9"/>
          <w:sz w:val="24"/>
        </w:rPr>
        <w:t> </w:t>
      </w:r>
      <w:r>
        <w:rPr>
          <w:sz w:val="24"/>
        </w:rPr>
        <w:t>(CONTROL/BUT).</w:t>
      </w:r>
    </w:p>
    <w:p>
      <w:pPr>
        <w:pStyle w:val="BodyText"/>
        <w:spacing w:before="4"/>
      </w:pPr>
    </w:p>
    <w:p>
      <w:pPr>
        <w:pStyle w:val="BodyText"/>
        <w:spacing w:before="1"/>
        <w:ind w:left="112"/>
      </w:pPr>
      <w:r>
        <w:rPr/>
        <w:t>54</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b/>
          <w:sz w:val="24"/>
        </w:rPr>
      </w:pPr>
      <w:r>
        <w:rPr>
          <w:b/>
          <w:sz w:val="24"/>
        </w:rPr>
        <w:t>Materials and</w:t>
      </w:r>
      <w:r>
        <w:rPr>
          <w:b/>
          <w:spacing w:val="-10"/>
          <w:sz w:val="24"/>
        </w:rPr>
        <w:t> </w:t>
      </w:r>
      <w:r>
        <w:rPr>
          <w:b/>
          <w:sz w:val="24"/>
        </w:rPr>
        <w:t>methods</w:t>
      </w:r>
    </w:p>
    <w:p>
      <w:pPr>
        <w:pStyle w:val="BodyText"/>
        <w:spacing w:before="11"/>
        <w:rPr>
          <w:b/>
          <w:sz w:val="17"/>
        </w:rPr>
      </w:pPr>
    </w:p>
    <w:p>
      <w:pPr>
        <w:pStyle w:val="Heading3"/>
        <w:numPr>
          <w:ilvl w:val="0"/>
          <w:numId w:val="29"/>
        </w:numPr>
        <w:tabs>
          <w:tab w:pos="712" w:val="left" w:leader="none"/>
          <w:tab w:pos="713" w:val="left" w:leader="none"/>
        </w:tabs>
        <w:spacing w:line="240" w:lineRule="auto" w:before="69" w:after="0"/>
        <w:ind w:left="712" w:right="0" w:hanging="600"/>
        <w:jc w:val="left"/>
        <w:rPr>
          <w:i/>
        </w:rPr>
      </w:pPr>
      <w:r>
        <w:rPr>
          <w:i/>
        </w:rPr>
        <w:t>Animals</w:t>
      </w:r>
    </w:p>
    <w:p>
      <w:pPr>
        <w:pStyle w:val="BodyText"/>
        <w:spacing w:before="6"/>
        <w:rPr>
          <w:b/>
          <w:i/>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Fifty four client-owned mixed-breed nonpregnant and nonaggressive dogs (age 1 to 6</w:t>
      </w:r>
      <w:r>
        <w:rPr>
          <w:spacing w:val="-19"/>
          <w:sz w:val="24"/>
        </w:rPr>
        <w:t> </w:t>
      </w:r>
      <w:r>
        <w:rPr>
          <w:spacing w:val="-3"/>
          <w:sz w:val="24"/>
        </w:rPr>
        <w:t>years</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old) were enrolled </w:t>
      </w:r>
      <w:r>
        <w:rPr>
          <w:spacing w:val="-3"/>
          <w:sz w:val="24"/>
        </w:rPr>
        <w:t>in </w:t>
      </w:r>
      <w:r>
        <w:rPr>
          <w:sz w:val="24"/>
        </w:rPr>
        <w:t>a randomized, prospective, blinded clinical study after</w:t>
      </w:r>
      <w:r>
        <w:rPr>
          <w:spacing w:val="-24"/>
          <w:sz w:val="24"/>
        </w:rPr>
        <w:t> </w:t>
      </w:r>
      <w:r>
        <w:rPr>
          <w:sz w:val="24"/>
        </w:rPr>
        <w:t>owner’s</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written consent was obtained. The dogs were </w:t>
      </w:r>
      <w:r>
        <w:rPr>
          <w:spacing w:val="-3"/>
          <w:sz w:val="24"/>
        </w:rPr>
        <w:t>in </w:t>
      </w:r>
      <w:r>
        <w:rPr>
          <w:sz w:val="24"/>
        </w:rPr>
        <w:t>anestrus and considered to </w:t>
      </w:r>
      <w:r>
        <w:rPr>
          <w:spacing w:val="-3"/>
          <w:sz w:val="24"/>
        </w:rPr>
        <w:t>be </w:t>
      </w:r>
      <w:r>
        <w:rPr>
          <w:sz w:val="24"/>
        </w:rPr>
        <w:t>healthy</w:t>
      </w:r>
      <w:r>
        <w:rPr>
          <w:spacing w:val="-16"/>
          <w:sz w:val="24"/>
        </w:rPr>
        <w:t> </w:t>
      </w:r>
      <w:r>
        <w:rPr>
          <w:sz w:val="24"/>
        </w:rPr>
        <w:t>based</w:t>
      </w:r>
    </w:p>
    <w:p>
      <w:pPr>
        <w:spacing w:after="0" w:line="240" w:lineRule="auto"/>
        <w:jc w:val="left"/>
        <w:rPr>
          <w:sz w:val="24"/>
        </w:rPr>
        <w:sectPr>
          <w:pgSz w:w="12240" w:h="15840"/>
          <w:pgMar w:header="0" w:footer="1628" w:top="1500" w:bottom="1880" w:left="1160" w:right="1420"/>
        </w:sectPr>
      </w:pPr>
    </w:p>
    <w:p>
      <w:pPr>
        <w:pStyle w:val="BodyText"/>
        <w:spacing w:before="7"/>
        <w:rPr>
          <w:sz w:val="20"/>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on medical history, physical examination, CBC and serum biochemical analysis.</w:t>
      </w:r>
      <w:r>
        <w:rPr>
          <w:spacing w:val="-34"/>
          <w:sz w:val="24"/>
        </w:rPr>
        <w:t> </w:t>
      </w:r>
      <w:r>
        <w:rPr>
          <w:sz w:val="24"/>
        </w:rPr>
        <w:t>Exclusion</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criteria included dogs with abnormal laboratory data, cardiac arrhythmias, or that</w:t>
      </w:r>
      <w:r>
        <w:rPr>
          <w:spacing w:val="-26"/>
          <w:sz w:val="24"/>
        </w:rPr>
        <w:t> </w:t>
      </w:r>
      <w:r>
        <w:rPr>
          <w:sz w:val="24"/>
        </w:rPr>
        <w:t>were</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obese (body condition score greater than 6/9) or any clinical signs of systemic disease</w:t>
      </w:r>
      <w:r>
        <w:rPr>
          <w:spacing w:val="-40"/>
          <w:sz w:val="24"/>
        </w:rPr>
        <w:t> </w:t>
      </w:r>
      <w:r>
        <w:rPr>
          <w:sz w:val="24"/>
        </w:rPr>
        <w:t>were</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not included </w:t>
      </w:r>
      <w:r>
        <w:rPr>
          <w:spacing w:val="-3"/>
          <w:sz w:val="24"/>
        </w:rPr>
        <w:t>in </w:t>
      </w:r>
      <w:r>
        <w:rPr>
          <w:sz w:val="24"/>
        </w:rPr>
        <w:t>the study. The study protocol was approved by the Animal Care</w:t>
      </w:r>
      <w:r>
        <w:rPr>
          <w:spacing w:val="-12"/>
          <w:sz w:val="24"/>
        </w:rPr>
        <w:t> </w:t>
      </w:r>
      <w:r>
        <w:rPr>
          <w:sz w:val="24"/>
        </w:rPr>
        <w:t>Committee</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XX (protocol number</w:t>
      </w:r>
      <w:r>
        <w:rPr>
          <w:spacing w:val="-12"/>
          <w:sz w:val="24"/>
        </w:rPr>
        <w:t> </w:t>
      </w:r>
      <w:r>
        <w:rPr>
          <w:sz w:val="24"/>
        </w:rPr>
        <w:t>XX).</w:t>
      </w:r>
    </w:p>
    <w:p>
      <w:pPr>
        <w:pStyle w:val="BodyText"/>
        <w:spacing w:before="4"/>
        <w:rPr>
          <w:sz w:val="18"/>
        </w:rPr>
      </w:pPr>
    </w:p>
    <w:p>
      <w:pPr>
        <w:pStyle w:val="Heading3"/>
        <w:numPr>
          <w:ilvl w:val="0"/>
          <w:numId w:val="29"/>
        </w:numPr>
        <w:tabs>
          <w:tab w:pos="712" w:val="left" w:leader="none"/>
          <w:tab w:pos="713" w:val="left" w:leader="none"/>
        </w:tabs>
        <w:spacing w:line="240" w:lineRule="auto" w:before="70" w:after="0"/>
        <w:ind w:left="712" w:right="0" w:hanging="600"/>
        <w:jc w:val="left"/>
        <w:rPr>
          <w:i/>
        </w:rPr>
      </w:pPr>
      <w:r>
        <w:rPr>
          <w:i/>
        </w:rPr>
        <w:t>Procedure</w:t>
      </w:r>
    </w:p>
    <w:p>
      <w:pPr>
        <w:pStyle w:val="BodyText"/>
        <w:spacing w:before="6"/>
        <w:rPr>
          <w:b/>
          <w:i/>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The anesthetic procedure has been previously reported (Gutierrez-Blanco </w:t>
      </w:r>
      <w:r>
        <w:rPr>
          <w:spacing w:val="-3"/>
          <w:sz w:val="24"/>
        </w:rPr>
        <w:t>et </w:t>
      </w:r>
      <w:r>
        <w:rPr>
          <w:spacing w:val="-4"/>
          <w:sz w:val="24"/>
        </w:rPr>
        <w:t>al.</w:t>
      </w:r>
      <w:r>
        <w:rPr>
          <w:spacing w:val="-3"/>
          <w:sz w:val="24"/>
        </w:rPr>
        <w:t> </w:t>
      </w:r>
      <w:r>
        <w:rPr>
          <w:sz w:val="24"/>
        </w:rPr>
        <w:t>2013).</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Briefly, food but not water was withheld for 10 hours before anesthesia. A</w:t>
      </w:r>
      <w:r>
        <w:rPr>
          <w:spacing w:val="-24"/>
          <w:sz w:val="24"/>
        </w:rPr>
        <w:t> </w:t>
      </w:r>
      <w:r>
        <w:rPr>
          <w:sz w:val="24"/>
        </w:rPr>
        <w:t>20-gauge</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catheter (XX) was aseptically placed into the cephalic vein and anesthesia was</w:t>
      </w:r>
      <w:r>
        <w:rPr>
          <w:spacing w:val="-33"/>
          <w:sz w:val="24"/>
        </w:rPr>
        <w:t> </w:t>
      </w:r>
      <w:r>
        <w:rPr>
          <w:sz w:val="24"/>
        </w:rPr>
        <w:t>induced</w:t>
      </w:r>
    </w:p>
    <w:p>
      <w:pPr>
        <w:pStyle w:val="BodyText"/>
        <w:spacing w:before="10"/>
        <w:rPr>
          <w:sz w:val="20"/>
        </w:rPr>
      </w:pPr>
    </w:p>
    <w:p>
      <w:pPr>
        <w:pStyle w:val="ListParagraph"/>
        <w:numPr>
          <w:ilvl w:val="0"/>
          <w:numId w:val="29"/>
        </w:numPr>
        <w:tabs>
          <w:tab w:pos="712" w:val="left" w:leader="none"/>
          <w:tab w:pos="713" w:val="left" w:leader="none"/>
        </w:tabs>
        <w:spacing w:line="240" w:lineRule="auto" w:before="0" w:after="0"/>
        <w:ind w:left="712" w:right="0" w:hanging="600"/>
        <w:jc w:val="left"/>
        <w:rPr>
          <w:sz w:val="24"/>
        </w:rPr>
      </w:pPr>
      <w:r>
        <w:rPr>
          <w:sz w:val="24"/>
        </w:rPr>
        <w:t>with intravenous administration of 6 </w:t>
      </w:r>
      <w:r>
        <w:rPr>
          <w:spacing w:val="-5"/>
          <w:sz w:val="24"/>
        </w:rPr>
        <w:t>mg </w:t>
      </w:r>
      <w:r>
        <w:rPr>
          <w:sz w:val="24"/>
        </w:rPr>
        <w:t>kg</w:t>
      </w:r>
      <w:r>
        <w:rPr>
          <w:position w:val="11"/>
          <w:sz w:val="16"/>
        </w:rPr>
        <w:t>-1 </w:t>
      </w:r>
      <w:r>
        <w:rPr>
          <w:sz w:val="24"/>
        </w:rPr>
        <w:t>of propofol (XX). After intubation</w:t>
      </w:r>
      <w:r>
        <w:rPr>
          <w:spacing w:val="-3"/>
          <w:sz w:val="24"/>
        </w:rPr>
        <w:t> </w:t>
      </w:r>
      <w:r>
        <w:rPr>
          <w:sz w:val="24"/>
        </w:rPr>
        <w:t>was</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performed, dogs were connected to a rebreathing system and isoflurane (XX) and</w:t>
      </w:r>
      <w:r>
        <w:rPr>
          <w:spacing w:val="-24"/>
          <w:sz w:val="24"/>
        </w:rPr>
        <w:t> </w:t>
      </w:r>
      <w:r>
        <w:rPr>
          <w:sz w:val="24"/>
        </w:rPr>
        <w:t>100%</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oxygen was provided for maintenance of anesthesia. A thermal warming blanket was</w:t>
      </w:r>
      <w:r>
        <w:rPr>
          <w:spacing w:val="-33"/>
          <w:sz w:val="24"/>
        </w:rPr>
        <w:t> </w:t>
      </w:r>
      <w:r>
        <w:rPr>
          <w:sz w:val="24"/>
        </w:rPr>
        <w:t>used</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to maintain body temperature between 37–38ºC. Anesthetic monitoring included</w:t>
      </w:r>
      <w:r>
        <w:rPr>
          <w:spacing w:val="-36"/>
          <w:sz w:val="24"/>
        </w:rPr>
        <w:t> </w:t>
      </w:r>
      <w:r>
        <w:rPr>
          <w:sz w:val="24"/>
        </w:rPr>
        <w:t>invasive</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systolic, mean and diastolic blood pressure, electrocardiogram, pulse oximetry</w:t>
      </w:r>
      <w:r>
        <w:rPr>
          <w:spacing w:val="-39"/>
          <w:sz w:val="24"/>
        </w:rPr>
        <w:t> </w:t>
      </w:r>
      <w:r>
        <w:rPr>
          <w:sz w:val="24"/>
        </w:rPr>
        <w:t>and</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capnography using a multiparametric monitor (XX) (Gutierrez-Blanco </w:t>
      </w:r>
      <w:r>
        <w:rPr>
          <w:spacing w:val="-3"/>
          <w:sz w:val="24"/>
        </w:rPr>
        <w:t>et </w:t>
      </w:r>
      <w:r>
        <w:rPr>
          <w:spacing w:val="-4"/>
          <w:sz w:val="24"/>
        </w:rPr>
        <w:t>al. </w:t>
      </w:r>
      <w:r>
        <w:rPr>
          <w:sz w:val="24"/>
        </w:rPr>
        <w:t>2013).</w:t>
      </w:r>
      <w:r>
        <w:rPr>
          <w:spacing w:val="5"/>
          <w:sz w:val="24"/>
        </w:rPr>
        <w:t> </w:t>
      </w:r>
      <w:r>
        <w:rPr>
          <w:sz w:val="24"/>
        </w:rPr>
        <w:t>All</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surgeries were performed by a single trained surgeon (XX). A ventral midline incision</w:t>
      </w:r>
      <w:r>
        <w:rPr>
          <w:spacing w:val="-30"/>
          <w:sz w:val="24"/>
        </w:rPr>
        <w:t> </w:t>
      </w:r>
      <w:r>
        <w:rPr>
          <w:sz w:val="24"/>
        </w:rPr>
        <w:t>was</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made over the skin, subcutaneous tissue and the aponeurosis of the rectus</w:t>
      </w:r>
      <w:r>
        <w:rPr>
          <w:spacing w:val="-31"/>
          <w:sz w:val="24"/>
        </w:rPr>
        <w:t> </w:t>
      </w:r>
      <w:r>
        <w:rPr>
          <w:sz w:val="24"/>
        </w:rPr>
        <w:t>abdominis</w:t>
      </w:r>
    </w:p>
    <w:p>
      <w:pPr>
        <w:pStyle w:val="BodyText"/>
        <w:rPr>
          <w:sz w:val="18"/>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muscle, and a </w:t>
      </w:r>
      <w:r>
        <w:rPr>
          <w:spacing w:val="-3"/>
          <w:sz w:val="24"/>
        </w:rPr>
        <w:t>modified </w:t>
      </w:r>
      <w:r>
        <w:rPr>
          <w:sz w:val="24"/>
        </w:rPr>
        <w:t>3-clamp technique was employed. The abdominal wall was</w:t>
      </w:r>
      <w:r>
        <w:rPr>
          <w:spacing w:val="-11"/>
          <w:sz w:val="24"/>
        </w:rPr>
        <w:t> </w:t>
      </w:r>
      <w:r>
        <w:rPr>
          <w:sz w:val="24"/>
        </w:rPr>
        <w:t>closed</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with </w:t>
      </w:r>
      <w:r>
        <w:rPr>
          <w:spacing w:val="-3"/>
          <w:sz w:val="24"/>
        </w:rPr>
        <w:t>no </w:t>
      </w:r>
      <w:r>
        <w:rPr>
          <w:sz w:val="24"/>
        </w:rPr>
        <w:t>greater than appositional tension using a simple continuous pattern of</w:t>
      </w:r>
      <w:r>
        <w:rPr>
          <w:spacing w:val="-28"/>
          <w:sz w:val="24"/>
        </w:rPr>
        <w:t> </w:t>
      </w:r>
      <w:r>
        <w:rPr>
          <w:sz w:val="24"/>
        </w:rPr>
        <w:t>absorbable</w:t>
      </w:r>
    </w:p>
    <w:p>
      <w:pPr>
        <w:pStyle w:val="BodyText"/>
        <w:spacing w:before="11"/>
        <w:rPr>
          <w:sz w:val="17"/>
        </w:rPr>
      </w:pPr>
    </w:p>
    <w:p>
      <w:pPr>
        <w:pStyle w:val="ListParagraph"/>
        <w:numPr>
          <w:ilvl w:val="0"/>
          <w:numId w:val="29"/>
        </w:numPr>
        <w:tabs>
          <w:tab w:pos="712" w:val="left" w:leader="none"/>
          <w:tab w:pos="713" w:val="left" w:leader="none"/>
        </w:tabs>
        <w:spacing w:line="240" w:lineRule="auto" w:before="69" w:after="0"/>
        <w:ind w:left="712" w:right="0" w:hanging="600"/>
        <w:jc w:val="left"/>
        <w:rPr>
          <w:sz w:val="24"/>
        </w:rPr>
      </w:pPr>
      <w:r>
        <w:rPr>
          <w:sz w:val="24"/>
        </w:rPr>
        <w:t>sutures and the skin was closed </w:t>
      </w:r>
      <w:r>
        <w:rPr>
          <w:spacing w:val="-3"/>
          <w:sz w:val="24"/>
        </w:rPr>
        <w:t>in </w:t>
      </w:r>
      <w:r>
        <w:rPr>
          <w:sz w:val="24"/>
        </w:rPr>
        <w:t>a simple interrupted</w:t>
      </w:r>
      <w:r>
        <w:rPr>
          <w:spacing w:val="-16"/>
          <w:sz w:val="24"/>
        </w:rPr>
        <w:t> </w:t>
      </w:r>
      <w:r>
        <w:rPr>
          <w:sz w:val="24"/>
        </w:rPr>
        <w:t>pattern.</w:t>
      </w:r>
    </w:p>
    <w:p>
      <w:pPr>
        <w:pStyle w:val="BodyText"/>
        <w:spacing w:before="5"/>
      </w:pPr>
    </w:p>
    <w:p>
      <w:pPr>
        <w:pStyle w:val="BodyText"/>
        <w:ind w:left="112"/>
      </w:pPr>
      <w:r>
        <w:rPr/>
        <w:t>80</w:t>
      </w:r>
    </w:p>
    <w:p>
      <w:pPr>
        <w:pStyle w:val="BodyText"/>
        <w:spacing w:before="11"/>
        <w:rPr>
          <w:sz w:val="17"/>
        </w:rPr>
      </w:pPr>
    </w:p>
    <w:p>
      <w:pPr>
        <w:tabs>
          <w:tab w:pos="712" w:val="left" w:leader="none"/>
        </w:tabs>
        <w:spacing w:before="69"/>
        <w:ind w:left="112" w:right="0" w:firstLine="0"/>
        <w:jc w:val="left"/>
        <w:rPr>
          <w:b/>
          <w:i/>
          <w:sz w:val="24"/>
        </w:rPr>
      </w:pPr>
      <w:r>
        <w:rPr>
          <w:sz w:val="24"/>
        </w:rPr>
        <w:t>81</w:t>
        <w:tab/>
      </w:r>
      <w:r>
        <w:rPr>
          <w:b/>
          <w:i/>
          <w:sz w:val="24"/>
        </w:rPr>
        <w:t>Treatments</w:t>
      </w:r>
    </w:p>
    <w:p>
      <w:pPr>
        <w:pStyle w:val="BodyText"/>
        <w:spacing w:before="7"/>
        <w:rPr>
          <w:b/>
          <w:i/>
          <w:sz w:val="14"/>
        </w:rPr>
      </w:pPr>
    </w:p>
    <w:p>
      <w:pPr>
        <w:pStyle w:val="BodyText"/>
        <w:spacing w:before="69"/>
        <w:ind w:right="104"/>
        <w:jc w:val="right"/>
      </w:pPr>
      <w:r>
        <w:rPr/>
        <w:t>55</w:t>
      </w:r>
    </w:p>
    <w:p>
      <w:pPr>
        <w:spacing w:after="0"/>
        <w:jc w:val="right"/>
        <w:sectPr>
          <w:footerReference w:type="default" r:id="rId38"/>
          <w:pgSz w:w="12240" w:h="15840"/>
          <w:pgMar w:footer="0" w:header="0" w:top="1500" w:bottom="280" w:left="1160" w:right="1420"/>
        </w:sectPr>
      </w:pPr>
    </w:p>
    <w:p>
      <w:pPr>
        <w:pStyle w:val="BodyText"/>
        <w:spacing w:before="7"/>
        <w:rPr>
          <w:sz w:val="20"/>
        </w:rPr>
      </w:pPr>
    </w:p>
    <w:p>
      <w:pPr>
        <w:pStyle w:val="ListParagraph"/>
        <w:numPr>
          <w:ilvl w:val="0"/>
          <w:numId w:val="30"/>
        </w:numPr>
        <w:tabs>
          <w:tab w:pos="832" w:val="left" w:leader="none"/>
          <w:tab w:pos="833" w:val="left" w:leader="none"/>
        </w:tabs>
        <w:spacing w:line="240" w:lineRule="auto" w:before="69" w:after="0"/>
        <w:ind w:left="232" w:right="0" w:firstLine="0"/>
        <w:jc w:val="left"/>
        <w:rPr>
          <w:sz w:val="24"/>
        </w:rPr>
      </w:pPr>
      <w:r>
        <w:rPr>
          <w:sz w:val="24"/>
        </w:rPr>
        <w:t>Five minutes after induction of anesthesia, a loading dose (LD) was administered</w:t>
      </w:r>
      <w:r>
        <w:rPr>
          <w:spacing w:val="-39"/>
          <w:sz w:val="24"/>
        </w:rPr>
        <w:t> </w:t>
      </w:r>
      <w:r>
        <w:rPr>
          <w:sz w:val="24"/>
        </w:rPr>
        <w:t>and</w:t>
      </w:r>
    </w:p>
    <w:p>
      <w:pPr>
        <w:pStyle w:val="BodyText"/>
        <w:rPr>
          <w:sz w:val="18"/>
        </w:rPr>
      </w:pPr>
    </w:p>
    <w:p>
      <w:pPr>
        <w:pStyle w:val="ListParagraph"/>
        <w:numPr>
          <w:ilvl w:val="0"/>
          <w:numId w:val="30"/>
        </w:numPr>
        <w:tabs>
          <w:tab w:pos="832" w:val="left" w:leader="none"/>
          <w:tab w:pos="833" w:val="left" w:leader="none"/>
        </w:tabs>
        <w:spacing w:line="240" w:lineRule="auto" w:before="69" w:after="0"/>
        <w:ind w:left="832" w:right="0" w:hanging="600"/>
        <w:jc w:val="left"/>
        <w:rPr>
          <w:sz w:val="24"/>
        </w:rPr>
      </w:pPr>
      <w:r>
        <w:rPr>
          <w:sz w:val="24"/>
        </w:rPr>
        <w:t>treatments were started immediately after as a CRI, and using an infusion device (XX).</w:t>
      </w:r>
      <w:r>
        <w:rPr>
          <w:spacing w:val="-21"/>
          <w:sz w:val="24"/>
        </w:rPr>
        <w:t> </w:t>
      </w:r>
      <w:r>
        <w:rPr>
          <w:spacing w:val="-3"/>
          <w:sz w:val="24"/>
        </w:rPr>
        <w:t>At</w:t>
      </w:r>
    </w:p>
    <w:p>
      <w:pPr>
        <w:pStyle w:val="BodyText"/>
        <w:spacing w:before="11"/>
        <w:rPr>
          <w:sz w:val="17"/>
        </w:rPr>
      </w:pPr>
    </w:p>
    <w:p>
      <w:pPr>
        <w:pStyle w:val="ListParagraph"/>
        <w:numPr>
          <w:ilvl w:val="0"/>
          <w:numId w:val="30"/>
        </w:numPr>
        <w:tabs>
          <w:tab w:pos="832" w:val="left" w:leader="none"/>
          <w:tab w:pos="833" w:val="left" w:leader="none"/>
        </w:tabs>
        <w:spacing w:line="240" w:lineRule="auto" w:before="69" w:after="0"/>
        <w:ind w:left="832" w:right="0" w:hanging="600"/>
        <w:jc w:val="left"/>
        <w:rPr>
          <w:sz w:val="24"/>
        </w:rPr>
      </w:pPr>
      <w:r>
        <w:rPr>
          <w:sz w:val="24"/>
        </w:rPr>
        <w:t>the end of surgery, dosage regimens were decreased, and treatments were administered</w:t>
      </w:r>
      <w:r>
        <w:rPr>
          <w:spacing w:val="-25"/>
          <w:sz w:val="24"/>
        </w:rPr>
        <w:t> </w:t>
      </w:r>
      <w:r>
        <w:rPr>
          <w:sz w:val="24"/>
        </w:rPr>
        <w:t>for</w:t>
      </w:r>
    </w:p>
    <w:p>
      <w:pPr>
        <w:pStyle w:val="BodyText"/>
        <w:spacing w:before="11"/>
        <w:rPr>
          <w:sz w:val="17"/>
        </w:rPr>
      </w:pPr>
    </w:p>
    <w:p>
      <w:pPr>
        <w:pStyle w:val="ListParagraph"/>
        <w:numPr>
          <w:ilvl w:val="0"/>
          <w:numId w:val="30"/>
        </w:numPr>
        <w:tabs>
          <w:tab w:pos="832" w:val="left" w:leader="none"/>
          <w:tab w:pos="833" w:val="left" w:leader="none"/>
        </w:tabs>
        <w:spacing w:line="484" w:lineRule="auto" w:before="69" w:after="0"/>
        <w:ind w:left="232" w:right="6825" w:firstLine="0"/>
        <w:jc w:val="left"/>
        <w:rPr>
          <w:sz w:val="24"/>
        </w:rPr>
      </w:pPr>
      <w:r>
        <w:rPr>
          <w:sz w:val="24"/>
        </w:rPr>
        <w:t>another 4h as</w:t>
      </w:r>
      <w:r>
        <w:rPr>
          <w:spacing w:val="-13"/>
          <w:sz w:val="24"/>
        </w:rPr>
        <w:t> </w:t>
      </w:r>
      <w:r>
        <w:rPr>
          <w:sz w:val="24"/>
        </w:rPr>
        <w:t>follows: 86</w:t>
      </w:r>
    </w:p>
    <w:p>
      <w:pPr>
        <w:pStyle w:val="ListParagraph"/>
        <w:numPr>
          <w:ilvl w:val="0"/>
          <w:numId w:val="31"/>
        </w:numPr>
        <w:tabs>
          <w:tab w:pos="832" w:val="left" w:leader="none"/>
          <w:tab w:pos="833" w:val="left" w:leader="none"/>
          <w:tab w:pos="1538" w:val="left" w:leader="none"/>
        </w:tabs>
        <w:spacing w:line="276" w:lineRule="exact" w:before="0" w:after="0"/>
        <w:ind w:left="832" w:right="0" w:hanging="600"/>
        <w:jc w:val="left"/>
        <w:rPr>
          <w:sz w:val="24"/>
        </w:rPr>
      </w:pPr>
      <w:r>
        <w:rPr>
          <w:rFonts w:ascii="Wingdings" w:hAnsi="Wingdings"/>
          <w:sz w:val="24"/>
        </w:rPr>
        <w:t></w:t>
      </w:r>
      <w:r>
        <w:rPr>
          <w:sz w:val="24"/>
        </w:rPr>
        <w:tab/>
        <w:t>Group FENT (n=10): A loading dose (5 µg kg</w:t>
      </w:r>
      <w:r>
        <w:rPr>
          <w:position w:val="11"/>
          <w:sz w:val="16"/>
        </w:rPr>
        <w:t>-1</w:t>
      </w:r>
      <w:r>
        <w:rPr>
          <w:sz w:val="24"/>
        </w:rPr>
        <w:t>) of fentanyl (XX) followed by</w:t>
      </w:r>
      <w:r>
        <w:rPr>
          <w:spacing w:val="-30"/>
          <w:sz w:val="24"/>
        </w:rPr>
        <w:t> </w:t>
      </w:r>
      <w:r>
        <w:rPr>
          <w:sz w:val="24"/>
        </w:rPr>
        <w:t>a</w:t>
      </w:r>
    </w:p>
    <w:p>
      <w:pPr>
        <w:pStyle w:val="ListParagraph"/>
        <w:numPr>
          <w:ilvl w:val="0"/>
          <w:numId w:val="31"/>
        </w:numPr>
        <w:tabs>
          <w:tab w:pos="832" w:val="left" w:leader="none"/>
          <w:tab w:pos="833" w:val="left" w:leader="none"/>
        </w:tabs>
        <w:spacing w:line="240" w:lineRule="auto" w:before="240" w:after="0"/>
        <w:ind w:left="832" w:right="0" w:hanging="600"/>
        <w:jc w:val="left"/>
        <w:rPr>
          <w:sz w:val="24"/>
        </w:rPr>
      </w:pPr>
      <w:r>
        <w:rPr>
          <w:sz w:val="24"/>
        </w:rPr>
        <w:t>CRI of 10 µg kg</w:t>
      </w:r>
      <w:r>
        <w:rPr>
          <w:position w:val="11"/>
          <w:sz w:val="16"/>
        </w:rPr>
        <w:t>-1 </w:t>
      </w:r>
      <w:r>
        <w:rPr>
          <w:sz w:val="24"/>
        </w:rPr>
        <w:t>hour</w:t>
      </w:r>
      <w:r>
        <w:rPr>
          <w:position w:val="11"/>
          <w:sz w:val="16"/>
        </w:rPr>
        <w:t>-1 </w:t>
      </w:r>
      <w:r>
        <w:rPr>
          <w:spacing w:val="-3"/>
          <w:sz w:val="24"/>
        </w:rPr>
        <w:t>during </w:t>
      </w:r>
      <w:r>
        <w:rPr>
          <w:sz w:val="24"/>
        </w:rPr>
        <w:t>surgery, and then 2.5 µg kg</w:t>
      </w:r>
      <w:r>
        <w:rPr>
          <w:position w:val="11"/>
          <w:sz w:val="16"/>
        </w:rPr>
        <w:t>-1 </w:t>
      </w:r>
      <w:r>
        <w:rPr>
          <w:sz w:val="24"/>
        </w:rPr>
        <w:t>hour</w:t>
      </w:r>
      <w:r>
        <w:rPr>
          <w:position w:val="11"/>
          <w:sz w:val="16"/>
        </w:rPr>
        <w:t>-1 </w:t>
      </w:r>
      <w:r>
        <w:rPr>
          <w:spacing w:val="37"/>
          <w:position w:val="11"/>
          <w:sz w:val="16"/>
        </w:rPr>
        <w:t> </w:t>
      </w:r>
      <w:r>
        <w:rPr>
          <w:sz w:val="24"/>
        </w:rPr>
        <w:t>afterwards;</w:t>
      </w:r>
    </w:p>
    <w:p>
      <w:pPr>
        <w:pStyle w:val="ListParagraph"/>
        <w:numPr>
          <w:ilvl w:val="0"/>
          <w:numId w:val="31"/>
        </w:numPr>
        <w:tabs>
          <w:tab w:pos="832" w:val="left" w:leader="none"/>
          <w:tab w:pos="833" w:val="left" w:leader="none"/>
          <w:tab w:pos="1538" w:val="left" w:leader="none"/>
        </w:tabs>
        <w:spacing w:line="240" w:lineRule="auto" w:before="241" w:after="0"/>
        <w:ind w:left="832" w:right="0" w:hanging="600"/>
        <w:jc w:val="left"/>
        <w:rPr>
          <w:sz w:val="24"/>
        </w:rPr>
      </w:pPr>
      <w:r>
        <w:rPr>
          <w:rFonts w:ascii="Wingdings" w:hAnsi="Wingdings"/>
          <w:sz w:val="24"/>
        </w:rPr>
        <w:t></w:t>
      </w:r>
      <w:r>
        <w:rPr>
          <w:sz w:val="24"/>
        </w:rPr>
        <w:tab/>
        <w:t>Group KET (n=8): A loading dose (1 </w:t>
      </w:r>
      <w:r>
        <w:rPr>
          <w:spacing w:val="-5"/>
          <w:sz w:val="24"/>
        </w:rPr>
        <w:t>mg </w:t>
      </w:r>
      <w:r>
        <w:rPr>
          <w:sz w:val="24"/>
        </w:rPr>
        <w:t>kg</w:t>
      </w:r>
      <w:r>
        <w:rPr>
          <w:position w:val="11"/>
          <w:sz w:val="16"/>
        </w:rPr>
        <w:t>-1</w:t>
      </w:r>
      <w:r>
        <w:rPr>
          <w:sz w:val="24"/>
        </w:rPr>
        <w:t>) of ketamine (XX) followed by a</w:t>
      </w:r>
      <w:r>
        <w:rPr>
          <w:spacing w:val="-12"/>
          <w:sz w:val="24"/>
        </w:rPr>
        <w:t> </w:t>
      </w:r>
      <w:r>
        <w:rPr>
          <w:sz w:val="24"/>
        </w:rPr>
        <w:t>CRI</w:t>
      </w:r>
    </w:p>
    <w:p>
      <w:pPr>
        <w:pStyle w:val="ListParagraph"/>
        <w:numPr>
          <w:ilvl w:val="0"/>
          <w:numId w:val="31"/>
        </w:numPr>
        <w:tabs>
          <w:tab w:pos="832" w:val="left" w:leader="none"/>
          <w:tab w:pos="833" w:val="left" w:leader="none"/>
        </w:tabs>
        <w:spacing w:line="240" w:lineRule="auto" w:before="240" w:after="0"/>
        <w:ind w:left="832" w:right="0" w:hanging="600"/>
        <w:jc w:val="left"/>
        <w:rPr>
          <w:sz w:val="24"/>
        </w:rPr>
      </w:pPr>
      <w:r>
        <w:rPr>
          <w:sz w:val="24"/>
        </w:rPr>
        <w:t>of 40 µg kg</w:t>
      </w:r>
      <w:r>
        <w:rPr>
          <w:position w:val="11"/>
          <w:sz w:val="16"/>
        </w:rPr>
        <w:t>-1 </w:t>
      </w:r>
      <w:r>
        <w:rPr>
          <w:sz w:val="24"/>
        </w:rPr>
        <w:t>minute</w:t>
      </w:r>
      <w:r>
        <w:rPr>
          <w:position w:val="11"/>
          <w:sz w:val="16"/>
        </w:rPr>
        <w:t>-1 </w:t>
      </w:r>
      <w:r>
        <w:rPr>
          <w:sz w:val="24"/>
        </w:rPr>
        <w:t>during surgery; and then 10 µg kg</w:t>
      </w:r>
      <w:r>
        <w:rPr>
          <w:position w:val="11"/>
          <w:sz w:val="16"/>
        </w:rPr>
        <w:t>-1 </w:t>
      </w:r>
      <w:r>
        <w:rPr>
          <w:sz w:val="24"/>
        </w:rPr>
        <w:t>minute</w:t>
      </w:r>
      <w:r>
        <w:rPr>
          <w:position w:val="11"/>
          <w:sz w:val="16"/>
        </w:rPr>
        <w:t>-1</w:t>
      </w:r>
      <w:r>
        <w:rPr>
          <w:spacing w:val="19"/>
          <w:position w:val="11"/>
          <w:sz w:val="16"/>
        </w:rPr>
        <w:t> </w:t>
      </w:r>
      <w:r>
        <w:rPr>
          <w:sz w:val="24"/>
        </w:rPr>
        <w:t>afterwards;</w:t>
      </w:r>
    </w:p>
    <w:p>
      <w:pPr>
        <w:pStyle w:val="ListParagraph"/>
        <w:numPr>
          <w:ilvl w:val="0"/>
          <w:numId w:val="31"/>
        </w:numPr>
        <w:tabs>
          <w:tab w:pos="832" w:val="left" w:leader="none"/>
          <w:tab w:pos="833" w:val="left" w:leader="none"/>
          <w:tab w:pos="1538" w:val="left" w:leader="none"/>
        </w:tabs>
        <w:spacing w:line="240" w:lineRule="auto" w:before="240" w:after="0"/>
        <w:ind w:left="832" w:right="0" w:hanging="600"/>
        <w:jc w:val="left"/>
        <w:rPr>
          <w:sz w:val="24"/>
        </w:rPr>
      </w:pPr>
      <w:r>
        <w:rPr>
          <w:rFonts w:ascii="Wingdings" w:hAnsi="Wingdings"/>
          <w:sz w:val="24"/>
        </w:rPr>
        <w:t></w:t>
      </w:r>
      <w:r>
        <w:rPr>
          <w:sz w:val="24"/>
        </w:rPr>
        <w:tab/>
        <w:t>Group LIDO (n=9): A loading dose (2 </w:t>
      </w:r>
      <w:r>
        <w:rPr>
          <w:spacing w:val="-5"/>
          <w:sz w:val="24"/>
        </w:rPr>
        <w:t>mg </w:t>
      </w:r>
      <w:r>
        <w:rPr>
          <w:sz w:val="24"/>
        </w:rPr>
        <w:t>kg</w:t>
      </w:r>
      <w:r>
        <w:rPr>
          <w:position w:val="11"/>
          <w:sz w:val="16"/>
        </w:rPr>
        <w:t>-1</w:t>
      </w:r>
      <w:r>
        <w:rPr>
          <w:sz w:val="24"/>
        </w:rPr>
        <w:t>) </w:t>
      </w:r>
      <w:r>
        <w:rPr>
          <w:spacing w:val="2"/>
          <w:sz w:val="24"/>
        </w:rPr>
        <w:t>of </w:t>
      </w:r>
      <w:r>
        <w:rPr>
          <w:sz w:val="24"/>
        </w:rPr>
        <w:t>lidocaine (XX) followed by</w:t>
      </w:r>
      <w:r>
        <w:rPr>
          <w:spacing w:val="-15"/>
          <w:sz w:val="24"/>
        </w:rPr>
        <w:t> </w:t>
      </w:r>
      <w:r>
        <w:rPr>
          <w:sz w:val="24"/>
        </w:rPr>
        <w:t>a</w:t>
      </w:r>
    </w:p>
    <w:p>
      <w:pPr>
        <w:pStyle w:val="ListParagraph"/>
        <w:numPr>
          <w:ilvl w:val="0"/>
          <w:numId w:val="31"/>
        </w:numPr>
        <w:tabs>
          <w:tab w:pos="832" w:val="left" w:leader="none"/>
          <w:tab w:pos="833" w:val="left" w:leader="none"/>
        </w:tabs>
        <w:spacing w:line="240" w:lineRule="auto" w:before="240" w:after="0"/>
        <w:ind w:left="832" w:right="0" w:hanging="600"/>
        <w:jc w:val="left"/>
        <w:rPr>
          <w:sz w:val="24"/>
        </w:rPr>
      </w:pPr>
      <w:r>
        <w:rPr>
          <w:sz w:val="24"/>
        </w:rPr>
        <w:t>CRI of 100 µg kg</w:t>
      </w:r>
      <w:r>
        <w:rPr>
          <w:position w:val="11"/>
          <w:sz w:val="16"/>
        </w:rPr>
        <w:t>-1 </w:t>
      </w:r>
      <w:r>
        <w:rPr>
          <w:sz w:val="24"/>
        </w:rPr>
        <w:t>minute</w:t>
      </w:r>
      <w:r>
        <w:rPr>
          <w:position w:val="11"/>
          <w:sz w:val="16"/>
        </w:rPr>
        <w:t>-1 </w:t>
      </w:r>
      <w:r>
        <w:rPr>
          <w:sz w:val="24"/>
        </w:rPr>
        <w:t>during surgery; and then 25 µg kg</w:t>
      </w:r>
      <w:r>
        <w:rPr>
          <w:position w:val="11"/>
          <w:sz w:val="16"/>
        </w:rPr>
        <w:t>-1  </w:t>
      </w:r>
      <w:r>
        <w:rPr>
          <w:sz w:val="24"/>
        </w:rPr>
        <w:t>minute</w:t>
      </w:r>
      <w:r>
        <w:rPr>
          <w:position w:val="11"/>
          <w:sz w:val="16"/>
        </w:rPr>
        <w:t>-1</w:t>
      </w:r>
      <w:r>
        <w:rPr>
          <w:spacing w:val="2"/>
          <w:position w:val="11"/>
          <w:sz w:val="16"/>
        </w:rPr>
        <w:t> </w:t>
      </w:r>
      <w:r>
        <w:rPr>
          <w:sz w:val="24"/>
        </w:rPr>
        <w:t>afterwards;</w:t>
      </w:r>
    </w:p>
    <w:p>
      <w:pPr>
        <w:pStyle w:val="ListParagraph"/>
        <w:numPr>
          <w:ilvl w:val="0"/>
          <w:numId w:val="31"/>
        </w:numPr>
        <w:tabs>
          <w:tab w:pos="832" w:val="left" w:leader="none"/>
          <w:tab w:pos="833" w:val="left" w:leader="none"/>
          <w:tab w:pos="1538" w:val="left" w:leader="none"/>
        </w:tabs>
        <w:spacing w:line="240" w:lineRule="auto" w:before="241" w:after="0"/>
        <w:ind w:left="832" w:right="0" w:hanging="600"/>
        <w:jc w:val="left"/>
        <w:rPr>
          <w:sz w:val="24"/>
        </w:rPr>
      </w:pPr>
      <w:r>
        <w:rPr>
          <w:rFonts w:ascii="Wingdings" w:hAnsi="Wingdings"/>
          <w:sz w:val="24"/>
        </w:rPr>
        <w:t></w:t>
      </w:r>
      <w:r>
        <w:rPr>
          <w:sz w:val="24"/>
        </w:rPr>
        <w:tab/>
        <w:t>Group DEX (n=8): A loading dose (1 µg kg</w:t>
      </w:r>
      <w:r>
        <w:rPr>
          <w:position w:val="11"/>
          <w:sz w:val="16"/>
        </w:rPr>
        <w:t>-1</w:t>
      </w:r>
      <w:r>
        <w:rPr>
          <w:sz w:val="24"/>
        </w:rPr>
        <w:t>) of dexmedetomidine (XX)</w:t>
      </w:r>
      <w:r>
        <w:rPr>
          <w:spacing w:val="-29"/>
          <w:sz w:val="24"/>
        </w:rPr>
        <w:t> </w:t>
      </w:r>
      <w:r>
        <w:rPr>
          <w:sz w:val="24"/>
        </w:rPr>
        <w:t>followed</w:t>
      </w:r>
    </w:p>
    <w:p>
      <w:pPr>
        <w:pStyle w:val="ListParagraph"/>
        <w:numPr>
          <w:ilvl w:val="0"/>
          <w:numId w:val="31"/>
        </w:numPr>
        <w:tabs>
          <w:tab w:pos="832" w:val="left" w:leader="none"/>
          <w:tab w:pos="833" w:val="left" w:leader="none"/>
        </w:tabs>
        <w:spacing w:line="240" w:lineRule="auto" w:before="240" w:after="0"/>
        <w:ind w:left="832" w:right="0" w:hanging="600"/>
        <w:jc w:val="left"/>
        <w:rPr>
          <w:sz w:val="24"/>
        </w:rPr>
      </w:pPr>
      <w:r>
        <w:rPr>
          <w:sz w:val="24"/>
        </w:rPr>
        <w:t>by a CRI of 3 µg kg</w:t>
      </w:r>
      <w:r>
        <w:rPr>
          <w:position w:val="11"/>
          <w:sz w:val="16"/>
        </w:rPr>
        <w:t>-1 </w:t>
      </w:r>
      <w:r>
        <w:rPr>
          <w:sz w:val="24"/>
        </w:rPr>
        <w:t>hour</w:t>
      </w:r>
      <w:r>
        <w:rPr>
          <w:position w:val="11"/>
          <w:sz w:val="16"/>
        </w:rPr>
        <w:t>-1 </w:t>
      </w:r>
      <w:r>
        <w:rPr>
          <w:sz w:val="24"/>
        </w:rPr>
        <w:t>during surgery; and then 1 µg kg</w:t>
      </w:r>
      <w:r>
        <w:rPr>
          <w:position w:val="11"/>
          <w:sz w:val="16"/>
        </w:rPr>
        <w:t>-1 </w:t>
      </w:r>
      <w:r>
        <w:rPr>
          <w:sz w:val="24"/>
        </w:rPr>
        <w:t>hour</w:t>
      </w:r>
      <w:r>
        <w:rPr>
          <w:position w:val="11"/>
          <w:sz w:val="16"/>
        </w:rPr>
        <w:t>-1</w:t>
      </w:r>
      <w:r>
        <w:rPr>
          <w:spacing w:val="38"/>
          <w:position w:val="11"/>
          <w:sz w:val="16"/>
        </w:rPr>
        <w:t> </w:t>
      </w:r>
      <w:r>
        <w:rPr>
          <w:sz w:val="24"/>
        </w:rPr>
        <w:t>afterwards;</w:t>
      </w:r>
    </w:p>
    <w:p>
      <w:pPr>
        <w:pStyle w:val="ListParagraph"/>
        <w:numPr>
          <w:ilvl w:val="0"/>
          <w:numId w:val="31"/>
        </w:numPr>
        <w:tabs>
          <w:tab w:pos="832" w:val="left" w:leader="none"/>
          <w:tab w:pos="833" w:val="left" w:leader="none"/>
          <w:tab w:pos="1538" w:val="left" w:leader="none"/>
        </w:tabs>
        <w:spacing w:line="240" w:lineRule="auto" w:before="240" w:after="0"/>
        <w:ind w:left="832" w:right="0" w:hanging="600"/>
        <w:jc w:val="left"/>
        <w:rPr>
          <w:sz w:val="24"/>
        </w:rPr>
      </w:pPr>
      <w:r>
        <w:rPr>
          <w:rFonts w:ascii="Wingdings" w:hAnsi="Wingdings"/>
          <w:sz w:val="24"/>
        </w:rPr>
        <w:t></w:t>
      </w:r>
      <w:r>
        <w:rPr>
          <w:sz w:val="24"/>
        </w:rPr>
        <w:tab/>
        <w:t>Group </w:t>
      </w:r>
      <w:r>
        <w:rPr>
          <w:spacing w:val="-3"/>
          <w:sz w:val="24"/>
        </w:rPr>
        <w:t>LKD </w:t>
      </w:r>
      <w:r>
        <w:rPr>
          <w:sz w:val="24"/>
        </w:rPr>
        <w:t>(n=10): A loading dose (2 </w:t>
      </w:r>
      <w:r>
        <w:rPr>
          <w:spacing w:val="-5"/>
          <w:sz w:val="24"/>
        </w:rPr>
        <w:t>mg </w:t>
      </w:r>
      <w:r>
        <w:rPr>
          <w:sz w:val="24"/>
        </w:rPr>
        <w:t>kg </w:t>
      </w:r>
      <w:r>
        <w:rPr>
          <w:position w:val="11"/>
          <w:sz w:val="16"/>
        </w:rPr>
        <w:t>-1</w:t>
      </w:r>
      <w:r>
        <w:rPr>
          <w:sz w:val="24"/>
        </w:rPr>
        <w:t>) of lidocaine followed by a CRI</w:t>
      </w:r>
      <w:r>
        <w:rPr>
          <w:spacing w:val="5"/>
          <w:sz w:val="24"/>
        </w:rPr>
        <w:t> </w:t>
      </w:r>
      <w:r>
        <w:rPr>
          <w:sz w:val="24"/>
        </w:rPr>
        <w:t>of</w:t>
      </w:r>
    </w:p>
    <w:p>
      <w:pPr>
        <w:pStyle w:val="ListParagraph"/>
        <w:numPr>
          <w:ilvl w:val="0"/>
          <w:numId w:val="31"/>
        </w:numPr>
        <w:tabs>
          <w:tab w:pos="832" w:val="left" w:leader="none"/>
          <w:tab w:pos="833" w:val="left" w:leader="none"/>
        </w:tabs>
        <w:spacing w:line="240" w:lineRule="auto" w:before="241" w:after="0"/>
        <w:ind w:left="832" w:right="0" w:hanging="600"/>
        <w:jc w:val="left"/>
        <w:rPr>
          <w:sz w:val="24"/>
        </w:rPr>
      </w:pPr>
      <w:r>
        <w:rPr>
          <w:sz w:val="24"/>
        </w:rPr>
        <w:t>100 µg kg</w:t>
      </w:r>
      <w:r>
        <w:rPr>
          <w:position w:val="11"/>
          <w:sz w:val="16"/>
        </w:rPr>
        <w:t>-1  </w:t>
      </w:r>
      <w:r>
        <w:rPr>
          <w:sz w:val="24"/>
        </w:rPr>
        <w:t>minute</w:t>
      </w:r>
      <w:r>
        <w:rPr>
          <w:position w:val="11"/>
          <w:sz w:val="16"/>
        </w:rPr>
        <w:t>-1</w:t>
      </w:r>
      <w:r>
        <w:rPr>
          <w:sz w:val="24"/>
        </w:rPr>
        <w:t>; a loading dose (1 </w:t>
      </w:r>
      <w:r>
        <w:rPr>
          <w:spacing w:val="-5"/>
          <w:sz w:val="24"/>
        </w:rPr>
        <w:t>mg </w:t>
      </w:r>
      <w:r>
        <w:rPr>
          <w:sz w:val="24"/>
        </w:rPr>
        <w:t>kg</w:t>
      </w:r>
      <w:r>
        <w:rPr>
          <w:position w:val="11"/>
          <w:sz w:val="16"/>
        </w:rPr>
        <w:t>-1</w:t>
      </w:r>
      <w:r>
        <w:rPr>
          <w:sz w:val="24"/>
        </w:rPr>
        <w:t>) of ketamine followed by a CRI of 40</w:t>
      </w:r>
      <w:r>
        <w:rPr>
          <w:spacing w:val="-34"/>
          <w:sz w:val="24"/>
        </w:rPr>
        <w:t> </w:t>
      </w:r>
      <w:r>
        <w:rPr>
          <w:sz w:val="24"/>
        </w:rPr>
        <w:t>µg</w:t>
      </w:r>
    </w:p>
    <w:p>
      <w:pPr>
        <w:pStyle w:val="ListParagraph"/>
        <w:numPr>
          <w:ilvl w:val="0"/>
          <w:numId w:val="31"/>
        </w:numPr>
        <w:tabs>
          <w:tab w:pos="832" w:val="left" w:leader="none"/>
          <w:tab w:pos="833" w:val="left" w:leader="none"/>
        </w:tabs>
        <w:spacing w:line="240" w:lineRule="auto" w:before="240" w:after="0"/>
        <w:ind w:left="832" w:right="0" w:hanging="600"/>
        <w:jc w:val="left"/>
        <w:rPr>
          <w:sz w:val="24"/>
        </w:rPr>
      </w:pPr>
      <w:r>
        <w:rPr>
          <w:sz w:val="24"/>
        </w:rPr>
        <w:t>kg</w:t>
      </w:r>
      <w:r>
        <w:rPr>
          <w:position w:val="11"/>
          <w:sz w:val="16"/>
        </w:rPr>
        <w:t>-1  </w:t>
      </w:r>
      <w:r>
        <w:rPr>
          <w:sz w:val="24"/>
        </w:rPr>
        <w:t>minute</w:t>
      </w:r>
      <w:r>
        <w:rPr>
          <w:position w:val="11"/>
          <w:sz w:val="16"/>
        </w:rPr>
        <w:t>-1 </w:t>
      </w:r>
      <w:r>
        <w:rPr>
          <w:sz w:val="24"/>
        </w:rPr>
        <w:t>and a loading dose (1 µg kg</w:t>
      </w:r>
      <w:r>
        <w:rPr>
          <w:position w:val="11"/>
          <w:sz w:val="16"/>
        </w:rPr>
        <w:t>-1</w:t>
      </w:r>
      <w:r>
        <w:rPr>
          <w:sz w:val="24"/>
        </w:rPr>
        <w:t>) of dexmedetomidine followed by a CRI of 3</w:t>
      </w:r>
      <w:r>
        <w:rPr>
          <w:spacing w:val="-25"/>
          <w:sz w:val="24"/>
        </w:rPr>
        <w:t> </w:t>
      </w:r>
      <w:r>
        <w:rPr>
          <w:sz w:val="24"/>
        </w:rPr>
        <w:t>µg</w:t>
      </w:r>
    </w:p>
    <w:p>
      <w:pPr>
        <w:pStyle w:val="ListParagraph"/>
        <w:numPr>
          <w:ilvl w:val="0"/>
          <w:numId w:val="31"/>
        </w:numPr>
        <w:tabs>
          <w:tab w:pos="832" w:val="left" w:leader="none"/>
          <w:tab w:pos="833" w:val="left" w:leader="none"/>
        </w:tabs>
        <w:spacing w:line="240" w:lineRule="auto" w:before="240" w:after="0"/>
        <w:ind w:left="832" w:right="0" w:hanging="600"/>
        <w:jc w:val="left"/>
        <w:rPr>
          <w:sz w:val="24"/>
        </w:rPr>
      </w:pPr>
      <w:r>
        <w:rPr>
          <w:sz w:val="24"/>
        </w:rPr>
        <w:t>kg</w:t>
      </w:r>
      <w:r>
        <w:rPr>
          <w:position w:val="11"/>
          <w:sz w:val="16"/>
        </w:rPr>
        <w:t>-1  </w:t>
      </w:r>
      <w:r>
        <w:rPr>
          <w:sz w:val="24"/>
        </w:rPr>
        <w:t>hour</w:t>
      </w:r>
      <w:r>
        <w:rPr>
          <w:position w:val="11"/>
          <w:sz w:val="16"/>
        </w:rPr>
        <w:t>-1</w:t>
      </w:r>
      <w:r>
        <w:rPr>
          <w:sz w:val="24"/>
        </w:rPr>
        <w:t>. Dosage regimens were then decreased as described </w:t>
      </w:r>
      <w:r>
        <w:rPr>
          <w:spacing w:val="-3"/>
          <w:sz w:val="24"/>
        </w:rPr>
        <w:t>in </w:t>
      </w:r>
      <w:r>
        <w:rPr>
          <w:sz w:val="24"/>
        </w:rPr>
        <w:t>groups LIDO,</w:t>
      </w:r>
      <w:r>
        <w:rPr>
          <w:spacing w:val="-36"/>
          <w:sz w:val="24"/>
        </w:rPr>
        <w:t> </w:t>
      </w:r>
      <w:r>
        <w:rPr>
          <w:sz w:val="24"/>
        </w:rPr>
        <w:t>KET,</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600"/>
        <w:jc w:val="left"/>
        <w:rPr>
          <w:sz w:val="24"/>
        </w:rPr>
      </w:pPr>
      <w:r>
        <w:rPr>
          <w:sz w:val="24"/>
        </w:rPr>
        <w:t>DEX, and were administered </w:t>
      </w:r>
      <w:r>
        <w:rPr>
          <w:spacing w:val="-3"/>
          <w:sz w:val="24"/>
        </w:rPr>
        <w:t>in</w:t>
      </w:r>
      <w:r>
        <w:rPr>
          <w:spacing w:val="-18"/>
          <w:sz w:val="24"/>
        </w:rPr>
        <w:t> </w:t>
      </w:r>
      <w:r>
        <w:rPr>
          <w:sz w:val="24"/>
        </w:rPr>
        <w:t>combination.</w:t>
      </w:r>
    </w:p>
    <w:p>
      <w:pPr>
        <w:pStyle w:val="BodyText"/>
        <w:spacing w:before="10"/>
        <w:rPr>
          <w:sz w:val="20"/>
        </w:rPr>
      </w:pPr>
    </w:p>
    <w:p>
      <w:pPr>
        <w:pStyle w:val="ListParagraph"/>
        <w:numPr>
          <w:ilvl w:val="0"/>
          <w:numId w:val="31"/>
        </w:numPr>
        <w:tabs>
          <w:tab w:pos="832" w:val="left" w:leader="none"/>
          <w:tab w:pos="833" w:val="left" w:leader="none"/>
          <w:tab w:pos="1538" w:val="left" w:leader="none"/>
        </w:tabs>
        <w:spacing w:line="240" w:lineRule="auto" w:before="0" w:after="0"/>
        <w:ind w:left="832" w:right="0" w:hanging="720"/>
        <w:jc w:val="left"/>
        <w:rPr>
          <w:sz w:val="24"/>
        </w:rPr>
      </w:pPr>
      <w:r>
        <w:rPr>
          <w:rFonts w:ascii="Wingdings" w:hAnsi="Wingdings"/>
          <w:sz w:val="24"/>
        </w:rPr>
        <w:t></w:t>
      </w:r>
      <w:r>
        <w:rPr>
          <w:sz w:val="24"/>
        </w:rPr>
        <w:tab/>
        <w:t>Group CONTROL/BUT (n=9): A loading dose (0.4 </w:t>
      </w:r>
      <w:r>
        <w:rPr>
          <w:spacing w:val="-5"/>
          <w:sz w:val="24"/>
        </w:rPr>
        <w:t>mg </w:t>
      </w:r>
      <w:r>
        <w:rPr>
          <w:sz w:val="24"/>
        </w:rPr>
        <w:t>kg</w:t>
      </w:r>
      <w:r>
        <w:rPr>
          <w:position w:val="11"/>
          <w:sz w:val="16"/>
        </w:rPr>
        <w:t>-1</w:t>
      </w:r>
      <w:r>
        <w:rPr>
          <w:sz w:val="24"/>
        </w:rPr>
        <w:t>) of IV</w:t>
      </w:r>
      <w:r>
        <w:rPr>
          <w:spacing w:val="2"/>
          <w:sz w:val="24"/>
        </w:rPr>
        <w:t> </w:t>
      </w:r>
      <w:r>
        <w:rPr>
          <w:sz w:val="24"/>
        </w:rPr>
        <w:t>butorphanol</w:t>
      </w:r>
    </w:p>
    <w:p>
      <w:pPr>
        <w:pStyle w:val="ListParagraph"/>
        <w:numPr>
          <w:ilvl w:val="0"/>
          <w:numId w:val="31"/>
        </w:numPr>
        <w:tabs>
          <w:tab w:pos="832" w:val="left" w:leader="none"/>
          <w:tab w:pos="833" w:val="left" w:leader="none"/>
        </w:tabs>
        <w:spacing w:line="240" w:lineRule="auto" w:before="240" w:after="0"/>
        <w:ind w:left="832" w:right="0" w:hanging="720"/>
        <w:jc w:val="left"/>
        <w:rPr>
          <w:sz w:val="16"/>
        </w:rPr>
      </w:pPr>
      <w:r>
        <w:rPr>
          <w:sz w:val="24"/>
        </w:rPr>
        <w:t>(XX) followed by a constant rate infusion of saline 0.9% during surgery; and then 2 </w:t>
      </w:r>
      <w:r>
        <w:rPr>
          <w:spacing w:val="-3"/>
          <w:sz w:val="24"/>
        </w:rPr>
        <w:t>ml</w:t>
      </w:r>
      <w:r>
        <w:rPr>
          <w:spacing w:val="-26"/>
          <w:sz w:val="24"/>
        </w:rPr>
        <w:t> </w:t>
      </w:r>
      <w:r>
        <w:rPr>
          <w:sz w:val="24"/>
        </w:rPr>
        <w:t>kg</w:t>
      </w:r>
      <w:r>
        <w:rPr>
          <w:position w:val="11"/>
          <w:sz w:val="16"/>
        </w:rPr>
        <w:t>-1</w:t>
      </w:r>
    </w:p>
    <w:p>
      <w:pPr>
        <w:pStyle w:val="ListParagraph"/>
        <w:numPr>
          <w:ilvl w:val="0"/>
          <w:numId w:val="31"/>
        </w:numPr>
        <w:tabs>
          <w:tab w:pos="832" w:val="left" w:leader="none"/>
          <w:tab w:pos="833" w:val="left" w:leader="none"/>
        </w:tabs>
        <w:spacing w:line="240" w:lineRule="auto" w:before="241" w:after="0"/>
        <w:ind w:left="832" w:right="0" w:hanging="720"/>
        <w:jc w:val="left"/>
        <w:rPr>
          <w:sz w:val="24"/>
        </w:rPr>
      </w:pPr>
      <w:r>
        <w:rPr>
          <w:sz w:val="24"/>
        </w:rPr>
        <w:t>hour</w:t>
      </w:r>
      <w:r>
        <w:rPr>
          <w:position w:val="11"/>
          <w:sz w:val="16"/>
        </w:rPr>
        <w:t>-1</w:t>
      </w:r>
      <w:r>
        <w:rPr>
          <w:spacing w:val="15"/>
          <w:position w:val="11"/>
          <w:sz w:val="16"/>
        </w:rPr>
        <w:t> </w:t>
      </w:r>
      <w:r>
        <w:rPr>
          <w:sz w:val="24"/>
        </w:rPr>
        <w:t>afterwards.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The surgical procedure began 45 minutes after the administration of</w:t>
      </w:r>
      <w:r>
        <w:rPr>
          <w:spacing w:val="-29"/>
          <w:sz w:val="24"/>
        </w:rPr>
        <w:t> </w:t>
      </w:r>
      <w:r>
        <w:rPr>
          <w:sz w:val="24"/>
        </w:rPr>
        <w:t>bolus.</w:t>
      </w:r>
    </w:p>
    <w:p>
      <w:pPr>
        <w:pStyle w:val="BodyText"/>
        <w:rPr>
          <w:sz w:val="15"/>
        </w:rPr>
      </w:pPr>
    </w:p>
    <w:p>
      <w:pPr>
        <w:pStyle w:val="BodyText"/>
        <w:spacing w:before="70"/>
        <w:ind w:right="104"/>
        <w:jc w:val="right"/>
      </w:pPr>
      <w:r>
        <w:rPr/>
        <w:t>56</w:t>
      </w:r>
    </w:p>
    <w:p>
      <w:pPr>
        <w:spacing w:after="0"/>
        <w:jc w:val="right"/>
        <w:sectPr>
          <w:footerReference w:type="default" r:id="rId39"/>
          <w:pgSz w:w="12240" w:h="15840"/>
          <w:pgMar w:footer="0" w:header="0" w:top="1500" w:bottom="280" w:left="1040" w:right="1420"/>
        </w:sectPr>
      </w:pPr>
    </w:p>
    <w:p>
      <w:pPr>
        <w:pStyle w:val="BodyText"/>
        <w:spacing w:before="1"/>
        <w:rPr>
          <w:sz w:val="21"/>
        </w:rPr>
      </w:pPr>
    </w:p>
    <w:p>
      <w:pPr>
        <w:pStyle w:val="Heading3"/>
        <w:numPr>
          <w:ilvl w:val="0"/>
          <w:numId w:val="31"/>
        </w:numPr>
        <w:tabs>
          <w:tab w:pos="832" w:val="left" w:leader="none"/>
          <w:tab w:pos="833" w:val="left" w:leader="none"/>
        </w:tabs>
        <w:spacing w:line="240" w:lineRule="auto" w:before="69" w:after="0"/>
        <w:ind w:left="832" w:right="0" w:hanging="720"/>
        <w:jc w:val="left"/>
        <w:rPr>
          <w:i/>
        </w:rPr>
      </w:pPr>
      <w:r>
        <w:rPr>
          <w:i/>
        </w:rPr>
        <w:t>Assessment of sedation and postoperative</w:t>
      </w:r>
      <w:r>
        <w:rPr>
          <w:i/>
          <w:spacing w:val="-13"/>
        </w:rPr>
        <w:t> </w:t>
      </w:r>
      <w:r>
        <w:rPr>
          <w:i/>
        </w:rPr>
        <w:t>pain</w:t>
      </w:r>
    </w:p>
    <w:p>
      <w:pPr>
        <w:pStyle w:val="BodyText"/>
        <w:spacing w:before="7"/>
        <w:rPr>
          <w:b/>
          <w:i/>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The dogs were admitted to the veterinary teaching hospital approximately 16-18</w:t>
      </w:r>
      <w:r>
        <w:rPr>
          <w:spacing w:val="-20"/>
          <w:sz w:val="24"/>
        </w:rPr>
        <w:t> </w:t>
      </w:r>
      <w:r>
        <w:rPr>
          <w:sz w:val="24"/>
        </w:rPr>
        <w:t>hours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before surgery, and were allowed to interact with the observer (XXX) for </w:t>
      </w:r>
      <w:r>
        <w:rPr>
          <w:spacing w:val="-3"/>
          <w:sz w:val="24"/>
        </w:rPr>
        <w:t>at least </w:t>
      </w:r>
      <w:r>
        <w:rPr>
          <w:sz w:val="24"/>
        </w:rPr>
        <w:t>an hour</w:t>
      </w:r>
      <w:r>
        <w:rPr>
          <w:spacing w:val="-1"/>
          <w:sz w:val="24"/>
        </w:rPr>
        <w:t> </w:t>
      </w:r>
      <w:r>
        <w:rPr>
          <w:spacing w:val="-3"/>
          <w:sz w:val="24"/>
        </w:rPr>
        <w:t>in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a calm and silent environment. The degree of sedation and pain was assessed</w:t>
      </w:r>
      <w:r>
        <w:rPr>
          <w:spacing w:val="-38"/>
          <w:sz w:val="24"/>
        </w:rPr>
        <w:t> </w:t>
      </w:r>
      <w:r>
        <w:rPr>
          <w:sz w:val="24"/>
        </w:rPr>
        <w:t>approximately</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90 minutes prior to the induction of anesthesia (time 0) and at </w:t>
      </w:r>
      <w:r>
        <w:rPr>
          <w:spacing w:val="-3"/>
          <w:sz w:val="24"/>
        </w:rPr>
        <w:t>1, 2, 3, 4, 5, 6, 7, 8, 9, </w:t>
      </w:r>
      <w:r>
        <w:rPr>
          <w:sz w:val="24"/>
        </w:rPr>
        <w:t>10,</w:t>
      </w:r>
      <w:r>
        <w:rPr>
          <w:spacing w:val="52"/>
          <w:sz w:val="24"/>
        </w:rPr>
        <w:t> </w:t>
      </w:r>
      <w:r>
        <w:rPr>
          <w:sz w:val="24"/>
        </w:rPr>
        <w:t>11,</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12, 16, 18, 20, 22 and 24 hours after the end of surgery by the observer who was blinded</w:t>
      </w:r>
      <w:r>
        <w:rPr>
          <w:spacing w:val="-17"/>
          <w:sz w:val="24"/>
        </w:rPr>
        <w:t> </w:t>
      </w:r>
      <w:r>
        <w:rPr>
          <w:sz w:val="24"/>
        </w:rPr>
        <w:t>to</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the analgesic treatments. Postoperative pain scores were evaluated</w:t>
      </w:r>
      <w:r>
        <w:rPr>
          <w:spacing w:val="-45"/>
          <w:sz w:val="24"/>
        </w:rPr>
        <w:t> </w:t>
      </w:r>
      <w:r>
        <w:rPr>
          <w:sz w:val="24"/>
        </w:rPr>
        <w:t>according to the short</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form of Glasgow composite pain score (GCPS), </w:t>
      </w:r>
      <w:r>
        <w:rPr>
          <w:spacing w:val="-3"/>
          <w:sz w:val="24"/>
        </w:rPr>
        <w:t>The </w:t>
      </w:r>
      <w:r>
        <w:rPr>
          <w:sz w:val="24"/>
        </w:rPr>
        <w:t>University </w:t>
      </w:r>
      <w:r>
        <w:rPr>
          <w:spacing w:val="4"/>
          <w:sz w:val="24"/>
        </w:rPr>
        <w:t>of</w:t>
      </w:r>
      <w:r>
        <w:rPr>
          <w:spacing w:val="-39"/>
          <w:sz w:val="24"/>
        </w:rPr>
        <w:t> </w:t>
      </w:r>
      <w:r>
        <w:rPr>
          <w:sz w:val="24"/>
        </w:rPr>
        <w:t>Melbourne pain scale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(UMPS), and a numerical rate scaling</w:t>
      </w:r>
      <w:r>
        <w:rPr>
          <w:spacing w:val="-21"/>
          <w:sz w:val="24"/>
        </w:rPr>
        <w:t> </w:t>
      </w:r>
      <w:r>
        <w:rPr>
          <w:sz w:val="24"/>
        </w:rPr>
        <w:t>(NRS).</w:t>
      </w:r>
    </w:p>
    <w:p>
      <w:pPr>
        <w:pStyle w:val="BodyText"/>
        <w:spacing w:before="11"/>
        <w:rPr>
          <w:sz w:val="17"/>
        </w:rPr>
      </w:pPr>
    </w:p>
    <w:p>
      <w:pPr>
        <w:pStyle w:val="ListParagraph"/>
        <w:numPr>
          <w:ilvl w:val="0"/>
          <w:numId w:val="31"/>
        </w:numPr>
        <w:tabs>
          <w:tab w:pos="1538" w:val="left" w:leader="none"/>
          <w:tab w:pos="1539" w:val="left" w:leader="none"/>
        </w:tabs>
        <w:spacing w:line="240" w:lineRule="auto" w:before="69" w:after="0"/>
        <w:ind w:left="1538" w:right="0" w:hanging="1426"/>
        <w:jc w:val="left"/>
        <w:rPr>
          <w:sz w:val="24"/>
        </w:rPr>
      </w:pPr>
      <w:r>
        <w:rPr>
          <w:sz w:val="24"/>
        </w:rPr>
        <w:t>The short form of</w:t>
      </w:r>
      <w:r>
        <w:rPr>
          <w:spacing w:val="-18"/>
          <w:sz w:val="24"/>
        </w:rPr>
        <w:t> </w:t>
      </w:r>
      <w:r>
        <w:rPr>
          <w:sz w:val="24"/>
        </w:rPr>
        <w:t>GCMPS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t>
      </w:r>
      <w:hyperlink r:id="rId41">
        <w:r>
          <w:rPr>
            <w:sz w:val="24"/>
          </w:rPr>
          <w:t>http://www.gla.ac.uk/schools/vet/research/painandwelfare/downloadacutepainquestionnair</w:t>
        </w:r>
      </w:hyperlink>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e/) includes 30 descriptor options within 6 behavioral categories. Within each category,</w:t>
      </w:r>
      <w:r>
        <w:rPr>
          <w:spacing w:val="-36"/>
          <w:sz w:val="24"/>
        </w:rPr>
        <w:t> </w:t>
      </w:r>
      <w:r>
        <w:rPr>
          <w:sz w:val="24"/>
        </w:rPr>
        <w:t>the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descriptors are ranked numerically according </w:t>
      </w:r>
      <w:r>
        <w:rPr>
          <w:spacing w:val="2"/>
          <w:sz w:val="24"/>
        </w:rPr>
        <w:t>to </w:t>
      </w:r>
      <w:r>
        <w:rPr>
          <w:sz w:val="24"/>
        </w:rPr>
        <w:t>their associated </w:t>
      </w:r>
      <w:r>
        <w:rPr>
          <w:spacing w:val="-3"/>
          <w:sz w:val="24"/>
        </w:rPr>
        <w:t>pain. </w:t>
      </w:r>
      <w:r>
        <w:rPr>
          <w:sz w:val="24"/>
        </w:rPr>
        <w:t>The maximum</w:t>
      </w:r>
      <w:r>
        <w:rPr>
          <w:spacing w:val="-30"/>
          <w:sz w:val="24"/>
        </w:rPr>
        <w:t> </w:t>
      </w:r>
      <w:r>
        <w:rPr>
          <w:sz w:val="24"/>
        </w:rPr>
        <w:t>pain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score </w:t>
      </w:r>
      <w:r>
        <w:rPr>
          <w:spacing w:val="-5"/>
          <w:sz w:val="24"/>
        </w:rPr>
        <w:t>is </w:t>
      </w:r>
      <w:r>
        <w:rPr>
          <w:sz w:val="24"/>
        </w:rPr>
        <w:t>achieved with 24 points. For pain scoring, the observer recorded the</w:t>
      </w:r>
      <w:r>
        <w:rPr>
          <w:spacing w:val="-16"/>
          <w:sz w:val="24"/>
        </w:rPr>
        <w:t> </w:t>
      </w:r>
      <w:r>
        <w:rPr>
          <w:sz w:val="24"/>
        </w:rPr>
        <w:t>descriptor</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within each category which </w:t>
      </w:r>
      <w:r>
        <w:rPr>
          <w:spacing w:val="-3"/>
          <w:sz w:val="24"/>
        </w:rPr>
        <w:t>best </w:t>
      </w:r>
      <w:r>
        <w:rPr>
          <w:sz w:val="24"/>
        </w:rPr>
        <w:t>fitted the dog’s behavior or condition at that time</w:t>
      </w:r>
      <w:r>
        <w:rPr>
          <w:spacing w:val="-19"/>
          <w:sz w:val="24"/>
        </w:rPr>
        <w:t> </w:t>
      </w:r>
      <w:r>
        <w:rPr>
          <w:sz w:val="24"/>
        </w:rPr>
        <w:t>point.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Posture, movement and reactions were recorded after wound palpation. The</w:t>
      </w:r>
      <w:r>
        <w:rPr>
          <w:spacing w:val="-33"/>
          <w:sz w:val="24"/>
        </w:rPr>
        <w:t> </w:t>
      </w:r>
      <w:r>
        <w:rPr>
          <w:sz w:val="24"/>
        </w:rPr>
        <w:t>UMPS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includes multiple descriptors </w:t>
      </w:r>
      <w:r>
        <w:rPr>
          <w:spacing w:val="-3"/>
          <w:sz w:val="24"/>
        </w:rPr>
        <w:t>in </w:t>
      </w:r>
      <w:r>
        <w:rPr>
          <w:sz w:val="24"/>
        </w:rPr>
        <w:t>six categories of data or behaviors associated with</w:t>
      </w:r>
      <w:r>
        <w:rPr>
          <w:spacing w:val="-35"/>
          <w:sz w:val="24"/>
        </w:rPr>
        <w:t> </w:t>
      </w:r>
      <w:r>
        <w:rPr>
          <w:sz w:val="24"/>
        </w:rPr>
        <w:t>response</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to </w:t>
      </w:r>
      <w:r>
        <w:rPr>
          <w:spacing w:val="-3"/>
          <w:sz w:val="24"/>
        </w:rPr>
        <w:t>pain. </w:t>
      </w:r>
      <w:r>
        <w:rPr>
          <w:sz w:val="24"/>
        </w:rPr>
        <w:t>Categories include physiological data, response to palpation, activity, mental</w:t>
      </w:r>
      <w:r>
        <w:rPr>
          <w:spacing w:val="-19"/>
          <w:sz w:val="24"/>
        </w:rPr>
        <w:t> </w:t>
      </w:r>
      <w:r>
        <w:rPr>
          <w:sz w:val="24"/>
        </w:rPr>
        <w:t>status,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posture, and vocalization. A maximum score </w:t>
      </w:r>
      <w:r>
        <w:rPr>
          <w:spacing w:val="-5"/>
          <w:sz w:val="24"/>
        </w:rPr>
        <w:t>is </w:t>
      </w:r>
      <w:r>
        <w:rPr>
          <w:sz w:val="24"/>
        </w:rPr>
        <w:t>achieved with 27 points (Firth &amp;</w:t>
      </w:r>
      <w:r>
        <w:rPr>
          <w:spacing w:val="-15"/>
          <w:sz w:val="24"/>
        </w:rPr>
        <w:t> </w:t>
      </w:r>
      <w:r>
        <w:rPr>
          <w:sz w:val="24"/>
        </w:rPr>
        <w:t>Haldane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1999). The NRS was derived by using 100 </w:t>
      </w:r>
      <w:r>
        <w:rPr>
          <w:spacing w:val="-3"/>
          <w:sz w:val="24"/>
        </w:rPr>
        <w:t>mm </w:t>
      </w:r>
      <w:r>
        <w:rPr>
          <w:sz w:val="24"/>
        </w:rPr>
        <w:t>lines that were divided by 10,</w:t>
      </w:r>
      <w:r>
        <w:rPr>
          <w:spacing w:val="-23"/>
          <w:sz w:val="24"/>
        </w:rPr>
        <w:t> </w:t>
      </w:r>
      <w:r>
        <w:rPr>
          <w:sz w:val="24"/>
        </w:rPr>
        <w:t>and</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numbered accordingly (Mathews et </w:t>
      </w:r>
      <w:r>
        <w:rPr>
          <w:spacing w:val="-4"/>
          <w:sz w:val="24"/>
        </w:rPr>
        <w:t>al. </w:t>
      </w:r>
      <w:r>
        <w:rPr>
          <w:sz w:val="24"/>
        </w:rPr>
        <w:t>2013). </w:t>
      </w:r>
      <w:r>
        <w:rPr>
          <w:spacing w:val="-3"/>
          <w:sz w:val="24"/>
        </w:rPr>
        <w:t>No </w:t>
      </w:r>
      <w:r>
        <w:rPr>
          <w:sz w:val="24"/>
        </w:rPr>
        <w:t>pain was marked as “0” and the</w:t>
      </w:r>
      <w:r>
        <w:rPr>
          <w:spacing w:val="1"/>
          <w:sz w:val="24"/>
        </w:rPr>
        <w:t> </w:t>
      </w:r>
      <w:r>
        <w:rPr>
          <w:sz w:val="24"/>
        </w:rPr>
        <w:t>worst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pain that the observer imagined could ever come from an ovariohysterectomy as “10”.</w:t>
      </w:r>
      <w:r>
        <w:rPr>
          <w:spacing w:val="-35"/>
          <w:sz w:val="24"/>
        </w:rPr>
        <w:t> </w:t>
      </w:r>
      <w:r>
        <w:rPr>
          <w:sz w:val="24"/>
        </w:rPr>
        <w:t>The</w:t>
      </w:r>
    </w:p>
    <w:p>
      <w:pPr>
        <w:pStyle w:val="BodyText"/>
        <w:rPr>
          <w:sz w:val="15"/>
        </w:rPr>
      </w:pPr>
    </w:p>
    <w:p>
      <w:pPr>
        <w:pStyle w:val="BodyText"/>
        <w:spacing w:before="70"/>
        <w:ind w:right="104"/>
        <w:jc w:val="right"/>
      </w:pPr>
      <w:r>
        <w:rPr/>
        <w:t>57</w:t>
      </w:r>
    </w:p>
    <w:p>
      <w:pPr>
        <w:spacing w:after="0"/>
        <w:jc w:val="right"/>
        <w:sectPr>
          <w:footerReference w:type="default" r:id="rId40"/>
          <w:pgSz w:w="12240" w:h="15840"/>
          <w:pgMar w:footer="0" w:header="0" w:top="1500" w:bottom="280" w:left="1040" w:right="1420"/>
        </w:sectPr>
      </w:pPr>
    </w:p>
    <w:p>
      <w:pPr>
        <w:pStyle w:val="BodyText"/>
        <w:spacing w:before="7"/>
        <w:rPr>
          <w:sz w:val="20"/>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investigator scored a </w:t>
      </w:r>
      <w:r>
        <w:rPr>
          <w:spacing w:val="-3"/>
          <w:sz w:val="24"/>
        </w:rPr>
        <w:t>whole </w:t>
      </w:r>
      <w:r>
        <w:rPr>
          <w:sz w:val="24"/>
        </w:rPr>
        <w:t>number between 0-10 according to the degree of pain</w:t>
      </w:r>
      <w:r>
        <w:rPr>
          <w:spacing w:val="-18"/>
          <w:sz w:val="24"/>
        </w:rPr>
        <w:t> </w:t>
      </w:r>
      <w:r>
        <w:rPr>
          <w:sz w:val="24"/>
        </w:rPr>
        <w:t>perceived</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to the experienced by the</w:t>
      </w:r>
      <w:r>
        <w:rPr>
          <w:spacing w:val="-8"/>
          <w:sz w:val="24"/>
        </w:rPr>
        <w:t> </w:t>
      </w:r>
      <w:r>
        <w:rPr>
          <w:sz w:val="24"/>
        </w:rPr>
        <w:t>dog.</w:t>
      </w:r>
    </w:p>
    <w:p>
      <w:pPr>
        <w:pStyle w:val="BodyText"/>
        <w:spacing w:before="11"/>
        <w:rPr>
          <w:sz w:val="17"/>
        </w:rPr>
      </w:pPr>
    </w:p>
    <w:p>
      <w:pPr>
        <w:pStyle w:val="ListParagraph"/>
        <w:numPr>
          <w:ilvl w:val="0"/>
          <w:numId w:val="31"/>
        </w:numPr>
        <w:tabs>
          <w:tab w:pos="1538" w:val="left" w:leader="none"/>
          <w:tab w:pos="1539" w:val="left" w:leader="none"/>
        </w:tabs>
        <w:spacing w:line="240" w:lineRule="auto" w:before="69" w:after="0"/>
        <w:ind w:left="1538" w:right="0" w:hanging="1426"/>
        <w:jc w:val="left"/>
        <w:rPr>
          <w:sz w:val="24"/>
        </w:rPr>
      </w:pPr>
      <w:r>
        <w:rPr>
          <w:sz w:val="24"/>
        </w:rPr>
        <w:t>For pain scoring, the dog was examined without </w:t>
      </w:r>
      <w:r>
        <w:rPr>
          <w:spacing w:val="-3"/>
          <w:sz w:val="24"/>
        </w:rPr>
        <w:t>being </w:t>
      </w:r>
      <w:r>
        <w:rPr>
          <w:sz w:val="24"/>
        </w:rPr>
        <w:t>removed from her cage</w:t>
      </w:r>
      <w:r>
        <w:rPr>
          <w:spacing w:val="-18"/>
          <w:sz w:val="24"/>
        </w:rPr>
        <w:t> </w:t>
      </w:r>
      <w:r>
        <w:rPr>
          <w:sz w:val="24"/>
        </w:rPr>
        <w:t>and</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without </w:t>
      </w:r>
      <w:r>
        <w:rPr>
          <w:spacing w:val="-3"/>
          <w:sz w:val="24"/>
        </w:rPr>
        <w:t>being </w:t>
      </w:r>
      <w:r>
        <w:rPr>
          <w:sz w:val="24"/>
        </w:rPr>
        <w:t>disturbed. Then, while observing the dog’s reaction and behavior,</w:t>
      </w:r>
      <w:r>
        <w:rPr>
          <w:spacing w:val="-16"/>
          <w:sz w:val="24"/>
        </w:rPr>
        <w:t> </w:t>
      </w:r>
      <w:r>
        <w:rPr>
          <w:sz w:val="24"/>
        </w:rPr>
        <w:t>the</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observed greeted the dog by calling its name. The animal was approached, spoken to,</w:t>
      </w:r>
      <w:r>
        <w:rPr>
          <w:spacing w:val="-22"/>
          <w:sz w:val="24"/>
        </w:rPr>
        <w:t> </w:t>
      </w:r>
      <w:r>
        <w:rPr>
          <w:sz w:val="24"/>
        </w:rPr>
        <w:t>and</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the cage door opened. The patient was gently handled, auscultated for heart and</w:t>
      </w:r>
      <w:r>
        <w:rPr>
          <w:spacing w:val="-25"/>
          <w:sz w:val="24"/>
        </w:rPr>
        <w:t> </w:t>
      </w:r>
      <w:r>
        <w:rPr>
          <w:sz w:val="24"/>
        </w:rPr>
        <w:t>respiratory</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rate, petted, encouraged to walk and </w:t>
      </w:r>
      <w:r>
        <w:rPr>
          <w:spacing w:val="2"/>
          <w:sz w:val="24"/>
        </w:rPr>
        <w:t>to </w:t>
      </w:r>
      <w:r>
        <w:rPr>
          <w:spacing w:val="-3"/>
          <w:sz w:val="24"/>
        </w:rPr>
        <w:t>move </w:t>
      </w:r>
      <w:r>
        <w:rPr>
          <w:sz w:val="24"/>
        </w:rPr>
        <w:t>around. The incision site, surrounding</w:t>
      </w:r>
      <w:r>
        <w:rPr>
          <w:spacing w:val="-33"/>
          <w:sz w:val="24"/>
        </w:rPr>
        <w:t> </w:t>
      </w:r>
      <w:r>
        <w:rPr>
          <w:sz w:val="24"/>
        </w:rPr>
        <w:t>skin</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and abdomen were palpated, and pain scores were</w:t>
      </w:r>
      <w:r>
        <w:rPr>
          <w:spacing w:val="-13"/>
          <w:sz w:val="24"/>
        </w:rPr>
        <w:t> </w:t>
      </w:r>
      <w:r>
        <w:rPr>
          <w:sz w:val="24"/>
        </w:rPr>
        <w:t>recorded.</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Sedation was also scored </w:t>
      </w:r>
      <w:r>
        <w:rPr>
          <w:spacing w:val="-3"/>
          <w:sz w:val="24"/>
        </w:rPr>
        <w:t>using </w:t>
      </w:r>
      <w:r>
        <w:rPr>
          <w:sz w:val="24"/>
        </w:rPr>
        <w:t>the NRS, where fully conscious and alertness was scored</w:t>
      </w:r>
      <w:r>
        <w:rPr>
          <w:spacing w:val="-19"/>
          <w:sz w:val="24"/>
        </w:rPr>
        <w:t> </w:t>
      </w:r>
      <w:r>
        <w:rPr>
          <w:sz w:val="24"/>
        </w:rPr>
        <w:t>as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“0” and unconsciousness as “10”. In addition to </w:t>
      </w:r>
      <w:r>
        <w:rPr>
          <w:spacing w:val="-4"/>
          <w:sz w:val="24"/>
        </w:rPr>
        <w:t>pain, </w:t>
      </w:r>
      <w:r>
        <w:rPr>
          <w:sz w:val="24"/>
        </w:rPr>
        <w:t>postoperative care</w:t>
      </w:r>
      <w:r>
        <w:rPr>
          <w:spacing w:val="-10"/>
          <w:sz w:val="24"/>
        </w:rPr>
        <w:t> </w:t>
      </w:r>
      <w:r>
        <w:rPr>
          <w:sz w:val="24"/>
        </w:rPr>
        <w:t>included</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monitoring of temperature, blood pressure, heart </w:t>
      </w:r>
      <w:r>
        <w:rPr>
          <w:spacing w:val="-4"/>
          <w:sz w:val="24"/>
        </w:rPr>
        <w:t>and </w:t>
      </w:r>
      <w:r>
        <w:rPr>
          <w:sz w:val="24"/>
        </w:rPr>
        <w:t>respiratory rate, the administration</w:t>
      </w:r>
      <w:r>
        <w:rPr>
          <w:spacing w:val="-12"/>
          <w:sz w:val="24"/>
        </w:rPr>
        <w:t> </w:t>
      </w:r>
      <w:r>
        <w:rPr>
          <w:sz w:val="24"/>
        </w:rPr>
        <w:t>of</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food and water 1 hour after surgery and emptying of urinary bladder, </w:t>
      </w:r>
      <w:r>
        <w:rPr>
          <w:spacing w:val="-3"/>
          <w:sz w:val="24"/>
        </w:rPr>
        <w:t>if </w:t>
      </w:r>
      <w:r>
        <w:rPr>
          <w:sz w:val="24"/>
        </w:rPr>
        <w:t>needed. Dogs</w:t>
      </w:r>
      <w:r>
        <w:rPr>
          <w:spacing w:val="-20"/>
          <w:sz w:val="24"/>
        </w:rPr>
        <w:t> </w:t>
      </w:r>
      <w:r>
        <w:rPr>
          <w:sz w:val="24"/>
        </w:rPr>
        <w:t>were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walked outside the facilities for urination and defecation at </w:t>
      </w:r>
      <w:r>
        <w:rPr>
          <w:spacing w:val="-3"/>
          <w:sz w:val="24"/>
        </w:rPr>
        <w:t>least </w:t>
      </w:r>
      <w:r>
        <w:rPr>
          <w:sz w:val="24"/>
        </w:rPr>
        <w:t>every 4</w:t>
      </w:r>
      <w:r>
        <w:rPr>
          <w:spacing w:val="-22"/>
          <w:sz w:val="24"/>
        </w:rPr>
        <w:t> </w:t>
      </w:r>
      <w:r>
        <w:rPr>
          <w:sz w:val="24"/>
        </w:rPr>
        <w:t>hours.</w:t>
      </w:r>
    </w:p>
    <w:p>
      <w:pPr>
        <w:pStyle w:val="BodyText"/>
        <w:spacing w:before="4"/>
        <w:rPr>
          <w:sz w:val="18"/>
        </w:rPr>
      </w:pPr>
    </w:p>
    <w:p>
      <w:pPr>
        <w:pStyle w:val="Heading3"/>
        <w:numPr>
          <w:ilvl w:val="0"/>
          <w:numId w:val="31"/>
        </w:numPr>
        <w:tabs>
          <w:tab w:pos="832" w:val="left" w:leader="none"/>
          <w:tab w:pos="833" w:val="left" w:leader="none"/>
        </w:tabs>
        <w:spacing w:line="240" w:lineRule="auto" w:before="70" w:after="0"/>
        <w:ind w:left="832" w:right="0" w:hanging="720"/>
        <w:jc w:val="left"/>
        <w:rPr>
          <w:i/>
        </w:rPr>
      </w:pPr>
      <w:r>
        <w:rPr>
          <w:i/>
        </w:rPr>
        <w:t>Rescue</w:t>
      </w:r>
      <w:r>
        <w:rPr>
          <w:i/>
          <w:spacing w:val="-10"/>
        </w:rPr>
        <w:t> </w:t>
      </w:r>
      <w:r>
        <w:rPr>
          <w:i/>
        </w:rPr>
        <w:t>analgesia</w:t>
      </w:r>
    </w:p>
    <w:p>
      <w:pPr>
        <w:pStyle w:val="BodyText"/>
        <w:spacing w:before="7"/>
        <w:rPr>
          <w:b/>
          <w:i/>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Rescue analgesia was provided with intramuscular and subcutaneous administration</w:t>
      </w:r>
      <w:r>
        <w:rPr>
          <w:spacing w:val="-28"/>
          <w:sz w:val="24"/>
        </w:rPr>
        <w:t> </w:t>
      </w:r>
      <w:r>
        <w:rPr>
          <w:sz w:val="24"/>
        </w:rPr>
        <w:t>of</w:t>
      </w:r>
    </w:p>
    <w:p>
      <w:pPr>
        <w:pStyle w:val="BodyText"/>
        <w:spacing w:before="10"/>
        <w:rPr>
          <w:sz w:val="20"/>
        </w:rPr>
      </w:pPr>
    </w:p>
    <w:p>
      <w:pPr>
        <w:pStyle w:val="ListParagraph"/>
        <w:numPr>
          <w:ilvl w:val="0"/>
          <w:numId w:val="31"/>
        </w:numPr>
        <w:tabs>
          <w:tab w:pos="832" w:val="left" w:leader="none"/>
          <w:tab w:pos="833" w:val="left" w:leader="none"/>
        </w:tabs>
        <w:spacing w:line="240" w:lineRule="auto" w:before="0" w:after="0"/>
        <w:ind w:left="832" w:right="0" w:hanging="720"/>
        <w:jc w:val="left"/>
        <w:rPr>
          <w:sz w:val="24"/>
        </w:rPr>
      </w:pPr>
      <w:r>
        <w:rPr>
          <w:sz w:val="24"/>
        </w:rPr>
        <w:t>morphine (0.5 </w:t>
      </w:r>
      <w:r>
        <w:rPr>
          <w:spacing w:val="-5"/>
          <w:sz w:val="24"/>
        </w:rPr>
        <w:t>mg </w:t>
      </w:r>
      <w:r>
        <w:rPr>
          <w:sz w:val="24"/>
        </w:rPr>
        <w:t>kg</w:t>
      </w:r>
      <w:r>
        <w:rPr>
          <w:position w:val="11"/>
          <w:sz w:val="16"/>
        </w:rPr>
        <w:t>-1</w:t>
      </w:r>
      <w:r>
        <w:rPr>
          <w:sz w:val="24"/>
        </w:rPr>
        <w:t>) and carprofen (4 </w:t>
      </w:r>
      <w:r>
        <w:rPr>
          <w:spacing w:val="-5"/>
          <w:sz w:val="24"/>
        </w:rPr>
        <w:t>mg </w:t>
      </w:r>
      <w:r>
        <w:rPr>
          <w:sz w:val="24"/>
        </w:rPr>
        <w:t>kg</w:t>
      </w:r>
      <w:r>
        <w:rPr>
          <w:position w:val="11"/>
          <w:sz w:val="16"/>
        </w:rPr>
        <w:t>-1</w:t>
      </w:r>
      <w:r>
        <w:rPr>
          <w:sz w:val="24"/>
        </w:rPr>
        <w:t>), respectively, </w:t>
      </w:r>
      <w:r>
        <w:rPr>
          <w:spacing w:val="-3"/>
          <w:sz w:val="24"/>
        </w:rPr>
        <w:t>if </w:t>
      </w:r>
      <w:r>
        <w:rPr>
          <w:sz w:val="24"/>
        </w:rPr>
        <w:t>NRS pain scores were</w:t>
      </w:r>
      <w:r>
        <w:rPr>
          <w:spacing w:val="18"/>
          <w:sz w:val="24"/>
        </w:rPr>
        <w:t> </w:t>
      </w:r>
      <w:r>
        <w:rPr>
          <w:sz w:val="24"/>
        </w:rPr>
        <w: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4 during postoperative monitoring, or UMPS pain scores were ≥ 10, or </w:t>
      </w:r>
      <w:r>
        <w:rPr>
          <w:spacing w:val="-3"/>
          <w:sz w:val="24"/>
        </w:rPr>
        <w:t>if </w:t>
      </w:r>
      <w:r>
        <w:rPr>
          <w:sz w:val="24"/>
        </w:rPr>
        <w:t>GCPS pain</w:t>
      </w:r>
      <w:r>
        <w:rPr>
          <w:spacing w:val="-23"/>
          <w:sz w:val="24"/>
        </w:rPr>
        <w:t> </w:t>
      </w:r>
      <w:r>
        <w:rPr>
          <w:sz w:val="24"/>
        </w:rPr>
        <w:t>scores</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were ≥ 9. Timing of rescue analgesia was recorded. Data collected after rescue</w:t>
      </w:r>
      <w:r>
        <w:rPr>
          <w:spacing w:val="-32"/>
          <w:sz w:val="24"/>
        </w:rPr>
        <w:t> </w:t>
      </w:r>
      <w:r>
        <w:rPr>
          <w:sz w:val="24"/>
        </w:rPr>
        <w:t>analgesia</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were not included </w:t>
      </w:r>
      <w:r>
        <w:rPr>
          <w:spacing w:val="-3"/>
          <w:sz w:val="24"/>
        </w:rPr>
        <w:t>in </w:t>
      </w:r>
      <w:r>
        <w:rPr>
          <w:sz w:val="24"/>
        </w:rPr>
        <w:t>the statistical analysis. Dogs were reassessed after 20 minutes</w:t>
      </w:r>
      <w:r>
        <w:rPr>
          <w:spacing w:val="-27"/>
          <w:sz w:val="24"/>
        </w:rPr>
        <w:t> </w:t>
      </w:r>
      <w:r>
        <w:rPr>
          <w:sz w:val="24"/>
        </w:rPr>
        <w:t>after</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intervention analgesia </w:t>
      </w:r>
      <w:r>
        <w:rPr>
          <w:spacing w:val="-3"/>
          <w:sz w:val="24"/>
        </w:rPr>
        <w:t>in </w:t>
      </w:r>
      <w:r>
        <w:rPr>
          <w:sz w:val="24"/>
        </w:rPr>
        <w:t>order to assure adequate pain relief. A second dose of</w:t>
      </w:r>
      <w:r>
        <w:rPr>
          <w:spacing w:val="-32"/>
          <w:sz w:val="24"/>
        </w:rPr>
        <w:t> </w:t>
      </w:r>
      <w:r>
        <w:rPr>
          <w:sz w:val="24"/>
        </w:rPr>
        <w:t>morphine</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was part of the protocol, but none of dogs required it. </w:t>
      </w:r>
      <w:r>
        <w:rPr>
          <w:spacing w:val="-3"/>
          <w:sz w:val="24"/>
        </w:rPr>
        <w:t>At </w:t>
      </w:r>
      <w:r>
        <w:rPr>
          <w:sz w:val="24"/>
        </w:rPr>
        <w:t>hospital discharge, dogs</w:t>
      </w:r>
      <w:r>
        <w:rPr>
          <w:spacing w:val="-18"/>
          <w:sz w:val="24"/>
        </w:rPr>
        <w:t> </w:t>
      </w:r>
      <w:r>
        <w:rPr>
          <w:sz w:val="24"/>
        </w:rPr>
        <w:t>were</w:t>
      </w:r>
    </w:p>
    <w:p>
      <w:pPr>
        <w:pStyle w:val="BodyText"/>
        <w:spacing w:before="10"/>
        <w:rPr>
          <w:sz w:val="20"/>
        </w:rPr>
      </w:pPr>
    </w:p>
    <w:p>
      <w:pPr>
        <w:pStyle w:val="ListParagraph"/>
        <w:numPr>
          <w:ilvl w:val="0"/>
          <w:numId w:val="31"/>
        </w:numPr>
        <w:tabs>
          <w:tab w:pos="832" w:val="left" w:leader="none"/>
          <w:tab w:pos="833" w:val="left" w:leader="none"/>
        </w:tabs>
        <w:spacing w:line="240" w:lineRule="auto" w:before="0" w:after="0"/>
        <w:ind w:left="832" w:right="0" w:hanging="720"/>
        <w:jc w:val="left"/>
        <w:rPr>
          <w:sz w:val="24"/>
        </w:rPr>
      </w:pPr>
      <w:r>
        <w:rPr>
          <w:sz w:val="24"/>
        </w:rPr>
        <w:t>prescribed oral carprofen (4 </w:t>
      </w:r>
      <w:r>
        <w:rPr>
          <w:spacing w:val="-5"/>
          <w:sz w:val="24"/>
        </w:rPr>
        <w:t>mg </w:t>
      </w:r>
      <w:r>
        <w:rPr>
          <w:sz w:val="24"/>
        </w:rPr>
        <w:t>kg</w:t>
      </w:r>
      <w:r>
        <w:rPr>
          <w:position w:val="11"/>
          <w:sz w:val="16"/>
        </w:rPr>
        <w:t>-1</w:t>
      </w:r>
      <w:r>
        <w:rPr>
          <w:sz w:val="24"/>
        </w:rPr>
        <w:t>) every 24h for three</w:t>
      </w:r>
      <w:r>
        <w:rPr>
          <w:spacing w:val="-2"/>
          <w:sz w:val="24"/>
        </w:rPr>
        <w:t> </w:t>
      </w:r>
      <w:r>
        <w:rPr>
          <w:sz w:val="24"/>
        </w:rPr>
        <w:t>days.</w:t>
      </w:r>
    </w:p>
    <w:p>
      <w:pPr>
        <w:pStyle w:val="BodyText"/>
        <w:rPr>
          <w:sz w:val="15"/>
        </w:rPr>
      </w:pPr>
    </w:p>
    <w:p>
      <w:pPr>
        <w:pStyle w:val="BodyText"/>
        <w:spacing w:before="70"/>
        <w:ind w:right="104"/>
        <w:jc w:val="right"/>
      </w:pPr>
      <w:r>
        <w:rPr/>
        <w:t>58</w:t>
      </w:r>
    </w:p>
    <w:p>
      <w:pPr>
        <w:spacing w:after="0"/>
        <w:jc w:val="right"/>
        <w:sectPr>
          <w:footerReference w:type="default" r:id="rId42"/>
          <w:pgSz w:w="12240" w:h="15840"/>
          <w:pgMar w:footer="0" w:header="0" w:top="1500" w:bottom="280" w:left="1040" w:right="1420"/>
        </w:sectPr>
      </w:pPr>
    </w:p>
    <w:p>
      <w:pPr>
        <w:pStyle w:val="BodyText"/>
        <w:spacing w:before="1"/>
        <w:rPr>
          <w:sz w:val="21"/>
        </w:rPr>
      </w:pPr>
    </w:p>
    <w:p>
      <w:pPr>
        <w:pStyle w:val="Heading3"/>
        <w:numPr>
          <w:ilvl w:val="0"/>
          <w:numId w:val="31"/>
        </w:numPr>
        <w:tabs>
          <w:tab w:pos="832" w:val="left" w:leader="none"/>
          <w:tab w:pos="833" w:val="left" w:leader="none"/>
        </w:tabs>
        <w:spacing w:line="240" w:lineRule="auto" w:before="69" w:after="0"/>
        <w:ind w:left="832" w:right="0" w:hanging="720"/>
        <w:jc w:val="left"/>
        <w:rPr>
          <w:i/>
        </w:rPr>
      </w:pPr>
      <w:r>
        <w:rPr>
          <w:i/>
        </w:rPr>
        <w:t>Statistical</w:t>
      </w:r>
      <w:r>
        <w:rPr>
          <w:i/>
          <w:spacing w:val="-5"/>
        </w:rPr>
        <w:t> </w:t>
      </w:r>
      <w:r>
        <w:rPr>
          <w:i/>
        </w:rPr>
        <w:t>analysis</w:t>
      </w:r>
    </w:p>
    <w:p>
      <w:pPr>
        <w:pStyle w:val="BodyText"/>
        <w:spacing w:before="7"/>
        <w:rPr>
          <w:b/>
          <w:i/>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Nonparametric data was reported as median and range. Statistical analysis was   </w:t>
      </w:r>
      <w:r>
        <w:rPr>
          <w:spacing w:val="12"/>
          <w:sz w:val="24"/>
        </w:rPr>
        <w:t> </w:t>
      </w:r>
      <w:r>
        <w:rPr>
          <w:sz w:val="24"/>
        </w:rPr>
        <w:t>performed</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using a statistical software package (GraphPad Prism, GraphPad Software Inc., San </w:t>
      </w:r>
      <w:r>
        <w:rPr>
          <w:spacing w:val="15"/>
          <w:sz w:val="24"/>
        </w:rPr>
        <w:t> </w:t>
      </w:r>
      <w:r>
        <w:rPr>
          <w:sz w:val="24"/>
        </w:rPr>
        <w:t>Diego,</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pacing w:val="-3"/>
          <w:sz w:val="24"/>
        </w:rPr>
        <w:t>CA,  </w:t>
      </w:r>
      <w:r>
        <w:rPr>
          <w:sz w:val="24"/>
        </w:rPr>
        <w:t>USA).  The  Shapiro-Wilk  test  was  used  for  normality  analysis  </w:t>
      </w:r>
      <w:r>
        <w:rPr>
          <w:spacing w:val="4"/>
          <w:sz w:val="24"/>
        </w:rPr>
        <w:t>of  </w:t>
      </w:r>
      <w:r>
        <w:rPr>
          <w:sz w:val="24"/>
        </w:rPr>
        <w:t>the</w:t>
      </w:r>
      <w:r>
        <w:rPr>
          <w:spacing w:val="-3"/>
          <w:sz w:val="24"/>
        </w:rPr>
        <w:t> </w:t>
      </w:r>
      <w:r>
        <w:rPr>
          <w:sz w:val="24"/>
        </w:rPr>
        <w:t>parameters.</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Within each group, changes </w:t>
      </w:r>
      <w:r>
        <w:rPr>
          <w:spacing w:val="-3"/>
          <w:sz w:val="24"/>
        </w:rPr>
        <w:t>in </w:t>
      </w:r>
      <w:r>
        <w:rPr>
          <w:sz w:val="24"/>
        </w:rPr>
        <w:t>nonparametric data with time were analyzed using</w:t>
      </w:r>
      <w:r>
        <w:rPr>
          <w:spacing w:val="15"/>
          <w:sz w:val="24"/>
        </w:rPr>
        <w:t> </w:t>
      </w:r>
      <w:r>
        <w:rPr>
          <w:sz w:val="24"/>
        </w:rPr>
        <w:t>Friedman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test   followed   by  Dunn’s   multiple  comparison  test,  respectively,   when  a </w:t>
      </w:r>
      <w:r>
        <w:rPr>
          <w:spacing w:val="54"/>
          <w:sz w:val="24"/>
        </w:rPr>
        <w:t> </w:t>
      </w:r>
      <w:r>
        <w:rPr>
          <w:sz w:val="24"/>
        </w:rPr>
        <w:t>significant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difference was detected.  Nonparametric data were analyzed using the Kruskall–Wallis</w:t>
      </w:r>
      <w:r>
        <w:rPr>
          <w:spacing w:val="10"/>
          <w:sz w:val="24"/>
        </w:rPr>
        <w:t> </w:t>
      </w:r>
      <w:r>
        <w:rPr>
          <w:sz w:val="24"/>
        </w:rPr>
        <w:t>test,</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followed  by  Dunn’s  multiple  comparison  post-test   when  appropriate.  Differences   </w:t>
      </w:r>
      <w:r>
        <w:rPr>
          <w:spacing w:val="41"/>
          <w:sz w:val="24"/>
        </w:rPr>
        <w:t> </w:t>
      </w:r>
      <w:r>
        <w:rPr>
          <w:spacing w:val="-3"/>
          <w:sz w:val="24"/>
        </w:rPr>
        <w:t>in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incidence of treatment   </w:t>
      </w:r>
      <w:r>
        <w:rPr>
          <w:spacing w:val="50"/>
          <w:sz w:val="24"/>
        </w:rPr>
        <w:t> </w:t>
      </w:r>
      <w:r>
        <w:rPr>
          <w:sz w:val="24"/>
        </w:rPr>
        <w:t>failure were analyzed using the Fisher exact test. Significance was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defined at </w:t>
      </w:r>
      <w:r>
        <w:rPr>
          <w:i/>
          <w:sz w:val="24"/>
        </w:rPr>
        <w:t>p </w:t>
      </w:r>
      <w:r>
        <w:rPr>
          <w:sz w:val="24"/>
        </w:rPr>
        <w:t>&lt;</w:t>
      </w:r>
      <w:r>
        <w:rPr>
          <w:spacing w:val="-2"/>
          <w:sz w:val="24"/>
        </w:rPr>
        <w:t> </w:t>
      </w:r>
      <w:r>
        <w:rPr>
          <w:sz w:val="24"/>
        </w:rPr>
        <w:t>0.05.</w:t>
      </w:r>
    </w:p>
    <w:p>
      <w:pPr>
        <w:pStyle w:val="BodyText"/>
      </w:pPr>
    </w:p>
    <w:p>
      <w:pPr>
        <w:pStyle w:val="ListParagraph"/>
        <w:numPr>
          <w:ilvl w:val="0"/>
          <w:numId w:val="31"/>
        </w:numPr>
        <w:tabs>
          <w:tab w:pos="474" w:val="left" w:leader="none"/>
        </w:tabs>
        <w:spacing w:line="240" w:lineRule="auto" w:before="0" w:after="0"/>
        <w:ind w:left="473" w:right="0" w:hanging="361"/>
        <w:jc w:val="left"/>
        <w:rPr>
          <w:sz w:val="24"/>
        </w:rPr>
      </w:pPr>
    </w:p>
    <w:p>
      <w:pPr>
        <w:pStyle w:val="BodyText"/>
        <w:spacing w:before="5"/>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b/>
          <w:sz w:val="24"/>
        </w:rPr>
      </w:pPr>
      <w:r>
        <w:rPr>
          <w:b/>
          <w:sz w:val="24"/>
        </w:rPr>
        <w:t>Results</w:t>
      </w:r>
    </w:p>
    <w:p>
      <w:pPr>
        <w:pStyle w:val="BodyText"/>
        <w:spacing w:before="6"/>
        <w:rPr>
          <w:b/>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None  of  the  dogs  demonstrated  any  indication  of  pre-existing  pain  or  sedation</w:t>
      </w:r>
      <w:r>
        <w:rPr>
          <w:spacing w:val="-18"/>
          <w:sz w:val="24"/>
        </w:rPr>
        <w:t> </w:t>
      </w:r>
      <w:r>
        <w:rPr>
          <w:sz w:val="24"/>
        </w:rPr>
        <w:t>before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surgery, therefore baseline pain and sedation scores did not </w:t>
      </w:r>
      <w:r>
        <w:rPr>
          <w:spacing w:val="-3"/>
          <w:sz w:val="24"/>
        </w:rPr>
        <w:t>differ </w:t>
      </w:r>
      <w:r>
        <w:rPr>
          <w:sz w:val="24"/>
        </w:rPr>
        <w:t>among treatments.  </w:t>
      </w:r>
      <w:r>
        <w:rPr>
          <w:spacing w:val="5"/>
          <w:sz w:val="24"/>
        </w:rPr>
        <w:t> </w:t>
      </w:r>
      <w:r>
        <w:rPr>
          <w:sz w:val="24"/>
        </w:rPr>
        <w:t>Eight</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dogs</w:t>
      </w:r>
      <w:r>
        <w:rPr>
          <w:spacing w:val="14"/>
          <w:sz w:val="24"/>
        </w:rPr>
        <w:t> </w:t>
      </w:r>
      <w:r>
        <w:rPr>
          <w:sz w:val="24"/>
        </w:rPr>
        <w:t>that</w:t>
      </w:r>
      <w:r>
        <w:rPr>
          <w:spacing w:val="21"/>
          <w:sz w:val="24"/>
        </w:rPr>
        <w:t> </w:t>
      </w:r>
      <w:r>
        <w:rPr>
          <w:sz w:val="24"/>
        </w:rPr>
        <w:t>received</w:t>
      </w:r>
      <w:r>
        <w:rPr>
          <w:spacing w:val="21"/>
          <w:sz w:val="24"/>
        </w:rPr>
        <w:t> </w:t>
      </w:r>
      <w:r>
        <w:rPr>
          <w:sz w:val="24"/>
        </w:rPr>
        <w:t>CONTROL/BUT</w:t>
      </w:r>
      <w:r>
        <w:rPr>
          <w:spacing w:val="22"/>
          <w:sz w:val="24"/>
        </w:rPr>
        <w:t> </w:t>
      </w:r>
      <w:r>
        <w:rPr>
          <w:sz w:val="24"/>
        </w:rPr>
        <w:t>(88.2%)</w:t>
      </w:r>
      <w:r>
        <w:rPr>
          <w:spacing w:val="22"/>
          <w:sz w:val="24"/>
        </w:rPr>
        <w:t> </w:t>
      </w:r>
      <w:r>
        <w:rPr>
          <w:sz w:val="24"/>
        </w:rPr>
        <w:t>required</w:t>
      </w:r>
      <w:r>
        <w:rPr>
          <w:spacing w:val="21"/>
          <w:sz w:val="24"/>
        </w:rPr>
        <w:t> </w:t>
      </w:r>
      <w:r>
        <w:rPr>
          <w:sz w:val="24"/>
        </w:rPr>
        <w:t>rescue</w:t>
      </w:r>
      <w:r>
        <w:rPr>
          <w:spacing w:val="20"/>
          <w:sz w:val="24"/>
        </w:rPr>
        <w:t> </w:t>
      </w:r>
      <w:r>
        <w:rPr>
          <w:sz w:val="24"/>
        </w:rPr>
        <w:t>analgesia</w:t>
      </w:r>
      <w:r>
        <w:rPr>
          <w:spacing w:val="20"/>
          <w:sz w:val="24"/>
        </w:rPr>
        <w:t> </w:t>
      </w:r>
      <w:r>
        <w:rPr>
          <w:sz w:val="24"/>
        </w:rPr>
        <w:t>at</w:t>
      </w:r>
      <w:r>
        <w:rPr>
          <w:spacing w:val="26"/>
          <w:sz w:val="24"/>
        </w:rPr>
        <w:t> </w:t>
      </w:r>
      <w:r>
        <w:rPr>
          <w:sz w:val="24"/>
        </w:rPr>
        <w:t>1h.</w:t>
      </w:r>
      <w:r>
        <w:rPr>
          <w:spacing w:val="23"/>
          <w:sz w:val="24"/>
        </w:rPr>
        <w:t> </w:t>
      </w:r>
      <w:r>
        <w:rPr>
          <w:sz w:val="24"/>
        </w:rPr>
        <w:t>In</w:t>
      </w:r>
      <w:r>
        <w:rPr>
          <w:spacing w:val="16"/>
          <w:sz w:val="24"/>
        </w:rPr>
        <w:t> </w:t>
      </w:r>
      <w:r>
        <w:rPr>
          <w:sz w:val="24"/>
        </w:rPr>
        <w:t>addition,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three</w:t>
      </w:r>
      <w:r>
        <w:rPr>
          <w:spacing w:val="10"/>
          <w:sz w:val="24"/>
        </w:rPr>
        <w:t> </w:t>
      </w:r>
      <w:r>
        <w:rPr>
          <w:sz w:val="24"/>
        </w:rPr>
        <w:t>dogs</w:t>
      </w:r>
      <w:r>
        <w:rPr>
          <w:spacing w:val="14"/>
          <w:sz w:val="24"/>
        </w:rPr>
        <w:t> </w:t>
      </w:r>
      <w:r>
        <w:rPr>
          <w:spacing w:val="-3"/>
          <w:sz w:val="24"/>
        </w:rPr>
        <w:t>in</w:t>
      </w:r>
      <w:r>
        <w:rPr>
          <w:spacing w:val="6"/>
          <w:sz w:val="24"/>
        </w:rPr>
        <w:t> </w:t>
      </w:r>
      <w:r>
        <w:rPr>
          <w:sz w:val="24"/>
        </w:rPr>
        <w:t>the</w:t>
      </w:r>
      <w:r>
        <w:rPr>
          <w:spacing w:val="15"/>
          <w:sz w:val="24"/>
        </w:rPr>
        <w:t> </w:t>
      </w:r>
      <w:r>
        <w:rPr>
          <w:sz w:val="24"/>
        </w:rPr>
        <w:t>KET</w:t>
      </w:r>
      <w:r>
        <w:rPr>
          <w:spacing w:val="13"/>
          <w:sz w:val="24"/>
        </w:rPr>
        <w:t> </w:t>
      </w:r>
      <w:r>
        <w:rPr>
          <w:sz w:val="24"/>
        </w:rPr>
        <w:t>group</w:t>
      </w:r>
      <w:r>
        <w:rPr>
          <w:spacing w:val="11"/>
          <w:sz w:val="24"/>
        </w:rPr>
        <w:t> </w:t>
      </w:r>
      <w:r>
        <w:rPr>
          <w:sz w:val="24"/>
        </w:rPr>
        <w:t>(37.5%),</w:t>
      </w:r>
      <w:r>
        <w:rPr>
          <w:spacing w:val="9"/>
          <w:sz w:val="24"/>
        </w:rPr>
        <w:t> </w:t>
      </w:r>
      <w:r>
        <w:rPr>
          <w:sz w:val="24"/>
        </w:rPr>
        <w:t>two</w:t>
      </w:r>
      <w:r>
        <w:rPr>
          <w:spacing w:val="16"/>
          <w:sz w:val="24"/>
        </w:rPr>
        <w:t> </w:t>
      </w:r>
      <w:r>
        <w:rPr>
          <w:spacing w:val="-3"/>
          <w:sz w:val="24"/>
        </w:rPr>
        <w:t>in</w:t>
      </w:r>
      <w:r>
        <w:rPr>
          <w:spacing w:val="6"/>
          <w:sz w:val="24"/>
        </w:rPr>
        <w:t> </w:t>
      </w:r>
      <w:r>
        <w:rPr>
          <w:sz w:val="24"/>
        </w:rPr>
        <w:t>the</w:t>
      </w:r>
      <w:r>
        <w:rPr>
          <w:spacing w:val="20"/>
          <w:sz w:val="24"/>
        </w:rPr>
        <w:t> </w:t>
      </w:r>
      <w:r>
        <w:rPr>
          <w:sz w:val="24"/>
        </w:rPr>
        <w:t>DEX</w:t>
      </w:r>
      <w:r>
        <w:rPr>
          <w:spacing w:val="11"/>
          <w:sz w:val="24"/>
        </w:rPr>
        <w:t> </w:t>
      </w:r>
      <w:r>
        <w:rPr>
          <w:sz w:val="24"/>
        </w:rPr>
        <w:t>group</w:t>
      </w:r>
      <w:r>
        <w:rPr>
          <w:spacing w:val="11"/>
          <w:sz w:val="24"/>
        </w:rPr>
        <w:t> </w:t>
      </w:r>
      <w:r>
        <w:rPr>
          <w:sz w:val="24"/>
        </w:rPr>
        <w:t>(25%),</w:t>
      </w:r>
      <w:r>
        <w:rPr>
          <w:spacing w:val="13"/>
          <w:sz w:val="24"/>
        </w:rPr>
        <w:t> </w:t>
      </w:r>
      <w:r>
        <w:rPr>
          <w:sz w:val="24"/>
        </w:rPr>
        <w:t>and</w:t>
      </w:r>
      <w:r>
        <w:rPr>
          <w:spacing w:val="11"/>
          <w:sz w:val="24"/>
        </w:rPr>
        <w:t> </w:t>
      </w:r>
      <w:r>
        <w:rPr>
          <w:sz w:val="24"/>
        </w:rPr>
        <w:t>two</w:t>
      </w:r>
      <w:r>
        <w:rPr>
          <w:spacing w:val="15"/>
          <w:sz w:val="24"/>
        </w:rPr>
        <w:t> </w:t>
      </w:r>
      <w:r>
        <w:rPr>
          <w:spacing w:val="-3"/>
          <w:sz w:val="24"/>
        </w:rPr>
        <w:t>in</w:t>
      </w:r>
      <w:r>
        <w:rPr>
          <w:spacing w:val="6"/>
          <w:sz w:val="24"/>
        </w:rPr>
        <w:t> </w:t>
      </w:r>
      <w:r>
        <w:rPr>
          <w:sz w:val="24"/>
        </w:rPr>
        <w:t>the</w:t>
      </w:r>
      <w:r>
        <w:rPr>
          <w:spacing w:val="10"/>
          <w:sz w:val="24"/>
        </w:rPr>
        <w:t> </w:t>
      </w:r>
      <w:r>
        <w:rPr>
          <w:sz w:val="24"/>
        </w:rPr>
        <w:t>LIDO</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group  (22.2%)   </w:t>
      </w:r>
      <w:r>
        <w:rPr>
          <w:spacing w:val="-3"/>
          <w:sz w:val="24"/>
        </w:rPr>
        <w:t>also   </w:t>
      </w:r>
      <w:r>
        <w:rPr>
          <w:sz w:val="24"/>
        </w:rPr>
        <w:t>received   intervention  analgesia.   There   was   significantly</w:t>
      </w:r>
      <w:r>
        <w:rPr>
          <w:spacing w:val="43"/>
          <w:sz w:val="24"/>
        </w:rPr>
        <w:t> </w:t>
      </w:r>
      <w:r>
        <w:rPr>
          <w:sz w:val="24"/>
        </w:rPr>
        <w:t>higher</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incidence  of  treatment  failure  </w:t>
      </w:r>
      <w:r>
        <w:rPr>
          <w:spacing w:val="-3"/>
          <w:sz w:val="24"/>
        </w:rPr>
        <w:t>in  </w:t>
      </w:r>
      <w:r>
        <w:rPr>
          <w:sz w:val="24"/>
        </w:rPr>
        <w:t>CONTROL/BUT  when  compared  with  other  </w:t>
      </w:r>
      <w:r>
        <w:rPr>
          <w:spacing w:val="6"/>
          <w:sz w:val="24"/>
        </w:rPr>
        <w:t> </w:t>
      </w:r>
      <w:r>
        <w:rPr>
          <w:sz w:val="24"/>
        </w:rPr>
        <w:t>groups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(Table   1).   Comparisons   were   not   performed   between   CONTROL/BUT   and </w:t>
      </w:r>
      <w:r>
        <w:rPr>
          <w:spacing w:val="2"/>
          <w:sz w:val="24"/>
        </w:rPr>
        <w:t> </w:t>
      </w:r>
      <w:r>
        <w:rPr>
          <w:sz w:val="24"/>
        </w:rPr>
        <w:t>other</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treatments after 1h due </w:t>
      </w:r>
      <w:r>
        <w:rPr>
          <w:spacing w:val="2"/>
          <w:sz w:val="24"/>
        </w:rPr>
        <w:t>to </w:t>
      </w:r>
      <w:r>
        <w:rPr>
          <w:sz w:val="24"/>
        </w:rPr>
        <w:t>the high incidence </w:t>
      </w:r>
      <w:r>
        <w:rPr>
          <w:spacing w:val="4"/>
          <w:sz w:val="24"/>
        </w:rPr>
        <w:t>of </w:t>
      </w:r>
      <w:r>
        <w:rPr>
          <w:sz w:val="24"/>
        </w:rPr>
        <w:t>rescue analgesia </w:t>
      </w:r>
      <w:r>
        <w:rPr>
          <w:spacing w:val="-3"/>
          <w:sz w:val="24"/>
        </w:rPr>
        <w:t>in </w:t>
      </w:r>
      <w:r>
        <w:rPr>
          <w:sz w:val="24"/>
        </w:rPr>
        <w:t>the </w:t>
      </w:r>
      <w:r>
        <w:rPr>
          <w:spacing w:val="2"/>
          <w:sz w:val="24"/>
        </w:rPr>
        <w:t>control </w:t>
      </w:r>
      <w:r>
        <w:rPr>
          <w:sz w:val="24"/>
        </w:rPr>
        <w:t>group;  </w:t>
      </w:r>
      <w:r>
        <w:rPr>
          <w:spacing w:val="21"/>
          <w:sz w:val="24"/>
        </w:rPr>
        <w:t> </w:t>
      </w:r>
      <w:r>
        <w:rPr>
          <w:sz w:val="24"/>
        </w:rPr>
        <w:t>data</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were  excluded  from  analysis  after  intervention  analgesia.  Dogs  were  considered  </w:t>
      </w:r>
      <w:r>
        <w:rPr>
          <w:spacing w:val="2"/>
          <w:sz w:val="24"/>
        </w:rPr>
        <w:t>to</w:t>
      </w:r>
      <w:r>
        <w:rPr>
          <w:spacing w:val="-13"/>
          <w:sz w:val="24"/>
        </w:rPr>
        <w:t> </w:t>
      </w:r>
      <w:r>
        <w:rPr>
          <w:spacing w:val="-3"/>
          <w:sz w:val="24"/>
        </w:rPr>
        <w:t>be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comfortable after administration of rescue</w:t>
      </w:r>
      <w:r>
        <w:rPr>
          <w:spacing w:val="-28"/>
          <w:sz w:val="24"/>
        </w:rPr>
        <w:t> </w:t>
      </w:r>
      <w:r>
        <w:rPr>
          <w:sz w:val="24"/>
        </w:rPr>
        <w:t>analgesia.</w:t>
      </w:r>
    </w:p>
    <w:p>
      <w:pPr>
        <w:pStyle w:val="BodyText"/>
        <w:rPr>
          <w:sz w:val="15"/>
        </w:rPr>
      </w:pPr>
    </w:p>
    <w:p>
      <w:pPr>
        <w:pStyle w:val="BodyText"/>
        <w:spacing w:before="70"/>
        <w:ind w:right="104"/>
        <w:jc w:val="right"/>
      </w:pPr>
      <w:r>
        <w:rPr/>
        <w:t>59</w:t>
      </w:r>
    </w:p>
    <w:p>
      <w:pPr>
        <w:spacing w:after="0"/>
        <w:jc w:val="right"/>
        <w:sectPr>
          <w:footerReference w:type="default" r:id="rId43"/>
          <w:pgSz w:w="12240" w:h="15840"/>
          <w:pgMar w:footer="0" w:header="0" w:top="1500" w:bottom="280" w:left="1040" w:right="1420"/>
        </w:sectPr>
      </w:pPr>
    </w:p>
    <w:p>
      <w:pPr>
        <w:pStyle w:val="BodyText"/>
        <w:spacing w:before="7"/>
        <w:rPr>
          <w:sz w:val="20"/>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When using the GCPS, CONTROL/BUT pain scores were significantly greater than  </w:t>
      </w:r>
      <w:r>
        <w:rPr>
          <w:spacing w:val="45"/>
          <w:sz w:val="24"/>
        </w:rPr>
        <w:t> </w:t>
      </w:r>
      <w:r>
        <w:rPr>
          <w:sz w:val="24"/>
        </w:rPr>
        <w:t>DEX</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and LKD at 1h, KET pain scores were significantly higher than DEX at 20h; and LKD</w:t>
      </w:r>
      <w:r>
        <w:rPr>
          <w:spacing w:val="5"/>
          <w:sz w:val="24"/>
        </w:rPr>
        <w:t> </w:t>
      </w:r>
      <w:r>
        <w:rPr>
          <w:sz w:val="24"/>
        </w:rPr>
        <w:t>pain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scores  were  significantly  lower  than  FENT  at  24h.  Within  groups,  pain  scores  </w:t>
      </w:r>
      <w:r>
        <w:rPr>
          <w:spacing w:val="23"/>
          <w:sz w:val="24"/>
        </w:rPr>
        <w:t> </w:t>
      </w:r>
      <w:r>
        <w:rPr>
          <w:sz w:val="24"/>
        </w:rPr>
        <w:t>were</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significantly increased from baseline </w:t>
      </w:r>
      <w:r>
        <w:rPr>
          <w:spacing w:val="-3"/>
          <w:sz w:val="24"/>
        </w:rPr>
        <w:t>in </w:t>
      </w:r>
      <w:r>
        <w:rPr>
          <w:sz w:val="24"/>
        </w:rPr>
        <w:t>CONTROL/BUT at 1h; </w:t>
      </w:r>
      <w:r>
        <w:rPr>
          <w:spacing w:val="-3"/>
          <w:sz w:val="24"/>
        </w:rPr>
        <w:t>in </w:t>
      </w:r>
      <w:r>
        <w:rPr>
          <w:sz w:val="24"/>
        </w:rPr>
        <w:t>FENT at 1h, 9h and</w:t>
      </w:r>
      <w:r>
        <w:rPr>
          <w:spacing w:val="2"/>
          <w:sz w:val="24"/>
        </w:rPr>
        <w:t> </w:t>
      </w:r>
      <w:r>
        <w:rPr>
          <w:sz w:val="24"/>
        </w:rPr>
        <w:t>12h;</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pacing w:val="-3"/>
          <w:sz w:val="24"/>
        </w:rPr>
        <w:t>in </w:t>
      </w:r>
      <w:r>
        <w:rPr>
          <w:sz w:val="24"/>
        </w:rPr>
        <w:t>LIDO at 2h and 9h; </w:t>
      </w:r>
      <w:r>
        <w:rPr>
          <w:spacing w:val="-3"/>
          <w:sz w:val="24"/>
        </w:rPr>
        <w:t>in </w:t>
      </w:r>
      <w:r>
        <w:rPr>
          <w:sz w:val="24"/>
        </w:rPr>
        <w:t>DEX at </w:t>
      </w:r>
      <w:r>
        <w:rPr>
          <w:spacing w:val="-3"/>
          <w:sz w:val="24"/>
        </w:rPr>
        <w:t>1, 8, 9, </w:t>
      </w:r>
      <w:r>
        <w:rPr>
          <w:sz w:val="24"/>
        </w:rPr>
        <w:t>10, 11 and 12h (Table</w:t>
      </w:r>
      <w:r>
        <w:rPr>
          <w:spacing w:val="22"/>
          <w:sz w:val="24"/>
        </w:rPr>
        <w:t> </w:t>
      </w:r>
      <w:r>
        <w:rPr>
          <w:sz w:val="24"/>
        </w:rPr>
        <w:t>2).</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When using the UMPS, </w:t>
      </w:r>
      <w:r>
        <w:rPr>
          <w:spacing w:val="-3"/>
          <w:sz w:val="24"/>
        </w:rPr>
        <w:t>LKD </w:t>
      </w:r>
      <w:r>
        <w:rPr>
          <w:sz w:val="24"/>
        </w:rPr>
        <w:t>pain scores were significantly lower than CONTROL/BUT</w:t>
      </w:r>
      <w:r>
        <w:rPr>
          <w:spacing w:val="3"/>
          <w:sz w:val="24"/>
        </w:rPr>
        <w:t> </w:t>
      </w:r>
      <w:r>
        <w:rPr>
          <w:sz w:val="24"/>
        </w:rPr>
        <w:t>at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1h, than KET at 2 and 3h, and when compared </w:t>
      </w:r>
      <w:r>
        <w:rPr>
          <w:spacing w:val="2"/>
          <w:sz w:val="24"/>
        </w:rPr>
        <w:t>with </w:t>
      </w:r>
      <w:r>
        <w:rPr>
          <w:sz w:val="24"/>
        </w:rPr>
        <w:t>FENT at   </w:t>
      </w:r>
      <w:r>
        <w:rPr>
          <w:spacing w:val="3"/>
          <w:sz w:val="24"/>
        </w:rPr>
        <w:t> </w:t>
      </w:r>
      <w:r>
        <w:rPr>
          <w:sz w:val="24"/>
        </w:rPr>
        <w:t>6h, 7h, 10, 11, 16h and 18h.</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FENT pain scores were significantly greater than KET at 18 and 22h. Within groups,  </w:t>
      </w:r>
      <w:r>
        <w:rPr>
          <w:spacing w:val="43"/>
          <w:sz w:val="24"/>
        </w:rPr>
        <w:t> </w:t>
      </w:r>
      <w:r>
        <w:rPr>
          <w:sz w:val="24"/>
        </w:rPr>
        <w:t>pain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scores were significantly increased from baseline </w:t>
      </w:r>
      <w:r>
        <w:rPr>
          <w:spacing w:val="-3"/>
          <w:sz w:val="24"/>
        </w:rPr>
        <w:t>in </w:t>
      </w:r>
      <w:r>
        <w:rPr>
          <w:sz w:val="24"/>
        </w:rPr>
        <w:t>CONTROL/BUT at 1h, and </w:t>
      </w:r>
      <w:r>
        <w:rPr>
          <w:spacing w:val="-3"/>
          <w:sz w:val="24"/>
        </w:rPr>
        <w:t>in   </w:t>
      </w:r>
      <w:r>
        <w:rPr>
          <w:spacing w:val="28"/>
          <w:sz w:val="24"/>
        </w:rPr>
        <w:t> </w:t>
      </w:r>
      <w:r>
        <w:rPr>
          <w:sz w:val="24"/>
        </w:rPr>
        <w:t>FENT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at 7h (Table</w:t>
      </w:r>
      <w:r>
        <w:rPr>
          <w:spacing w:val="-4"/>
          <w:sz w:val="24"/>
        </w:rPr>
        <w:t> </w:t>
      </w:r>
      <w:r>
        <w:rPr>
          <w:sz w:val="24"/>
        </w:rPr>
        <w:t>2).</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When using NRS, LKD pain scores were significantly lower than CONTROL/BUT at  </w:t>
      </w:r>
      <w:r>
        <w:rPr>
          <w:spacing w:val="55"/>
          <w:sz w:val="24"/>
        </w:rPr>
        <w:t> </w:t>
      </w:r>
      <w:r>
        <w:rPr>
          <w:sz w:val="24"/>
        </w:rPr>
        <w:t>1h,</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than</w:t>
      </w:r>
      <w:r>
        <w:rPr>
          <w:spacing w:val="19"/>
          <w:sz w:val="24"/>
        </w:rPr>
        <w:t> </w:t>
      </w:r>
      <w:r>
        <w:rPr>
          <w:sz w:val="24"/>
        </w:rPr>
        <w:t>FENT</w:t>
      </w:r>
      <w:r>
        <w:rPr>
          <w:spacing w:val="20"/>
          <w:sz w:val="24"/>
        </w:rPr>
        <w:t> </w:t>
      </w:r>
      <w:r>
        <w:rPr>
          <w:sz w:val="24"/>
        </w:rPr>
        <w:t>at</w:t>
      </w:r>
      <w:r>
        <w:rPr>
          <w:spacing w:val="24"/>
          <w:sz w:val="24"/>
        </w:rPr>
        <w:t> </w:t>
      </w:r>
      <w:r>
        <w:rPr>
          <w:sz w:val="24"/>
        </w:rPr>
        <w:t>5,</w:t>
      </w:r>
      <w:r>
        <w:rPr>
          <w:spacing w:val="21"/>
          <w:sz w:val="24"/>
        </w:rPr>
        <w:t> </w:t>
      </w:r>
      <w:r>
        <w:rPr>
          <w:spacing w:val="-3"/>
          <w:sz w:val="24"/>
        </w:rPr>
        <w:t>6,</w:t>
      </w:r>
      <w:r>
        <w:rPr>
          <w:spacing w:val="21"/>
          <w:sz w:val="24"/>
        </w:rPr>
        <w:t> </w:t>
      </w:r>
      <w:r>
        <w:rPr>
          <w:sz w:val="24"/>
        </w:rPr>
        <w:t>and</w:t>
      </w:r>
      <w:r>
        <w:rPr>
          <w:spacing w:val="19"/>
          <w:sz w:val="24"/>
        </w:rPr>
        <w:t> </w:t>
      </w:r>
      <w:r>
        <w:rPr>
          <w:sz w:val="24"/>
        </w:rPr>
        <w:t>7h,</w:t>
      </w:r>
      <w:r>
        <w:rPr>
          <w:spacing w:val="24"/>
          <w:sz w:val="24"/>
        </w:rPr>
        <w:t> </w:t>
      </w:r>
      <w:r>
        <w:rPr>
          <w:sz w:val="24"/>
        </w:rPr>
        <w:t>than</w:t>
      </w:r>
      <w:r>
        <w:rPr>
          <w:spacing w:val="19"/>
          <w:sz w:val="24"/>
        </w:rPr>
        <w:t> </w:t>
      </w:r>
      <w:r>
        <w:rPr>
          <w:sz w:val="24"/>
        </w:rPr>
        <w:t>LIDO</w:t>
      </w:r>
      <w:r>
        <w:rPr>
          <w:spacing w:val="18"/>
          <w:sz w:val="24"/>
        </w:rPr>
        <w:t> </w:t>
      </w:r>
      <w:r>
        <w:rPr>
          <w:sz w:val="24"/>
        </w:rPr>
        <w:t>at</w:t>
      </w:r>
      <w:r>
        <w:rPr>
          <w:spacing w:val="24"/>
          <w:sz w:val="24"/>
        </w:rPr>
        <w:t> </w:t>
      </w:r>
      <w:r>
        <w:rPr>
          <w:sz w:val="24"/>
        </w:rPr>
        <w:t>2h,</w:t>
      </w:r>
      <w:r>
        <w:rPr>
          <w:spacing w:val="21"/>
          <w:sz w:val="24"/>
        </w:rPr>
        <w:t> </w:t>
      </w:r>
      <w:r>
        <w:rPr>
          <w:sz w:val="24"/>
        </w:rPr>
        <w:t>than</w:t>
      </w:r>
      <w:r>
        <w:rPr>
          <w:spacing w:val="19"/>
          <w:sz w:val="24"/>
        </w:rPr>
        <w:t> </w:t>
      </w:r>
      <w:r>
        <w:rPr>
          <w:sz w:val="24"/>
        </w:rPr>
        <w:t>KET</w:t>
      </w:r>
      <w:r>
        <w:rPr>
          <w:spacing w:val="21"/>
          <w:sz w:val="24"/>
        </w:rPr>
        <w:t> </w:t>
      </w:r>
      <w:r>
        <w:rPr>
          <w:sz w:val="24"/>
        </w:rPr>
        <w:t>at</w:t>
      </w:r>
      <w:r>
        <w:rPr>
          <w:spacing w:val="24"/>
          <w:sz w:val="24"/>
        </w:rPr>
        <w:t> </w:t>
      </w:r>
      <w:r>
        <w:rPr>
          <w:sz w:val="24"/>
        </w:rPr>
        <w:t>4</w:t>
      </w:r>
      <w:r>
        <w:rPr>
          <w:spacing w:val="19"/>
          <w:sz w:val="24"/>
        </w:rPr>
        <w:t> </w:t>
      </w:r>
      <w:r>
        <w:rPr>
          <w:sz w:val="24"/>
        </w:rPr>
        <w:t>and</w:t>
      </w:r>
      <w:r>
        <w:rPr>
          <w:spacing w:val="19"/>
          <w:sz w:val="24"/>
        </w:rPr>
        <w:t> </w:t>
      </w:r>
      <w:r>
        <w:rPr>
          <w:sz w:val="24"/>
        </w:rPr>
        <w:t>6h,</w:t>
      </w:r>
      <w:r>
        <w:rPr>
          <w:spacing w:val="21"/>
          <w:sz w:val="24"/>
        </w:rPr>
        <w:t> </w:t>
      </w:r>
      <w:r>
        <w:rPr>
          <w:sz w:val="24"/>
        </w:rPr>
        <w:t>and</w:t>
      </w:r>
      <w:r>
        <w:rPr>
          <w:spacing w:val="19"/>
          <w:sz w:val="24"/>
        </w:rPr>
        <w:t> </w:t>
      </w:r>
      <w:r>
        <w:rPr>
          <w:sz w:val="24"/>
        </w:rPr>
        <w:t>when</w:t>
      </w:r>
      <w:r>
        <w:rPr>
          <w:spacing w:val="14"/>
          <w:sz w:val="24"/>
        </w:rPr>
        <w:t> </w:t>
      </w:r>
      <w:r>
        <w:rPr>
          <w:sz w:val="24"/>
        </w:rPr>
        <w:t>compared</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with DEX at 8 and 10h. CONTROL/BUT pain scores were significantly higher than  </w:t>
      </w:r>
      <w:r>
        <w:rPr>
          <w:spacing w:val="44"/>
          <w:sz w:val="24"/>
        </w:rPr>
        <w:t> </w:t>
      </w:r>
      <w:r>
        <w:rPr>
          <w:sz w:val="24"/>
        </w:rPr>
        <w:t>DEX</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and FENT at 1h. Within groups, pain scores were significantly increased from baseline   </w:t>
      </w:r>
      <w:r>
        <w:rPr>
          <w:spacing w:val="18"/>
          <w:sz w:val="24"/>
        </w:rPr>
        <w:t> </w:t>
      </w:r>
      <w:r>
        <w:rPr>
          <w:sz w:val="24"/>
        </w:rPr>
        <w:t>in</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CONTROL/BUT at 1h; </w:t>
      </w:r>
      <w:r>
        <w:rPr>
          <w:spacing w:val="-3"/>
          <w:sz w:val="24"/>
        </w:rPr>
        <w:t>in </w:t>
      </w:r>
      <w:r>
        <w:rPr>
          <w:sz w:val="24"/>
        </w:rPr>
        <w:t>FENT between 5 and 22h, with the exception at 20h; </w:t>
      </w:r>
      <w:r>
        <w:rPr>
          <w:spacing w:val="-3"/>
          <w:sz w:val="24"/>
        </w:rPr>
        <w:t>in </w:t>
      </w:r>
      <w:r>
        <w:rPr>
          <w:sz w:val="24"/>
        </w:rPr>
        <w:t>LIDO</w:t>
      </w:r>
      <w:r>
        <w:rPr>
          <w:spacing w:val="41"/>
          <w:sz w:val="24"/>
        </w:rPr>
        <w:t> </w:t>
      </w:r>
      <w:r>
        <w:rPr>
          <w:sz w:val="24"/>
        </w:rPr>
        <w:t>at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3h; </w:t>
      </w:r>
      <w:r>
        <w:rPr>
          <w:spacing w:val="-3"/>
          <w:sz w:val="24"/>
        </w:rPr>
        <w:t>in </w:t>
      </w:r>
      <w:r>
        <w:rPr>
          <w:sz w:val="24"/>
        </w:rPr>
        <w:t>DEX at 9 and 10h (Table</w:t>
      </w:r>
      <w:r>
        <w:rPr>
          <w:spacing w:val="-2"/>
          <w:sz w:val="24"/>
        </w:rPr>
        <w:t> </w:t>
      </w:r>
      <w:r>
        <w:rPr>
          <w:sz w:val="24"/>
        </w:rPr>
        <w:t>2).</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FENT</w:t>
      </w:r>
      <w:r>
        <w:rPr>
          <w:spacing w:val="47"/>
          <w:sz w:val="24"/>
        </w:rPr>
        <w:t> </w:t>
      </w:r>
      <w:r>
        <w:rPr>
          <w:sz w:val="24"/>
        </w:rPr>
        <w:t>and</w:t>
      </w:r>
      <w:r>
        <w:rPr>
          <w:spacing w:val="50"/>
          <w:sz w:val="24"/>
        </w:rPr>
        <w:t> </w:t>
      </w:r>
      <w:r>
        <w:rPr>
          <w:sz w:val="24"/>
        </w:rPr>
        <w:t>LKD</w:t>
      </w:r>
      <w:r>
        <w:rPr>
          <w:spacing w:val="45"/>
          <w:sz w:val="24"/>
        </w:rPr>
        <w:t> </w:t>
      </w:r>
      <w:r>
        <w:rPr>
          <w:sz w:val="24"/>
        </w:rPr>
        <w:t>sedation</w:t>
      </w:r>
      <w:r>
        <w:rPr>
          <w:spacing w:val="46"/>
          <w:sz w:val="24"/>
        </w:rPr>
        <w:t> </w:t>
      </w:r>
      <w:r>
        <w:rPr>
          <w:sz w:val="24"/>
        </w:rPr>
        <w:t>scores</w:t>
      </w:r>
      <w:r>
        <w:rPr>
          <w:spacing w:val="44"/>
          <w:sz w:val="24"/>
        </w:rPr>
        <w:t> </w:t>
      </w:r>
      <w:r>
        <w:rPr>
          <w:sz w:val="24"/>
        </w:rPr>
        <w:t>were</w:t>
      </w:r>
      <w:r>
        <w:rPr>
          <w:spacing w:val="45"/>
          <w:sz w:val="24"/>
        </w:rPr>
        <w:t> </w:t>
      </w:r>
      <w:r>
        <w:rPr>
          <w:sz w:val="24"/>
        </w:rPr>
        <w:t>significantly</w:t>
      </w:r>
      <w:r>
        <w:rPr>
          <w:spacing w:val="46"/>
          <w:sz w:val="24"/>
        </w:rPr>
        <w:t> </w:t>
      </w:r>
      <w:r>
        <w:rPr>
          <w:sz w:val="24"/>
        </w:rPr>
        <w:t>higher</w:t>
      </w:r>
      <w:r>
        <w:rPr>
          <w:spacing w:val="47"/>
          <w:sz w:val="24"/>
        </w:rPr>
        <w:t> </w:t>
      </w:r>
      <w:r>
        <w:rPr>
          <w:sz w:val="24"/>
        </w:rPr>
        <w:t>than</w:t>
      </w:r>
      <w:r>
        <w:rPr>
          <w:spacing w:val="46"/>
          <w:sz w:val="24"/>
        </w:rPr>
        <w:t> </w:t>
      </w:r>
      <w:r>
        <w:rPr>
          <w:sz w:val="24"/>
        </w:rPr>
        <w:t>CONTROL/BUT</w:t>
      </w:r>
      <w:r>
        <w:rPr>
          <w:spacing w:val="47"/>
          <w:sz w:val="24"/>
        </w:rPr>
        <w:t> </w:t>
      </w:r>
      <w:r>
        <w:rPr>
          <w:sz w:val="24"/>
        </w:rPr>
        <w:t>at</w:t>
      </w:r>
      <w:r>
        <w:rPr>
          <w:spacing w:val="51"/>
          <w:sz w:val="24"/>
        </w:rPr>
        <w:t> </w:t>
      </w:r>
      <w:r>
        <w:rPr>
          <w:sz w:val="24"/>
        </w:rPr>
        <w:t>1h</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(Table 3). Within groups, CONTROL/BUT sedation scores were significantly increased </w:t>
      </w:r>
      <w:r>
        <w:rPr>
          <w:spacing w:val="41"/>
          <w:sz w:val="24"/>
        </w:rPr>
        <w:t> </w:t>
      </w:r>
      <w:r>
        <w:rPr>
          <w:sz w:val="24"/>
        </w:rPr>
        <w:t>at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1h; from 1 </w:t>
      </w:r>
      <w:r>
        <w:rPr>
          <w:spacing w:val="2"/>
          <w:sz w:val="24"/>
        </w:rPr>
        <w:t>to </w:t>
      </w:r>
      <w:r>
        <w:rPr>
          <w:sz w:val="24"/>
        </w:rPr>
        <w:t>5h </w:t>
      </w:r>
      <w:r>
        <w:rPr>
          <w:spacing w:val="-3"/>
          <w:sz w:val="24"/>
        </w:rPr>
        <w:t>in </w:t>
      </w:r>
      <w:r>
        <w:rPr>
          <w:sz w:val="24"/>
        </w:rPr>
        <w:t>LKD, from 1 </w:t>
      </w:r>
      <w:r>
        <w:rPr>
          <w:spacing w:val="2"/>
          <w:sz w:val="24"/>
        </w:rPr>
        <w:t>to </w:t>
      </w:r>
      <w:r>
        <w:rPr>
          <w:sz w:val="24"/>
        </w:rPr>
        <w:t>3h </w:t>
      </w:r>
      <w:r>
        <w:rPr>
          <w:spacing w:val="-3"/>
          <w:sz w:val="24"/>
        </w:rPr>
        <w:t>in </w:t>
      </w:r>
      <w:r>
        <w:rPr>
          <w:sz w:val="24"/>
        </w:rPr>
        <w:t>LIDO, from 1 to 4h </w:t>
      </w:r>
      <w:r>
        <w:rPr>
          <w:spacing w:val="-3"/>
          <w:sz w:val="24"/>
        </w:rPr>
        <w:t>in </w:t>
      </w:r>
      <w:r>
        <w:rPr>
          <w:sz w:val="24"/>
        </w:rPr>
        <w:t>FENT, and from 1 </w:t>
      </w:r>
      <w:r>
        <w:rPr>
          <w:spacing w:val="2"/>
          <w:sz w:val="24"/>
        </w:rPr>
        <w:t>to </w:t>
      </w:r>
      <w:r>
        <w:rPr>
          <w:sz w:val="24"/>
        </w:rPr>
        <w:t>2h </w:t>
      </w:r>
      <w:r>
        <w:rPr>
          <w:spacing w:val="34"/>
          <w:sz w:val="24"/>
        </w:rPr>
        <w:t> </w:t>
      </w:r>
      <w:r>
        <w:rPr>
          <w:spacing w:val="-3"/>
          <w:sz w:val="24"/>
        </w:rPr>
        <w:t>in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KET, when compared to baseline</w:t>
      </w:r>
      <w:r>
        <w:rPr>
          <w:spacing w:val="-21"/>
          <w:sz w:val="24"/>
        </w:rPr>
        <w:t> </w:t>
      </w:r>
      <w:r>
        <w:rPr>
          <w:sz w:val="24"/>
        </w:rPr>
        <w:t>values.</w:t>
      </w:r>
    </w:p>
    <w:p>
      <w:pPr>
        <w:pStyle w:val="BodyText"/>
      </w:pPr>
    </w:p>
    <w:p>
      <w:pPr>
        <w:pStyle w:val="ListParagraph"/>
        <w:numPr>
          <w:ilvl w:val="0"/>
          <w:numId w:val="31"/>
        </w:numPr>
        <w:tabs>
          <w:tab w:pos="474" w:val="left" w:leader="none"/>
        </w:tabs>
        <w:spacing w:line="240" w:lineRule="auto" w:before="0" w:after="0"/>
        <w:ind w:left="473" w:right="0" w:hanging="361"/>
        <w:jc w:val="left"/>
        <w:rPr>
          <w:sz w:val="24"/>
        </w:rPr>
      </w:pPr>
    </w:p>
    <w:p>
      <w:pPr>
        <w:pStyle w:val="BodyText"/>
        <w:spacing w:before="4"/>
        <w:rPr>
          <w:sz w:val="18"/>
        </w:rPr>
      </w:pPr>
    </w:p>
    <w:p>
      <w:pPr>
        <w:pStyle w:val="ListParagraph"/>
        <w:numPr>
          <w:ilvl w:val="0"/>
          <w:numId w:val="31"/>
        </w:numPr>
        <w:tabs>
          <w:tab w:pos="832" w:val="left" w:leader="none"/>
          <w:tab w:pos="833" w:val="left" w:leader="none"/>
        </w:tabs>
        <w:spacing w:line="240" w:lineRule="auto" w:before="70" w:after="0"/>
        <w:ind w:left="832" w:right="0" w:hanging="720"/>
        <w:jc w:val="left"/>
        <w:rPr>
          <w:b/>
          <w:sz w:val="24"/>
        </w:rPr>
      </w:pPr>
      <w:r>
        <w:rPr>
          <w:b/>
          <w:sz w:val="24"/>
        </w:rPr>
        <w:t>Discussion</w:t>
      </w:r>
    </w:p>
    <w:p>
      <w:pPr>
        <w:pStyle w:val="BodyText"/>
        <w:spacing w:before="7"/>
        <w:rPr>
          <w:b/>
          <w:sz w:val="14"/>
        </w:rPr>
      </w:pPr>
    </w:p>
    <w:p>
      <w:pPr>
        <w:pStyle w:val="BodyText"/>
        <w:spacing w:before="69"/>
        <w:ind w:right="104"/>
        <w:jc w:val="right"/>
      </w:pPr>
      <w:r>
        <w:rPr/>
        <w:t>60</w:t>
      </w:r>
    </w:p>
    <w:p>
      <w:pPr>
        <w:spacing w:after="0"/>
        <w:jc w:val="right"/>
        <w:sectPr>
          <w:footerReference w:type="default" r:id="rId44"/>
          <w:pgSz w:w="12240" w:h="15840"/>
          <w:pgMar w:footer="0" w:header="0" w:top="1500" w:bottom="280" w:left="1040" w:right="1420"/>
        </w:sectPr>
      </w:pPr>
    </w:p>
    <w:p>
      <w:pPr>
        <w:pStyle w:val="BodyText"/>
        <w:spacing w:before="7"/>
        <w:rPr>
          <w:sz w:val="20"/>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In</w:t>
      </w:r>
      <w:r>
        <w:rPr>
          <w:spacing w:val="9"/>
          <w:sz w:val="24"/>
        </w:rPr>
        <w:t> </w:t>
      </w:r>
      <w:r>
        <w:rPr>
          <w:sz w:val="24"/>
        </w:rPr>
        <w:t>general,</w:t>
      </w:r>
      <w:r>
        <w:rPr>
          <w:spacing w:val="16"/>
          <w:sz w:val="24"/>
        </w:rPr>
        <w:t> </w:t>
      </w:r>
      <w:r>
        <w:rPr>
          <w:sz w:val="24"/>
        </w:rPr>
        <w:t>the</w:t>
      </w:r>
      <w:r>
        <w:rPr>
          <w:spacing w:val="13"/>
          <w:sz w:val="24"/>
        </w:rPr>
        <w:t> </w:t>
      </w:r>
      <w:r>
        <w:rPr>
          <w:sz w:val="24"/>
        </w:rPr>
        <w:t>results</w:t>
      </w:r>
      <w:r>
        <w:rPr>
          <w:spacing w:val="12"/>
          <w:sz w:val="24"/>
        </w:rPr>
        <w:t> </w:t>
      </w:r>
      <w:r>
        <w:rPr>
          <w:spacing w:val="4"/>
          <w:sz w:val="24"/>
        </w:rPr>
        <w:t>of</w:t>
      </w:r>
      <w:r>
        <w:rPr>
          <w:spacing w:val="6"/>
          <w:sz w:val="24"/>
        </w:rPr>
        <w:t> </w:t>
      </w:r>
      <w:r>
        <w:rPr>
          <w:sz w:val="24"/>
        </w:rPr>
        <w:t>the</w:t>
      </w:r>
      <w:r>
        <w:rPr>
          <w:spacing w:val="13"/>
          <w:sz w:val="24"/>
        </w:rPr>
        <w:t> </w:t>
      </w:r>
      <w:r>
        <w:rPr>
          <w:sz w:val="24"/>
        </w:rPr>
        <w:t>present</w:t>
      </w:r>
      <w:r>
        <w:rPr>
          <w:spacing w:val="19"/>
          <w:sz w:val="24"/>
        </w:rPr>
        <w:t> </w:t>
      </w:r>
      <w:r>
        <w:rPr>
          <w:sz w:val="24"/>
        </w:rPr>
        <w:t>study</w:t>
      </w:r>
      <w:r>
        <w:rPr>
          <w:spacing w:val="9"/>
          <w:sz w:val="24"/>
        </w:rPr>
        <w:t> </w:t>
      </w:r>
      <w:r>
        <w:rPr>
          <w:sz w:val="24"/>
        </w:rPr>
        <w:t>indicated</w:t>
      </w:r>
      <w:r>
        <w:rPr>
          <w:spacing w:val="14"/>
          <w:sz w:val="24"/>
        </w:rPr>
        <w:t> </w:t>
      </w:r>
      <w:r>
        <w:rPr>
          <w:sz w:val="24"/>
        </w:rPr>
        <w:t>that</w:t>
      </w:r>
      <w:r>
        <w:rPr>
          <w:spacing w:val="19"/>
          <w:sz w:val="24"/>
        </w:rPr>
        <w:t> </w:t>
      </w:r>
      <w:r>
        <w:rPr>
          <w:sz w:val="24"/>
        </w:rPr>
        <w:t>a</w:t>
      </w:r>
      <w:r>
        <w:rPr>
          <w:spacing w:val="13"/>
          <w:sz w:val="24"/>
        </w:rPr>
        <w:t> </w:t>
      </w:r>
      <w:r>
        <w:rPr>
          <w:sz w:val="24"/>
        </w:rPr>
        <w:t>CRI</w:t>
      </w:r>
      <w:r>
        <w:rPr>
          <w:spacing w:val="16"/>
          <w:sz w:val="24"/>
        </w:rPr>
        <w:t> </w:t>
      </w:r>
      <w:r>
        <w:rPr>
          <w:sz w:val="24"/>
        </w:rPr>
        <w:t>of</w:t>
      </w:r>
      <w:r>
        <w:rPr>
          <w:spacing w:val="6"/>
          <w:sz w:val="24"/>
        </w:rPr>
        <w:t> </w:t>
      </w:r>
      <w:r>
        <w:rPr>
          <w:sz w:val="24"/>
        </w:rPr>
        <w:t>LKD</w:t>
      </w:r>
      <w:r>
        <w:rPr>
          <w:spacing w:val="18"/>
          <w:sz w:val="24"/>
        </w:rPr>
        <w:t> </w:t>
      </w:r>
      <w:r>
        <w:rPr>
          <w:spacing w:val="-3"/>
          <w:sz w:val="24"/>
        </w:rPr>
        <w:t>is</w:t>
      </w:r>
      <w:r>
        <w:rPr>
          <w:spacing w:val="16"/>
          <w:sz w:val="24"/>
        </w:rPr>
        <w:t> </w:t>
      </w:r>
      <w:r>
        <w:rPr>
          <w:sz w:val="24"/>
        </w:rPr>
        <w:t>associated</w:t>
      </w:r>
      <w:r>
        <w:rPr>
          <w:spacing w:val="14"/>
          <w:sz w:val="24"/>
        </w:rPr>
        <w:t> </w:t>
      </w:r>
      <w:r>
        <w:rPr>
          <w:sz w:val="24"/>
        </w:rPr>
        <w:t>with</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significant  lower  pain  scores  than  other  treated  groups  when  using  the  NRS,  or</w:t>
      </w:r>
      <w:r>
        <w:rPr>
          <w:spacing w:val="45"/>
          <w:sz w:val="24"/>
        </w:rPr>
        <w:t> </w:t>
      </w:r>
      <w:r>
        <w:rPr>
          <w:sz w:val="24"/>
        </w:rPr>
        <w:t>than</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CONTROL/BUT and FENT using the GCPS, or than CONTROL/BUT, KET   </w:t>
      </w:r>
      <w:r>
        <w:rPr>
          <w:spacing w:val="40"/>
          <w:sz w:val="24"/>
        </w:rPr>
        <w:t> </w:t>
      </w:r>
      <w:r>
        <w:rPr>
          <w:sz w:val="24"/>
        </w:rPr>
        <w:t>and  FENT</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using the UMPS. However, LKD was not significantly different than FENT or DEX</w:t>
      </w:r>
      <w:r>
        <w:rPr>
          <w:spacing w:val="15"/>
          <w:sz w:val="24"/>
        </w:rPr>
        <w:t> </w:t>
      </w:r>
      <w:r>
        <w:rPr>
          <w:sz w:val="24"/>
        </w:rPr>
        <w:t>during</w:t>
      </w:r>
    </w:p>
    <w:p>
      <w:pPr>
        <w:pStyle w:val="BodyText"/>
        <w:rPr>
          <w:sz w:val="18"/>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the  infusion period (4h after surgery).  In addition,  the  incidence </w:t>
      </w:r>
      <w:r>
        <w:rPr>
          <w:spacing w:val="4"/>
          <w:sz w:val="24"/>
        </w:rPr>
        <w:t>of </w:t>
      </w:r>
      <w:r>
        <w:rPr>
          <w:sz w:val="24"/>
        </w:rPr>
        <w:t>rescue analgesia </w:t>
      </w:r>
      <w:r>
        <w:rPr>
          <w:spacing w:val="59"/>
          <w:sz w:val="24"/>
        </w:rPr>
        <w:t> </w:t>
      </w:r>
      <w:r>
        <w:rPr>
          <w:sz w:val="24"/>
        </w:rPr>
        <w:t>was</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significantly lower </w:t>
      </w:r>
      <w:r>
        <w:rPr>
          <w:spacing w:val="-3"/>
          <w:sz w:val="24"/>
        </w:rPr>
        <w:t>in </w:t>
      </w:r>
      <w:r>
        <w:rPr>
          <w:sz w:val="24"/>
        </w:rPr>
        <w:t>all treated groups when compared with CONTROL/BUT.  </w:t>
      </w:r>
      <w:r>
        <w:rPr>
          <w:spacing w:val="36"/>
          <w:sz w:val="24"/>
        </w:rPr>
        <w:t> </w:t>
      </w:r>
      <w:r>
        <w:rPr>
          <w:sz w:val="24"/>
        </w:rPr>
        <w:t>However,</w:t>
      </w:r>
    </w:p>
    <w:p>
      <w:pPr>
        <w:pStyle w:val="BodyText"/>
        <w:spacing w:before="11"/>
        <w:rPr>
          <w:sz w:val="17"/>
        </w:rPr>
      </w:pPr>
    </w:p>
    <w:p>
      <w:pPr>
        <w:pStyle w:val="ListParagraph"/>
        <w:numPr>
          <w:ilvl w:val="0"/>
          <w:numId w:val="31"/>
        </w:numPr>
        <w:tabs>
          <w:tab w:pos="832" w:val="left" w:leader="none"/>
          <w:tab w:pos="833" w:val="left" w:leader="none"/>
        </w:tabs>
        <w:spacing w:line="240" w:lineRule="auto" w:before="69" w:after="0"/>
        <w:ind w:left="832" w:right="0" w:hanging="720"/>
        <w:jc w:val="left"/>
        <w:rPr>
          <w:sz w:val="24"/>
        </w:rPr>
      </w:pPr>
      <w:r>
        <w:rPr>
          <w:sz w:val="24"/>
        </w:rPr>
        <w:t>pain scores were not significantly decreased </w:t>
      </w:r>
      <w:r>
        <w:rPr>
          <w:spacing w:val="-3"/>
          <w:sz w:val="24"/>
        </w:rPr>
        <w:t>in </w:t>
      </w:r>
      <w:r>
        <w:rPr>
          <w:sz w:val="24"/>
        </w:rPr>
        <w:t>KET and LIDO than </w:t>
      </w:r>
      <w:r>
        <w:rPr>
          <w:spacing w:val="-3"/>
          <w:sz w:val="24"/>
        </w:rPr>
        <w:t>in </w:t>
      </w:r>
      <w:r>
        <w:rPr>
          <w:sz w:val="24"/>
        </w:rPr>
        <w:t>CONTROL/BUT </w:t>
      </w:r>
      <w:r>
        <w:rPr>
          <w:spacing w:val="15"/>
          <w:sz w:val="24"/>
        </w:rPr>
        <w:t> </w:t>
      </w:r>
      <w:r>
        <w:rPr>
          <w:sz w:val="24"/>
        </w:rPr>
        <w:t>at</w:t>
      </w:r>
    </w:p>
    <w:p>
      <w:pPr>
        <w:pStyle w:val="BodyText"/>
        <w:rPr>
          <w:sz w:val="18"/>
        </w:rPr>
      </w:pPr>
    </w:p>
    <w:p>
      <w:pPr>
        <w:pStyle w:val="BodyText"/>
        <w:tabs>
          <w:tab w:pos="832" w:val="left" w:leader="none"/>
        </w:tabs>
        <w:spacing w:before="69"/>
        <w:ind w:left="112"/>
      </w:pPr>
      <w:r>
        <w:rPr/>
        <w:t>199</w:t>
        <w:tab/>
        <w:t>1h.</w:t>
      </w:r>
    </w:p>
    <w:p>
      <w:pPr>
        <w:pStyle w:val="BodyText"/>
        <w:spacing w:before="11"/>
        <w:rPr>
          <w:sz w:val="17"/>
        </w:rPr>
      </w:pPr>
    </w:p>
    <w:p>
      <w:pPr>
        <w:pStyle w:val="ListParagraph"/>
        <w:numPr>
          <w:ilvl w:val="0"/>
          <w:numId w:val="32"/>
        </w:numPr>
        <w:tabs>
          <w:tab w:pos="1538" w:val="left" w:leader="none"/>
          <w:tab w:pos="1539" w:val="left" w:leader="none"/>
        </w:tabs>
        <w:spacing w:line="240" w:lineRule="auto" w:before="69" w:after="0"/>
        <w:ind w:left="1538" w:right="0" w:hanging="1426"/>
        <w:jc w:val="left"/>
        <w:rPr>
          <w:sz w:val="24"/>
        </w:rPr>
      </w:pPr>
      <w:r>
        <w:rPr>
          <w:sz w:val="24"/>
        </w:rPr>
        <w:t>Fentanyl  </w:t>
      </w:r>
      <w:r>
        <w:rPr>
          <w:spacing w:val="-3"/>
          <w:sz w:val="24"/>
        </w:rPr>
        <w:t>is  </w:t>
      </w:r>
      <w:r>
        <w:rPr>
          <w:sz w:val="24"/>
        </w:rPr>
        <w:t>a  short-acting  opioid  that  produces  analgesia  by  binding  to </w:t>
      </w:r>
      <w:r>
        <w:rPr>
          <w:spacing w:val="32"/>
          <w:sz w:val="24"/>
        </w:rPr>
        <w:t> </w:t>
      </w:r>
      <w:r>
        <w:rPr>
          <w:sz w:val="24"/>
        </w:rPr>
        <w:t>opioid</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receptors within the central and peripheral nervous system (Mathews et </w:t>
      </w:r>
      <w:r>
        <w:rPr>
          <w:spacing w:val="-3"/>
          <w:sz w:val="24"/>
        </w:rPr>
        <w:t>al. </w:t>
      </w:r>
      <w:r>
        <w:rPr>
          <w:sz w:val="24"/>
        </w:rPr>
        <w:t>2013). A CRI</w:t>
      </w:r>
      <w:r>
        <w:rPr>
          <w:spacing w:val="38"/>
          <w:sz w:val="24"/>
        </w:rPr>
        <w:t> </w:t>
      </w:r>
      <w:r>
        <w:rPr>
          <w:spacing w:val="4"/>
          <w:sz w:val="24"/>
        </w:rPr>
        <w:t>of</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fentanyl </w:t>
      </w:r>
      <w:r>
        <w:rPr>
          <w:spacing w:val="-3"/>
          <w:sz w:val="24"/>
        </w:rPr>
        <w:t>is </w:t>
      </w:r>
      <w:r>
        <w:rPr>
          <w:sz w:val="24"/>
        </w:rPr>
        <w:t>considered </w:t>
      </w:r>
      <w:r>
        <w:rPr>
          <w:spacing w:val="2"/>
          <w:sz w:val="24"/>
        </w:rPr>
        <w:t>to </w:t>
      </w:r>
      <w:r>
        <w:rPr>
          <w:spacing w:val="-3"/>
          <w:sz w:val="24"/>
        </w:rPr>
        <w:t>be </w:t>
      </w:r>
      <w:r>
        <w:rPr>
          <w:sz w:val="24"/>
        </w:rPr>
        <w:t>the cornerstone for the treatment of perioperative pain </w:t>
      </w:r>
      <w:r>
        <w:rPr>
          <w:spacing w:val="-3"/>
          <w:sz w:val="24"/>
        </w:rPr>
        <w:t>in</w:t>
      </w:r>
      <w:r>
        <w:rPr>
          <w:spacing w:val="-6"/>
          <w:sz w:val="24"/>
        </w:rPr>
        <w:t> </w:t>
      </w:r>
      <w:r>
        <w:rPr>
          <w:sz w:val="24"/>
        </w:rPr>
        <w:t>canine</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practice (Wagner et  </w:t>
      </w:r>
      <w:r>
        <w:rPr>
          <w:spacing w:val="-3"/>
          <w:sz w:val="24"/>
        </w:rPr>
        <w:t>al.  </w:t>
      </w:r>
      <w:r>
        <w:rPr>
          <w:sz w:val="24"/>
        </w:rPr>
        <w:t>2002, 2010, Mathews et  </w:t>
      </w:r>
      <w:r>
        <w:rPr>
          <w:spacing w:val="-3"/>
          <w:sz w:val="24"/>
        </w:rPr>
        <w:t>al.  </w:t>
      </w:r>
      <w:r>
        <w:rPr>
          <w:sz w:val="24"/>
        </w:rPr>
        <w:t>2013).  In one study where a </w:t>
      </w:r>
      <w:r>
        <w:rPr>
          <w:spacing w:val="50"/>
          <w:sz w:val="24"/>
        </w:rPr>
        <w:t> </w:t>
      </w:r>
      <w:r>
        <w:rPr>
          <w:sz w:val="24"/>
        </w:rPr>
        <w:t>fentanyl</w:t>
      </w:r>
    </w:p>
    <w:p>
      <w:pPr>
        <w:pStyle w:val="BodyText"/>
        <w:spacing w:before="10"/>
        <w:rPr>
          <w:sz w:val="20"/>
        </w:rPr>
      </w:pPr>
    </w:p>
    <w:p>
      <w:pPr>
        <w:pStyle w:val="ListParagraph"/>
        <w:numPr>
          <w:ilvl w:val="0"/>
          <w:numId w:val="32"/>
        </w:numPr>
        <w:tabs>
          <w:tab w:pos="832" w:val="left" w:leader="none"/>
          <w:tab w:pos="833" w:val="left" w:leader="none"/>
        </w:tabs>
        <w:spacing w:line="240" w:lineRule="auto" w:before="0" w:after="0"/>
        <w:ind w:left="832" w:right="0" w:hanging="720"/>
        <w:jc w:val="left"/>
        <w:rPr>
          <w:sz w:val="24"/>
        </w:rPr>
      </w:pPr>
      <w:r>
        <w:rPr>
          <w:sz w:val="24"/>
        </w:rPr>
        <w:t>CRI (2 µg kg</w:t>
      </w:r>
      <w:r>
        <w:rPr>
          <w:position w:val="11"/>
          <w:sz w:val="16"/>
        </w:rPr>
        <w:t>-1  </w:t>
      </w:r>
      <w:r>
        <w:rPr>
          <w:sz w:val="24"/>
        </w:rPr>
        <w:t>hour</w:t>
      </w:r>
      <w:r>
        <w:rPr>
          <w:position w:val="11"/>
          <w:sz w:val="16"/>
        </w:rPr>
        <w:t>-1</w:t>
      </w:r>
      <w:r>
        <w:rPr>
          <w:sz w:val="24"/>
        </w:rPr>
        <w:t>, IV) was administered to dogs after forelimb amputation, the </w:t>
      </w:r>
      <w:r>
        <w:rPr>
          <w:spacing w:val="31"/>
          <w:sz w:val="24"/>
        </w:rPr>
        <w:t> </w:t>
      </w:r>
      <w:r>
        <w:rPr>
          <w:sz w:val="24"/>
        </w:rPr>
        <w:t>highest</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UMPS </w:t>
      </w:r>
      <w:r>
        <w:rPr>
          <w:spacing w:val="46"/>
          <w:sz w:val="24"/>
        </w:rPr>
        <w:t> </w:t>
      </w:r>
      <w:r>
        <w:rPr>
          <w:sz w:val="24"/>
        </w:rPr>
        <w:t>were </w:t>
      </w:r>
      <w:r>
        <w:rPr>
          <w:spacing w:val="44"/>
          <w:sz w:val="24"/>
        </w:rPr>
        <w:t> </w:t>
      </w:r>
      <w:r>
        <w:rPr>
          <w:sz w:val="24"/>
        </w:rPr>
        <w:t>4.61 </w:t>
      </w:r>
      <w:r>
        <w:rPr>
          <w:spacing w:val="45"/>
          <w:sz w:val="24"/>
        </w:rPr>
        <w:t> </w:t>
      </w:r>
      <w:r>
        <w:rPr>
          <w:sz w:val="24"/>
        </w:rPr>
        <w:t>± </w:t>
      </w:r>
      <w:r>
        <w:rPr>
          <w:spacing w:val="46"/>
          <w:sz w:val="24"/>
        </w:rPr>
        <w:t> </w:t>
      </w:r>
      <w:r>
        <w:rPr>
          <w:sz w:val="24"/>
        </w:rPr>
        <w:t>0.79 </w:t>
      </w:r>
      <w:r>
        <w:rPr>
          <w:spacing w:val="46"/>
          <w:sz w:val="24"/>
        </w:rPr>
        <w:t> </w:t>
      </w:r>
      <w:r>
        <w:rPr>
          <w:sz w:val="24"/>
        </w:rPr>
        <w:t>(mean </w:t>
      </w:r>
      <w:r>
        <w:rPr>
          <w:spacing w:val="45"/>
          <w:sz w:val="24"/>
        </w:rPr>
        <w:t> </w:t>
      </w:r>
      <w:r>
        <w:rPr>
          <w:sz w:val="24"/>
        </w:rPr>
        <w:t>± </w:t>
      </w:r>
      <w:r>
        <w:rPr>
          <w:spacing w:val="43"/>
          <w:sz w:val="24"/>
        </w:rPr>
        <w:t> </w:t>
      </w:r>
      <w:r>
        <w:rPr>
          <w:sz w:val="24"/>
        </w:rPr>
        <w:t>SD; </w:t>
      </w:r>
      <w:r>
        <w:rPr>
          <w:spacing w:val="41"/>
          <w:sz w:val="24"/>
        </w:rPr>
        <w:t> </w:t>
      </w:r>
      <w:r>
        <w:rPr>
          <w:sz w:val="24"/>
        </w:rPr>
        <w:t>0-10 </w:t>
      </w:r>
      <w:r>
        <w:rPr>
          <w:spacing w:val="45"/>
          <w:sz w:val="24"/>
        </w:rPr>
        <w:t> </w:t>
      </w:r>
      <w:r>
        <w:rPr>
          <w:sz w:val="24"/>
        </w:rPr>
        <w:t>range) </w:t>
      </w:r>
      <w:r>
        <w:rPr>
          <w:spacing w:val="47"/>
          <w:sz w:val="24"/>
        </w:rPr>
        <w:t> </w:t>
      </w:r>
      <w:r>
        <w:rPr>
          <w:sz w:val="24"/>
        </w:rPr>
        <w:t>during </w:t>
      </w:r>
      <w:r>
        <w:rPr>
          <w:spacing w:val="45"/>
          <w:sz w:val="24"/>
        </w:rPr>
        <w:t> </w:t>
      </w:r>
      <w:r>
        <w:rPr>
          <w:sz w:val="24"/>
        </w:rPr>
        <w:t>the </w:t>
      </w:r>
      <w:r>
        <w:rPr>
          <w:spacing w:val="49"/>
          <w:sz w:val="24"/>
        </w:rPr>
        <w:t> </w:t>
      </w:r>
      <w:r>
        <w:rPr>
          <w:sz w:val="24"/>
        </w:rPr>
        <w:t>first </w:t>
      </w:r>
      <w:r>
        <w:rPr>
          <w:spacing w:val="50"/>
          <w:sz w:val="24"/>
        </w:rPr>
        <w:t> </w:t>
      </w:r>
      <w:r>
        <w:rPr>
          <w:sz w:val="24"/>
        </w:rPr>
        <w:t>four </w:t>
      </w:r>
      <w:r>
        <w:rPr>
          <w:spacing w:val="47"/>
          <w:sz w:val="24"/>
        </w:rPr>
        <w:t> </w:t>
      </w:r>
      <w:r>
        <w:rPr>
          <w:sz w:val="24"/>
        </w:rPr>
        <w:t>hours</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postoperatively (Wagner et </w:t>
      </w:r>
      <w:r>
        <w:rPr>
          <w:spacing w:val="-3"/>
          <w:sz w:val="24"/>
        </w:rPr>
        <w:t>al. </w:t>
      </w:r>
      <w:r>
        <w:rPr>
          <w:sz w:val="24"/>
        </w:rPr>
        <w:t>2002). Dogs </w:t>
      </w:r>
      <w:r>
        <w:rPr>
          <w:spacing w:val="-3"/>
          <w:sz w:val="24"/>
        </w:rPr>
        <w:t>in </w:t>
      </w:r>
      <w:r>
        <w:rPr>
          <w:sz w:val="24"/>
        </w:rPr>
        <w:t>the present study had lower pain scores </w:t>
      </w:r>
      <w:r>
        <w:rPr>
          <w:spacing w:val="49"/>
          <w:sz w:val="24"/>
        </w:rPr>
        <w:t> </w:t>
      </w:r>
      <w:r>
        <w:rPr>
          <w:sz w:val="24"/>
        </w:rPr>
        <w:t>(3.5,</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1-5; median, range) </w:t>
      </w:r>
      <w:r>
        <w:rPr>
          <w:spacing w:val="-3"/>
          <w:sz w:val="24"/>
        </w:rPr>
        <w:t>in </w:t>
      </w:r>
      <w:r>
        <w:rPr>
          <w:sz w:val="24"/>
        </w:rPr>
        <w:t>the FENT group perhaps due to the </w:t>
      </w:r>
      <w:r>
        <w:rPr>
          <w:spacing w:val="-3"/>
          <w:sz w:val="24"/>
        </w:rPr>
        <w:t>mild </w:t>
      </w:r>
      <w:r>
        <w:rPr>
          <w:sz w:val="24"/>
        </w:rPr>
        <w:t>to moderate  </w:t>
      </w:r>
      <w:r>
        <w:rPr>
          <w:spacing w:val="37"/>
          <w:sz w:val="24"/>
        </w:rPr>
        <w:t> </w:t>
      </w:r>
      <w:r>
        <w:rPr>
          <w:sz w:val="24"/>
        </w:rPr>
        <w:t>nature of pain</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after  an ovariohysterectomy when compared with a  limb amputation.  It  </w:t>
      </w:r>
      <w:r>
        <w:rPr>
          <w:spacing w:val="-3"/>
          <w:sz w:val="24"/>
        </w:rPr>
        <w:t>is  </w:t>
      </w:r>
      <w:r>
        <w:rPr>
          <w:sz w:val="24"/>
        </w:rPr>
        <w:t>not  surprising</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that</w:t>
      </w:r>
      <w:r>
        <w:rPr>
          <w:spacing w:val="23"/>
          <w:sz w:val="24"/>
        </w:rPr>
        <w:t> </w:t>
      </w:r>
      <w:r>
        <w:rPr>
          <w:sz w:val="24"/>
        </w:rPr>
        <w:t>pain</w:t>
      </w:r>
      <w:r>
        <w:rPr>
          <w:spacing w:val="18"/>
          <w:sz w:val="24"/>
        </w:rPr>
        <w:t> </w:t>
      </w:r>
      <w:r>
        <w:rPr>
          <w:sz w:val="24"/>
        </w:rPr>
        <w:t>scores</w:t>
      </w:r>
      <w:r>
        <w:rPr>
          <w:spacing w:val="21"/>
          <w:sz w:val="24"/>
        </w:rPr>
        <w:t> </w:t>
      </w:r>
      <w:r>
        <w:rPr>
          <w:spacing w:val="-3"/>
          <w:sz w:val="24"/>
        </w:rPr>
        <w:t>in</w:t>
      </w:r>
      <w:r>
        <w:rPr>
          <w:spacing w:val="18"/>
          <w:sz w:val="24"/>
        </w:rPr>
        <w:t> </w:t>
      </w:r>
      <w:r>
        <w:rPr>
          <w:sz w:val="24"/>
        </w:rPr>
        <w:t>FENT</w:t>
      </w:r>
      <w:r>
        <w:rPr>
          <w:spacing w:val="19"/>
          <w:sz w:val="24"/>
        </w:rPr>
        <w:t> </w:t>
      </w:r>
      <w:r>
        <w:rPr>
          <w:sz w:val="24"/>
        </w:rPr>
        <w:t>were</w:t>
      </w:r>
      <w:r>
        <w:rPr>
          <w:spacing w:val="17"/>
          <w:sz w:val="24"/>
        </w:rPr>
        <w:t> </w:t>
      </w:r>
      <w:r>
        <w:rPr>
          <w:sz w:val="24"/>
        </w:rPr>
        <w:t>significantly</w:t>
      </w:r>
      <w:r>
        <w:rPr>
          <w:spacing w:val="18"/>
          <w:sz w:val="24"/>
        </w:rPr>
        <w:t> </w:t>
      </w:r>
      <w:r>
        <w:rPr>
          <w:sz w:val="24"/>
        </w:rPr>
        <w:t>increased</w:t>
      </w:r>
      <w:r>
        <w:rPr>
          <w:spacing w:val="18"/>
          <w:sz w:val="24"/>
        </w:rPr>
        <w:t> </w:t>
      </w:r>
      <w:r>
        <w:rPr>
          <w:sz w:val="24"/>
        </w:rPr>
        <w:t>when</w:t>
      </w:r>
      <w:r>
        <w:rPr>
          <w:spacing w:val="18"/>
          <w:sz w:val="24"/>
        </w:rPr>
        <w:t> </w:t>
      </w:r>
      <w:r>
        <w:rPr>
          <w:sz w:val="24"/>
        </w:rPr>
        <w:t>compared</w:t>
      </w:r>
      <w:r>
        <w:rPr>
          <w:spacing w:val="18"/>
          <w:sz w:val="24"/>
        </w:rPr>
        <w:t> </w:t>
      </w:r>
      <w:r>
        <w:rPr>
          <w:sz w:val="24"/>
        </w:rPr>
        <w:t>with</w:t>
      </w:r>
      <w:r>
        <w:rPr>
          <w:spacing w:val="18"/>
          <w:sz w:val="24"/>
        </w:rPr>
        <w:t> </w:t>
      </w:r>
      <w:r>
        <w:rPr>
          <w:sz w:val="24"/>
        </w:rPr>
        <w:t>baseline</w:t>
      </w:r>
      <w:r>
        <w:rPr>
          <w:spacing w:val="22"/>
          <w:sz w:val="24"/>
        </w:rPr>
        <w:t> </w:t>
      </w:r>
      <w:r>
        <w:rPr>
          <w:sz w:val="24"/>
        </w:rPr>
        <w:t>after</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the</w:t>
      </w:r>
      <w:r>
        <w:rPr>
          <w:spacing w:val="23"/>
          <w:sz w:val="24"/>
        </w:rPr>
        <w:t> </w:t>
      </w:r>
      <w:r>
        <w:rPr>
          <w:sz w:val="24"/>
        </w:rPr>
        <w:t>end</w:t>
      </w:r>
      <w:r>
        <w:rPr>
          <w:spacing w:val="28"/>
          <w:sz w:val="24"/>
        </w:rPr>
        <w:t> </w:t>
      </w:r>
      <w:r>
        <w:rPr>
          <w:sz w:val="24"/>
        </w:rPr>
        <w:t>of</w:t>
      </w:r>
      <w:r>
        <w:rPr>
          <w:spacing w:val="21"/>
          <w:sz w:val="24"/>
        </w:rPr>
        <w:t> </w:t>
      </w:r>
      <w:r>
        <w:rPr>
          <w:sz w:val="24"/>
        </w:rPr>
        <w:t>the</w:t>
      </w:r>
      <w:r>
        <w:rPr>
          <w:spacing w:val="28"/>
          <w:sz w:val="24"/>
        </w:rPr>
        <w:t> </w:t>
      </w:r>
      <w:r>
        <w:rPr>
          <w:sz w:val="24"/>
        </w:rPr>
        <w:t>infusion</w:t>
      </w:r>
      <w:r>
        <w:rPr>
          <w:spacing w:val="19"/>
          <w:sz w:val="24"/>
        </w:rPr>
        <w:t> </w:t>
      </w:r>
      <w:r>
        <w:rPr>
          <w:sz w:val="24"/>
        </w:rPr>
        <w:t>period.</w:t>
      </w:r>
      <w:r>
        <w:rPr>
          <w:spacing w:val="31"/>
          <w:sz w:val="24"/>
        </w:rPr>
        <w:t> </w:t>
      </w:r>
      <w:r>
        <w:rPr>
          <w:sz w:val="24"/>
        </w:rPr>
        <w:t>Fentanyl</w:t>
      </w:r>
      <w:r>
        <w:rPr>
          <w:spacing w:val="24"/>
          <w:sz w:val="24"/>
        </w:rPr>
        <w:t> </w:t>
      </w:r>
      <w:r>
        <w:rPr>
          <w:sz w:val="24"/>
        </w:rPr>
        <w:t>has</w:t>
      </w:r>
      <w:r>
        <w:rPr>
          <w:spacing w:val="26"/>
          <w:sz w:val="24"/>
        </w:rPr>
        <w:t> </w:t>
      </w:r>
      <w:r>
        <w:rPr>
          <w:sz w:val="24"/>
        </w:rPr>
        <w:t>a</w:t>
      </w:r>
      <w:r>
        <w:rPr>
          <w:spacing w:val="23"/>
          <w:sz w:val="24"/>
        </w:rPr>
        <w:t> </w:t>
      </w:r>
      <w:r>
        <w:rPr>
          <w:sz w:val="24"/>
        </w:rPr>
        <w:t>rapid</w:t>
      </w:r>
      <w:r>
        <w:rPr>
          <w:spacing w:val="24"/>
          <w:sz w:val="24"/>
        </w:rPr>
        <w:t> </w:t>
      </w:r>
      <w:r>
        <w:rPr>
          <w:sz w:val="24"/>
        </w:rPr>
        <w:t>onset</w:t>
      </w:r>
      <w:r>
        <w:rPr>
          <w:spacing w:val="29"/>
          <w:sz w:val="24"/>
        </w:rPr>
        <w:t> </w:t>
      </w:r>
      <w:r>
        <w:rPr>
          <w:sz w:val="24"/>
        </w:rPr>
        <w:t>and</w:t>
      </w:r>
      <w:r>
        <w:rPr>
          <w:spacing w:val="24"/>
          <w:sz w:val="24"/>
        </w:rPr>
        <w:t> </w:t>
      </w:r>
      <w:r>
        <w:rPr>
          <w:sz w:val="24"/>
        </w:rPr>
        <w:t>a</w:t>
      </w:r>
      <w:r>
        <w:rPr>
          <w:spacing w:val="27"/>
          <w:sz w:val="24"/>
        </w:rPr>
        <w:t> </w:t>
      </w:r>
      <w:r>
        <w:rPr>
          <w:sz w:val="24"/>
        </w:rPr>
        <w:t>short</w:t>
      </w:r>
      <w:r>
        <w:rPr>
          <w:spacing w:val="29"/>
          <w:sz w:val="24"/>
        </w:rPr>
        <w:t> </w:t>
      </w:r>
      <w:r>
        <w:rPr>
          <w:sz w:val="24"/>
        </w:rPr>
        <w:t>duration</w:t>
      </w:r>
      <w:r>
        <w:rPr>
          <w:spacing w:val="19"/>
          <w:sz w:val="24"/>
        </w:rPr>
        <w:t> </w:t>
      </w:r>
      <w:r>
        <w:rPr>
          <w:sz w:val="24"/>
        </w:rPr>
        <w:t>of</w:t>
      </w:r>
      <w:r>
        <w:rPr>
          <w:spacing w:val="21"/>
          <w:sz w:val="24"/>
        </w:rPr>
        <w:t> </w:t>
      </w:r>
      <w:r>
        <w:rPr>
          <w:sz w:val="24"/>
        </w:rPr>
        <w:t>action,</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therefore a CRI </w:t>
      </w:r>
      <w:r>
        <w:rPr>
          <w:spacing w:val="-5"/>
          <w:sz w:val="24"/>
        </w:rPr>
        <w:t>is </w:t>
      </w:r>
      <w:r>
        <w:rPr>
          <w:sz w:val="24"/>
        </w:rPr>
        <w:t>required to sustain its plasma concentrations and analgesic effects </w:t>
      </w:r>
      <w:r>
        <w:rPr>
          <w:spacing w:val="45"/>
          <w:sz w:val="24"/>
        </w:rPr>
        <w:t> </w:t>
      </w:r>
      <w:r>
        <w:rPr>
          <w:sz w:val="24"/>
        </w:rPr>
        <w:t>(Sano</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et  </w:t>
      </w:r>
      <w:r>
        <w:rPr>
          <w:spacing w:val="-4"/>
          <w:sz w:val="24"/>
        </w:rPr>
        <w:t>al.  </w:t>
      </w:r>
      <w:r>
        <w:rPr>
          <w:sz w:val="24"/>
        </w:rPr>
        <w:t>2006). According to the dosage regimens administered and the  incidence of    rescue</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analgesia,</w:t>
      </w:r>
      <w:r>
        <w:rPr>
          <w:spacing w:val="40"/>
          <w:sz w:val="24"/>
        </w:rPr>
        <w:t> </w:t>
      </w:r>
      <w:r>
        <w:rPr>
          <w:sz w:val="24"/>
        </w:rPr>
        <w:t>our</w:t>
      </w:r>
      <w:r>
        <w:rPr>
          <w:spacing w:val="40"/>
          <w:sz w:val="24"/>
        </w:rPr>
        <w:t> </w:t>
      </w:r>
      <w:r>
        <w:rPr>
          <w:sz w:val="24"/>
        </w:rPr>
        <w:t>results</w:t>
      </w:r>
      <w:r>
        <w:rPr>
          <w:spacing w:val="36"/>
          <w:sz w:val="24"/>
        </w:rPr>
        <w:t> </w:t>
      </w:r>
      <w:r>
        <w:rPr>
          <w:sz w:val="24"/>
        </w:rPr>
        <w:t>demonstrated</w:t>
      </w:r>
      <w:r>
        <w:rPr>
          <w:spacing w:val="33"/>
          <w:sz w:val="24"/>
        </w:rPr>
        <w:t> </w:t>
      </w:r>
      <w:r>
        <w:rPr>
          <w:sz w:val="24"/>
        </w:rPr>
        <w:t>that</w:t>
      </w:r>
      <w:r>
        <w:rPr>
          <w:spacing w:val="43"/>
          <w:sz w:val="24"/>
        </w:rPr>
        <w:t> </w:t>
      </w:r>
      <w:r>
        <w:rPr>
          <w:sz w:val="24"/>
        </w:rPr>
        <w:t>a</w:t>
      </w:r>
      <w:r>
        <w:rPr>
          <w:spacing w:val="37"/>
          <w:sz w:val="24"/>
        </w:rPr>
        <w:t> </w:t>
      </w:r>
      <w:r>
        <w:rPr>
          <w:sz w:val="24"/>
        </w:rPr>
        <w:t>fentanyl</w:t>
      </w:r>
      <w:r>
        <w:rPr>
          <w:spacing w:val="34"/>
          <w:sz w:val="24"/>
        </w:rPr>
        <w:t> </w:t>
      </w:r>
      <w:r>
        <w:rPr>
          <w:sz w:val="24"/>
        </w:rPr>
        <w:t>CRI</w:t>
      </w:r>
      <w:r>
        <w:rPr>
          <w:spacing w:val="40"/>
          <w:sz w:val="24"/>
        </w:rPr>
        <w:t> </w:t>
      </w:r>
      <w:r>
        <w:rPr>
          <w:sz w:val="24"/>
        </w:rPr>
        <w:t>provides</w:t>
      </w:r>
      <w:r>
        <w:rPr>
          <w:spacing w:val="36"/>
          <w:sz w:val="24"/>
        </w:rPr>
        <w:t> </w:t>
      </w:r>
      <w:r>
        <w:rPr>
          <w:sz w:val="24"/>
        </w:rPr>
        <w:t>adequate</w:t>
      </w:r>
      <w:r>
        <w:rPr>
          <w:spacing w:val="37"/>
          <w:sz w:val="24"/>
        </w:rPr>
        <w:t> </w:t>
      </w:r>
      <w:r>
        <w:rPr>
          <w:sz w:val="24"/>
        </w:rPr>
        <w:t>postoperative</w:t>
      </w:r>
    </w:p>
    <w:p>
      <w:pPr>
        <w:pStyle w:val="BodyText"/>
        <w:rPr>
          <w:sz w:val="15"/>
        </w:rPr>
      </w:pPr>
    </w:p>
    <w:p>
      <w:pPr>
        <w:pStyle w:val="BodyText"/>
        <w:spacing w:before="70"/>
        <w:ind w:right="104"/>
        <w:jc w:val="right"/>
      </w:pPr>
      <w:r>
        <w:rPr/>
        <w:t>61</w:t>
      </w:r>
    </w:p>
    <w:p>
      <w:pPr>
        <w:spacing w:after="0"/>
        <w:jc w:val="right"/>
        <w:sectPr>
          <w:footerReference w:type="default" r:id="rId45"/>
          <w:pgSz w:w="12240" w:h="15840"/>
          <w:pgMar w:footer="0" w:header="0" w:top="1500" w:bottom="280" w:left="1040" w:right="1420"/>
        </w:sectPr>
      </w:pPr>
    </w:p>
    <w:p>
      <w:pPr>
        <w:pStyle w:val="BodyText"/>
        <w:spacing w:before="7"/>
        <w:rPr>
          <w:sz w:val="20"/>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analgesia after ovariohysterectomy </w:t>
      </w:r>
      <w:r>
        <w:rPr>
          <w:spacing w:val="-3"/>
          <w:sz w:val="24"/>
        </w:rPr>
        <w:t>in </w:t>
      </w:r>
      <w:r>
        <w:rPr>
          <w:sz w:val="24"/>
        </w:rPr>
        <w:t>dogs. However, some dogs </w:t>
      </w:r>
      <w:r>
        <w:rPr>
          <w:spacing w:val="-3"/>
          <w:sz w:val="24"/>
        </w:rPr>
        <w:t>in </w:t>
      </w:r>
      <w:r>
        <w:rPr>
          <w:sz w:val="24"/>
        </w:rPr>
        <w:t>FENT could have</w:t>
      </w:r>
      <w:r>
        <w:rPr>
          <w:spacing w:val="44"/>
          <w:sz w:val="24"/>
        </w:rPr>
        <w:t> </w:t>
      </w:r>
      <w:r>
        <w:rPr>
          <w:sz w:val="24"/>
        </w:rPr>
        <w:t>been</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administered  more analgesics that  would  have reduced their postoperative pain  scores </w:t>
      </w:r>
      <w:r>
        <w:rPr>
          <w:spacing w:val="20"/>
          <w:sz w:val="24"/>
        </w:rPr>
        <w:t> </w:t>
      </w:r>
      <w:r>
        <w:rPr>
          <w:spacing w:val="-3"/>
          <w:sz w:val="24"/>
        </w:rPr>
        <w:t>in</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comparison with LKD and baseline values. In the clinical setting, a fentanyl CRI should</w:t>
      </w:r>
      <w:r>
        <w:rPr>
          <w:spacing w:val="58"/>
          <w:sz w:val="24"/>
        </w:rPr>
        <w:t> </w:t>
      </w:r>
      <w:r>
        <w:rPr>
          <w:spacing w:val="-3"/>
          <w:sz w:val="24"/>
        </w:rPr>
        <w:t>be</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given until postoperative pain </w:t>
      </w:r>
      <w:r>
        <w:rPr>
          <w:spacing w:val="-3"/>
          <w:sz w:val="24"/>
        </w:rPr>
        <w:t>is</w:t>
      </w:r>
      <w:r>
        <w:rPr>
          <w:spacing w:val="-17"/>
          <w:sz w:val="24"/>
        </w:rPr>
        <w:t> </w:t>
      </w:r>
      <w:r>
        <w:rPr>
          <w:sz w:val="24"/>
        </w:rPr>
        <w:t>controlled.</w:t>
      </w:r>
    </w:p>
    <w:p>
      <w:pPr>
        <w:pStyle w:val="BodyText"/>
        <w:rPr>
          <w:sz w:val="18"/>
        </w:rPr>
      </w:pPr>
    </w:p>
    <w:p>
      <w:pPr>
        <w:pStyle w:val="ListParagraph"/>
        <w:numPr>
          <w:ilvl w:val="0"/>
          <w:numId w:val="32"/>
        </w:numPr>
        <w:tabs>
          <w:tab w:pos="1552" w:val="left" w:leader="none"/>
          <w:tab w:pos="1553" w:val="left" w:leader="none"/>
        </w:tabs>
        <w:spacing w:line="240" w:lineRule="auto" w:before="69" w:after="0"/>
        <w:ind w:left="1553" w:right="0" w:hanging="1441"/>
        <w:jc w:val="left"/>
        <w:rPr>
          <w:sz w:val="24"/>
        </w:rPr>
      </w:pPr>
      <w:r>
        <w:rPr>
          <w:sz w:val="24"/>
        </w:rPr>
        <w:t>Ketamine  </w:t>
      </w:r>
      <w:r>
        <w:rPr>
          <w:spacing w:val="-3"/>
          <w:sz w:val="24"/>
        </w:rPr>
        <w:t>is  </w:t>
      </w:r>
      <w:r>
        <w:rPr>
          <w:sz w:val="24"/>
        </w:rPr>
        <w:t>a  non-competitive  antagonist  of the  N-methyl D-aspartate</w:t>
      </w:r>
      <w:r>
        <w:rPr>
          <w:spacing w:val="29"/>
          <w:sz w:val="24"/>
        </w:rPr>
        <w:t> </w:t>
      </w:r>
      <w:r>
        <w:rPr>
          <w:sz w:val="24"/>
        </w:rPr>
        <w:t>(NMDA)</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receptors that may prevent central sensitization and cumulative depolarization </w:t>
      </w:r>
      <w:r>
        <w:rPr>
          <w:spacing w:val="18"/>
          <w:sz w:val="24"/>
        </w:rPr>
        <w:t> </w:t>
      </w:r>
      <w:r>
        <w:rPr>
          <w:sz w:val="24"/>
        </w:rPr>
        <w:t>(“wind-up”)</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from occurring (Pozzi et </w:t>
      </w:r>
      <w:r>
        <w:rPr>
          <w:spacing w:val="-3"/>
          <w:sz w:val="24"/>
        </w:rPr>
        <w:t>al. </w:t>
      </w:r>
      <w:r>
        <w:rPr>
          <w:sz w:val="24"/>
        </w:rPr>
        <w:t>2006). Sub-anesthetic doses of ketamine have been used as  </w:t>
      </w:r>
      <w:r>
        <w:rPr>
          <w:spacing w:val="29"/>
          <w:sz w:val="24"/>
        </w:rPr>
        <w:t> </w:t>
      </w:r>
      <w:r>
        <w:rPr>
          <w:sz w:val="24"/>
        </w:rPr>
        <w:t>an</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adjunctive analgesic  agent  </w:t>
      </w:r>
      <w:r>
        <w:rPr>
          <w:spacing w:val="-3"/>
          <w:sz w:val="24"/>
        </w:rPr>
        <w:t>in  </w:t>
      </w:r>
      <w:r>
        <w:rPr>
          <w:sz w:val="24"/>
        </w:rPr>
        <w:t>dogs (Slingsby &amp;  Waterman-Pearson 2000;  Wagner et  </w:t>
      </w:r>
      <w:r>
        <w:rPr>
          <w:spacing w:val="33"/>
          <w:sz w:val="24"/>
        </w:rPr>
        <w:t> </w:t>
      </w:r>
      <w:r>
        <w:rPr>
          <w:spacing w:val="-3"/>
          <w:sz w:val="24"/>
        </w:rPr>
        <w:t>al.</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2002;</w:t>
      </w:r>
      <w:r>
        <w:rPr>
          <w:spacing w:val="11"/>
          <w:sz w:val="24"/>
        </w:rPr>
        <w:t> </w:t>
      </w:r>
      <w:r>
        <w:rPr>
          <w:sz w:val="24"/>
        </w:rPr>
        <w:t>Sarrau</w:t>
      </w:r>
      <w:r>
        <w:rPr>
          <w:spacing w:val="15"/>
          <w:sz w:val="24"/>
        </w:rPr>
        <w:t> </w:t>
      </w:r>
      <w:r>
        <w:rPr>
          <w:sz w:val="24"/>
        </w:rPr>
        <w:t>et</w:t>
      </w:r>
      <w:r>
        <w:rPr>
          <w:spacing w:val="20"/>
          <w:sz w:val="24"/>
        </w:rPr>
        <w:t> </w:t>
      </w:r>
      <w:r>
        <w:rPr>
          <w:spacing w:val="-4"/>
          <w:sz w:val="24"/>
        </w:rPr>
        <w:t>al.</w:t>
      </w:r>
      <w:r>
        <w:rPr>
          <w:spacing w:val="17"/>
          <w:sz w:val="24"/>
        </w:rPr>
        <w:t> </w:t>
      </w:r>
      <w:r>
        <w:rPr>
          <w:sz w:val="24"/>
        </w:rPr>
        <w:t>2007)</w:t>
      </w:r>
      <w:r>
        <w:rPr>
          <w:spacing w:val="17"/>
          <w:sz w:val="24"/>
        </w:rPr>
        <w:t> </w:t>
      </w:r>
      <w:r>
        <w:rPr>
          <w:sz w:val="24"/>
        </w:rPr>
        <w:t>and</w:t>
      </w:r>
      <w:r>
        <w:rPr>
          <w:spacing w:val="20"/>
          <w:sz w:val="24"/>
        </w:rPr>
        <w:t> </w:t>
      </w:r>
      <w:r>
        <w:rPr>
          <w:sz w:val="24"/>
        </w:rPr>
        <w:t>humans</w:t>
      </w:r>
      <w:r>
        <w:rPr>
          <w:spacing w:val="13"/>
          <w:sz w:val="24"/>
        </w:rPr>
        <w:t> </w:t>
      </w:r>
      <w:r>
        <w:rPr>
          <w:sz w:val="24"/>
        </w:rPr>
        <w:t>(Bell</w:t>
      </w:r>
      <w:r>
        <w:rPr>
          <w:spacing w:val="11"/>
          <w:sz w:val="24"/>
        </w:rPr>
        <w:t> </w:t>
      </w:r>
      <w:r>
        <w:rPr>
          <w:sz w:val="24"/>
        </w:rPr>
        <w:t>et</w:t>
      </w:r>
      <w:r>
        <w:rPr>
          <w:spacing w:val="20"/>
          <w:sz w:val="24"/>
        </w:rPr>
        <w:t> </w:t>
      </w:r>
      <w:r>
        <w:rPr>
          <w:spacing w:val="-3"/>
          <w:sz w:val="24"/>
        </w:rPr>
        <w:t>al.</w:t>
      </w:r>
      <w:r>
        <w:rPr>
          <w:spacing w:val="17"/>
          <w:sz w:val="24"/>
        </w:rPr>
        <w:t> </w:t>
      </w:r>
      <w:r>
        <w:rPr>
          <w:sz w:val="24"/>
        </w:rPr>
        <w:t>2005).</w:t>
      </w:r>
      <w:r>
        <w:rPr>
          <w:spacing w:val="17"/>
          <w:sz w:val="24"/>
        </w:rPr>
        <w:t> </w:t>
      </w:r>
      <w:r>
        <w:rPr>
          <w:sz w:val="24"/>
        </w:rPr>
        <w:t>In</w:t>
      </w:r>
      <w:r>
        <w:rPr>
          <w:spacing w:val="10"/>
          <w:sz w:val="24"/>
        </w:rPr>
        <w:t> </w:t>
      </w:r>
      <w:r>
        <w:rPr>
          <w:sz w:val="24"/>
        </w:rPr>
        <w:t>dogs,</w:t>
      </w:r>
      <w:r>
        <w:rPr>
          <w:spacing w:val="13"/>
          <w:sz w:val="24"/>
        </w:rPr>
        <w:t> </w:t>
      </w:r>
      <w:r>
        <w:rPr>
          <w:sz w:val="24"/>
        </w:rPr>
        <w:t>dosage</w:t>
      </w:r>
      <w:r>
        <w:rPr>
          <w:spacing w:val="14"/>
          <w:sz w:val="24"/>
        </w:rPr>
        <w:t> </w:t>
      </w:r>
      <w:r>
        <w:rPr>
          <w:sz w:val="24"/>
        </w:rPr>
        <w:t>regimens</w:t>
      </w:r>
      <w:r>
        <w:rPr>
          <w:spacing w:val="13"/>
          <w:sz w:val="24"/>
        </w:rPr>
        <w:t> </w:t>
      </w:r>
      <w:r>
        <w:rPr>
          <w:sz w:val="24"/>
        </w:rPr>
        <w:t>usually</w:t>
      </w:r>
    </w:p>
    <w:p>
      <w:pPr>
        <w:pStyle w:val="BodyText"/>
        <w:spacing w:before="10"/>
        <w:rPr>
          <w:sz w:val="20"/>
        </w:rPr>
      </w:pPr>
    </w:p>
    <w:p>
      <w:pPr>
        <w:pStyle w:val="ListParagraph"/>
        <w:numPr>
          <w:ilvl w:val="0"/>
          <w:numId w:val="32"/>
        </w:numPr>
        <w:tabs>
          <w:tab w:pos="832" w:val="left" w:leader="none"/>
          <w:tab w:pos="833" w:val="left" w:leader="none"/>
        </w:tabs>
        <w:spacing w:line="240" w:lineRule="auto" w:before="0" w:after="0"/>
        <w:ind w:left="832" w:right="0" w:hanging="720"/>
        <w:jc w:val="left"/>
        <w:rPr>
          <w:sz w:val="16"/>
        </w:rPr>
      </w:pPr>
      <w:r>
        <w:rPr>
          <w:sz w:val="24"/>
        </w:rPr>
        <w:t>consist of administering a loading dose (0.15-0.7 </w:t>
      </w:r>
      <w:r>
        <w:rPr>
          <w:spacing w:val="-3"/>
          <w:sz w:val="24"/>
        </w:rPr>
        <w:t>mg </w:t>
      </w:r>
      <w:r>
        <w:rPr>
          <w:sz w:val="24"/>
        </w:rPr>
        <w:t>kg</w:t>
      </w:r>
      <w:r>
        <w:rPr>
          <w:position w:val="11"/>
          <w:sz w:val="16"/>
        </w:rPr>
        <w:t>-1</w:t>
      </w:r>
      <w:r>
        <w:rPr>
          <w:sz w:val="24"/>
        </w:rPr>
        <w:t>) followed by a CRI (2-10 µg </w:t>
      </w:r>
      <w:r>
        <w:rPr>
          <w:spacing w:val="10"/>
          <w:sz w:val="24"/>
        </w:rPr>
        <w:t> </w:t>
      </w:r>
      <w:r>
        <w:rPr>
          <w:sz w:val="24"/>
        </w:rPr>
        <w:t>kg</w:t>
      </w:r>
      <w:r>
        <w:rPr>
          <w:position w:val="11"/>
          <w:sz w:val="16"/>
        </w:rPr>
        <w:t>-1</w:t>
      </w:r>
    </w:p>
    <w:p>
      <w:pPr>
        <w:pStyle w:val="ListParagraph"/>
        <w:numPr>
          <w:ilvl w:val="0"/>
          <w:numId w:val="32"/>
        </w:numPr>
        <w:tabs>
          <w:tab w:pos="832" w:val="left" w:leader="none"/>
          <w:tab w:pos="833" w:val="left" w:leader="none"/>
        </w:tabs>
        <w:spacing w:line="240" w:lineRule="auto" w:before="240" w:after="0"/>
        <w:ind w:left="832" w:right="0" w:hanging="720"/>
        <w:jc w:val="left"/>
        <w:rPr>
          <w:sz w:val="24"/>
        </w:rPr>
      </w:pPr>
      <w:r>
        <w:rPr>
          <w:sz w:val="24"/>
        </w:rPr>
        <w:t>minute</w:t>
      </w:r>
      <w:r>
        <w:rPr>
          <w:position w:val="11"/>
          <w:sz w:val="16"/>
        </w:rPr>
        <w:t>-1</w:t>
      </w:r>
      <w:r>
        <w:rPr>
          <w:sz w:val="24"/>
        </w:rPr>
        <w:t>) (Wagner et </w:t>
      </w:r>
      <w:r>
        <w:rPr>
          <w:spacing w:val="-4"/>
          <w:sz w:val="24"/>
        </w:rPr>
        <w:t>al. </w:t>
      </w:r>
      <w:r>
        <w:rPr>
          <w:sz w:val="24"/>
        </w:rPr>
        <w:t>2002; Sarrau </w:t>
      </w:r>
      <w:r>
        <w:rPr>
          <w:spacing w:val="-3"/>
          <w:sz w:val="24"/>
        </w:rPr>
        <w:t>et </w:t>
      </w:r>
      <w:r>
        <w:rPr>
          <w:sz w:val="24"/>
        </w:rPr>
        <w:t>al. 2007). Ketamine has improved feeding</w:t>
      </w:r>
      <w:r>
        <w:rPr>
          <w:spacing w:val="-2"/>
          <w:sz w:val="24"/>
        </w:rPr>
        <w:t> </w:t>
      </w:r>
      <w:r>
        <w:rPr>
          <w:sz w:val="24"/>
        </w:rPr>
        <w:t>behavior</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when administered as a  CRI  </w:t>
      </w:r>
      <w:r>
        <w:rPr>
          <w:spacing w:val="-3"/>
          <w:sz w:val="24"/>
        </w:rPr>
        <w:t>in  </w:t>
      </w:r>
      <w:r>
        <w:rPr>
          <w:sz w:val="24"/>
        </w:rPr>
        <w:t>dogs after  mastectomy (Sarrau et  </w:t>
      </w:r>
      <w:r>
        <w:rPr>
          <w:spacing w:val="-3"/>
          <w:sz w:val="24"/>
        </w:rPr>
        <w:t>al.  </w:t>
      </w:r>
      <w:r>
        <w:rPr>
          <w:sz w:val="24"/>
        </w:rPr>
        <w:t>2007)  but  did  </w:t>
      </w:r>
      <w:r>
        <w:rPr>
          <w:spacing w:val="29"/>
          <w:sz w:val="24"/>
        </w:rPr>
        <w:t> </w:t>
      </w:r>
      <w:r>
        <w:rPr>
          <w:sz w:val="24"/>
        </w:rPr>
        <w:t>not</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provide an opioid-sparing effect nor induced better analgesia than a control group</w:t>
      </w:r>
      <w:r>
        <w:rPr>
          <w:spacing w:val="10"/>
          <w:sz w:val="24"/>
        </w:rPr>
        <w:t> </w:t>
      </w:r>
      <w:r>
        <w:rPr>
          <w:sz w:val="24"/>
        </w:rPr>
        <w:t>receiving</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morphine</w:t>
      </w:r>
      <w:r>
        <w:rPr>
          <w:spacing w:val="34"/>
          <w:sz w:val="24"/>
        </w:rPr>
        <w:t> </w:t>
      </w:r>
      <w:r>
        <w:rPr>
          <w:sz w:val="24"/>
        </w:rPr>
        <w:t>intravenously.</w:t>
      </w:r>
      <w:r>
        <w:rPr>
          <w:spacing w:val="36"/>
          <w:sz w:val="24"/>
        </w:rPr>
        <w:t> </w:t>
      </w:r>
      <w:r>
        <w:rPr>
          <w:spacing w:val="3"/>
          <w:sz w:val="24"/>
        </w:rPr>
        <w:t>In</w:t>
      </w:r>
      <w:r>
        <w:rPr>
          <w:spacing w:val="26"/>
          <w:sz w:val="24"/>
        </w:rPr>
        <w:t> </w:t>
      </w:r>
      <w:r>
        <w:rPr>
          <w:sz w:val="24"/>
        </w:rPr>
        <w:t>the</w:t>
      </w:r>
      <w:r>
        <w:rPr>
          <w:spacing w:val="29"/>
          <w:sz w:val="24"/>
        </w:rPr>
        <w:t> </w:t>
      </w:r>
      <w:r>
        <w:rPr>
          <w:sz w:val="24"/>
        </w:rPr>
        <w:t>present</w:t>
      </w:r>
      <w:r>
        <w:rPr>
          <w:spacing w:val="35"/>
          <w:sz w:val="24"/>
        </w:rPr>
        <w:t> </w:t>
      </w:r>
      <w:r>
        <w:rPr>
          <w:sz w:val="24"/>
        </w:rPr>
        <w:t>study,</w:t>
      </w:r>
      <w:r>
        <w:rPr>
          <w:spacing w:val="33"/>
          <w:sz w:val="24"/>
        </w:rPr>
        <w:t> </w:t>
      </w:r>
      <w:r>
        <w:rPr>
          <w:sz w:val="24"/>
        </w:rPr>
        <w:t>pain</w:t>
      </w:r>
      <w:r>
        <w:rPr>
          <w:spacing w:val="30"/>
          <w:sz w:val="24"/>
        </w:rPr>
        <w:t> </w:t>
      </w:r>
      <w:r>
        <w:rPr>
          <w:sz w:val="24"/>
        </w:rPr>
        <w:t>scores</w:t>
      </w:r>
      <w:r>
        <w:rPr>
          <w:spacing w:val="33"/>
          <w:sz w:val="24"/>
        </w:rPr>
        <w:t> </w:t>
      </w:r>
      <w:r>
        <w:rPr>
          <w:spacing w:val="-3"/>
          <w:sz w:val="24"/>
        </w:rPr>
        <w:t>in</w:t>
      </w:r>
      <w:r>
        <w:rPr>
          <w:spacing w:val="33"/>
          <w:sz w:val="24"/>
        </w:rPr>
        <w:t> </w:t>
      </w:r>
      <w:r>
        <w:rPr>
          <w:sz w:val="24"/>
        </w:rPr>
        <w:t>KET</w:t>
      </w:r>
      <w:r>
        <w:rPr>
          <w:spacing w:val="33"/>
          <w:sz w:val="24"/>
        </w:rPr>
        <w:t> </w:t>
      </w:r>
      <w:r>
        <w:rPr>
          <w:sz w:val="24"/>
        </w:rPr>
        <w:t>were</w:t>
      </w:r>
      <w:r>
        <w:rPr>
          <w:spacing w:val="35"/>
          <w:sz w:val="24"/>
        </w:rPr>
        <w:t> </w:t>
      </w:r>
      <w:r>
        <w:rPr>
          <w:sz w:val="24"/>
        </w:rPr>
        <w:t>not</w:t>
      </w:r>
      <w:r>
        <w:rPr>
          <w:spacing w:val="35"/>
          <w:sz w:val="24"/>
        </w:rPr>
        <w:t> </w:t>
      </w:r>
      <w:r>
        <w:rPr>
          <w:sz w:val="24"/>
        </w:rPr>
        <w:t>significantly</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different than CONTROL/BUT and the drug did not provide adequate analgesia </w:t>
      </w:r>
      <w:r>
        <w:rPr>
          <w:spacing w:val="-3"/>
          <w:sz w:val="24"/>
        </w:rPr>
        <w:t>in   </w:t>
      </w:r>
      <w:r>
        <w:rPr>
          <w:spacing w:val="19"/>
          <w:sz w:val="24"/>
        </w:rPr>
        <w:t> </w:t>
      </w:r>
      <w:r>
        <w:rPr>
          <w:sz w:val="24"/>
        </w:rPr>
        <w:t>37.5%</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of</w:t>
      </w:r>
      <w:r>
        <w:rPr>
          <w:spacing w:val="31"/>
          <w:sz w:val="24"/>
        </w:rPr>
        <w:t> </w:t>
      </w:r>
      <w:r>
        <w:rPr>
          <w:sz w:val="24"/>
        </w:rPr>
        <w:t>dogs</w:t>
      </w:r>
      <w:r>
        <w:rPr>
          <w:spacing w:val="37"/>
          <w:sz w:val="24"/>
        </w:rPr>
        <w:t> </w:t>
      </w:r>
      <w:r>
        <w:rPr>
          <w:sz w:val="24"/>
        </w:rPr>
        <w:t>that</w:t>
      </w:r>
      <w:r>
        <w:rPr>
          <w:spacing w:val="39"/>
          <w:sz w:val="24"/>
        </w:rPr>
        <w:t> </w:t>
      </w:r>
      <w:r>
        <w:rPr>
          <w:sz w:val="24"/>
        </w:rPr>
        <w:t>required</w:t>
      </w:r>
      <w:r>
        <w:rPr>
          <w:spacing w:val="39"/>
          <w:sz w:val="24"/>
        </w:rPr>
        <w:t> </w:t>
      </w:r>
      <w:r>
        <w:rPr>
          <w:sz w:val="24"/>
        </w:rPr>
        <w:t>rescue</w:t>
      </w:r>
      <w:r>
        <w:rPr>
          <w:spacing w:val="38"/>
          <w:sz w:val="24"/>
        </w:rPr>
        <w:t> </w:t>
      </w:r>
      <w:r>
        <w:rPr>
          <w:sz w:val="24"/>
        </w:rPr>
        <w:t>analgesia.</w:t>
      </w:r>
      <w:r>
        <w:rPr>
          <w:spacing w:val="41"/>
          <w:sz w:val="24"/>
        </w:rPr>
        <w:t> </w:t>
      </w:r>
      <w:r>
        <w:rPr>
          <w:sz w:val="24"/>
        </w:rPr>
        <w:t>Higher</w:t>
      </w:r>
      <w:r>
        <w:rPr>
          <w:spacing w:val="41"/>
          <w:sz w:val="24"/>
        </w:rPr>
        <w:t> </w:t>
      </w:r>
      <w:r>
        <w:rPr>
          <w:sz w:val="24"/>
        </w:rPr>
        <w:t>pain</w:t>
      </w:r>
      <w:r>
        <w:rPr>
          <w:spacing w:val="34"/>
          <w:sz w:val="24"/>
        </w:rPr>
        <w:t> </w:t>
      </w:r>
      <w:r>
        <w:rPr>
          <w:sz w:val="24"/>
        </w:rPr>
        <w:t>scores</w:t>
      </w:r>
      <w:r>
        <w:rPr>
          <w:spacing w:val="37"/>
          <w:sz w:val="24"/>
        </w:rPr>
        <w:t> </w:t>
      </w:r>
      <w:r>
        <w:rPr>
          <w:sz w:val="24"/>
        </w:rPr>
        <w:t>were</w:t>
      </w:r>
      <w:r>
        <w:rPr>
          <w:spacing w:val="38"/>
          <w:sz w:val="24"/>
        </w:rPr>
        <w:t> </w:t>
      </w:r>
      <w:r>
        <w:rPr>
          <w:sz w:val="24"/>
        </w:rPr>
        <w:t>recorded</w:t>
      </w:r>
      <w:r>
        <w:rPr>
          <w:spacing w:val="39"/>
          <w:sz w:val="24"/>
        </w:rPr>
        <w:t> </w:t>
      </w:r>
      <w:r>
        <w:rPr>
          <w:spacing w:val="-3"/>
          <w:sz w:val="24"/>
        </w:rPr>
        <w:t>in</w:t>
      </w:r>
      <w:r>
        <w:rPr>
          <w:spacing w:val="39"/>
          <w:sz w:val="24"/>
        </w:rPr>
        <w:t> </w:t>
      </w:r>
      <w:r>
        <w:rPr>
          <w:sz w:val="24"/>
        </w:rPr>
        <w:t>KET</w:t>
      </w:r>
      <w:r>
        <w:rPr>
          <w:spacing w:val="41"/>
          <w:sz w:val="24"/>
        </w:rPr>
        <w:t> </w:t>
      </w:r>
      <w:r>
        <w:rPr>
          <w:spacing w:val="2"/>
          <w:sz w:val="24"/>
        </w:rPr>
        <w:t>when</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compared </w:t>
      </w:r>
      <w:r>
        <w:rPr>
          <w:spacing w:val="2"/>
          <w:sz w:val="24"/>
        </w:rPr>
        <w:t>to </w:t>
      </w:r>
      <w:r>
        <w:rPr>
          <w:sz w:val="24"/>
        </w:rPr>
        <w:t>DEX and LKD at different   </w:t>
      </w:r>
      <w:r>
        <w:rPr>
          <w:spacing w:val="10"/>
          <w:sz w:val="24"/>
        </w:rPr>
        <w:t> </w:t>
      </w:r>
      <w:r>
        <w:rPr>
          <w:sz w:val="24"/>
        </w:rPr>
        <w:t>time points. According </w:t>
      </w:r>
      <w:r>
        <w:rPr>
          <w:spacing w:val="2"/>
          <w:sz w:val="24"/>
        </w:rPr>
        <w:t>to </w:t>
      </w:r>
      <w:r>
        <w:rPr>
          <w:sz w:val="24"/>
        </w:rPr>
        <w:t>the UMPS, pain scores</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pacing w:val="-3"/>
          <w:sz w:val="24"/>
        </w:rPr>
        <w:t>in </w:t>
      </w:r>
      <w:r>
        <w:rPr>
          <w:sz w:val="24"/>
        </w:rPr>
        <w:t>KET were lower when compared to FENT at </w:t>
      </w:r>
      <w:r>
        <w:rPr>
          <w:spacing w:val="-3"/>
          <w:sz w:val="24"/>
        </w:rPr>
        <w:t>18 </w:t>
      </w:r>
      <w:r>
        <w:rPr>
          <w:sz w:val="24"/>
        </w:rPr>
        <w:t>and 22h possibly due </w:t>
      </w:r>
      <w:r>
        <w:rPr>
          <w:spacing w:val="2"/>
          <w:sz w:val="24"/>
        </w:rPr>
        <w:t>to  </w:t>
      </w:r>
      <w:r>
        <w:rPr>
          <w:spacing w:val="48"/>
          <w:sz w:val="24"/>
        </w:rPr>
        <w:t> </w:t>
      </w:r>
      <w:r>
        <w:rPr>
          <w:sz w:val="24"/>
        </w:rPr>
        <w:t>selection bias.</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This  may  have  occurred  because  three  dogs  </w:t>
      </w:r>
      <w:r>
        <w:rPr>
          <w:spacing w:val="-3"/>
          <w:sz w:val="24"/>
        </w:rPr>
        <w:t>in  </w:t>
      </w:r>
      <w:r>
        <w:rPr>
          <w:sz w:val="24"/>
        </w:rPr>
        <w:t>KET  had  been  already   </w:t>
      </w:r>
      <w:r>
        <w:rPr>
          <w:spacing w:val="33"/>
          <w:sz w:val="24"/>
        </w:rPr>
        <w:t> </w:t>
      </w:r>
      <w:r>
        <w:rPr>
          <w:sz w:val="24"/>
        </w:rPr>
        <w:t>administered</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intervention  analgesia,  and  excluded  from  further  statistical  analysis.  This  could  </w:t>
      </w:r>
      <w:r>
        <w:rPr>
          <w:spacing w:val="3"/>
          <w:sz w:val="24"/>
        </w:rPr>
        <w:t> </w:t>
      </w:r>
      <w:r>
        <w:rPr>
          <w:sz w:val="24"/>
        </w:rPr>
        <w:t>also</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explain why temporal changes were not observed </w:t>
      </w:r>
      <w:r>
        <w:rPr>
          <w:spacing w:val="-3"/>
          <w:sz w:val="24"/>
        </w:rPr>
        <w:t>in </w:t>
      </w:r>
      <w:r>
        <w:rPr>
          <w:sz w:val="24"/>
        </w:rPr>
        <w:t>KET. On the other hand, analysis </w:t>
      </w:r>
      <w:r>
        <w:rPr>
          <w:spacing w:val="49"/>
          <w:sz w:val="24"/>
        </w:rPr>
        <w:t> </w:t>
      </w:r>
      <w:r>
        <w:rPr>
          <w:sz w:val="24"/>
        </w:rPr>
        <w:t>bias</w:t>
      </w:r>
    </w:p>
    <w:p>
      <w:pPr>
        <w:pStyle w:val="BodyText"/>
        <w:spacing w:before="11"/>
        <w:rPr>
          <w:sz w:val="17"/>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would  have  been observed  if dogs  had  not  been excluded after  intervention  </w:t>
      </w:r>
      <w:r>
        <w:rPr>
          <w:spacing w:val="55"/>
          <w:sz w:val="24"/>
        </w:rPr>
        <w:t> </w:t>
      </w:r>
      <w:r>
        <w:rPr>
          <w:sz w:val="24"/>
        </w:rPr>
        <w:t>analgesia.</w:t>
      </w:r>
    </w:p>
    <w:p>
      <w:pPr>
        <w:pStyle w:val="BodyText"/>
        <w:rPr>
          <w:sz w:val="15"/>
        </w:rPr>
      </w:pPr>
    </w:p>
    <w:p>
      <w:pPr>
        <w:pStyle w:val="BodyText"/>
        <w:spacing w:before="70"/>
        <w:ind w:right="104"/>
        <w:jc w:val="right"/>
      </w:pPr>
      <w:r>
        <w:rPr/>
        <w:t>62</w:t>
      </w:r>
    </w:p>
    <w:p>
      <w:pPr>
        <w:spacing w:after="0"/>
        <w:jc w:val="right"/>
        <w:sectPr>
          <w:footerReference w:type="default" r:id="rId46"/>
          <w:pgSz w:w="12240" w:h="15840"/>
          <w:pgMar w:footer="0" w:header="0" w:top="1500" w:bottom="280" w:left="1040" w:right="1420"/>
        </w:sectPr>
      </w:pPr>
    </w:p>
    <w:p>
      <w:pPr>
        <w:pStyle w:val="BodyText"/>
        <w:spacing w:before="7"/>
        <w:rPr>
          <w:sz w:val="20"/>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Ketamine  might  </w:t>
      </w:r>
      <w:r>
        <w:rPr>
          <w:spacing w:val="-3"/>
          <w:sz w:val="24"/>
        </w:rPr>
        <w:t>be  </w:t>
      </w:r>
      <w:r>
        <w:rPr>
          <w:sz w:val="24"/>
        </w:rPr>
        <w:t>used  as part  of a  multimodal analgesic  approach  but  not  as a </w:t>
      </w:r>
      <w:r>
        <w:rPr>
          <w:spacing w:val="25"/>
          <w:sz w:val="24"/>
        </w:rPr>
        <w:t> </w:t>
      </w:r>
      <w:r>
        <w:rPr>
          <w:sz w:val="24"/>
        </w:rPr>
        <w:t>sole</w:t>
      </w:r>
    </w:p>
    <w:p>
      <w:pPr>
        <w:pStyle w:val="BodyText"/>
        <w:rPr>
          <w:sz w:val="18"/>
        </w:rPr>
      </w:pPr>
    </w:p>
    <w:p>
      <w:pPr>
        <w:pStyle w:val="ListParagraph"/>
        <w:numPr>
          <w:ilvl w:val="0"/>
          <w:numId w:val="32"/>
        </w:numPr>
        <w:tabs>
          <w:tab w:pos="832" w:val="left" w:leader="none"/>
          <w:tab w:pos="833" w:val="left" w:leader="none"/>
        </w:tabs>
        <w:spacing w:line="240" w:lineRule="auto" w:before="69" w:after="0"/>
        <w:ind w:left="832" w:right="0" w:hanging="720"/>
        <w:jc w:val="left"/>
        <w:rPr>
          <w:sz w:val="24"/>
        </w:rPr>
      </w:pPr>
      <w:r>
        <w:rPr>
          <w:sz w:val="24"/>
        </w:rPr>
        <w:t>method of providing pain relief  </w:t>
      </w:r>
      <w:r>
        <w:rPr>
          <w:spacing w:val="-3"/>
          <w:sz w:val="24"/>
        </w:rPr>
        <w:t>in  </w:t>
      </w:r>
      <w:r>
        <w:rPr>
          <w:sz w:val="24"/>
        </w:rPr>
        <w:t>dogs after  surgery (Wagner  et  </w:t>
      </w:r>
      <w:r>
        <w:rPr>
          <w:spacing w:val="-3"/>
          <w:sz w:val="24"/>
        </w:rPr>
        <w:t>al.  </w:t>
      </w:r>
      <w:r>
        <w:rPr>
          <w:sz w:val="24"/>
        </w:rPr>
        <w:t>2002,  Sarrau et  </w:t>
      </w:r>
      <w:r>
        <w:rPr>
          <w:spacing w:val="2"/>
          <w:sz w:val="24"/>
        </w:rPr>
        <w:t> </w:t>
      </w:r>
      <w:r>
        <w:rPr>
          <w:spacing w:val="-4"/>
          <w:sz w:val="24"/>
        </w:rPr>
        <w:t>al.</w:t>
      </w:r>
    </w:p>
    <w:p>
      <w:pPr>
        <w:pStyle w:val="BodyText"/>
        <w:spacing w:before="11"/>
        <w:rPr>
          <w:sz w:val="17"/>
        </w:rPr>
      </w:pPr>
    </w:p>
    <w:p>
      <w:pPr>
        <w:pStyle w:val="BodyText"/>
        <w:tabs>
          <w:tab w:pos="832" w:val="left" w:leader="none"/>
        </w:tabs>
        <w:spacing w:before="69"/>
        <w:ind w:left="112"/>
      </w:pPr>
      <w:r>
        <w:rPr/>
        <w:t>238</w:t>
        <w:tab/>
        <w:t>2007).</w:t>
      </w:r>
    </w:p>
    <w:p>
      <w:pPr>
        <w:pStyle w:val="BodyText"/>
        <w:spacing w:before="11"/>
        <w:rPr>
          <w:sz w:val="17"/>
        </w:rPr>
      </w:pPr>
    </w:p>
    <w:p>
      <w:pPr>
        <w:pStyle w:val="ListParagraph"/>
        <w:numPr>
          <w:ilvl w:val="0"/>
          <w:numId w:val="33"/>
        </w:numPr>
        <w:tabs>
          <w:tab w:pos="1552" w:val="left" w:leader="none"/>
          <w:tab w:pos="1553" w:val="left" w:leader="none"/>
        </w:tabs>
        <w:spacing w:line="240" w:lineRule="auto" w:before="69" w:after="0"/>
        <w:ind w:left="1553" w:right="0" w:hanging="1441"/>
        <w:jc w:val="left"/>
        <w:rPr>
          <w:sz w:val="24"/>
        </w:rPr>
      </w:pPr>
      <w:r>
        <w:rPr>
          <w:sz w:val="24"/>
        </w:rPr>
        <w:t>Intravenous lidocaine has been used  </w:t>
      </w:r>
      <w:r>
        <w:rPr>
          <w:spacing w:val="-3"/>
          <w:sz w:val="24"/>
        </w:rPr>
        <w:t>in </w:t>
      </w:r>
      <w:r>
        <w:rPr>
          <w:sz w:val="24"/>
        </w:rPr>
        <w:t>an attempt to  provide analgesia </w:t>
      </w:r>
      <w:r>
        <w:rPr>
          <w:spacing w:val="-3"/>
          <w:sz w:val="24"/>
        </w:rPr>
        <w:t>in  </w:t>
      </w:r>
      <w:r>
        <w:rPr>
          <w:spacing w:val="48"/>
          <w:sz w:val="24"/>
        </w:rPr>
        <w:t> </w:t>
      </w:r>
      <w:r>
        <w:rPr>
          <w:sz w:val="24"/>
        </w:rPr>
        <w:t>humans</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(Marret</w:t>
      </w:r>
      <w:r>
        <w:rPr>
          <w:spacing w:val="21"/>
          <w:sz w:val="24"/>
        </w:rPr>
        <w:t> </w:t>
      </w:r>
      <w:r>
        <w:rPr>
          <w:spacing w:val="-3"/>
          <w:sz w:val="24"/>
        </w:rPr>
        <w:t>et</w:t>
      </w:r>
      <w:r>
        <w:rPr>
          <w:spacing w:val="21"/>
          <w:sz w:val="24"/>
        </w:rPr>
        <w:t> </w:t>
      </w:r>
      <w:r>
        <w:rPr>
          <w:spacing w:val="-4"/>
          <w:sz w:val="24"/>
        </w:rPr>
        <w:t>al.</w:t>
      </w:r>
      <w:r>
        <w:rPr>
          <w:spacing w:val="18"/>
          <w:sz w:val="24"/>
        </w:rPr>
        <w:t> </w:t>
      </w:r>
      <w:r>
        <w:rPr>
          <w:sz w:val="24"/>
        </w:rPr>
        <w:t>2008;</w:t>
      </w:r>
      <w:r>
        <w:rPr>
          <w:spacing w:val="17"/>
          <w:sz w:val="24"/>
        </w:rPr>
        <w:t> </w:t>
      </w:r>
      <w:r>
        <w:rPr>
          <w:sz w:val="24"/>
        </w:rPr>
        <w:t>McCarthy</w:t>
      </w:r>
      <w:r>
        <w:rPr>
          <w:spacing w:val="11"/>
          <w:sz w:val="24"/>
        </w:rPr>
        <w:t> </w:t>
      </w:r>
      <w:r>
        <w:rPr>
          <w:sz w:val="24"/>
        </w:rPr>
        <w:t>et</w:t>
      </w:r>
      <w:r>
        <w:rPr>
          <w:spacing w:val="21"/>
          <w:sz w:val="24"/>
        </w:rPr>
        <w:t> </w:t>
      </w:r>
      <w:r>
        <w:rPr>
          <w:spacing w:val="-3"/>
          <w:sz w:val="24"/>
        </w:rPr>
        <w:t>al.</w:t>
      </w:r>
      <w:r>
        <w:rPr>
          <w:spacing w:val="18"/>
          <w:sz w:val="24"/>
        </w:rPr>
        <w:t> </w:t>
      </w:r>
      <w:r>
        <w:rPr>
          <w:sz w:val="24"/>
        </w:rPr>
        <w:t>2010)</w:t>
      </w:r>
      <w:r>
        <w:rPr>
          <w:spacing w:val="24"/>
          <w:sz w:val="24"/>
        </w:rPr>
        <w:t> </w:t>
      </w:r>
      <w:r>
        <w:rPr>
          <w:sz w:val="24"/>
        </w:rPr>
        <w:t>and</w:t>
      </w:r>
      <w:r>
        <w:rPr>
          <w:spacing w:val="22"/>
          <w:sz w:val="24"/>
        </w:rPr>
        <w:t> </w:t>
      </w:r>
      <w:r>
        <w:rPr>
          <w:spacing w:val="-3"/>
          <w:sz w:val="24"/>
        </w:rPr>
        <w:t>in</w:t>
      </w:r>
      <w:r>
        <w:rPr>
          <w:spacing w:val="21"/>
          <w:sz w:val="24"/>
        </w:rPr>
        <w:t> </w:t>
      </w:r>
      <w:r>
        <w:rPr>
          <w:sz w:val="24"/>
        </w:rPr>
        <w:t>dogs</w:t>
      </w:r>
      <w:r>
        <w:rPr>
          <w:spacing w:val="15"/>
          <w:sz w:val="24"/>
        </w:rPr>
        <w:t> </w:t>
      </w:r>
      <w:r>
        <w:rPr>
          <w:sz w:val="24"/>
        </w:rPr>
        <w:t>(Smith</w:t>
      </w:r>
      <w:r>
        <w:rPr>
          <w:spacing w:val="11"/>
          <w:sz w:val="24"/>
        </w:rPr>
        <w:t> </w:t>
      </w:r>
      <w:r>
        <w:rPr>
          <w:sz w:val="24"/>
        </w:rPr>
        <w:t>et</w:t>
      </w:r>
      <w:r>
        <w:rPr>
          <w:spacing w:val="21"/>
          <w:sz w:val="24"/>
        </w:rPr>
        <w:t> </w:t>
      </w:r>
      <w:r>
        <w:rPr>
          <w:spacing w:val="-3"/>
          <w:sz w:val="24"/>
        </w:rPr>
        <w:t>al.</w:t>
      </w:r>
      <w:r>
        <w:rPr>
          <w:spacing w:val="18"/>
          <w:sz w:val="24"/>
        </w:rPr>
        <w:t> </w:t>
      </w:r>
      <w:r>
        <w:rPr>
          <w:sz w:val="24"/>
        </w:rPr>
        <w:t>2004;</w:t>
      </w:r>
      <w:r>
        <w:rPr>
          <w:spacing w:val="17"/>
          <w:sz w:val="24"/>
        </w:rPr>
        <w:t> </w:t>
      </w:r>
      <w:r>
        <w:rPr>
          <w:sz w:val="24"/>
        </w:rPr>
        <w:t>MacDougall</w:t>
      </w:r>
      <w:r>
        <w:rPr>
          <w:spacing w:val="17"/>
          <w:sz w:val="24"/>
        </w:rPr>
        <w:t> </w:t>
      </w:r>
      <w:r>
        <w:rPr>
          <w:sz w:val="24"/>
        </w:rPr>
        <w:t>et</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pacing w:val="-3"/>
          <w:sz w:val="24"/>
        </w:rPr>
        <w:t>al.</w:t>
      </w:r>
      <w:r>
        <w:rPr>
          <w:spacing w:val="39"/>
          <w:sz w:val="24"/>
        </w:rPr>
        <w:t> </w:t>
      </w:r>
      <w:r>
        <w:rPr>
          <w:sz w:val="24"/>
        </w:rPr>
        <w:t>2009).</w:t>
      </w:r>
      <w:r>
        <w:rPr>
          <w:spacing w:val="40"/>
          <w:sz w:val="24"/>
        </w:rPr>
        <w:t> </w:t>
      </w:r>
      <w:r>
        <w:rPr>
          <w:sz w:val="24"/>
        </w:rPr>
        <w:t>According</w:t>
      </w:r>
      <w:r>
        <w:rPr>
          <w:spacing w:val="37"/>
          <w:sz w:val="24"/>
        </w:rPr>
        <w:t> </w:t>
      </w:r>
      <w:r>
        <w:rPr>
          <w:sz w:val="24"/>
        </w:rPr>
        <w:t>to</w:t>
      </w:r>
      <w:r>
        <w:rPr>
          <w:spacing w:val="37"/>
          <w:sz w:val="24"/>
        </w:rPr>
        <w:t> </w:t>
      </w:r>
      <w:r>
        <w:rPr>
          <w:sz w:val="24"/>
        </w:rPr>
        <w:t>the</w:t>
      </w:r>
      <w:r>
        <w:rPr>
          <w:spacing w:val="36"/>
          <w:sz w:val="24"/>
        </w:rPr>
        <w:t> </w:t>
      </w:r>
      <w:r>
        <w:rPr>
          <w:sz w:val="24"/>
        </w:rPr>
        <w:t>NRS</w:t>
      </w:r>
      <w:r>
        <w:rPr>
          <w:spacing w:val="38"/>
          <w:sz w:val="24"/>
        </w:rPr>
        <w:t> </w:t>
      </w:r>
      <w:r>
        <w:rPr>
          <w:spacing w:val="-3"/>
          <w:sz w:val="24"/>
        </w:rPr>
        <w:t>in</w:t>
      </w:r>
      <w:r>
        <w:rPr>
          <w:spacing w:val="32"/>
          <w:sz w:val="24"/>
        </w:rPr>
        <w:t> </w:t>
      </w:r>
      <w:r>
        <w:rPr>
          <w:sz w:val="24"/>
        </w:rPr>
        <w:t>this</w:t>
      </w:r>
      <w:r>
        <w:rPr>
          <w:spacing w:val="35"/>
          <w:sz w:val="24"/>
        </w:rPr>
        <w:t> </w:t>
      </w:r>
      <w:r>
        <w:rPr>
          <w:sz w:val="24"/>
        </w:rPr>
        <w:t>study,</w:t>
      </w:r>
      <w:r>
        <w:rPr>
          <w:spacing w:val="39"/>
          <w:sz w:val="24"/>
        </w:rPr>
        <w:t> </w:t>
      </w:r>
      <w:r>
        <w:rPr>
          <w:sz w:val="24"/>
        </w:rPr>
        <w:t>LIDO</w:t>
      </w:r>
      <w:r>
        <w:rPr>
          <w:spacing w:val="36"/>
          <w:sz w:val="24"/>
        </w:rPr>
        <w:t> </w:t>
      </w:r>
      <w:r>
        <w:rPr>
          <w:sz w:val="24"/>
        </w:rPr>
        <w:t>presented</w:t>
      </w:r>
      <w:r>
        <w:rPr>
          <w:spacing w:val="37"/>
          <w:sz w:val="24"/>
        </w:rPr>
        <w:t> </w:t>
      </w:r>
      <w:r>
        <w:rPr>
          <w:sz w:val="24"/>
        </w:rPr>
        <w:t>higher</w:t>
      </w:r>
      <w:r>
        <w:rPr>
          <w:spacing w:val="39"/>
          <w:sz w:val="24"/>
        </w:rPr>
        <w:t> </w:t>
      </w:r>
      <w:r>
        <w:rPr>
          <w:sz w:val="24"/>
        </w:rPr>
        <w:t>pain</w:t>
      </w:r>
      <w:r>
        <w:rPr>
          <w:spacing w:val="32"/>
          <w:sz w:val="24"/>
        </w:rPr>
        <w:t> </w:t>
      </w:r>
      <w:r>
        <w:rPr>
          <w:sz w:val="24"/>
        </w:rPr>
        <w:t>scores</w:t>
      </w:r>
      <w:r>
        <w:rPr>
          <w:spacing w:val="35"/>
          <w:sz w:val="24"/>
        </w:rPr>
        <w:t> </w:t>
      </w:r>
      <w:r>
        <w:rPr>
          <w:sz w:val="24"/>
        </w:rPr>
        <w:t>than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LKD at  2h.  Pain  scores were  significantly higher  when compared </w:t>
      </w:r>
      <w:r>
        <w:rPr>
          <w:spacing w:val="2"/>
          <w:sz w:val="24"/>
        </w:rPr>
        <w:t>to  </w:t>
      </w:r>
      <w:r>
        <w:rPr>
          <w:sz w:val="24"/>
        </w:rPr>
        <w:t>baseline during</w:t>
      </w:r>
      <w:r>
        <w:rPr>
          <w:spacing w:val="25"/>
          <w:sz w:val="24"/>
        </w:rPr>
        <w:t> </w:t>
      </w:r>
      <w:r>
        <w:rPr>
          <w:sz w:val="24"/>
        </w:rPr>
        <w:t>the</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infusion period. Two  dogs required rescue  analgesia  </w:t>
      </w:r>
      <w:r>
        <w:rPr>
          <w:spacing w:val="-3"/>
          <w:sz w:val="24"/>
        </w:rPr>
        <w:t>in  </w:t>
      </w:r>
      <w:r>
        <w:rPr>
          <w:sz w:val="24"/>
        </w:rPr>
        <w:t>LIDO (22.2%). To the    </w:t>
      </w:r>
      <w:r>
        <w:rPr>
          <w:spacing w:val="5"/>
          <w:sz w:val="24"/>
        </w:rPr>
        <w:t> </w:t>
      </w:r>
      <w:r>
        <w:rPr>
          <w:sz w:val="24"/>
        </w:rPr>
        <w:t>authors`</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knowledge,</w:t>
      </w:r>
      <w:r>
        <w:rPr>
          <w:spacing w:val="21"/>
          <w:sz w:val="24"/>
        </w:rPr>
        <w:t> </w:t>
      </w:r>
      <w:r>
        <w:rPr>
          <w:sz w:val="24"/>
        </w:rPr>
        <w:t>there</w:t>
      </w:r>
      <w:r>
        <w:rPr>
          <w:spacing w:val="18"/>
          <w:sz w:val="24"/>
        </w:rPr>
        <w:t> </w:t>
      </w:r>
      <w:r>
        <w:rPr>
          <w:sz w:val="24"/>
        </w:rPr>
        <w:t>are</w:t>
      </w:r>
      <w:r>
        <w:rPr>
          <w:spacing w:val="23"/>
          <w:sz w:val="24"/>
        </w:rPr>
        <w:t> </w:t>
      </w:r>
      <w:r>
        <w:rPr>
          <w:spacing w:val="-3"/>
          <w:sz w:val="24"/>
        </w:rPr>
        <w:t>no</w:t>
      </w:r>
      <w:r>
        <w:rPr>
          <w:spacing w:val="23"/>
          <w:sz w:val="24"/>
        </w:rPr>
        <w:t> </w:t>
      </w:r>
      <w:r>
        <w:rPr>
          <w:sz w:val="24"/>
        </w:rPr>
        <w:t>published</w:t>
      </w:r>
      <w:r>
        <w:rPr>
          <w:spacing w:val="19"/>
          <w:sz w:val="24"/>
        </w:rPr>
        <w:t> </w:t>
      </w:r>
      <w:r>
        <w:rPr>
          <w:sz w:val="24"/>
        </w:rPr>
        <w:t>data</w:t>
      </w:r>
      <w:r>
        <w:rPr>
          <w:spacing w:val="18"/>
          <w:sz w:val="24"/>
        </w:rPr>
        <w:t> </w:t>
      </w:r>
      <w:r>
        <w:rPr>
          <w:sz w:val="24"/>
        </w:rPr>
        <w:t>on</w:t>
      </w:r>
      <w:r>
        <w:rPr>
          <w:spacing w:val="14"/>
          <w:sz w:val="24"/>
        </w:rPr>
        <w:t> </w:t>
      </w:r>
      <w:r>
        <w:rPr>
          <w:sz w:val="24"/>
        </w:rPr>
        <w:t>the</w:t>
      </w:r>
      <w:r>
        <w:rPr>
          <w:spacing w:val="18"/>
          <w:sz w:val="24"/>
        </w:rPr>
        <w:t> </w:t>
      </w:r>
      <w:r>
        <w:rPr>
          <w:sz w:val="24"/>
        </w:rPr>
        <w:t>administration</w:t>
      </w:r>
      <w:r>
        <w:rPr>
          <w:spacing w:val="14"/>
          <w:sz w:val="24"/>
        </w:rPr>
        <w:t> </w:t>
      </w:r>
      <w:r>
        <w:rPr>
          <w:sz w:val="24"/>
        </w:rPr>
        <w:t>of</w:t>
      </w:r>
      <w:r>
        <w:rPr>
          <w:spacing w:val="16"/>
          <w:sz w:val="24"/>
        </w:rPr>
        <w:t> </w:t>
      </w:r>
      <w:r>
        <w:rPr>
          <w:sz w:val="24"/>
        </w:rPr>
        <w:t>lidocaine</w:t>
      </w:r>
      <w:r>
        <w:rPr>
          <w:spacing w:val="23"/>
          <w:sz w:val="24"/>
        </w:rPr>
        <w:t> </w:t>
      </w:r>
      <w:r>
        <w:rPr>
          <w:sz w:val="24"/>
        </w:rPr>
        <w:t>CRI</w:t>
      </w:r>
      <w:r>
        <w:rPr>
          <w:spacing w:val="20"/>
          <w:sz w:val="24"/>
        </w:rPr>
        <w:t> </w:t>
      </w:r>
      <w:r>
        <w:rPr>
          <w:sz w:val="24"/>
        </w:rPr>
        <w:t>during</w:t>
      </w:r>
      <w:r>
        <w:rPr>
          <w:spacing w:val="19"/>
          <w:sz w:val="24"/>
        </w:rPr>
        <w:t> </w:t>
      </w:r>
      <w:r>
        <w:rPr>
          <w:sz w:val="24"/>
        </w:rPr>
        <w:t>the</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postoperative</w:t>
      </w:r>
      <w:r>
        <w:rPr>
          <w:spacing w:val="23"/>
          <w:sz w:val="24"/>
        </w:rPr>
        <w:t> </w:t>
      </w:r>
      <w:r>
        <w:rPr>
          <w:sz w:val="24"/>
        </w:rPr>
        <w:t>period</w:t>
      </w:r>
      <w:r>
        <w:rPr>
          <w:spacing w:val="24"/>
          <w:sz w:val="24"/>
        </w:rPr>
        <w:t> </w:t>
      </w:r>
      <w:r>
        <w:rPr>
          <w:spacing w:val="-3"/>
          <w:sz w:val="24"/>
        </w:rPr>
        <w:t>in</w:t>
      </w:r>
      <w:r>
        <w:rPr>
          <w:spacing w:val="19"/>
          <w:sz w:val="24"/>
        </w:rPr>
        <w:t> </w:t>
      </w:r>
      <w:r>
        <w:rPr>
          <w:sz w:val="24"/>
        </w:rPr>
        <w:t>dogs,</w:t>
      </w:r>
      <w:r>
        <w:rPr>
          <w:spacing w:val="21"/>
          <w:sz w:val="24"/>
        </w:rPr>
        <w:t> </w:t>
      </w:r>
      <w:r>
        <w:rPr>
          <w:sz w:val="24"/>
        </w:rPr>
        <w:t>and</w:t>
      </w:r>
      <w:r>
        <w:rPr>
          <w:spacing w:val="23"/>
          <w:sz w:val="24"/>
        </w:rPr>
        <w:t> </w:t>
      </w:r>
      <w:r>
        <w:rPr>
          <w:sz w:val="24"/>
        </w:rPr>
        <w:t>comparisons</w:t>
      </w:r>
      <w:r>
        <w:rPr>
          <w:spacing w:val="21"/>
          <w:sz w:val="24"/>
        </w:rPr>
        <w:t> </w:t>
      </w:r>
      <w:r>
        <w:rPr>
          <w:sz w:val="24"/>
        </w:rPr>
        <w:t>can</w:t>
      </w:r>
      <w:r>
        <w:rPr>
          <w:spacing w:val="19"/>
          <w:sz w:val="24"/>
        </w:rPr>
        <w:t> </w:t>
      </w:r>
      <w:r>
        <w:rPr>
          <w:spacing w:val="-3"/>
          <w:sz w:val="24"/>
        </w:rPr>
        <w:t>be</w:t>
      </w:r>
      <w:r>
        <w:rPr>
          <w:spacing w:val="23"/>
          <w:sz w:val="24"/>
        </w:rPr>
        <w:t> </w:t>
      </w:r>
      <w:r>
        <w:rPr>
          <w:sz w:val="24"/>
        </w:rPr>
        <w:t>difficult.</w:t>
      </w:r>
      <w:r>
        <w:rPr>
          <w:spacing w:val="26"/>
          <w:sz w:val="24"/>
        </w:rPr>
        <w:t> </w:t>
      </w:r>
      <w:r>
        <w:rPr>
          <w:sz w:val="24"/>
        </w:rPr>
        <w:t>A</w:t>
      </w:r>
      <w:r>
        <w:rPr>
          <w:spacing w:val="14"/>
          <w:sz w:val="24"/>
        </w:rPr>
        <w:t> </w:t>
      </w:r>
      <w:r>
        <w:rPr>
          <w:sz w:val="24"/>
        </w:rPr>
        <w:t>CRI</w:t>
      </w:r>
      <w:r>
        <w:rPr>
          <w:spacing w:val="32"/>
          <w:sz w:val="24"/>
        </w:rPr>
        <w:t> </w:t>
      </w:r>
      <w:r>
        <w:rPr>
          <w:sz w:val="24"/>
        </w:rPr>
        <w:t>of</w:t>
      </w:r>
      <w:r>
        <w:rPr>
          <w:spacing w:val="16"/>
          <w:sz w:val="24"/>
        </w:rPr>
        <w:t> </w:t>
      </w:r>
      <w:r>
        <w:rPr>
          <w:sz w:val="24"/>
        </w:rPr>
        <w:t>LIDO</w:t>
      </w:r>
      <w:r>
        <w:rPr>
          <w:spacing w:val="18"/>
          <w:sz w:val="24"/>
        </w:rPr>
        <w:t> </w:t>
      </w:r>
      <w:r>
        <w:rPr>
          <w:sz w:val="24"/>
        </w:rPr>
        <w:t>provided</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postoperative  analgesia  similar  </w:t>
      </w:r>
      <w:r>
        <w:rPr>
          <w:spacing w:val="2"/>
          <w:sz w:val="24"/>
        </w:rPr>
        <w:t>to  </w:t>
      </w:r>
      <w:r>
        <w:rPr>
          <w:sz w:val="24"/>
        </w:rPr>
        <w:t>morphine  CRI  after  ophthalmologic  surgery  </w:t>
      </w:r>
      <w:r>
        <w:rPr>
          <w:spacing w:val="-3"/>
          <w:sz w:val="24"/>
        </w:rPr>
        <w:t>in</w:t>
      </w:r>
      <w:r>
        <w:rPr>
          <w:spacing w:val="-9"/>
          <w:sz w:val="24"/>
        </w:rPr>
        <w:t> </w:t>
      </w:r>
      <w:r>
        <w:rPr>
          <w:sz w:val="24"/>
        </w:rPr>
        <w:t>dogs</w:t>
      </w:r>
    </w:p>
    <w:p>
      <w:pPr>
        <w:pStyle w:val="BodyText"/>
        <w:spacing w:before="11"/>
        <w:rPr>
          <w:sz w:val="20"/>
        </w:rPr>
      </w:pPr>
    </w:p>
    <w:p>
      <w:pPr>
        <w:pStyle w:val="ListParagraph"/>
        <w:numPr>
          <w:ilvl w:val="0"/>
          <w:numId w:val="33"/>
        </w:numPr>
        <w:tabs>
          <w:tab w:pos="832" w:val="left" w:leader="none"/>
          <w:tab w:pos="833" w:val="left" w:leader="none"/>
        </w:tabs>
        <w:spacing w:line="240" w:lineRule="auto" w:before="0" w:after="0"/>
        <w:ind w:left="832" w:right="0" w:hanging="720"/>
        <w:jc w:val="left"/>
        <w:rPr>
          <w:sz w:val="24"/>
        </w:rPr>
      </w:pPr>
      <w:r>
        <w:rPr>
          <w:sz w:val="24"/>
        </w:rPr>
        <w:t>when given a LD (1 </w:t>
      </w:r>
      <w:r>
        <w:rPr>
          <w:spacing w:val="-5"/>
          <w:sz w:val="24"/>
        </w:rPr>
        <w:t>mg </w:t>
      </w:r>
      <w:r>
        <w:rPr>
          <w:sz w:val="24"/>
        </w:rPr>
        <w:t>kg</w:t>
      </w:r>
      <w:r>
        <w:rPr>
          <w:position w:val="11"/>
          <w:sz w:val="16"/>
        </w:rPr>
        <w:t>-1</w:t>
      </w:r>
      <w:r>
        <w:rPr>
          <w:sz w:val="24"/>
        </w:rPr>
        <w:t>) followed by a CRI (25 µg kg</w:t>
      </w:r>
      <w:r>
        <w:rPr>
          <w:position w:val="11"/>
          <w:sz w:val="16"/>
        </w:rPr>
        <w:t>-1  </w:t>
      </w:r>
      <w:r>
        <w:rPr>
          <w:sz w:val="24"/>
        </w:rPr>
        <w:t>minute</w:t>
      </w:r>
      <w:r>
        <w:rPr>
          <w:position w:val="11"/>
          <w:sz w:val="16"/>
        </w:rPr>
        <w:t>-1</w:t>
      </w:r>
      <w:r>
        <w:rPr>
          <w:sz w:val="24"/>
        </w:rPr>
        <w:t>) (Smith et   </w:t>
      </w:r>
      <w:r>
        <w:rPr>
          <w:spacing w:val="3"/>
          <w:sz w:val="24"/>
        </w:rPr>
        <w:t> </w:t>
      </w:r>
      <w:r>
        <w:rPr>
          <w:spacing w:val="-4"/>
          <w:sz w:val="24"/>
        </w:rPr>
        <w:t>al. </w:t>
      </w:r>
      <w:r>
        <w:rPr>
          <w:sz w:val="24"/>
        </w:rPr>
        <w:t>2004).</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However, only four dogs were used </w:t>
      </w:r>
      <w:r>
        <w:rPr>
          <w:spacing w:val="-3"/>
          <w:sz w:val="24"/>
        </w:rPr>
        <w:t>in </w:t>
      </w:r>
      <w:r>
        <w:rPr>
          <w:sz w:val="24"/>
        </w:rPr>
        <w:t>that </w:t>
      </w:r>
      <w:r>
        <w:rPr>
          <w:spacing w:val="-3"/>
          <w:sz w:val="24"/>
        </w:rPr>
        <w:t>pilot </w:t>
      </w:r>
      <w:r>
        <w:rPr>
          <w:sz w:val="24"/>
        </w:rPr>
        <w:t>study and treatment failure was observed</w:t>
      </w:r>
      <w:r>
        <w:rPr>
          <w:spacing w:val="3"/>
          <w:sz w:val="24"/>
        </w:rPr>
        <w:t> </w:t>
      </w:r>
      <w:r>
        <w:rPr>
          <w:sz w:val="24"/>
        </w:rPr>
        <w:t>in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two of these dogs. Lidocaine did not produce electrical antinociception even at </w:t>
      </w:r>
      <w:r>
        <w:rPr>
          <w:spacing w:val="-2"/>
          <w:sz w:val="24"/>
        </w:rPr>
        <w:t>higher</w:t>
      </w:r>
      <w:r>
        <w:rPr>
          <w:spacing w:val="-18"/>
          <w:sz w:val="24"/>
        </w:rPr>
        <w:t> </w:t>
      </w:r>
      <w:r>
        <w:rPr>
          <w:sz w:val="24"/>
        </w:rPr>
        <w:t>doses</w:t>
      </w:r>
    </w:p>
    <w:p>
      <w:pPr>
        <w:pStyle w:val="BodyText"/>
        <w:spacing w:before="11"/>
        <w:rPr>
          <w:sz w:val="20"/>
        </w:rPr>
      </w:pPr>
    </w:p>
    <w:p>
      <w:pPr>
        <w:pStyle w:val="ListParagraph"/>
        <w:numPr>
          <w:ilvl w:val="0"/>
          <w:numId w:val="33"/>
        </w:numPr>
        <w:tabs>
          <w:tab w:pos="832" w:val="left" w:leader="none"/>
          <w:tab w:pos="833" w:val="left" w:leader="none"/>
        </w:tabs>
        <w:spacing w:line="240" w:lineRule="auto" w:before="0" w:after="0"/>
        <w:ind w:left="832" w:right="0" w:hanging="720"/>
        <w:jc w:val="left"/>
        <w:rPr>
          <w:sz w:val="24"/>
        </w:rPr>
      </w:pPr>
      <w:r>
        <w:rPr>
          <w:sz w:val="24"/>
        </w:rPr>
        <w:t>than  used  </w:t>
      </w:r>
      <w:r>
        <w:rPr>
          <w:spacing w:val="-3"/>
          <w:sz w:val="24"/>
        </w:rPr>
        <w:t>in  </w:t>
      </w:r>
      <w:r>
        <w:rPr>
          <w:sz w:val="24"/>
        </w:rPr>
        <w:t>this  study  (50-100  µg  kg</w:t>
      </w:r>
      <w:r>
        <w:rPr>
          <w:position w:val="11"/>
          <w:sz w:val="16"/>
        </w:rPr>
        <w:t>-1   </w:t>
      </w:r>
      <w:r>
        <w:rPr>
          <w:sz w:val="24"/>
        </w:rPr>
        <w:t>minute</w:t>
      </w:r>
      <w:r>
        <w:rPr>
          <w:position w:val="11"/>
          <w:sz w:val="16"/>
        </w:rPr>
        <w:t>-1</w:t>
      </w:r>
      <w:r>
        <w:rPr>
          <w:sz w:val="24"/>
        </w:rPr>
        <w:t>)  when  compared  to  a  control</w:t>
      </w:r>
      <w:r>
        <w:rPr>
          <w:spacing w:val="24"/>
          <w:sz w:val="24"/>
        </w:rPr>
        <w:t> </w:t>
      </w:r>
      <w:r>
        <w:rPr>
          <w:sz w:val="24"/>
        </w:rPr>
        <w:t>group</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(MacDougall et  </w:t>
      </w:r>
      <w:r>
        <w:rPr>
          <w:spacing w:val="-3"/>
          <w:sz w:val="24"/>
        </w:rPr>
        <w:t>al.  </w:t>
      </w:r>
      <w:r>
        <w:rPr>
          <w:sz w:val="24"/>
        </w:rPr>
        <w:t>2009).  </w:t>
      </w:r>
      <w:r>
        <w:rPr>
          <w:spacing w:val="-3"/>
          <w:sz w:val="24"/>
        </w:rPr>
        <w:t>At  </w:t>
      </w:r>
      <w:r>
        <w:rPr>
          <w:sz w:val="24"/>
        </w:rPr>
        <w:t>the doses administered,  LIDO provided  limited  </w:t>
      </w:r>
      <w:r>
        <w:rPr>
          <w:spacing w:val="24"/>
          <w:sz w:val="24"/>
        </w:rPr>
        <w:t> </w:t>
      </w:r>
      <w:r>
        <w:rPr>
          <w:sz w:val="24"/>
        </w:rPr>
        <w:t>analgesic</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effects </w:t>
      </w:r>
      <w:r>
        <w:rPr>
          <w:spacing w:val="-3"/>
          <w:sz w:val="24"/>
        </w:rPr>
        <w:t>if </w:t>
      </w:r>
      <w:r>
        <w:rPr>
          <w:sz w:val="24"/>
        </w:rPr>
        <w:t>one considers that </w:t>
      </w:r>
      <w:r>
        <w:rPr>
          <w:spacing w:val="-4"/>
          <w:sz w:val="24"/>
        </w:rPr>
        <w:t>some </w:t>
      </w:r>
      <w:r>
        <w:rPr>
          <w:sz w:val="24"/>
        </w:rPr>
        <w:t>dogs required rescue analgesia, and pain scores were  </w:t>
      </w:r>
      <w:r>
        <w:rPr>
          <w:spacing w:val="7"/>
          <w:sz w:val="24"/>
        </w:rPr>
        <w:t> </w:t>
      </w:r>
      <w:r>
        <w:rPr>
          <w:sz w:val="24"/>
        </w:rPr>
        <w:t>not</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significantly lower than CONTROL/BUT at</w:t>
      </w:r>
      <w:r>
        <w:rPr>
          <w:spacing w:val="-21"/>
          <w:sz w:val="24"/>
        </w:rPr>
        <w:t> </w:t>
      </w:r>
      <w:r>
        <w:rPr>
          <w:sz w:val="24"/>
        </w:rPr>
        <w:t>1h.</w:t>
      </w:r>
    </w:p>
    <w:p>
      <w:pPr>
        <w:pStyle w:val="BodyText"/>
        <w:spacing w:before="11"/>
        <w:rPr>
          <w:sz w:val="17"/>
        </w:rPr>
      </w:pPr>
    </w:p>
    <w:p>
      <w:pPr>
        <w:pStyle w:val="ListParagraph"/>
        <w:numPr>
          <w:ilvl w:val="0"/>
          <w:numId w:val="33"/>
        </w:numPr>
        <w:tabs>
          <w:tab w:pos="1552" w:val="left" w:leader="none"/>
          <w:tab w:pos="1553" w:val="left" w:leader="none"/>
        </w:tabs>
        <w:spacing w:line="240" w:lineRule="auto" w:before="69" w:after="0"/>
        <w:ind w:left="1553" w:right="0" w:hanging="1441"/>
        <w:jc w:val="left"/>
        <w:rPr>
          <w:sz w:val="24"/>
        </w:rPr>
      </w:pPr>
      <w:r>
        <w:rPr>
          <w:sz w:val="24"/>
        </w:rPr>
        <w:t>Dexmedetomidine </w:t>
      </w:r>
      <w:r>
        <w:rPr>
          <w:spacing w:val="-3"/>
          <w:sz w:val="24"/>
        </w:rPr>
        <w:t>is </w:t>
      </w:r>
      <w:r>
        <w:rPr>
          <w:sz w:val="24"/>
        </w:rPr>
        <w:t>a highly selective alpha</w:t>
      </w:r>
      <w:r>
        <w:rPr>
          <w:position w:val="-2"/>
          <w:sz w:val="16"/>
        </w:rPr>
        <w:t>2</w:t>
      </w:r>
      <w:r>
        <w:rPr>
          <w:sz w:val="24"/>
        </w:rPr>
        <w:t>-receptor </w:t>
      </w:r>
      <w:r>
        <w:rPr>
          <w:spacing w:val="-3"/>
          <w:sz w:val="24"/>
        </w:rPr>
        <w:t>agonist </w:t>
      </w:r>
      <w:r>
        <w:rPr>
          <w:sz w:val="24"/>
        </w:rPr>
        <w:t>that exhibits</w:t>
      </w:r>
      <w:r>
        <w:rPr>
          <w:spacing w:val="19"/>
          <w:sz w:val="24"/>
        </w:rPr>
        <w:t> </w:t>
      </w:r>
      <w:r>
        <w:rPr>
          <w:sz w:val="24"/>
        </w:rPr>
        <w:t>sedative</w:t>
      </w:r>
    </w:p>
    <w:p>
      <w:pPr>
        <w:pStyle w:val="BodyText"/>
        <w:spacing w:before="10"/>
        <w:rPr>
          <w:sz w:val="16"/>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and analgesic effects by activating its receptors within the brainstem and </w:t>
      </w:r>
      <w:r>
        <w:rPr>
          <w:spacing w:val="-3"/>
          <w:sz w:val="24"/>
        </w:rPr>
        <w:t>in </w:t>
      </w:r>
      <w:r>
        <w:rPr>
          <w:sz w:val="24"/>
        </w:rPr>
        <w:t>the dorsal </w:t>
      </w:r>
      <w:r>
        <w:rPr>
          <w:spacing w:val="24"/>
          <w:sz w:val="24"/>
        </w:rPr>
        <w:t> </w:t>
      </w:r>
      <w:r>
        <w:rPr>
          <w:sz w:val="24"/>
        </w:rPr>
        <w:t>horn</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of the spinal cord (Murrell &amp; Hellebrekers 2005). The administration of a CRI of DEX </w:t>
      </w:r>
      <w:r>
        <w:rPr>
          <w:spacing w:val="23"/>
          <w:sz w:val="24"/>
        </w:rPr>
        <w:t> </w:t>
      </w:r>
      <w:r>
        <w:rPr>
          <w:sz w:val="24"/>
        </w:rPr>
        <w:t>has</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been</w:t>
      </w:r>
      <w:r>
        <w:rPr>
          <w:spacing w:val="46"/>
          <w:sz w:val="24"/>
        </w:rPr>
        <w:t> </w:t>
      </w:r>
      <w:r>
        <w:rPr>
          <w:sz w:val="24"/>
        </w:rPr>
        <w:t>reported</w:t>
      </w:r>
      <w:r>
        <w:rPr>
          <w:spacing w:val="46"/>
          <w:sz w:val="24"/>
        </w:rPr>
        <w:t> </w:t>
      </w:r>
      <w:r>
        <w:rPr>
          <w:spacing w:val="-3"/>
          <w:sz w:val="24"/>
        </w:rPr>
        <w:t>in</w:t>
      </w:r>
      <w:r>
        <w:rPr>
          <w:spacing w:val="41"/>
          <w:sz w:val="24"/>
        </w:rPr>
        <w:t> </w:t>
      </w:r>
      <w:r>
        <w:rPr>
          <w:sz w:val="24"/>
        </w:rPr>
        <w:t>dogs</w:t>
      </w:r>
      <w:r>
        <w:rPr>
          <w:spacing w:val="44"/>
          <w:sz w:val="24"/>
        </w:rPr>
        <w:t> </w:t>
      </w:r>
      <w:r>
        <w:rPr>
          <w:sz w:val="24"/>
        </w:rPr>
        <w:t>(Pascoe</w:t>
      </w:r>
      <w:r>
        <w:rPr>
          <w:spacing w:val="45"/>
          <w:sz w:val="24"/>
        </w:rPr>
        <w:t> </w:t>
      </w:r>
      <w:r>
        <w:rPr>
          <w:sz w:val="24"/>
        </w:rPr>
        <w:t>et</w:t>
      </w:r>
      <w:r>
        <w:rPr>
          <w:spacing w:val="51"/>
          <w:sz w:val="24"/>
        </w:rPr>
        <w:t> </w:t>
      </w:r>
      <w:r>
        <w:rPr>
          <w:spacing w:val="-3"/>
          <w:sz w:val="24"/>
        </w:rPr>
        <w:t>al.</w:t>
      </w:r>
      <w:r>
        <w:rPr>
          <w:spacing w:val="48"/>
          <w:sz w:val="24"/>
        </w:rPr>
        <w:t> </w:t>
      </w:r>
      <w:r>
        <w:rPr>
          <w:sz w:val="24"/>
        </w:rPr>
        <w:t>2006;</w:t>
      </w:r>
      <w:r>
        <w:rPr>
          <w:spacing w:val="46"/>
          <w:sz w:val="24"/>
        </w:rPr>
        <w:t> </w:t>
      </w:r>
      <w:r>
        <w:rPr>
          <w:sz w:val="24"/>
        </w:rPr>
        <w:t>Lin</w:t>
      </w:r>
      <w:r>
        <w:rPr>
          <w:spacing w:val="51"/>
          <w:sz w:val="24"/>
        </w:rPr>
        <w:t> </w:t>
      </w:r>
      <w:r>
        <w:rPr>
          <w:sz w:val="24"/>
        </w:rPr>
        <w:t>et</w:t>
      </w:r>
      <w:r>
        <w:rPr>
          <w:spacing w:val="51"/>
          <w:sz w:val="24"/>
        </w:rPr>
        <w:t> </w:t>
      </w:r>
      <w:r>
        <w:rPr>
          <w:spacing w:val="-4"/>
          <w:sz w:val="24"/>
        </w:rPr>
        <w:t>al.</w:t>
      </w:r>
      <w:r>
        <w:rPr>
          <w:spacing w:val="48"/>
          <w:sz w:val="24"/>
        </w:rPr>
        <w:t> </w:t>
      </w:r>
      <w:r>
        <w:rPr>
          <w:sz w:val="24"/>
        </w:rPr>
        <w:t>2008;</w:t>
      </w:r>
      <w:r>
        <w:rPr>
          <w:spacing w:val="42"/>
          <w:sz w:val="24"/>
        </w:rPr>
        <w:t> </w:t>
      </w:r>
      <w:r>
        <w:rPr>
          <w:sz w:val="24"/>
        </w:rPr>
        <w:t>Uilenreef</w:t>
      </w:r>
      <w:r>
        <w:rPr>
          <w:spacing w:val="43"/>
          <w:sz w:val="24"/>
        </w:rPr>
        <w:t> </w:t>
      </w:r>
      <w:r>
        <w:rPr>
          <w:sz w:val="24"/>
        </w:rPr>
        <w:t>et</w:t>
      </w:r>
      <w:r>
        <w:rPr>
          <w:spacing w:val="51"/>
          <w:sz w:val="24"/>
        </w:rPr>
        <w:t> </w:t>
      </w:r>
      <w:r>
        <w:rPr>
          <w:sz w:val="24"/>
        </w:rPr>
        <w:t>al.</w:t>
      </w:r>
      <w:r>
        <w:rPr>
          <w:spacing w:val="48"/>
          <w:sz w:val="24"/>
        </w:rPr>
        <w:t> </w:t>
      </w:r>
      <w:r>
        <w:rPr>
          <w:sz w:val="24"/>
        </w:rPr>
        <w:t>2008;</w:t>
      </w:r>
      <w:r>
        <w:rPr>
          <w:spacing w:val="42"/>
          <w:sz w:val="24"/>
        </w:rPr>
        <w:t> </w:t>
      </w:r>
      <w:r>
        <w:rPr>
          <w:sz w:val="24"/>
        </w:rPr>
        <w:t>Van</w:t>
      </w:r>
    </w:p>
    <w:p>
      <w:pPr>
        <w:pStyle w:val="BodyText"/>
        <w:rPr>
          <w:sz w:val="15"/>
        </w:rPr>
      </w:pPr>
    </w:p>
    <w:p>
      <w:pPr>
        <w:pStyle w:val="BodyText"/>
        <w:spacing w:before="70"/>
        <w:ind w:right="104"/>
        <w:jc w:val="right"/>
      </w:pPr>
      <w:r>
        <w:rPr/>
        <w:t>63</w:t>
      </w:r>
    </w:p>
    <w:p>
      <w:pPr>
        <w:spacing w:after="0"/>
        <w:jc w:val="right"/>
        <w:sectPr>
          <w:footerReference w:type="default" r:id="rId47"/>
          <w:pgSz w:w="12240" w:h="15840"/>
          <w:pgMar w:footer="0" w:header="0" w:top="1500" w:bottom="280" w:left="1040" w:right="1420"/>
        </w:sectPr>
      </w:pPr>
    </w:p>
    <w:p>
      <w:pPr>
        <w:pStyle w:val="BodyText"/>
        <w:spacing w:before="7"/>
        <w:rPr>
          <w:sz w:val="20"/>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Oostrom et </w:t>
      </w:r>
      <w:r>
        <w:rPr>
          <w:spacing w:val="-4"/>
          <w:sz w:val="24"/>
        </w:rPr>
        <w:t>al.  </w:t>
      </w:r>
      <w:r>
        <w:rPr>
          <w:sz w:val="24"/>
        </w:rPr>
        <w:t>2011; Lervik et </w:t>
      </w:r>
      <w:r>
        <w:rPr>
          <w:spacing w:val="-4"/>
          <w:sz w:val="24"/>
        </w:rPr>
        <w:t>al.  </w:t>
      </w:r>
      <w:r>
        <w:rPr>
          <w:sz w:val="24"/>
        </w:rPr>
        <w:t>2012; Gutierrez-Blanco et </w:t>
      </w:r>
      <w:r>
        <w:rPr>
          <w:spacing w:val="-4"/>
          <w:sz w:val="24"/>
        </w:rPr>
        <w:t>al.  </w:t>
      </w:r>
      <w:r>
        <w:rPr>
          <w:sz w:val="24"/>
        </w:rPr>
        <w:t>2013). The  </w:t>
      </w:r>
      <w:r>
        <w:rPr>
          <w:spacing w:val="44"/>
          <w:sz w:val="24"/>
        </w:rPr>
        <w:t> </w:t>
      </w:r>
      <w:r>
        <w:rPr>
          <w:sz w:val="24"/>
        </w:rPr>
        <w:t>postoperative</w:t>
      </w:r>
    </w:p>
    <w:p>
      <w:pPr>
        <w:pStyle w:val="BodyText"/>
        <w:spacing w:before="11"/>
        <w:rPr>
          <w:sz w:val="20"/>
        </w:rPr>
      </w:pPr>
    </w:p>
    <w:p>
      <w:pPr>
        <w:pStyle w:val="ListParagraph"/>
        <w:numPr>
          <w:ilvl w:val="0"/>
          <w:numId w:val="33"/>
        </w:numPr>
        <w:tabs>
          <w:tab w:pos="832" w:val="left" w:leader="none"/>
          <w:tab w:pos="833" w:val="left" w:leader="none"/>
        </w:tabs>
        <w:spacing w:line="240" w:lineRule="auto" w:before="0" w:after="0"/>
        <w:ind w:left="832" w:right="0" w:hanging="720"/>
        <w:jc w:val="left"/>
        <w:rPr>
          <w:sz w:val="24"/>
        </w:rPr>
      </w:pPr>
      <w:r>
        <w:rPr>
          <w:sz w:val="24"/>
        </w:rPr>
        <w:t>analgesic</w:t>
      </w:r>
      <w:r>
        <w:rPr>
          <w:spacing w:val="42"/>
          <w:sz w:val="24"/>
        </w:rPr>
        <w:t> </w:t>
      </w:r>
      <w:r>
        <w:rPr>
          <w:sz w:val="24"/>
        </w:rPr>
        <w:t>effects</w:t>
      </w:r>
      <w:r>
        <w:rPr>
          <w:spacing w:val="41"/>
          <w:sz w:val="24"/>
        </w:rPr>
        <w:t> </w:t>
      </w:r>
      <w:r>
        <w:rPr>
          <w:sz w:val="24"/>
        </w:rPr>
        <w:t>of</w:t>
      </w:r>
      <w:r>
        <w:rPr>
          <w:spacing w:val="35"/>
          <w:sz w:val="24"/>
        </w:rPr>
        <w:t> </w:t>
      </w:r>
      <w:r>
        <w:rPr>
          <w:sz w:val="24"/>
        </w:rPr>
        <w:t>a</w:t>
      </w:r>
      <w:r>
        <w:rPr>
          <w:spacing w:val="42"/>
          <w:sz w:val="24"/>
        </w:rPr>
        <w:t> </w:t>
      </w:r>
      <w:r>
        <w:rPr>
          <w:sz w:val="24"/>
        </w:rPr>
        <w:t>DEX</w:t>
      </w:r>
      <w:r>
        <w:rPr>
          <w:spacing w:val="42"/>
          <w:sz w:val="24"/>
        </w:rPr>
        <w:t> </w:t>
      </w:r>
      <w:r>
        <w:rPr>
          <w:sz w:val="24"/>
        </w:rPr>
        <w:t>CRI</w:t>
      </w:r>
      <w:r>
        <w:rPr>
          <w:spacing w:val="44"/>
          <w:sz w:val="24"/>
        </w:rPr>
        <w:t> </w:t>
      </w:r>
      <w:r>
        <w:rPr>
          <w:sz w:val="24"/>
        </w:rPr>
        <w:t>(25</w:t>
      </w:r>
      <w:r>
        <w:rPr>
          <w:spacing w:val="43"/>
          <w:sz w:val="24"/>
        </w:rPr>
        <w:t> </w:t>
      </w:r>
      <w:r>
        <w:rPr>
          <w:sz w:val="24"/>
        </w:rPr>
        <w:t>µg</w:t>
      </w:r>
      <w:r>
        <w:rPr>
          <w:spacing w:val="43"/>
          <w:sz w:val="24"/>
        </w:rPr>
        <w:t> </w:t>
      </w:r>
      <w:r>
        <w:rPr>
          <w:sz w:val="24"/>
        </w:rPr>
        <w:t>m</w:t>
      </w:r>
      <w:r>
        <w:rPr>
          <w:position w:val="11"/>
          <w:sz w:val="16"/>
        </w:rPr>
        <w:t>-2</w:t>
      </w:r>
      <w:r>
        <w:rPr>
          <w:sz w:val="24"/>
        </w:rPr>
        <w:t>,</w:t>
      </w:r>
      <w:r>
        <w:rPr>
          <w:spacing w:val="45"/>
          <w:sz w:val="24"/>
        </w:rPr>
        <w:t> </w:t>
      </w:r>
      <w:r>
        <w:rPr>
          <w:sz w:val="24"/>
        </w:rPr>
        <w:t>equivalent</w:t>
      </w:r>
      <w:r>
        <w:rPr>
          <w:spacing w:val="48"/>
          <w:sz w:val="24"/>
        </w:rPr>
        <w:t> </w:t>
      </w:r>
      <w:r>
        <w:rPr>
          <w:sz w:val="24"/>
        </w:rPr>
        <w:t>to</w:t>
      </w:r>
      <w:r>
        <w:rPr>
          <w:spacing w:val="43"/>
          <w:sz w:val="24"/>
        </w:rPr>
        <w:t> </w:t>
      </w:r>
      <w:r>
        <w:rPr>
          <w:sz w:val="24"/>
        </w:rPr>
        <w:t>1</w:t>
      </w:r>
      <w:r>
        <w:rPr>
          <w:spacing w:val="43"/>
          <w:sz w:val="24"/>
        </w:rPr>
        <w:t> </w:t>
      </w:r>
      <w:r>
        <w:rPr>
          <w:sz w:val="24"/>
        </w:rPr>
        <w:t>µg</w:t>
      </w:r>
      <w:r>
        <w:rPr>
          <w:spacing w:val="43"/>
          <w:sz w:val="24"/>
        </w:rPr>
        <w:t> </w:t>
      </w:r>
      <w:r>
        <w:rPr>
          <w:sz w:val="24"/>
        </w:rPr>
        <w:t>kg</w:t>
      </w:r>
      <w:r>
        <w:rPr>
          <w:position w:val="11"/>
          <w:sz w:val="16"/>
        </w:rPr>
        <w:t>-1 </w:t>
      </w:r>
      <w:r>
        <w:rPr>
          <w:spacing w:val="7"/>
          <w:position w:val="11"/>
          <w:sz w:val="16"/>
        </w:rPr>
        <w:t> </w:t>
      </w:r>
      <w:r>
        <w:rPr>
          <w:sz w:val="24"/>
        </w:rPr>
        <w:t>hour</w:t>
      </w:r>
      <w:r>
        <w:rPr>
          <w:position w:val="11"/>
          <w:sz w:val="16"/>
        </w:rPr>
        <w:t>-1</w:t>
      </w:r>
      <w:r>
        <w:rPr>
          <w:sz w:val="24"/>
        </w:rPr>
        <w:t>)</w:t>
      </w:r>
      <w:r>
        <w:rPr>
          <w:spacing w:val="44"/>
          <w:sz w:val="24"/>
        </w:rPr>
        <w:t> </w:t>
      </w:r>
      <w:r>
        <w:rPr>
          <w:spacing w:val="-3"/>
          <w:sz w:val="24"/>
        </w:rPr>
        <w:t>have</w:t>
      </w:r>
      <w:r>
        <w:rPr>
          <w:spacing w:val="47"/>
          <w:sz w:val="24"/>
        </w:rPr>
        <w:t> </w:t>
      </w:r>
      <w:r>
        <w:rPr>
          <w:sz w:val="24"/>
        </w:rPr>
        <w:t>been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studied</w:t>
      </w:r>
      <w:r>
        <w:rPr>
          <w:spacing w:val="23"/>
          <w:sz w:val="24"/>
        </w:rPr>
        <w:t> </w:t>
      </w:r>
      <w:r>
        <w:rPr>
          <w:spacing w:val="-3"/>
          <w:sz w:val="24"/>
        </w:rPr>
        <w:t>in</w:t>
      </w:r>
      <w:r>
        <w:rPr>
          <w:spacing w:val="14"/>
          <w:sz w:val="24"/>
        </w:rPr>
        <w:t> </w:t>
      </w:r>
      <w:r>
        <w:rPr>
          <w:sz w:val="24"/>
        </w:rPr>
        <w:t>a</w:t>
      </w:r>
      <w:r>
        <w:rPr>
          <w:spacing w:val="18"/>
          <w:sz w:val="24"/>
        </w:rPr>
        <w:t> </w:t>
      </w:r>
      <w:r>
        <w:rPr>
          <w:sz w:val="24"/>
        </w:rPr>
        <w:t>clinical</w:t>
      </w:r>
      <w:r>
        <w:rPr>
          <w:spacing w:val="11"/>
          <w:sz w:val="24"/>
        </w:rPr>
        <w:t> </w:t>
      </w:r>
      <w:r>
        <w:rPr>
          <w:sz w:val="24"/>
        </w:rPr>
        <w:t>trial</w:t>
      </w:r>
      <w:r>
        <w:rPr>
          <w:spacing w:val="11"/>
          <w:sz w:val="24"/>
        </w:rPr>
        <w:t> </w:t>
      </w:r>
      <w:r>
        <w:rPr>
          <w:sz w:val="24"/>
        </w:rPr>
        <w:t>(Valtolina</w:t>
      </w:r>
      <w:r>
        <w:rPr>
          <w:spacing w:val="18"/>
          <w:sz w:val="24"/>
        </w:rPr>
        <w:t> </w:t>
      </w:r>
      <w:r>
        <w:rPr>
          <w:sz w:val="24"/>
        </w:rPr>
        <w:t>et</w:t>
      </w:r>
      <w:r>
        <w:rPr>
          <w:spacing w:val="19"/>
          <w:sz w:val="24"/>
        </w:rPr>
        <w:t> </w:t>
      </w:r>
      <w:r>
        <w:rPr>
          <w:spacing w:val="-3"/>
          <w:sz w:val="24"/>
        </w:rPr>
        <w:t>al.</w:t>
      </w:r>
      <w:r>
        <w:rPr>
          <w:spacing w:val="16"/>
          <w:sz w:val="24"/>
        </w:rPr>
        <w:t> </w:t>
      </w:r>
      <w:r>
        <w:rPr>
          <w:sz w:val="24"/>
        </w:rPr>
        <w:t>2009).</w:t>
      </w:r>
      <w:r>
        <w:rPr>
          <w:spacing w:val="21"/>
          <w:sz w:val="24"/>
        </w:rPr>
        <w:t> </w:t>
      </w:r>
      <w:r>
        <w:rPr>
          <w:sz w:val="24"/>
        </w:rPr>
        <w:t>The</w:t>
      </w:r>
      <w:r>
        <w:rPr>
          <w:spacing w:val="18"/>
          <w:sz w:val="24"/>
        </w:rPr>
        <w:t> </w:t>
      </w:r>
      <w:r>
        <w:rPr>
          <w:sz w:val="24"/>
        </w:rPr>
        <w:t>incidence</w:t>
      </w:r>
      <w:r>
        <w:rPr>
          <w:spacing w:val="13"/>
          <w:sz w:val="24"/>
        </w:rPr>
        <w:t> </w:t>
      </w:r>
      <w:r>
        <w:rPr>
          <w:spacing w:val="4"/>
          <w:sz w:val="24"/>
        </w:rPr>
        <w:t>of</w:t>
      </w:r>
      <w:r>
        <w:rPr>
          <w:spacing w:val="11"/>
          <w:sz w:val="24"/>
        </w:rPr>
        <w:t> </w:t>
      </w:r>
      <w:r>
        <w:rPr>
          <w:sz w:val="24"/>
        </w:rPr>
        <w:t>treatment</w:t>
      </w:r>
      <w:r>
        <w:rPr>
          <w:spacing w:val="24"/>
          <w:sz w:val="24"/>
        </w:rPr>
        <w:t> </w:t>
      </w:r>
      <w:r>
        <w:rPr>
          <w:sz w:val="24"/>
        </w:rPr>
        <w:t>failure</w:t>
      </w:r>
      <w:r>
        <w:rPr>
          <w:spacing w:val="23"/>
          <w:sz w:val="24"/>
        </w:rPr>
        <w:t> </w:t>
      </w:r>
      <w:r>
        <w:rPr>
          <w:spacing w:val="-3"/>
          <w:sz w:val="24"/>
        </w:rPr>
        <w:t>in</w:t>
      </w:r>
      <w:r>
        <w:rPr>
          <w:spacing w:val="14"/>
          <w:sz w:val="24"/>
        </w:rPr>
        <w:t> </w:t>
      </w:r>
      <w:r>
        <w:rPr>
          <w:sz w:val="24"/>
        </w:rPr>
        <w:t>that</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study was 27.5% whereas </w:t>
      </w:r>
      <w:r>
        <w:rPr>
          <w:spacing w:val="-3"/>
          <w:sz w:val="24"/>
        </w:rPr>
        <w:t>in </w:t>
      </w:r>
      <w:r>
        <w:rPr>
          <w:sz w:val="24"/>
        </w:rPr>
        <w:t>the present study 25% of dogs receiving DEX required </w:t>
      </w:r>
      <w:r>
        <w:rPr>
          <w:spacing w:val="26"/>
          <w:sz w:val="24"/>
        </w:rPr>
        <w:t> </w:t>
      </w:r>
      <w:r>
        <w:rPr>
          <w:sz w:val="24"/>
        </w:rPr>
        <w:t>rescue</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analgesia. </w:t>
      </w:r>
      <w:r>
        <w:rPr>
          <w:spacing w:val="-3"/>
          <w:sz w:val="24"/>
        </w:rPr>
        <w:t>At </w:t>
      </w:r>
      <w:r>
        <w:rPr>
          <w:sz w:val="24"/>
        </w:rPr>
        <w:t>the doses administered, pain scores were significantly lower with DEX </w:t>
      </w:r>
      <w:r>
        <w:rPr>
          <w:spacing w:val="37"/>
          <w:sz w:val="24"/>
        </w:rPr>
        <w:t> </w:t>
      </w:r>
      <w:r>
        <w:rPr>
          <w:sz w:val="24"/>
        </w:rPr>
        <w:t>when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compared with CONTROL/BUT at 1h (GCPS and NRS) or KET at 20h (GCPS).</w:t>
      </w:r>
      <w:r>
        <w:rPr>
          <w:spacing w:val="36"/>
          <w:sz w:val="24"/>
        </w:rPr>
        <w:t> </w:t>
      </w:r>
      <w:r>
        <w:rPr>
          <w:sz w:val="24"/>
        </w:rPr>
        <w:t>However,</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if one considers treatment failure and significant temporal changes even after exclusion  </w:t>
      </w:r>
      <w:r>
        <w:rPr>
          <w:spacing w:val="20"/>
          <w:sz w:val="24"/>
        </w:rPr>
        <w:t> </w:t>
      </w:r>
      <w:r>
        <w:rPr>
          <w:spacing w:val="4"/>
          <w:sz w:val="24"/>
        </w:rPr>
        <w:t>of</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dogs receiving  intervention analgesia,</w:t>
      </w:r>
      <w:r>
        <w:rPr>
          <w:spacing w:val="-30"/>
          <w:sz w:val="24"/>
        </w:rPr>
        <w:t> </w:t>
      </w:r>
      <w:r>
        <w:rPr>
          <w:sz w:val="24"/>
        </w:rPr>
        <w:t>DEX  failed to  </w:t>
      </w:r>
      <w:r>
        <w:rPr>
          <w:spacing w:val="-3"/>
          <w:sz w:val="24"/>
        </w:rPr>
        <w:t>provide  </w:t>
      </w:r>
      <w:r>
        <w:rPr>
          <w:sz w:val="24"/>
        </w:rPr>
        <w:t>satisfactory analgesia  </w:t>
      </w:r>
      <w:r>
        <w:rPr>
          <w:spacing w:val="-3"/>
          <w:sz w:val="24"/>
        </w:rPr>
        <w:t>in  </w:t>
      </w:r>
      <w:r>
        <w:rPr>
          <w:spacing w:val="2"/>
          <w:sz w:val="24"/>
        </w:rPr>
        <w:t>all</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dogs after</w:t>
      </w:r>
      <w:r>
        <w:rPr>
          <w:spacing w:val="-15"/>
          <w:sz w:val="24"/>
        </w:rPr>
        <w:t> </w:t>
      </w:r>
      <w:r>
        <w:rPr>
          <w:sz w:val="24"/>
        </w:rPr>
        <w:t>ovariohysterectomy.</w:t>
      </w:r>
    </w:p>
    <w:p>
      <w:pPr>
        <w:pStyle w:val="BodyText"/>
        <w:spacing w:before="11"/>
        <w:rPr>
          <w:sz w:val="17"/>
        </w:rPr>
      </w:pPr>
    </w:p>
    <w:p>
      <w:pPr>
        <w:pStyle w:val="ListParagraph"/>
        <w:numPr>
          <w:ilvl w:val="0"/>
          <w:numId w:val="33"/>
        </w:numPr>
        <w:tabs>
          <w:tab w:pos="1552" w:val="left" w:leader="none"/>
          <w:tab w:pos="1553" w:val="left" w:leader="none"/>
        </w:tabs>
        <w:spacing w:line="240" w:lineRule="auto" w:before="69" w:after="0"/>
        <w:ind w:left="1553" w:right="0" w:hanging="1441"/>
        <w:jc w:val="left"/>
        <w:rPr>
          <w:sz w:val="24"/>
        </w:rPr>
      </w:pPr>
      <w:r>
        <w:rPr>
          <w:sz w:val="24"/>
        </w:rPr>
        <w:t>To  the  authors’  knowledge,  this  </w:t>
      </w:r>
      <w:r>
        <w:rPr>
          <w:spacing w:val="-3"/>
          <w:sz w:val="24"/>
        </w:rPr>
        <w:t>is  </w:t>
      </w:r>
      <w:r>
        <w:rPr>
          <w:sz w:val="24"/>
        </w:rPr>
        <w:t>the  </w:t>
      </w:r>
      <w:r>
        <w:rPr>
          <w:spacing w:val="-3"/>
          <w:sz w:val="24"/>
        </w:rPr>
        <w:t>first  </w:t>
      </w:r>
      <w:r>
        <w:rPr>
          <w:sz w:val="24"/>
        </w:rPr>
        <w:t>study that  reports  the</w:t>
      </w:r>
      <w:r>
        <w:rPr>
          <w:spacing w:val="18"/>
          <w:sz w:val="24"/>
        </w:rPr>
        <w:t> </w:t>
      </w:r>
      <w:r>
        <w:rPr>
          <w:sz w:val="24"/>
        </w:rPr>
        <w:t>postoperative</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analgesic effects </w:t>
      </w:r>
      <w:r>
        <w:rPr>
          <w:spacing w:val="4"/>
          <w:sz w:val="24"/>
        </w:rPr>
        <w:t>of </w:t>
      </w:r>
      <w:r>
        <w:rPr>
          <w:sz w:val="24"/>
        </w:rPr>
        <w:t>a CRI </w:t>
      </w:r>
      <w:r>
        <w:rPr>
          <w:spacing w:val="4"/>
          <w:sz w:val="24"/>
        </w:rPr>
        <w:t>of </w:t>
      </w:r>
      <w:r>
        <w:rPr>
          <w:sz w:val="24"/>
        </w:rPr>
        <w:t>LKD </w:t>
      </w:r>
      <w:r>
        <w:rPr>
          <w:spacing w:val="-3"/>
          <w:sz w:val="24"/>
        </w:rPr>
        <w:t>in </w:t>
      </w:r>
      <w:r>
        <w:rPr>
          <w:sz w:val="24"/>
        </w:rPr>
        <w:t>dogs. It provided significantly lower pain scores </w:t>
      </w:r>
      <w:r>
        <w:rPr>
          <w:spacing w:val="12"/>
          <w:sz w:val="24"/>
        </w:rPr>
        <w:t> </w:t>
      </w:r>
      <w:r>
        <w:rPr>
          <w:sz w:val="24"/>
        </w:rPr>
        <w:t>than</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other treated groups, and </w:t>
      </w:r>
      <w:r>
        <w:rPr>
          <w:spacing w:val="-3"/>
          <w:sz w:val="24"/>
        </w:rPr>
        <w:t>may be </w:t>
      </w:r>
      <w:r>
        <w:rPr>
          <w:sz w:val="24"/>
        </w:rPr>
        <w:t>considered as an alternative therapy for treatment of  </w:t>
      </w:r>
      <w:r>
        <w:rPr>
          <w:spacing w:val="13"/>
          <w:sz w:val="24"/>
        </w:rPr>
        <w:t> </w:t>
      </w:r>
      <w:r>
        <w:rPr>
          <w:sz w:val="24"/>
        </w:rPr>
        <w:t>pain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where</w:t>
      </w:r>
      <w:r>
        <w:rPr>
          <w:spacing w:val="21"/>
          <w:sz w:val="24"/>
        </w:rPr>
        <w:t> </w:t>
      </w:r>
      <w:r>
        <w:rPr>
          <w:sz w:val="24"/>
        </w:rPr>
        <w:t>opioids</w:t>
      </w:r>
      <w:r>
        <w:rPr>
          <w:spacing w:val="20"/>
          <w:sz w:val="24"/>
        </w:rPr>
        <w:t> </w:t>
      </w:r>
      <w:r>
        <w:rPr>
          <w:sz w:val="24"/>
        </w:rPr>
        <w:t>are</w:t>
      </w:r>
      <w:r>
        <w:rPr>
          <w:spacing w:val="21"/>
          <w:sz w:val="24"/>
        </w:rPr>
        <w:t> </w:t>
      </w:r>
      <w:r>
        <w:rPr>
          <w:sz w:val="24"/>
        </w:rPr>
        <w:t>not</w:t>
      </w:r>
      <w:r>
        <w:rPr>
          <w:spacing w:val="22"/>
          <w:sz w:val="24"/>
        </w:rPr>
        <w:t> </w:t>
      </w:r>
      <w:r>
        <w:rPr>
          <w:sz w:val="24"/>
        </w:rPr>
        <w:t>available.</w:t>
      </w:r>
      <w:r>
        <w:rPr>
          <w:spacing w:val="24"/>
          <w:sz w:val="24"/>
        </w:rPr>
        <w:t> </w:t>
      </w:r>
      <w:r>
        <w:rPr>
          <w:sz w:val="24"/>
        </w:rPr>
        <w:t>Indeed,</w:t>
      </w:r>
      <w:r>
        <w:rPr>
          <w:spacing w:val="24"/>
          <w:sz w:val="24"/>
        </w:rPr>
        <w:t> </w:t>
      </w:r>
      <w:r>
        <w:rPr>
          <w:sz w:val="24"/>
        </w:rPr>
        <w:t>none</w:t>
      </w:r>
      <w:r>
        <w:rPr>
          <w:spacing w:val="21"/>
          <w:sz w:val="24"/>
        </w:rPr>
        <w:t> </w:t>
      </w:r>
      <w:r>
        <w:rPr>
          <w:sz w:val="24"/>
        </w:rPr>
        <w:t>of</w:t>
      </w:r>
      <w:r>
        <w:rPr>
          <w:spacing w:val="19"/>
          <w:sz w:val="24"/>
        </w:rPr>
        <w:t> </w:t>
      </w:r>
      <w:r>
        <w:rPr>
          <w:sz w:val="24"/>
        </w:rPr>
        <w:t>the</w:t>
      </w:r>
      <w:r>
        <w:rPr>
          <w:spacing w:val="21"/>
          <w:sz w:val="24"/>
        </w:rPr>
        <w:t> </w:t>
      </w:r>
      <w:r>
        <w:rPr>
          <w:sz w:val="24"/>
        </w:rPr>
        <w:t>dogs</w:t>
      </w:r>
      <w:r>
        <w:rPr>
          <w:spacing w:val="15"/>
          <w:sz w:val="24"/>
        </w:rPr>
        <w:t> </w:t>
      </w:r>
      <w:r>
        <w:rPr>
          <w:sz w:val="24"/>
        </w:rPr>
        <w:t>receiving</w:t>
      </w:r>
      <w:r>
        <w:rPr>
          <w:spacing w:val="22"/>
          <w:sz w:val="24"/>
        </w:rPr>
        <w:t> </w:t>
      </w:r>
      <w:r>
        <w:rPr>
          <w:sz w:val="24"/>
        </w:rPr>
        <w:t>LKD</w:t>
      </w:r>
      <w:r>
        <w:rPr>
          <w:spacing w:val="21"/>
          <w:sz w:val="24"/>
        </w:rPr>
        <w:t> </w:t>
      </w:r>
      <w:r>
        <w:rPr>
          <w:sz w:val="24"/>
        </w:rPr>
        <w:t>required</w:t>
      </w:r>
      <w:r>
        <w:rPr>
          <w:spacing w:val="22"/>
          <w:sz w:val="24"/>
        </w:rPr>
        <w:t> </w:t>
      </w:r>
      <w:r>
        <w:rPr>
          <w:sz w:val="24"/>
        </w:rPr>
        <w:t>rescue</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analgesia. Significant temporal changes were not observed within this group.   </w:t>
      </w:r>
      <w:r>
        <w:rPr>
          <w:spacing w:val="48"/>
          <w:sz w:val="24"/>
        </w:rPr>
        <w:t> </w:t>
      </w:r>
      <w:r>
        <w:rPr>
          <w:sz w:val="24"/>
        </w:rPr>
        <w:t>Multimodal</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analgesia  </w:t>
      </w:r>
      <w:r>
        <w:rPr>
          <w:spacing w:val="-3"/>
          <w:sz w:val="24"/>
        </w:rPr>
        <w:t>is  </w:t>
      </w:r>
      <w:r>
        <w:rPr>
          <w:sz w:val="24"/>
        </w:rPr>
        <w:t>a  technique  based  on  the  administration  </w:t>
      </w:r>
      <w:r>
        <w:rPr>
          <w:spacing w:val="4"/>
          <w:sz w:val="24"/>
        </w:rPr>
        <w:t>of </w:t>
      </w:r>
      <w:r>
        <w:rPr>
          <w:sz w:val="24"/>
        </w:rPr>
        <w:t>analgesic  drugs  with</w:t>
      </w:r>
      <w:r>
        <w:rPr>
          <w:spacing w:val="36"/>
          <w:sz w:val="24"/>
        </w:rPr>
        <w:t> </w:t>
      </w:r>
      <w:r>
        <w:rPr>
          <w:sz w:val="24"/>
        </w:rPr>
        <w:t>different</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mechanisms </w:t>
      </w:r>
      <w:r>
        <w:rPr>
          <w:spacing w:val="4"/>
          <w:sz w:val="24"/>
        </w:rPr>
        <w:t>of </w:t>
      </w:r>
      <w:r>
        <w:rPr>
          <w:sz w:val="24"/>
        </w:rPr>
        <w:t>action (Kehlet  and  Dahl 1993)  which could explain the  benefit  of  </w:t>
      </w:r>
      <w:r>
        <w:rPr>
          <w:spacing w:val="16"/>
          <w:sz w:val="24"/>
        </w:rPr>
        <w:t> </w:t>
      </w:r>
      <w:r>
        <w:rPr>
          <w:sz w:val="24"/>
        </w:rPr>
        <w:t>using</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LKD  </w:t>
      </w:r>
      <w:r>
        <w:rPr>
          <w:spacing w:val="-3"/>
          <w:sz w:val="24"/>
        </w:rPr>
        <w:t>in  </w:t>
      </w:r>
      <w:r>
        <w:rPr>
          <w:sz w:val="24"/>
        </w:rPr>
        <w:t>the clinical setting. The synergy between these  various pharmacological    </w:t>
      </w:r>
      <w:r>
        <w:rPr>
          <w:spacing w:val="16"/>
          <w:sz w:val="24"/>
        </w:rPr>
        <w:t> </w:t>
      </w:r>
      <w:r>
        <w:rPr>
          <w:sz w:val="24"/>
        </w:rPr>
        <w:t>agents</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allows clinicians to use lower doses of each drug, and therefore the </w:t>
      </w:r>
      <w:r>
        <w:rPr>
          <w:spacing w:val="-3"/>
          <w:sz w:val="24"/>
        </w:rPr>
        <w:t>risk </w:t>
      </w:r>
      <w:r>
        <w:rPr>
          <w:spacing w:val="4"/>
          <w:sz w:val="24"/>
        </w:rPr>
        <w:t>of </w:t>
      </w:r>
      <w:r>
        <w:rPr>
          <w:sz w:val="24"/>
        </w:rPr>
        <w:t>adverse effects</w:t>
      </w:r>
      <w:r>
        <w:rPr>
          <w:spacing w:val="-16"/>
          <w:sz w:val="24"/>
        </w:rPr>
        <w:t> </w:t>
      </w:r>
      <w:r>
        <w:rPr>
          <w:spacing w:val="-5"/>
          <w:sz w:val="24"/>
        </w:rPr>
        <w:t>is</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lower.</w:t>
      </w:r>
    </w:p>
    <w:p>
      <w:pPr>
        <w:pStyle w:val="BodyText"/>
        <w:spacing w:before="11"/>
        <w:rPr>
          <w:sz w:val="17"/>
        </w:rPr>
      </w:pPr>
    </w:p>
    <w:p>
      <w:pPr>
        <w:pStyle w:val="ListParagraph"/>
        <w:numPr>
          <w:ilvl w:val="0"/>
          <w:numId w:val="33"/>
        </w:numPr>
        <w:tabs>
          <w:tab w:pos="1552" w:val="left" w:leader="none"/>
          <w:tab w:pos="1553" w:val="left" w:leader="none"/>
        </w:tabs>
        <w:spacing w:line="240" w:lineRule="auto" w:before="69" w:after="0"/>
        <w:ind w:left="1553" w:right="0" w:hanging="1441"/>
        <w:jc w:val="left"/>
        <w:rPr>
          <w:sz w:val="24"/>
        </w:rPr>
      </w:pPr>
      <w:r>
        <w:rPr>
          <w:sz w:val="24"/>
        </w:rPr>
        <w:t>Changes</w:t>
      </w:r>
      <w:r>
        <w:rPr>
          <w:spacing w:val="35"/>
          <w:sz w:val="24"/>
        </w:rPr>
        <w:t> </w:t>
      </w:r>
      <w:r>
        <w:rPr>
          <w:spacing w:val="-3"/>
          <w:sz w:val="24"/>
        </w:rPr>
        <w:t>in</w:t>
      </w:r>
      <w:r>
        <w:rPr>
          <w:spacing w:val="28"/>
          <w:sz w:val="24"/>
        </w:rPr>
        <w:t> </w:t>
      </w:r>
      <w:r>
        <w:rPr>
          <w:sz w:val="24"/>
        </w:rPr>
        <w:t>animal</w:t>
      </w:r>
      <w:r>
        <w:rPr>
          <w:spacing w:val="29"/>
          <w:sz w:val="24"/>
        </w:rPr>
        <w:t> </w:t>
      </w:r>
      <w:r>
        <w:rPr>
          <w:sz w:val="24"/>
        </w:rPr>
        <w:t>behavior</w:t>
      </w:r>
      <w:r>
        <w:rPr>
          <w:spacing w:val="34"/>
          <w:sz w:val="24"/>
        </w:rPr>
        <w:t> </w:t>
      </w:r>
      <w:r>
        <w:rPr>
          <w:spacing w:val="-3"/>
          <w:sz w:val="24"/>
        </w:rPr>
        <w:t>in</w:t>
      </w:r>
      <w:r>
        <w:rPr>
          <w:spacing w:val="28"/>
          <w:sz w:val="24"/>
        </w:rPr>
        <w:t> </w:t>
      </w:r>
      <w:r>
        <w:rPr>
          <w:sz w:val="24"/>
        </w:rPr>
        <w:t>response</w:t>
      </w:r>
      <w:r>
        <w:rPr>
          <w:spacing w:val="32"/>
          <w:sz w:val="24"/>
        </w:rPr>
        <w:t> </w:t>
      </w:r>
      <w:r>
        <w:rPr>
          <w:sz w:val="24"/>
        </w:rPr>
        <w:t>to</w:t>
      </w:r>
      <w:r>
        <w:rPr>
          <w:spacing w:val="33"/>
          <w:sz w:val="24"/>
        </w:rPr>
        <w:t> </w:t>
      </w:r>
      <w:r>
        <w:rPr>
          <w:sz w:val="24"/>
        </w:rPr>
        <w:t>pain</w:t>
      </w:r>
      <w:r>
        <w:rPr>
          <w:spacing w:val="28"/>
          <w:sz w:val="24"/>
        </w:rPr>
        <w:t> </w:t>
      </w:r>
      <w:r>
        <w:rPr>
          <w:sz w:val="24"/>
        </w:rPr>
        <w:t>can</w:t>
      </w:r>
      <w:r>
        <w:rPr>
          <w:spacing w:val="32"/>
          <w:sz w:val="24"/>
        </w:rPr>
        <w:t> </w:t>
      </w:r>
      <w:r>
        <w:rPr>
          <w:spacing w:val="-3"/>
          <w:sz w:val="24"/>
        </w:rPr>
        <w:t>be</w:t>
      </w:r>
      <w:r>
        <w:rPr>
          <w:spacing w:val="28"/>
          <w:sz w:val="24"/>
        </w:rPr>
        <w:t> </w:t>
      </w:r>
      <w:r>
        <w:rPr>
          <w:sz w:val="24"/>
        </w:rPr>
        <w:t>difficult</w:t>
      </w:r>
      <w:r>
        <w:rPr>
          <w:spacing w:val="33"/>
          <w:sz w:val="24"/>
        </w:rPr>
        <w:t> </w:t>
      </w:r>
      <w:r>
        <w:rPr>
          <w:spacing w:val="2"/>
          <w:sz w:val="24"/>
        </w:rPr>
        <w:t>to</w:t>
      </w:r>
      <w:r>
        <w:rPr>
          <w:spacing w:val="32"/>
          <w:sz w:val="24"/>
        </w:rPr>
        <w:t> </w:t>
      </w:r>
      <w:r>
        <w:rPr>
          <w:sz w:val="24"/>
        </w:rPr>
        <w:t>interpret</w:t>
      </w:r>
      <w:r>
        <w:rPr>
          <w:spacing w:val="33"/>
          <w:sz w:val="24"/>
        </w:rPr>
        <w:t> </w:t>
      </w:r>
      <w:r>
        <w:rPr>
          <w:sz w:val="24"/>
        </w:rPr>
        <w:t>after</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surgery, and for this reason more than one scoring system should </w:t>
      </w:r>
      <w:r>
        <w:rPr>
          <w:spacing w:val="-3"/>
          <w:sz w:val="24"/>
        </w:rPr>
        <w:t>be </w:t>
      </w:r>
      <w:r>
        <w:rPr>
          <w:sz w:val="24"/>
        </w:rPr>
        <w:t>used for adequate</w:t>
      </w:r>
      <w:r>
        <w:rPr>
          <w:spacing w:val="54"/>
          <w:sz w:val="24"/>
        </w:rPr>
        <w:t> </w:t>
      </w:r>
      <w:r>
        <w:rPr>
          <w:sz w:val="24"/>
        </w:rPr>
        <w:t>pain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assessment (Holton et </w:t>
      </w:r>
      <w:r>
        <w:rPr>
          <w:spacing w:val="-4"/>
          <w:sz w:val="24"/>
        </w:rPr>
        <w:t>al. </w:t>
      </w:r>
      <w:r>
        <w:rPr>
          <w:sz w:val="24"/>
        </w:rPr>
        <w:t>2001). </w:t>
      </w:r>
      <w:r>
        <w:rPr>
          <w:spacing w:val="-3"/>
          <w:sz w:val="24"/>
        </w:rPr>
        <w:t>This </w:t>
      </w:r>
      <w:r>
        <w:rPr>
          <w:sz w:val="24"/>
        </w:rPr>
        <w:t>study employed three different pain scales  </w:t>
      </w:r>
      <w:r>
        <w:rPr>
          <w:spacing w:val="10"/>
          <w:sz w:val="24"/>
        </w:rPr>
        <w:t> </w:t>
      </w:r>
      <w:r>
        <w:rPr>
          <w:sz w:val="24"/>
        </w:rPr>
        <w:t>(GCMPS,</w:t>
      </w:r>
    </w:p>
    <w:p>
      <w:pPr>
        <w:spacing w:after="0" w:line="240" w:lineRule="auto"/>
        <w:jc w:val="left"/>
        <w:rPr>
          <w:sz w:val="24"/>
        </w:rPr>
        <w:sectPr>
          <w:footerReference w:type="default" r:id="rId48"/>
          <w:pgSz w:w="12240" w:h="15840"/>
          <w:pgMar w:footer="1688" w:header="0" w:top="1500" w:bottom="1880" w:left="1040" w:right="1420"/>
          <w:pgNumType w:start="64"/>
        </w:sectPr>
      </w:pPr>
    </w:p>
    <w:p>
      <w:pPr>
        <w:pStyle w:val="BodyText"/>
        <w:spacing w:before="7"/>
        <w:rPr>
          <w:sz w:val="20"/>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UMPS and NRS) that were able </w:t>
      </w:r>
      <w:r>
        <w:rPr>
          <w:spacing w:val="2"/>
          <w:sz w:val="24"/>
        </w:rPr>
        <w:t>to </w:t>
      </w:r>
      <w:r>
        <w:rPr>
          <w:sz w:val="24"/>
        </w:rPr>
        <w:t>identify differences among treated groups and </w:t>
      </w:r>
      <w:r>
        <w:rPr>
          <w:spacing w:val="2"/>
          <w:sz w:val="24"/>
        </w:rPr>
        <w:t>to </w:t>
      </w:r>
      <w:r>
        <w:rPr>
          <w:sz w:val="24"/>
        </w:rPr>
        <w:t>test</w:t>
      </w:r>
      <w:r>
        <w:rPr>
          <w:spacing w:val="-4"/>
          <w:sz w:val="24"/>
        </w:rPr>
        <w:t> </w:t>
      </w:r>
      <w:r>
        <w:rPr>
          <w:sz w:val="24"/>
        </w:rPr>
        <w:t>the</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hypothesis of the study. NRS has been considered suitable for assessing pain </w:t>
      </w:r>
      <w:r>
        <w:rPr>
          <w:spacing w:val="-3"/>
          <w:sz w:val="24"/>
        </w:rPr>
        <w:t>in </w:t>
      </w:r>
      <w:r>
        <w:rPr>
          <w:sz w:val="24"/>
        </w:rPr>
        <w:t>the </w:t>
      </w:r>
      <w:r>
        <w:rPr>
          <w:spacing w:val="13"/>
          <w:sz w:val="24"/>
        </w:rPr>
        <w:t> </w:t>
      </w:r>
      <w:r>
        <w:rPr>
          <w:sz w:val="24"/>
        </w:rPr>
        <w:t>clinical</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setting (Anil et </w:t>
      </w:r>
      <w:r>
        <w:rPr>
          <w:spacing w:val="-3"/>
          <w:sz w:val="24"/>
        </w:rPr>
        <w:t>al. </w:t>
      </w:r>
      <w:r>
        <w:rPr>
          <w:sz w:val="24"/>
        </w:rPr>
        <w:t>2002) and </w:t>
      </w:r>
      <w:r>
        <w:rPr>
          <w:spacing w:val="-5"/>
          <w:sz w:val="24"/>
        </w:rPr>
        <w:t>it </w:t>
      </w:r>
      <w:r>
        <w:rPr>
          <w:spacing w:val="-3"/>
          <w:sz w:val="24"/>
        </w:rPr>
        <w:t>is </w:t>
      </w:r>
      <w:r>
        <w:rPr>
          <w:sz w:val="24"/>
        </w:rPr>
        <w:t>as reliable and reproducible as visual analog scale </w:t>
      </w:r>
      <w:r>
        <w:rPr>
          <w:spacing w:val="51"/>
          <w:sz w:val="24"/>
        </w:rPr>
        <w:t> </w:t>
      </w:r>
      <w:r>
        <w:rPr>
          <w:sz w:val="24"/>
        </w:rPr>
        <w:t>(VAS)</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and</w:t>
      </w:r>
      <w:r>
        <w:rPr>
          <w:spacing w:val="20"/>
          <w:sz w:val="24"/>
        </w:rPr>
        <w:t> </w:t>
      </w:r>
      <w:r>
        <w:rPr>
          <w:sz w:val="24"/>
        </w:rPr>
        <w:t>simple</w:t>
      </w:r>
      <w:r>
        <w:rPr>
          <w:spacing w:val="14"/>
          <w:sz w:val="24"/>
        </w:rPr>
        <w:t> </w:t>
      </w:r>
      <w:r>
        <w:rPr>
          <w:sz w:val="24"/>
        </w:rPr>
        <w:t>descriptive</w:t>
      </w:r>
      <w:r>
        <w:rPr>
          <w:spacing w:val="19"/>
          <w:sz w:val="24"/>
        </w:rPr>
        <w:t> </w:t>
      </w:r>
      <w:r>
        <w:rPr>
          <w:sz w:val="24"/>
        </w:rPr>
        <w:t>scale</w:t>
      </w:r>
      <w:r>
        <w:rPr>
          <w:spacing w:val="14"/>
          <w:sz w:val="24"/>
        </w:rPr>
        <w:t> </w:t>
      </w:r>
      <w:r>
        <w:rPr>
          <w:sz w:val="24"/>
        </w:rPr>
        <w:t>(SDS)</w:t>
      </w:r>
      <w:r>
        <w:rPr>
          <w:spacing w:val="17"/>
          <w:sz w:val="24"/>
        </w:rPr>
        <w:t> </w:t>
      </w:r>
      <w:r>
        <w:rPr>
          <w:sz w:val="24"/>
        </w:rPr>
        <w:t>(Holton</w:t>
      </w:r>
      <w:r>
        <w:rPr>
          <w:spacing w:val="10"/>
          <w:sz w:val="24"/>
        </w:rPr>
        <w:t> </w:t>
      </w:r>
      <w:r>
        <w:rPr>
          <w:sz w:val="24"/>
        </w:rPr>
        <w:t>et</w:t>
      </w:r>
      <w:r>
        <w:rPr>
          <w:spacing w:val="20"/>
          <w:sz w:val="24"/>
        </w:rPr>
        <w:t> </w:t>
      </w:r>
      <w:r>
        <w:rPr>
          <w:spacing w:val="-3"/>
          <w:sz w:val="24"/>
        </w:rPr>
        <w:t>al.</w:t>
      </w:r>
      <w:r>
        <w:rPr>
          <w:spacing w:val="22"/>
          <w:sz w:val="24"/>
        </w:rPr>
        <w:t> </w:t>
      </w:r>
      <w:r>
        <w:rPr>
          <w:sz w:val="24"/>
        </w:rPr>
        <w:t>1998).</w:t>
      </w:r>
      <w:r>
        <w:rPr>
          <w:spacing w:val="17"/>
          <w:sz w:val="24"/>
        </w:rPr>
        <w:t> </w:t>
      </w:r>
      <w:r>
        <w:rPr>
          <w:sz w:val="24"/>
        </w:rPr>
        <w:t>In</w:t>
      </w:r>
      <w:r>
        <w:rPr>
          <w:spacing w:val="10"/>
          <w:sz w:val="24"/>
        </w:rPr>
        <w:t> </w:t>
      </w:r>
      <w:r>
        <w:rPr>
          <w:sz w:val="24"/>
        </w:rPr>
        <w:t>addition,</w:t>
      </w:r>
      <w:r>
        <w:rPr>
          <w:spacing w:val="17"/>
          <w:sz w:val="24"/>
        </w:rPr>
        <w:t> </w:t>
      </w:r>
      <w:r>
        <w:rPr>
          <w:sz w:val="24"/>
        </w:rPr>
        <w:t>NRS</w:t>
      </w:r>
      <w:r>
        <w:rPr>
          <w:spacing w:val="16"/>
          <w:sz w:val="24"/>
        </w:rPr>
        <w:t> </w:t>
      </w:r>
      <w:r>
        <w:rPr>
          <w:sz w:val="24"/>
        </w:rPr>
        <w:t>was</w:t>
      </w:r>
      <w:r>
        <w:rPr>
          <w:spacing w:val="17"/>
          <w:sz w:val="24"/>
        </w:rPr>
        <w:t> </w:t>
      </w:r>
      <w:r>
        <w:rPr>
          <w:sz w:val="24"/>
        </w:rPr>
        <w:t>considered</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appropriate for this study because there was a dynamic and interactive approach (i.e</w:t>
      </w:r>
      <w:r>
        <w:rPr>
          <w:spacing w:val="31"/>
          <w:sz w:val="24"/>
        </w:rPr>
        <w:t> </w:t>
      </w:r>
      <w:r>
        <w:rPr>
          <w:sz w:val="24"/>
        </w:rPr>
        <w:t>wound</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palpation)  with  the  dog  before  pain  scoring,  and  a  single  experienced  observer  (XX)</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recorded all scores </w:t>
      </w:r>
      <w:r>
        <w:rPr>
          <w:spacing w:val="-3"/>
          <w:sz w:val="24"/>
        </w:rPr>
        <w:t>in </w:t>
      </w:r>
      <w:r>
        <w:rPr>
          <w:sz w:val="24"/>
        </w:rPr>
        <w:t>order to </w:t>
      </w:r>
      <w:r>
        <w:rPr>
          <w:spacing w:val="-3"/>
          <w:sz w:val="24"/>
        </w:rPr>
        <w:t>avoid </w:t>
      </w:r>
      <w:r>
        <w:rPr>
          <w:sz w:val="24"/>
        </w:rPr>
        <w:t>inter-observer variability. The UMPS was developed</w:t>
      </w:r>
      <w:r>
        <w:rPr>
          <w:spacing w:val="-8"/>
          <w:sz w:val="24"/>
        </w:rPr>
        <w:t> </w:t>
      </w:r>
      <w:r>
        <w:rPr>
          <w:sz w:val="24"/>
        </w:rPr>
        <w:t>to</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evaluate</w:t>
      </w:r>
      <w:r>
        <w:rPr>
          <w:spacing w:val="19"/>
          <w:sz w:val="24"/>
        </w:rPr>
        <w:t> </w:t>
      </w:r>
      <w:r>
        <w:rPr>
          <w:sz w:val="24"/>
        </w:rPr>
        <w:t>postoperative</w:t>
      </w:r>
      <w:r>
        <w:rPr>
          <w:spacing w:val="19"/>
          <w:sz w:val="24"/>
        </w:rPr>
        <w:t> </w:t>
      </w:r>
      <w:r>
        <w:rPr>
          <w:sz w:val="24"/>
        </w:rPr>
        <w:t>pain</w:t>
      </w:r>
      <w:r>
        <w:rPr>
          <w:spacing w:val="20"/>
          <w:sz w:val="24"/>
        </w:rPr>
        <w:t> </w:t>
      </w:r>
      <w:r>
        <w:rPr>
          <w:sz w:val="24"/>
        </w:rPr>
        <w:t>on</w:t>
      </w:r>
      <w:r>
        <w:rPr>
          <w:spacing w:val="15"/>
          <w:sz w:val="24"/>
        </w:rPr>
        <w:t> </w:t>
      </w:r>
      <w:r>
        <w:rPr>
          <w:sz w:val="24"/>
        </w:rPr>
        <w:t>the</w:t>
      </w:r>
      <w:r>
        <w:rPr>
          <w:spacing w:val="23"/>
          <w:sz w:val="24"/>
        </w:rPr>
        <w:t> </w:t>
      </w:r>
      <w:r>
        <w:rPr>
          <w:sz w:val="24"/>
        </w:rPr>
        <w:t>basis</w:t>
      </w:r>
      <w:r>
        <w:rPr>
          <w:spacing w:val="22"/>
          <w:sz w:val="24"/>
        </w:rPr>
        <w:t> </w:t>
      </w:r>
      <w:r>
        <w:rPr>
          <w:sz w:val="24"/>
        </w:rPr>
        <w:t>of</w:t>
      </w:r>
      <w:r>
        <w:rPr>
          <w:spacing w:val="17"/>
          <w:sz w:val="24"/>
        </w:rPr>
        <w:t> </w:t>
      </w:r>
      <w:r>
        <w:rPr>
          <w:sz w:val="24"/>
        </w:rPr>
        <w:t>the</w:t>
      </w:r>
      <w:r>
        <w:rPr>
          <w:spacing w:val="19"/>
          <w:sz w:val="24"/>
        </w:rPr>
        <w:t> </w:t>
      </w:r>
      <w:r>
        <w:rPr>
          <w:sz w:val="24"/>
        </w:rPr>
        <w:t>assessments</w:t>
      </w:r>
      <w:r>
        <w:rPr>
          <w:spacing w:val="18"/>
          <w:sz w:val="24"/>
        </w:rPr>
        <w:t> </w:t>
      </w:r>
      <w:r>
        <w:rPr>
          <w:sz w:val="24"/>
        </w:rPr>
        <w:t>of</w:t>
      </w:r>
      <w:r>
        <w:rPr>
          <w:spacing w:val="17"/>
          <w:sz w:val="24"/>
        </w:rPr>
        <w:t> </w:t>
      </w:r>
      <w:r>
        <w:rPr>
          <w:sz w:val="24"/>
        </w:rPr>
        <w:t>behavior</w:t>
      </w:r>
      <w:r>
        <w:rPr>
          <w:spacing w:val="21"/>
          <w:sz w:val="24"/>
        </w:rPr>
        <w:t> </w:t>
      </w:r>
      <w:r>
        <w:rPr>
          <w:sz w:val="24"/>
        </w:rPr>
        <w:t>and</w:t>
      </w:r>
      <w:r>
        <w:rPr>
          <w:spacing w:val="20"/>
          <w:sz w:val="24"/>
        </w:rPr>
        <w:t> </w:t>
      </w:r>
      <w:r>
        <w:rPr>
          <w:sz w:val="24"/>
        </w:rPr>
        <w:t>physiological</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categories (Firth &amp; Haldane 1999). Finally, the GCPS </w:t>
      </w:r>
      <w:r>
        <w:rPr>
          <w:spacing w:val="-3"/>
          <w:sz w:val="24"/>
        </w:rPr>
        <w:t>is </w:t>
      </w:r>
      <w:r>
        <w:rPr>
          <w:sz w:val="24"/>
        </w:rPr>
        <w:t>a scale based on behavioral  </w:t>
      </w:r>
      <w:r>
        <w:rPr>
          <w:spacing w:val="46"/>
          <w:sz w:val="24"/>
        </w:rPr>
        <w:t> </w:t>
      </w:r>
      <w:r>
        <w:rPr>
          <w:sz w:val="24"/>
        </w:rPr>
        <w:t>signs</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believed</w:t>
      </w:r>
      <w:r>
        <w:rPr>
          <w:spacing w:val="15"/>
          <w:sz w:val="24"/>
        </w:rPr>
        <w:t> </w:t>
      </w:r>
      <w:r>
        <w:rPr>
          <w:spacing w:val="2"/>
          <w:sz w:val="24"/>
        </w:rPr>
        <w:t>to</w:t>
      </w:r>
      <w:r>
        <w:rPr>
          <w:spacing w:val="20"/>
          <w:sz w:val="24"/>
        </w:rPr>
        <w:t> </w:t>
      </w:r>
      <w:r>
        <w:rPr>
          <w:sz w:val="24"/>
        </w:rPr>
        <w:t>characterize</w:t>
      </w:r>
      <w:r>
        <w:rPr>
          <w:spacing w:val="14"/>
          <w:sz w:val="24"/>
        </w:rPr>
        <w:t> </w:t>
      </w:r>
      <w:r>
        <w:rPr>
          <w:sz w:val="24"/>
        </w:rPr>
        <w:t>pain</w:t>
      </w:r>
      <w:r>
        <w:rPr>
          <w:spacing w:val="20"/>
          <w:sz w:val="24"/>
        </w:rPr>
        <w:t> </w:t>
      </w:r>
      <w:r>
        <w:rPr>
          <w:spacing w:val="-3"/>
          <w:sz w:val="24"/>
        </w:rPr>
        <w:t>in</w:t>
      </w:r>
      <w:r>
        <w:rPr>
          <w:spacing w:val="15"/>
          <w:sz w:val="24"/>
        </w:rPr>
        <w:t> </w:t>
      </w:r>
      <w:r>
        <w:rPr>
          <w:sz w:val="24"/>
        </w:rPr>
        <w:t>dogs</w:t>
      </w:r>
      <w:r>
        <w:rPr>
          <w:spacing w:val="13"/>
          <w:sz w:val="24"/>
        </w:rPr>
        <w:t> </w:t>
      </w:r>
      <w:r>
        <w:rPr>
          <w:sz w:val="24"/>
        </w:rPr>
        <w:t>(Holton</w:t>
      </w:r>
      <w:r>
        <w:rPr>
          <w:spacing w:val="10"/>
          <w:sz w:val="24"/>
        </w:rPr>
        <w:t> </w:t>
      </w:r>
      <w:r>
        <w:rPr>
          <w:sz w:val="24"/>
        </w:rPr>
        <w:t>et</w:t>
      </w:r>
      <w:r>
        <w:rPr>
          <w:spacing w:val="20"/>
          <w:sz w:val="24"/>
        </w:rPr>
        <w:t> </w:t>
      </w:r>
      <w:r>
        <w:rPr>
          <w:spacing w:val="-6"/>
          <w:sz w:val="24"/>
        </w:rPr>
        <w:t>al.</w:t>
      </w:r>
      <w:r>
        <w:rPr>
          <w:spacing w:val="17"/>
          <w:sz w:val="24"/>
        </w:rPr>
        <w:t> </w:t>
      </w:r>
      <w:r>
        <w:rPr>
          <w:sz w:val="24"/>
        </w:rPr>
        <w:t>2001).</w:t>
      </w:r>
      <w:r>
        <w:rPr>
          <w:spacing w:val="17"/>
          <w:sz w:val="24"/>
        </w:rPr>
        <w:t> </w:t>
      </w:r>
      <w:r>
        <w:rPr>
          <w:sz w:val="24"/>
        </w:rPr>
        <w:t>Independent</w:t>
      </w:r>
      <w:r>
        <w:rPr>
          <w:spacing w:val="20"/>
          <w:sz w:val="24"/>
        </w:rPr>
        <w:t> </w:t>
      </w:r>
      <w:r>
        <w:rPr>
          <w:sz w:val="24"/>
        </w:rPr>
        <w:t>of</w:t>
      </w:r>
      <w:r>
        <w:rPr>
          <w:spacing w:val="7"/>
          <w:sz w:val="24"/>
        </w:rPr>
        <w:t> </w:t>
      </w:r>
      <w:r>
        <w:rPr>
          <w:sz w:val="24"/>
        </w:rPr>
        <w:t>the</w:t>
      </w:r>
      <w:r>
        <w:rPr>
          <w:spacing w:val="14"/>
          <w:sz w:val="24"/>
        </w:rPr>
        <w:t> </w:t>
      </w:r>
      <w:r>
        <w:rPr>
          <w:sz w:val="24"/>
        </w:rPr>
        <w:t>pain</w:t>
      </w:r>
      <w:r>
        <w:rPr>
          <w:spacing w:val="15"/>
          <w:sz w:val="24"/>
        </w:rPr>
        <w:t> </w:t>
      </w:r>
      <w:r>
        <w:rPr>
          <w:sz w:val="24"/>
        </w:rPr>
        <w:t>scaling</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employed herein, </w:t>
      </w:r>
      <w:r>
        <w:rPr>
          <w:spacing w:val="-5"/>
          <w:sz w:val="24"/>
        </w:rPr>
        <w:t>it is </w:t>
      </w:r>
      <w:r>
        <w:rPr>
          <w:sz w:val="24"/>
        </w:rPr>
        <w:t>clear that using lower cut-off points for provision of rescue </w:t>
      </w:r>
      <w:r>
        <w:rPr>
          <w:spacing w:val="7"/>
          <w:sz w:val="24"/>
        </w:rPr>
        <w:t> </w:t>
      </w:r>
      <w:r>
        <w:rPr>
          <w:sz w:val="24"/>
        </w:rPr>
        <w:t>analgesia</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could have resulted </w:t>
      </w:r>
      <w:r>
        <w:rPr>
          <w:spacing w:val="-3"/>
          <w:sz w:val="24"/>
        </w:rPr>
        <w:t>in </w:t>
      </w:r>
      <w:r>
        <w:rPr>
          <w:sz w:val="24"/>
        </w:rPr>
        <w:t>higher incidence of treatment failure </w:t>
      </w:r>
      <w:r>
        <w:rPr>
          <w:spacing w:val="-3"/>
          <w:sz w:val="24"/>
        </w:rPr>
        <w:t>in </w:t>
      </w:r>
      <w:r>
        <w:rPr>
          <w:sz w:val="24"/>
        </w:rPr>
        <w:t>this</w:t>
      </w:r>
      <w:r>
        <w:rPr>
          <w:spacing w:val="-17"/>
          <w:sz w:val="24"/>
        </w:rPr>
        <w:t> </w:t>
      </w:r>
      <w:r>
        <w:rPr>
          <w:sz w:val="24"/>
        </w:rPr>
        <w:t>study.</w:t>
      </w:r>
    </w:p>
    <w:p>
      <w:pPr>
        <w:pStyle w:val="BodyText"/>
        <w:spacing w:before="11"/>
        <w:rPr>
          <w:sz w:val="17"/>
        </w:rPr>
      </w:pPr>
    </w:p>
    <w:p>
      <w:pPr>
        <w:pStyle w:val="ListParagraph"/>
        <w:numPr>
          <w:ilvl w:val="0"/>
          <w:numId w:val="33"/>
        </w:numPr>
        <w:tabs>
          <w:tab w:pos="1552" w:val="left" w:leader="none"/>
          <w:tab w:pos="1553" w:val="left" w:leader="none"/>
        </w:tabs>
        <w:spacing w:line="240" w:lineRule="auto" w:before="69" w:after="0"/>
        <w:ind w:left="1553" w:right="0" w:hanging="1441"/>
        <w:jc w:val="left"/>
        <w:rPr>
          <w:sz w:val="24"/>
        </w:rPr>
      </w:pPr>
      <w:r>
        <w:rPr>
          <w:sz w:val="24"/>
        </w:rPr>
        <w:t>Sedation scores were included </w:t>
      </w:r>
      <w:r>
        <w:rPr>
          <w:spacing w:val="-3"/>
          <w:sz w:val="24"/>
        </w:rPr>
        <w:t>in </w:t>
      </w:r>
      <w:r>
        <w:rPr>
          <w:sz w:val="24"/>
        </w:rPr>
        <w:t>the study reported here because the dog’s level </w:t>
      </w:r>
      <w:r>
        <w:rPr>
          <w:spacing w:val="57"/>
          <w:sz w:val="24"/>
        </w:rPr>
        <w:t> </w:t>
      </w:r>
      <w:r>
        <w:rPr>
          <w:spacing w:val="4"/>
          <w:sz w:val="24"/>
        </w:rPr>
        <w:t>of</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consciousness could inevitably affect  pain assessment. Sedation scores were  </w:t>
      </w:r>
      <w:r>
        <w:rPr>
          <w:spacing w:val="39"/>
          <w:sz w:val="24"/>
        </w:rPr>
        <w:t> </w:t>
      </w:r>
      <w:r>
        <w:rPr>
          <w:sz w:val="24"/>
        </w:rPr>
        <w:t>significantly</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higher </w:t>
      </w:r>
      <w:r>
        <w:rPr>
          <w:spacing w:val="-3"/>
          <w:sz w:val="24"/>
        </w:rPr>
        <w:t>in </w:t>
      </w:r>
      <w:r>
        <w:rPr>
          <w:sz w:val="24"/>
        </w:rPr>
        <w:t>FENT and LKD when compared with CONTROL/BUT at 1h. However, a  </w:t>
      </w:r>
      <w:r>
        <w:rPr>
          <w:spacing w:val="49"/>
          <w:sz w:val="24"/>
        </w:rPr>
        <w:t> </w:t>
      </w:r>
      <w:r>
        <w:rPr>
          <w:sz w:val="24"/>
        </w:rPr>
        <w:t>stress</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and</w:t>
      </w:r>
      <w:r>
        <w:rPr>
          <w:spacing w:val="33"/>
          <w:sz w:val="24"/>
        </w:rPr>
        <w:t> </w:t>
      </w:r>
      <w:r>
        <w:rPr>
          <w:sz w:val="24"/>
        </w:rPr>
        <w:t>pain-free</w:t>
      </w:r>
      <w:r>
        <w:rPr>
          <w:spacing w:val="32"/>
          <w:sz w:val="24"/>
        </w:rPr>
        <w:t> </w:t>
      </w:r>
      <w:r>
        <w:rPr>
          <w:sz w:val="24"/>
        </w:rPr>
        <w:t>recovery</w:t>
      </w:r>
      <w:r>
        <w:rPr>
          <w:spacing w:val="33"/>
          <w:sz w:val="24"/>
        </w:rPr>
        <w:t> </w:t>
      </w:r>
      <w:r>
        <w:rPr>
          <w:sz w:val="24"/>
        </w:rPr>
        <w:t>from</w:t>
      </w:r>
      <w:r>
        <w:rPr>
          <w:spacing w:val="24"/>
          <w:sz w:val="24"/>
        </w:rPr>
        <w:t> </w:t>
      </w:r>
      <w:r>
        <w:rPr>
          <w:sz w:val="24"/>
        </w:rPr>
        <w:t>anesthesia</w:t>
      </w:r>
      <w:r>
        <w:rPr>
          <w:spacing w:val="32"/>
          <w:sz w:val="24"/>
        </w:rPr>
        <w:t> </w:t>
      </w:r>
      <w:r>
        <w:rPr>
          <w:sz w:val="24"/>
        </w:rPr>
        <w:t>has</w:t>
      </w:r>
      <w:r>
        <w:rPr>
          <w:spacing w:val="36"/>
          <w:sz w:val="24"/>
        </w:rPr>
        <w:t> </w:t>
      </w:r>
      <w:r>
        <w:rPr>
          <w:sz w:val="24"/>
        </w:rPr>
        <w:t>been</w:t>
      </w:r>
      <w:r>
        <w:rPr>
          <w:spacing w:val="33"/>
          <w:sz w:val="24"/>
        </w:rPr>
        <w:t> </w:t>
      </w:r>
      <w:r>
        <w:rPr>
          <w:sz w:val="24"/>
        </w:rPr>
        <w:t>associated</w:t>
      </w:r>
      <w:r>
        <w:rPr>
          <w:spacing w:val="33"/>
          <w:sz w:val="24"/>
        </w:rPr>
        <w:t> </w:t>
      </w:r>
      <w:r>
        <w:rPr>
          <w:sz w:val="24"/>
        </w:rPr>
        <w:t>with</w:t>
      </w:r>
      <w:r>
        <w:rPr>
          <w:spacing w:val="28"/>
          <w:sz w:val="24"/>
        </w:rPr>
        <w:t> </w:t>
      </w:r>
      <w:r>
        <w:rPr>
          <w:sz w:val="24"/>
        </w:rPr>
        <w:t>high</w:t>
      </w:r>
      <w:r>
        <w:rPr>
          <w:spacing w:val="28"/>
          <w:sz w:val="24"/>
        </w:rPr>
        <w:t> </w:t>
      </w:r>
      <w:r>
        <w:rPr>
          <w:sz w:val="24"/>
        </w:rPr>
        <w:t>sedation</w:t>
      </w:r>
      <w:r>
        <w:rPr>
          <w:spacing w:val="28"/>
          <w:sz w:val="24"/>
        </w:rPr>
        <w:t> </w:t>
      </w:r>
      <w:r>
        <w:rPr>
          <w:sz w:val="24"/>
        </w:rPr>
        <w:t>scores</w:t>
      </w:r>
      <w:r>
        <w:rPr>
          <w:spacing w:val="36"/>
          <w:sz w:val="24"/>
        </w:rPr>
        <w:t> </w:t>
      </w:r>
      <w:r>
        <w:rPr>
          <w:spacing w:val="-3"/>
          <w:sz w:val="24"/>
        </w:rPr>
        <w:t>in</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dogs receiving analgesics (Firth &amp; Haldane 1999). This could </w:t>
      </w:r>
      <w:r>
        <w:rPr>
          <w:spacing w:val="-3"/>
          <w:sz w:val="24"/>
        </w:rPr>
        <w:t>be </w:t>
      </w:r>
      <w:r>
        <w:rPr>
          <w:spacing w:val="3"/>
          <w:sz w:val="24"/>
        </w:rPr>
        <w:t>the </w:t>
      </w:r>
      <w:r>
        <w:rPr>
          <w:sz w:val="24"/>
        </w:rPr>
        <w:t>case for dogs </w:t>
      </w:r>
      <w:r>
        <w:rPr>
          <w:spacing w:val="-3"/>
          <w:sz w:val="24"/>
        </w:rPr>
        <w:t>in</w:t>
      </w:r>
      <w:r>
        <w:rPr>
          <w:spacing w:val="14"/>
          <w:sz w:val="24"/>
        </w:rPr>
        <w:t> </w:t>
      </w:r>
      <w:r>
        <w:rPr>
          <w:sz w:val="24"/>
        </w:rPr>
        <w:t>FENT</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and LKD </w:t>
      </w:r>
      <w:r>
        <w:rPr>
          <w:spacing w:val="-3"/>
          <w:sz w:val="24"/>
        </w:rPr>
        <w:t>in </w:t>
      </w:r>
      <w:r>
        <w:rPr>
          <w:sz w:val="24"/>
        </w:rPr>
        <w:t>comparison to CONTROL/BUT where almost 90% of patients required</w:t>
      </w:r>
      <w:r>
        <w:rPr>
          <w:spacing w:val="51"/>
          <w:sz w:val="24"/>
        </w:rPr>
        <w:t> </w:t>
      </w:r>
      <w:r>
        <w:rPr>
          <w:sz w:val="24"/>
        </w:rPr>
        <w:t>rescue</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analgesia at that </w:t>
      </w:r>
      <w:r>
        <w:rPr>
          <w:spacing w:val="-3"/>
          <w:sz w:val="24"/>
        </w:rPr>
        <w:t>time</w:t>
      </w:r>
      <w:r>
        <w:rPr>
          <w:spacing w:val="1"/>
          <w:sz w:val="24"/>
        </w:rPr>
        <w:t> </w:t>
      </w:r>
      <w:r>
        <w:rPr>
          <w:sz w:val="24"/>
        </w:rPr>
        <w:t>point.</w:t>
      </w:r>
    </w:p>
    <w:p>
      <w:pPr>
        <w:pStyle w:val="BodyText"/>
      </w:pPr>
    </w:p>
    <w:p>
      <w:pPr>
        <w:pStyle w:val="ListParagraph"/>
        <w:numPr>
          <w:ilvl w:val="0"/>
          <w:numId w:val="33"/>
        </w:numPr>
        <w:tabs>
          <w:tab w:pos="474" w:val="left" w:leader="none"/>
        </w:tabs>
        <w:spacing w:line="240" w:lineRule="auto" w:before="0" w:after="0"/>
        <w:ind w:left="473" w:right="0" w:hanging="361"/>
        <w:jc w:val="left"/>
        <w:rPr>
          <w:sz w:val="24"/>
        </w:rPr>
      </w:pPr>
    </w:p>
    <w:p>
      <w:pPr>
        <w:pStyle w:val="BodyText"/>
        <w:spacing w:before="5"/>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b/>
          <w:sz w:val="24"/>
        </w:rPr>
      </w:pPr>
      <w:r>
        <w:rPr>
          <w:b/>
          <w:sz w:val="24"/>
        </w:rPr>
        <w:t>Conclusion and clinical</w:t>
      </w:r>
      <w:r>
        <w:rPr>
          <w:b/>
          <w:spacing w:val="-17"/>
          <w:sz w:val="24"/>
        </w:rPr>
        <w:t> </w:t>
      </w:r>
      <w:r>
        <w:rPr>
          <w:b/>
          <w:sz w:val="24"/>
        </w:rPr>
        <w:t>relevance</w:t>
      </w:r>
    </w:p>
    <w:p>
      <w:pPr>
        <w:spacing w:after="0" w:line="240" w:lineRule="auto"/>
        <w:jc w:val="left"/>
        <w:rPr>
          <w:sz w:val="24"/>
        </w:rPr>
        <w:sectPr>
          <w:pgSz w:w="12240" w:h="15840"/>
          <w:pgMar w:header="0" w:footer="1688" w:top="1500" w:bottom="1880" w:left="1040" w:right="1420"/>
        </w:sectPr>
      </w:pPr>
    </w:p>
    <w:p>
      <w:pPr>
        <w:pStyle w:val="BodyText"/>
        <w:spacing w:before="7"/>
        <w:rPr>
          <w:b/>
          <w:sz w:val="20"/>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Butorphanol </w:t>
      </w:r>
      <w:r>
        <w:rPr>
          <w:spacing w:val="-3"/>
          <w:sz w:val="24"/>
        </w:rPr>
        <w:t>must </w:t>
      </w:r>
      <w:r>
        <w:rPr>
          <w:sz w:val="24"/>
        </w:rPr>
        <w:t>not </w:t>
      </w:r>
      <w:r>
        <w:rPr>
          <w:spacing w:val="-3"/>
          <w:sz w:val="24"/>
        </w:rPr>
        <w:t>be </w:t>
      </w:r>
      <w:r>
        <w:rPr>
          <w:sz w:val="24"/>
        </w:rPr>
        <w:t>used as a </w:t>
      </w:r>
      <w:r>
        <w:rPr>
          <w:spacing w:val="-3"/>
          <w:sz w:val="24"/>
        </w:rPr>
        <w:t>sole </w:t>
      </w:r>
      <w:r>
        <w:rPr>
          <w:sz w:val="24"/>
        </w:rPr>
        <w:t>agent and at a </w:t>
      </w:r>
      <w:r>
        <w:rPr>
          <w:spacing w:val="-3"/>
          <w:sz w:val="24"/>
        </w:rPr>
        <w:t>single </w:t>
      </w:r>
      <w:r>
        <w:rPr>
          <w:sz w:val="24"/>
        </w:rPr>
        <w:t>dose for pain management</w:t>
      </w:r>
      <w:r>
        <w:rPr>
          <w:spacing w:val="39"/>
          <w:sz w:val="24"/>
        </w:rPr>
        <w:t> </w:t>
      </w:r>
      <w:r>
        <w:rPr>
          <w:spacing w:val="-3"/>
          <w:sz w:val="24"/>
        </w:rPr>
        <w:t>in</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dogs undergoing ovariohysterectomy. </w:t>
      </w:r>
      <w:r>
        <w:rPr>
          <w:spacing w:val="-3"/>
          <w:sz w:val="24"/>
        </w:rPr>
        <w:t>At </w:t>
      </w:r>
      <w:r>
        <w:rPr>
          <w:sz w:val="24"/>
        </w:rPr>
        <w:t>the doses administered, </w:t>
      </w:r>
      <w:r>
        <w:rPr>
          <w:spacing w:val="-3"/>
          <w:sz w:val="24"/>
        </w:rPr>
        <w:t>LKD </w:t>
      </w:r>
      <w:r>
        <w:rPr>
          <w:sz w:val="24"/>
        </w:rPr>
        <w:t>resulted </w:t>
      </w:r>
      <w:r>
        <w:rPr>
          <w:spacing w:val="-3"/>
          <w:sz w:val="24"/>
        </w:rPr>
        <w:t>in</w:t>
      </w:r>
      <w:r>
        <w:rPr>
          <w:spacing w:val="-8"/>
          <w:sz w:val="24"/>
        </w:rPr>
        <w:t> </w:t>
      </w:r>
      <w:r>
        <w:rPr>
          <w:sz w:val="24"/>
        </w:rPr>
        <w:t>lower</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pain scores and better postoperative analgesia than other treated groups. </w:t>
      </w:r>
      <w:r>
        <w:rPr>
          <w:spacing w:val="-3"/>
          <w:sz w:val="24"/>
        </w:rPr>
        <w:t>LKD </w:t>
      </w:r>
      <w:r>
        <w:rPr>
          <w:sz w:val="24"/>
        </w:rPr>
        <w:t>and</w:t>
      </w:r>
      <w:r>
        <w:rPr>
          <w:spacing w:val="-15"/>
          <w:sz w:val="24"/>
        </w:rPr>
        <w:t> </w:t>
      </w:r>
      <w:r>
        <w:rPr>
          <w:sz w:val="24"/>
        </w:rPr>
        <w:t>FENT</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provided adequate analgesia during the infusion period. LIDO, KET and DEX </w:t>
      </w:r>
      <w:r>
        <w:rPr>
          <w:spacing w:val="-3"/>
          <w:sz w:val="24"/>
        </w:rPr>
        <w:t>may </w:t>
      </w:r>
      <w:r>
        <w:rPr>
          <w:sz w:val="24"/>
        </w:rPr>
        <w:t>not</w:t>
      </w:r>
      <w:r>
        <w:rPr>
          <w:spacing w:val="-10"/>
          <w:sz w:val="24"/>
        </w:rPr>
        <w:t> </w:t>
      </w:r>
      <w:r>
        <w:rPr>
          <w:spacing w:val="-3"/>
          <w:sz w:val="24"/>
        </w:rPr>
        <w:t>be</w:t>
      </w:r>
    </w:p>
    <w:p>
      <w:pPr>
        <w:pStyle w:val="BodyText"/>
        <w:rPr>
          <w:sz w:val="18"/>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effective as a sole analgesic for treatment of postoperative pain </w:t>
      </w:r>
      <w:r>
        <w:rPr>
          <w:spacing w:val="-3"/>
          <w:sz w:val="24"/>
        </w:rPr>
        <w:t>in </w:t>
      </w:r>
      <w:r>
        <w:rPr>
          <w:sz w:val="24"/>
        </w:rPr>
        <w:t>dogs</w:t>
      </w:r>
      <w:r>
        <w:rPr>
          <w:spacing w:val="-17"/>
          <w:sz w:val="24"/>
        </w:rPr>
        <w:t> </w:t>
      </w:r>
      <w:r>
        <w:rPr>
          <w:sz w:val="24"/>
        </w:rPr>
        <w:t>after</w:t>
      </w:r>
    </w:p>
    <w:p>
      <w:pPr>
        <w:pStyle w:val="BodyText"/>
        <w:spacing w:before="11"/>
        <w:rPr>
          <w:sz w:val="17"/>
        </w:rPr>
      </w:pPr>
    </w:p>
    <w:p>
      <w:pPr>
        <w:pStyle w:val="ListParagraph"/>
        <w:numPr>
          <w:ilvl w:val="0"/>
          <w:numId w:val="33"/>
        </w:numPr>
        <w:tabs>
          <w:tab w:pos="832" w:val="left" w:leader="none"/>
          <w:tab w:pos="833" w:val="left" w:leader="none"/>
        </w:tabs>
        <w:spacing w:line="240" w:lineRule="auto" w:before="69" w:after="0"/>
        <w:ind w:left="832" w:right="0" w:hanging="720"/>
        <w:jc w:val="left"/>
        <w:rPr>
          <w:sz w:val="24"/>
        </w:rPr>
      </w:pPr>
      <w:r>
        <w:rPr>
          <w:sz w:val="24"/>
        </w:rPr>
        <w:t>ovariohysterectomy.</w:t>
      </w:r>
    </w:p>
    <w:p>
      <w:pPr>
        <w:pStyle w:val="BodyText"/>
        <w:spacing w:before="4"/>
      </w:pPr>
    </w:p>
    <w:p>
      <w:pPr>
        <w:pStyle w:val="ListParagraph"/>
        <w:numPr>
          <w:ilvl w:val="0"/>
          <w:numId w:val="33"/>
        </w:numPr>
        <w:tabs>
          <w:tab w:pos="474" w:val="left" w:leader="none"/>
        </w:tabs>
        <w:spacing w:line="240" w:lineRule="auto" w:before="1" w:after="0"/>
        <w:ind w:left="473" w:right="0" w:hanging="361"/>
        <w:jc w:val="left"/>
        <w:rPr>
          <w:sz w:val="24"/>
        </w:rPr>
      </w:pPr>
    </w:p>
    <w:p>
      <w:pPr>
        <w:spacing w:after="0" w:line="240" w:lineRule="auto"/>
        <w:jc w:val="left"/>
        <w:rPr>
          <w:sz w:val="24"/>
        </w:rPr>
        <w:sectPr>
          <w:pgSz w:w="12240" w:h="15840"/>
          <w:pgMar w:header="0" w:footer="1688" w:top="1500" w:bottom="1880" w:left="1040" w:right="1420"/>
        </w:sectPr>
      </w:pPr>
    </w:p>
    <w:p>
      <w:pPr>
        <w:pStyle w:val="BodyText"/>
        <w:rPr>
          <w:sz w:val="20"/>
        </w:rPr>
      </w:pPr>
    </w:p>
    <w:p>
      <w:pPr>
        <w:pStyle w:val="BodyText"/>
        <w:rPr>
          <w:sz w:val="20"/>
        </w:rPr>
      </w:pPr>
    </w:p>
    <w:p>
      <w:pPr>
        <w:pStyle w:val="BodyText"/>
        <w:spacing w:before="10"/>
        <w:rPr>
          <w:sz w:val="17"/>
        </w:rPr>
      </w:pPr>
    </w:p>
    <w:p>
      <w:pPr>
        <w:spacing w:line="480" w:lineRule="auto" w:before="1"/>
        <w:ind w:left="232" w:right="347" w:firstLine="0"/>
        <w:jc w:val="left"/>
        <w:rPr>
          <w:sz w:val="20"/>
        </w:rPr>
      </w:pPr>
      <w:r>
        <w:rPr>
          <w:sz w:val="20"/>
        </w:rPr>
        <w:t>Table </w:t>
      </w:r>
      <w:r>
        <w:rPr>
          <w:spacing w:val="-3"/>
          <w:sz w:val="20"/>
        </w:rPr>
        <w:t>1. Number of </w:t>
      </w:r>
      <w:r>
        <w:rPr>
          <w:sz w:val="20"/>
        </w:rPr>
        <w:t>dogs per group requiring rescue analgesia </w:t>
      </w:r>
      <w:r>
        <w:rPr>
          <w:spacing w:val="-4"/>
          <w:sz w:val="20"/>
        </w:rPr>
        <w:t>over </w:t>
      </w:r>
      <w:r>
        <w:rPr>
          <w:sz w:val="20"/>
        </w:rPr>
        <w:t>time after ovariohysterectomy and receiving either a constant rate infusion </w:t>
      </w:r>
      <w:r>
        <w:rPr>
          <w:spacing w:val="-3"/>
          <w:sz w:val="20"/>
        </w:rPr>
        <w:t>of </w:t>
      </w:r>
      <w:r>
        <w:rPr>
          <w:sz w:val="20"/>
        </w:rPr>
        <w:t>fentanyl (FENT), lidocaine (LID), ketamine (KET), dexmedetomidine (DEX), a combination </w:t>
      </w:r>
      <w:r>
        <w:rPr>
          <w:spacing w:val="-3"/>
          <w:sz w:val="20"/>
        </w:rPr>
        <w:t>of </w:t>
      </w:r>
      <w:r>
        <w:rPr>
          <w:sz w:val="20"/>
        </w:rPr>
        <w:t>lidocaine-ketamine-dexmedetomidine (LKD), </w:t>
      </w:r>
      <w:r>
        <w:rPr>
          <w:spacing w:val="-3"/>
          <w:sz w:val="20"/>
        </w:rPr>
        <w:t>or </w:t>
      </w:r>
      <w:r>
        <w:rPr>
          <w:sz w:val="20"/>
        </w:rPr>
        <w:t>saline 0.9% </w:t>
      </w:r>
      <w:r>
        <w:rPr>
          <w:spacing w:val="-3"/>
          <w:sz w:val="20"/>
        </w:rPr>
        <w:t>with   </w:t>
      </w:r>
      <w:r>
        <w:rPr>
          <w:sz w:val="20"/>
        </w:rPr>
        <w:t>a loading dose </w:t>
      </w:r>
      <w:r>
        <w:rPr>
          <w:spacing w:val="-3"/>
          <w:sz w:val="20"/>
        </w:rPr>
        <w:t>of </w:t>
      </w:r>
      <w:r>
        <w:rPr>
          <w:sz w:val="20"/>
        </w:rPr>
        <w:t>butorphanol after induction (CONTROL/BUT). Treatments were infused </w:t>
      </w:r>
      <w:r>
        <w:rPr>
          <w:spacing w:val="-4"/>
          <w:sz w:val="20"/>
        </w:rPr>
        <w:t>for </w:t>
      </w:r>
      <w:r>
        <w:rPr>
          <w:sz w:val="20"/>
        </w:rPr>
        <w:t>4 hours after </w:t>
      </w:r>
      <w:r>
        <w:rPr>
          <w:spacing w:val="-3"/>
          <w:sz w:val="20"/>
        </w:rPr>
        <w:t>surgery. </w:t>
      </w:r>
      <w:r>
        <w:rPr>
          <w:sz w:val="20"/>
        </w:rPr>
        <w:t>*Significantly different from all </w:t>
      </w:r>
      <w:r>
        <w:rPr>
          <w:spacing w:val="-3"/>
          <w:sz w:val="20"/>
        </w:rPr>
        <w:t>other </w:t>
      </w:r>
      <w:r>
        <w:rPr>
          <w:sz w:val="20"/>
        </w:rPr>
        <w:t>treated</w:t>
      </w:r>
      <w:r>
        <w:rPr>
          <w:spacing w:val="-1"/>
          <w:sz w:val="20"/>
        </w:rPr>
        <w:t> </w:t>
      </w:r>
      <w:r>
        <w:rPr>
          <w:sz w:val="20"/>
        </w:rPr>
        <w:t>groups.</w:t>
      </w:r>
    </w:p>
    <w:p>
      <w:pPr>
        <w:pStyle w:val="BodyText"/>
        <w:rPr>
          <w:sz w:val="20"/>
        </w:rPr>
      </w:pPr>
    </w:p>
    <w:p>
      <w:pPr>
        <w:pStyle w:val="BodyText"/>
        <w:spacing w:before="3"/>
        <w:rPr>
          <w:sz w:val="10"/>
        </w:rPr>
      </w:pPr>
      <w:r>
        <w:rPr/>
        <w:pict>
          <v:group style="position:absolute;margin-left:87.853996pt;margin-top:7.893684pt;width:633.6pt;height:.5pt;mso-position-horizontal-relative:page;mso-position-vertical-relative:paragraph;z-index:1456;mso-wrap-distance-left:0;mso-wrap-distance-right:0" coordorigin="1757,158" coordsize="12672,10">
            <v:line style="position:absolute" from="1762,163" to="3812,163" stroked="true" strokeweight=".48pt" strokecolor="#000000"/>
            <v:line style="position:absolute" from="3812,163" to="3822,163" stroked="true" strokeweight=".48pt" strokecolor="#000000"/>
            <v:line style="position:absolute" from="3822,163" to="12767,163" stroked="true" strokeweight=".48pt" strokecolor="#000000"/>
            <v:line style="position:absolute" from="12767,163" to="12777,163" stroked="true" strokeweight=".48pt" strokecolor="#000000"/>
            <v:line style="position:absolute" from="12777,163" to="13578,163" stroked="true" strokeweight=".48pt" strokecolor="#000000"/>
            <v:line style="position:absolute" from="13578,163" to="13588,163" stroked="true" strokeweight=".48pt" strokecolor="#000000"/>
            <v:line style="position:absolute" from="13588,163" to="14423,163" stroked="true" strokeweight=".48pt" strokecolor="#000000"/>
            <w10:wrap type="topAndBottom"/>
          </v:group>
        </w:pict>
      </w:r>
    </w:p>
    <w:p>
      <w:pPr>
        <w:spacing w:line="166" w:lineRule="exact" w:before="0"/>
        <w:ind w:left="5836" w:right="5474" w:firstLine="0"/>
        <w:jc w:val="center"/>
        <w:rPr>
          <w:sz w:val="20"/>
        </w:rPr>
      </w:pPr>
      <w:r>
        <w:rPr>
          <w:sz w:val="20"/>
        </w:rPr>
        <w:t>Time points (hours)</w:t>
      </w:r>
    </w:p>
    <w:p>
      <w:pPr>
        <w:tabs>
          <w:tab w:pos="2172" w:val="left" w:leader="none"/>
          <w:tab w:pos="3463" w:val="left" w:leader="none"/>
          <w:tab w:pos="3862" w:val="left" w:leader="none"/>
          <w:tab w:pos="4265" w:val="left" w:leader="none"/>
          <w:tab w:pos="4664" w:val="left" w:leader="none"/>
          <w:tab w:pos="5062" w:val="left" w:leader="none"/>
          <w:tab w:pos="5465" w:val="left" w:leader="none"/>
          <w:tab w:pos="5864" w:val="left" w:leader="none"/>
          <w:tab w:pos="6263" w:val="left" w:leader="none"/>
          <w:tab w:pos="6666" w:val="left" w:leader="none"/>
          <w:tab w:pos="7079" w:val="left" w:leader="none"/>
          <w:tab w:pos="7607" w:val="left" w:leader="none"/>
          <w:tab w:pos="8130" w:val="left" w:leader="none"/>
          <w:tab w:pos="8658" w:val="left" w:leader="none"/>
          <w:tab w:pos="9181" w:val="left" w:leader="none"/>
          <w:tab w:pos="9710" w:val="left" w:leader="none"/>
          <w:tab w:pos="10238" w:val="left" w:leader="none"/>
          <w:tab w:pos="10761" w:val="left" w:leader="none"/>
          <w:tab w:pos="11323" w:val="left" w:leader="none"/>
          <w:tab w:pos="12274" w:val="left" w:leader="none"/>
          <w:tab w:pos="12828" w:val="left" w:leader="none"/>
        </w:tabs>
        <w:spacing w:line="184" w:lineRule="auto" w:before="16"/>
        <w:ind w:left="2397" w:right="109" w:hanging="1662"/>
        <w:jc w:val="left"/>
        <w:rPr>
          <w:sz w:val="20"/>
        </w:rPr>
      </w:pPr>
      <w:r>
        <w:rPr>
          <w:sz w:val="20"/>
        </w:rPr>
        <w:t>Treatment</w:t>
        <w:tab/>
      </w:r>
      <w:r>
        <w:rPr>
          <w:sz w:val="20"/>
          <w:u w:val="single"/>
        </w:rPr>
        <w:tab/>
        <w:tab/>
        <w:tab/>
        <w:tab/>
        <w:tab/>
        <w:tab/>
        <w:tab/>
        <w:tab/>
        <w:tab/>
        <w:tab/>
        <w:tab/>
        <w:tab/>
        <w:tab/>
        <w:tab/>
        <w:tab/>
        <w:tab/>
        <w:tab/>
        <w:tab/>
        <w:tab/>
        <w:tab/>
        <w:tab/>
      </w:r>
      <w:r>
        <w:rPr>
          <w:sz w:val="20"/>
        </w:rPr>
        <w:t> Baseline</w:t>
        <w:tab/>
        <w:t>1</w:t>
        <w:tab/>
        <w:t>2</w:t>
        <w:tab/>
        <w:t>3</w:t>
        <w:tab/>
        <w:t>4</w:t>
        <w:tab/>
        <w:t>5</w:t>
        <w:tab/>
        <w:t>6</w:t>
        <w:tab/>
        <w:t>7</w:t>
        <w:tab/>
        <w:t>8</w:t>
        <w:tab/>
        <w:t>9</w:t>
        <w:tab/>
        <w:t>10</w:t>
        <w:tab/>
        <w:t>11</w:t>
        <w:tab/>
        <w:t>12</w:t>
        <w:tab/>
        <w:t>16</w:t>
        <w:tab/>
        <w:t>18</w:t>
        <w:tab/>
        <w:t>20</w:t>
        <w:tab/>
        <w:t>22</w:t>
        <w:tab/>
        <w:t>24</w:t>
        <w:tab/>
        <w:t>Total</w:t>
        <w:tab/>
        <w:t>%</w:t>
      </w:r>
    </w:p>
    <w:p>
      <w:pPr>
        <w:pStyle w:val="BodyText"/>
        <w:spacing w:before="1"/>
        <w:rPr>
          <w:sz w:val="12"/>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3"/>
        <w:gridCol w:w="863"/>
        <w:gridCol w:w="586"/>
        <w:gridCol w:w="401"/>
        <w:gridCol w:w="401"/>
        <w:gridCol w:w="398"/>
        <w:gridCol w:w="401"/>
        <w:gridCol w:w="401"/>
        <w:gridCol w:w="399"/>
        <w:gridCol w:w="401"/>
        <w:gridCol w:w="434"/>
        <w:gridCol w:w="497"/>
        <w:gridCol w:w="526"/>
        <w:gridCol w:w="526"/>
        <w:gridCol w:w="526"/>
        <w:gridCol w:w="526"/>
        <w:gridCol w:w="528"/>
        <w:gridCol w:w="526"/>
        <w:gridCol w:w="533"/>
        <w:gridCol w:w="787"/>
        <w:gridCol w:w="860"/>
      </w:tblGrid>
      <w:tr>
        <w:trPr>
          <w:trHeight w:val="392" w:hRule="exact"/>
        </w:trPr>
        <w:tc>
          <w:tcPr>
            <w:tcW w:w="2143" w:type="dxa"/>
            <w:tcBorders>
              <w:left w:val="nil"/>
              <w:bottom w:val="nil"/>
              <w:right w:val="nil"/>
            </w:tcBorders>
          </w:tcPr>
          <w:p>
            <w:pPr>
              <w:pStyle w:val="TableParagraph"/>
              <w:spacing w:before="39"/>
              <w:ind w:left="300" w:right="391"/>
              <w:rPr>
                <w:sz w:val="20"/>
              </w:rPr>
            </w:pPr>
            <w:r>
              <w:rPr>
                <w:sz w:val="20"/>
              </w:rPr>
              <w:t>FENT</w:t>
            </w:r>
          </w:p>
        </w:tc>
        <w:tc>
          <w:tcPr>
            <w:tcW w:w="863" w:type="dxa"/>
            <w:tcBorders>
              <w:left w:val="nil"/>
              <w:bottom w:val="nil"/>
              <w:right w:val="nil"/>
            </w:tcBorders>
          </w:tcPr>
          <w:p>
            <w:pPr>
              <w:pStyle w:val="TableParagraph"/>
              <w:spacing w:before="39"/>
              <w:ind w:left="90"/>
              <w:rPr>
                <w:sz w:val="20"/>
              </w:rPr>
            </w:pPr>
            <w:r>
              <w:rPr>
                <w:w w:val="100"/>
                <w:sz w:val="20"/>
              </w:rPr>
              <w:t>0</w:t>
            </w:r>
          </w:p>
        </w:tc>
        <w:tc>
          <w:tcPr>
            <w:tcW w:w="586" w:type="dxa"/>
            <w:tcBorders>
              <w:left w:val="nil"/>
              <w:bottom w:val="nil"/>
              <w:right w:val="nil"/>
            </w:tcBorders>
          </w:tcPr>
          <w:p>
            <w:pPr>
              <w:pStyle w:val="TableParagraph"/>
              <w:spacing w:before="39"/>
              <w:ind w:right="146"/>
              <w:jc w:val="right"/>
              <w:rPr>
                <w:sz w:val="20"/>
              </w:rPr>
            </w:pPr>
            <w:r>
              <w:rPr>
                <w:w w:val="100"/>
                <w:sz w:val="20"/>
              </w:rPr>
              <w:t>0</w:t>
            </w:r>
          </w:p>
        </w:tc>
        <w:tc>
          <w:tcPr>
            <w:tcW w:w="401" w:type="dxa"/>
            <w:tcBorders>
              <w:left w:val="nil"/>
              <w:bottom w:val="nil"/>
              <w:right w:val="nil"/>
            </w:tcBorders>
          </w:tcPr>
          <w:p>
            <w:pPr>
              <w:pStyle w:val="TableParagraph"/>
              <w:spacing w:before="39"/>
              <w:rPr>
                <w:sz w:val="20"/>
              </w:rPr>
            </w:pPr>
            <w:r>
              <w:rPr>
                <w:w w:val="100"/>
                <w:sz w:val="20"/>
              </w:rPr>
              <w:t>0</w:t>
            </w:r>
          </w:p>
        </w:tc>
        <w:tc>
          <w:tcPr>
            <w:tcW w:w="401" w:type="dxa"/>
            <w:tcBorders>
              <w:left w:val="nil"/>
              <w:bottom w:val="nil"/>
              <w:right w:val="nil"/>
            </w:tcBorders>
          </w:tcPr>
          <w:p>
            <w:pPr>
              <w:pStyle w:val="TableParagraph"/>
              <w:spacing w:before="39"/>
              <w:ind w:left="2"/>
              <w:rPr>
                <w:sz w:val="20"/>
              </w:rPr>
            </w:pPr>
            <w:r>
              <w:rPr>
                <w:w w:val="100"/>
                <w:sz w:val="20"/>
              </w:rPr>
              <w:t>0</w:t>
            </w:r>
          </w:p>
        </w:tc>
        <w:tc>
          <w:tcPr>
            <w:tcW w:w="398" w:type="dxa"/>
            <w:tcBorders>
              <w:left w:val="nil"/>
              <w:bottom w:val="nil"/>
              <w:right w:val="nil"/>
            </w:tcBorders>
          </w:tcPr>
          <w:p>
            <w:pPr>
              <w:pStyle w:val="TableParagraph"/>
              <w:spacing w:before="39"/>
              <w:rPr>
                <w:sz w:val="20"/>
              </w:rPr>
            </w:pPr>
            <w:r>
              <w:rPr>
                <w:w w:val="100"/>
                <w:sz w:val="20"/>
              </w:rPr>
              <w:t>0</w:t>
            </w:r>
          </w:p>
        </w:tc>
        <w:tc>
          <w:tcPr>
            <w:tcW w:w="401" w:type="dxa"/>
            <w:tcBorders>
              <w:left w:val="nil"/>
              <w:bottom w:val="nil"/>
              <w:right w:val="nil"/>
            </w:tcBorders>
          </w:tcPr>
          <w:p>
            <w:pPr>
              <w:pStyle w:val="TableParagraph"/>
              <w:spacing w:before="39"/>
              <w:rPr>
                <w:sz w:val="20"/>
              </w:rPr>
            </w:pPr>
            <w:r>
              <w:rPr>
                <w:w w:val="100"/>
                <w:sz w:val="20"/>
              </w:rPr>
              <w:t>0</w:t>
            </w:r>
          </w:p>
        </w:tc>
        <w:tc>
          <w:tcPr>
            <w:tcW w:w="401" w:type="dxa"/>
            <w:tcBorders>
              <w:left w:val="nil"/>
              <w:bottom w:val="nil"/>
              <w:right w:val="nil"/>
            </w:tcBorders>
          </w:tcPr>
          <w:p>
            <w:pPr>
              <w:pStyle w:val="TableParagraph"/>
              <w:spacing w:before="39"/>
              <w:ind w:left="2"/>
              <w:rPr>
                <w:sz w:val="20"/>
              </w:rPr>
            </w:pPr>
            <w:r>
              <w:rPr>
                <w:w w:val="100"/>
                <w:sz w:val="20"/>
              </w:rPr>
              <w:t>0</w:t>
            </w:r>
          </w:p>
        </w:tc>
        <w:tc>
          <w:tcPr>
            <w:tcW w:w="399" w:type="dxa"/>
            <w:tcBorders>
              <w:left w:val="nil"/>
              <w:bottom w:val="nil"/>
              <w:right w:val="nil"/>
            </w:tcBorders>
          </w:tcPr>
          <w:p>
            <w:pPr>
              <w:pStyle w:val="TableParagraph"/>
              <w:spacing w:before="39"/>
              <w:rPr>
                <w:sz w:val="20"/>
              </w:rPr>
            </w:pPr>
            <w:r>
              <w:rPr>
                <w:w w:val="100"/>
                <w:sz w:val="20"/>
              </w:rPr>
              <w:t>0</w:t>
            </w:r>
          </w:p>
        </w:tc>
        <w:tc>
          <w:tcPr>
            <w:tcW w:w="401" w:type="dxa"/>
            <w:tcBorders>
              <w:left w:val="nil"/>
              <w:bottom w:val="nil"/>
              <w:right w:val="nil"/>
            </w:tcBorders>
          </w:tcPr>
          <w:p>
            <w:pPr>
              <w:pStyle w:val="TableParagraph"/>
              <w:spacing w:before="39"/>
              <w:rPr>
                <w:sz w:val="20"/>
              </w:rPr>
            </w:pPr>
            <w:r>
              <w:rPr>
                <w:w w:val="100"/>
                <w:sz w:val="20"/>
              </w:rPr>
              <w:t>0</w:t>
            </w:r>
          </w:p>
        </w:tc>
        <w:tc>
          <w:tcPr>
            <w:tcW w:w="434" w:type="dxa"/>
            <w:tcBorders>
              <w:left w:val="nil"/>
              <w:bottom w:val="nil"/>
              <w:right w:val="nil"/>
            </w:tcBorders>
          </w:tcPr>
          <w:p>
            <w:pPr>
              <w:pStyle w:val="TableParagraph"/>
              <w:spacing w:before="39"/>
              <w:ind w:right="29"/>
              <w:rPr>
                <w:sz w:val="20"/>
              </w:rPr>
            </w:pPr>
            <w:r>
              <w:rPr>
                <w:w w:val="100"/>
                <w:sz w:val="20"/>
              </w:rPr>
              <w:t>0</w:t>
            </w:r>
          </w:p>
        </w:tc>
        <w:tc>
          <w:tcPr>
            <w:tcW w:w="497" w:type="dxa"/>
            <w:tcBorders>
              <w:left w:val="nil"/>
              <w:bottom w:val="nil"/>
              <w:right w:val="nil"/>
            </w:tcBorders>
          </w:tcPr>
          <w:p>
            <w:pPr>
              <w:pStyle w:val="TableParagraph"/>
              <w:spacing w:before="39"/>
              <w:ind w:right="29"/>
              <w:rPr>
                <w:sz w:val="20"/>
              </w:rPr>
            </w:pPr>
            <w:r>
              <w:rPr>
                <w:w w:val="100"/>
                <w:sz w:val="20"/>
              </w:rPr>
              <w:t>0</w:t>
            </w:r>
          </w:p>
        </w:tc>
        <w:tc>
          <w:tcPr>
            <w:tcW w:w="526" w:type="dxa"/>
            <w:tcBorders>
              <w:left w:val="nil"/>
              <w:bottom w:val="nil"/>
              <w:right w:val="nil"/>
            </w:tcBorders>
          </w:tcPr>
          <w:p>
            <w:pPr>
              <w:pStyle w:val="TableParagraph"/>
              <w:spacing w:before="39"/>
              <w:ind w:left="2"/>
              <w:rPr>
                <w:sz w:val="20"/>
              </w:rPr>
            </w:pPr>
            <w:r>
              <w:rPr>
                <w:w w:val="100"/>
                <w:sz w:val="20"/>
              </w:rPr>
              <w:t>0</w:t>
            </w:r>
          </w:p>
        </w:tc>
        <w:tc>
          <w:tcPr>
            <w:tcW w:w="526" w:type="dxa"/>
            <w:tcBorders>
              <w:left w:val="nil"/>
              <w:bottom w:val="nil"/>
              <w:right w:val="nil"/>
            </w:tcBorders>
          </w:tcPr>
          <w:p>
            <w:pPr>
              <w:pStyle w:val="TableParagraph"/>
              <w:spacing w:before="39"/>
              <w:rPr>
                <w:sz w:val="20"/>
              </w:rPr>
            </w:pPr>
            <w:r>
              <w:rPr>
                <w:w w:val="100"/>
                <w:sz w:val="20"/>
              </w:rPr>
              <w:t>0</w:t>
            </w:r>
          </w:p>
        </w:tc>
        <w:tc>
          <w:tcPr>
            <w:tcW w:w="526" w:type="dxa"/>
            <w:tcBorders>
              <w:left w:val="nil"/>
              <w:bottom w:val="nil"/>
              <w:right w:val="nil"/>
            </w:tcBorders>
          </w:tcPr>
          <w:p>
            <w:pPr>
              <w:pStyle w:val="TableParagraph"/>
              <w:spacing w:before="39"/>
              <w:ind w:left="2"/>
              <w:rPr>
                <w:sz w:val="20"/>
              </w:rPr>
            </w:pPr>
            <w:r>
              <w:rPr>
                <w:w w:val="100"/>
                <w:sz w:val="20"/>
              </w:rPr>
              <w:t>0</w:t>
            </w:r>
          </w:p>
        </w:tc>
        <w:tc>
          <w:tcPr>
            <w:tcW w:w="526" w:type="dxa"/>
            <w:tcBorders>
              <w:left w:val="nil"/>
              <w:bottom w:val="nil"/>
              <w:right w:val="nil"/>
            </w:tcBorders>
          </w:tcPr>
          <w:p>
            <w:pPr>
              <w:pStyle w:val="TableParagraph"/>
              <w:spacing w:before="39"/>
              <w:rPr>
                <w:sz w:val="20"/>
              </w:rPr>
            </w:pPr>
            <w:r>
              <w:rPr>
                <w:w w:val="100"/>
                <w:sz w:val="20"/>
              </w:rPr>
              <w:t>0</w:t>
            </w:r>
          </w:p>
        </w:tc>
        <w:tc>
          <w:tcPr>
            <w:tcW w:w="528" w:type="dxa"/>
            <w:tcBorders>
              <w:left w:val="nil"/>
              <w:bottom w:val="nil"/>
              <w:right w:val="nil"/>
            </w:tcBorders>
          </w:tcPr>
          <w:p>
            <w:pPr>
              <w:pStyle w:val="TableParagraph"/>
              <w:spacing w:before="39"/>
              <w:ind w:right="211"/>
              <w:jc w:val="right"/>
              <w:rPr>
                <w:sz w:val="20"/>
              </w:rPr>
            </w:pPr>
            <w:r>
              <w:rPr>
                <w:w w:val="100"/>
                <w:sz w:val="20"/>
              </w:rPr>
              <w:t>0</w:t>
            </w:r>
          </w:p>
        </w:tc>
        <w:tc>
          <w:tcPr>
            <w:tcW w:w="526" w:type="dxa"/>
            <w:tcBorders>
              <w:left w:val="nil"/>
              <w:bottom w:val="nil"/>
              <w:right w:val="nil"/>
            </w:tcBorders>
          </w:tcPr>
          <w:p>
            <w:pPr>
              <w:pStyle w:val="TableParagraph"/>
              <w:spacing w:before="39"/>
              <w:ind w:left="2"/>
              <w:rPr>
                <w:sz w:val="20"/>
              </w:rPr>
            </w:pPr>
            <w:r>
              <w:rPr>
                <w:w w:val="100"/>
                <w:sz w:val="20"/>
              </w:rPr>
              <w:t>0</w:t>
            </w:r>
          </w:p>
        </w:tc>
        <w:tc>
          <w:tcPr>
            <w:tcW w:w="533" w:type="dxa"/>
            <w:tcBorders>
              <w:left w:val="nil"/>
              <w:bottom w:val="nil"/>
              <w:right w:val="nil"/>
            </w:tcBorders>
          </w:tcPr>
          <w:p>
            <w:pPr>
              <w:pStyle w:val="TableParagraph"/>
              <w:spacing w:before="39"/>
              <w:ind w:right="7"/>
              <w:rPr>
                <w:sz w:val="20"/>
              </w:rPr>
            </w:pPr>
            <w:r>
              <w:rPr>
                <w:w w:val="100"/>
                <w:sz w:val="20"/>
              </w:rPr>
              <w:t>0</w:t>
            </w:r>
          </w:p>
        </w:tc>
        <w:tc>
          <w:tcPr>
            <w:tcW w:w="787" w:type="dxa"/>
            <w:tcBorders>
              <w:left w:val="nil"/>
              <w:bottom w:val="nil"/>
              <w:right w:val="nil"/>
            </w:tcBorders>
          </w:tcPr>
          <w:p>
            <w:pPr>
              <w:pStyle w:val="TableParagraph"/>
              <w:spacing w:before="39"/>
              <w:ind w:right="204"/>
              <w:jc w:val="right"/>
              <w:rPr>
                <w:sz w:val="20"/>
              </w:rPr>
            </w:pPr>
            <w:r>
              <w:rPr>
                <w:sz w:val="20"/>
              </w:rPr>
              <w:t>0/10</w:t>
            </w:r>
          </w:p>
        </w:tc>
        <w:tc>
          <w:tcPr>
            <w:tcW w:w="860" w:type="dxa"/>
            <w:tcBorders>
              <w:left w:val="nil"/>
              <w:bottom w:val="nil"/>
              <w:right w:val="nil"/>
            </w:tcBorders>
          </w:tcPr>
          <w:p>
            <w:pPr>
              <w:pStyle w:val="TableParagraph"/>
              <w:spacing w:before="39"/>
              <w:ind w:left="9"/>
              <w:rPr>
                <w:sz w:val="20"/>
              </w:rPr>
            </w:pPr>
            <w:r>
              <w:rPr>
                <w:w w:val="100"/>
                <w:sz w:val="20"/>
              </w:rPr>
              <w:t>0</w:t>
            </w:r>
          </w:p>
        </w:tc>
      </w:tr>
      <w:tr>
        <w:trPr>
          <w:trHeight w:val="447" w:hRule="exact"/>
        </w:trPr>
        <w:tc>
          <w:tcPr>
            <w:tcW w:w="2143" w:type="dxa"/>
            <w:tcBorders>
              <w:top w:val="nil"/>
              <w:left w:val="nil"/>
              <w:bottom w:val="nil"/>
              <w:right w:val="nil"/>
            </w:tcBorders>
          </w:tcPr>
          <w:p>
            <w:pPr>
              <w:pStyle w:val="TableParagraph"/>
              <w:spacing w:before="98"/>
              <w:ind w:left="300" w:right="387"/>
              <w:rPr>
                <w:sz w:val="20"/>
              </w:rPr>
            </w:pPr>
            <w:r>
              <w:rPr>
                <w:sz w:val="20"/>
              </w:rPr>
              <w:t>KET</w:t>
            </w:r>
          </w:p>
        </w:tc>
        <w:tc>
          <w:tcPr>
            <w:tcW w:w="863" w:type="dxa"/>
            <w:tcBorders>
              <w:top w:val="nil"/>
              <w:left w:val="nil"/>
              <w:bottom w:val="nil"/>
              <w:right w:val="nil"/>
            </w:tcBorders>
          </w:tcPr>
          <w:p>
            <w:pPr>
              <w:pStyle w:val="TableParagraph"/>
              <w:spacing w:before="98"/>
              <w:ind w:left="90"/>
              <w:rPr>
                <w:sz w:val="20"/>
              </w:rPr>
            </w:pPr>
            <w:r>
              <w:rPr>
                <w:w w:val="100"/>
                <w:sz w:val="20"/>
              </w:rPr>
              <w:t>0</w:t>
            </w:r>
          </w:p>
        </w:tc>
        <w:tc>
          <w:tcPr>
            <w:tcW w:w="586" w:type="dxa"/>
            <w:tcBorders>
              <w:top w:val="nil"/>
              <w:left w:val="nil"/>
              <w:bottom w:val="nil"/>
              <w:right w:val="nil"/>
            </w:tcBorders>
          </w:tcPr>
          <w:p>
            <w:pPr>
              <w:pStyle w:val="TableParagraph"/>
              <w:spacing w:before="98"/>
              <w:ind w:right="146"/>
              <w:jc w:val="right"/>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2</w:t>
            </w:r>
          </w:p>
        </w:tc>
        <w:tc>
          <w:tcPr>
            <w:tcW w:w="401" w:type="dxa"/>
            <w:tcBorders>
              <w:top w:val="nil"/>
              <w:left w:val="nil"/>
              <w:bottom w:val="nil"/>
              <w:right w:val="nil"/>
            </w:tcBorders>
          </w:tcPr>
          <w:p>
            <w:pPr>
              <w:pStyle w:val="TableParagraph"/>
              <w:spacing w:before="98"/>
              <w:ind w:left="2"/>
              <w:rPr>
                <w:sz w:val="20"/>
              </w:rPr>
            </w:pPr>
            <w:r>
              <w:rPr>
                <w:w w:val="100"/>
                <w:sz w:val="20"/>
              </w:rPr>
              <w:t>0</w:t>
            </w:r>
          </w:p>
        </w:tc>
        <w:tc>
          <w:tcPr>
            <w:tcW w:w="398"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ind w:left="2"/>
              <w:rPr>
                <w:sz w:val="20"/>
              </w:rPr>
            </w:pPr>
            <w:r>
              <w:rPr>
                <w:w w:val="100"/>
                <w:sz w:val="20"/>
              </w:rPr>
              <w:t>0</w:t>
            </w:r>
          </w:p>
        </w:tc>
        <w:tc>
          <w:tcPr>
            <w:tcW w:w="399" w:type="dxa"/>
            <w:tcBorders>
              <w:top w:val="nil"/>
              <w:left w:val="nil"/>
              <w:bottom w:val="nil"/>
              <w:right w:val="nil"/>
            </w:tcBorders>
          </w:tcPr>
          <w:p>
            <w:pPr>
              <w:pStyle w:val="TableParagraph"/>
              <w:spacing w:before="98"/>
              <w:rPr>
                <w:sz w:val="20"/>
              </w:rPr>
            </w:pPr>
            <w:r>
              <w:rPr>
                <w:w w:val="100"/>
                <w:sz w:val="20"/>
              </w:rPr>
              <w:t>1</w:t>
            </w:r>
          </w:p>
        </w:tc>
        <w:tc>
          <w:tcPr>
            <w:tcW w:w="401" w:type="dxa"/>
            <w:tcBorders>
              <w:top w:val="nil"/>
              <w:left w:val="nil"/>
              <w:bottom w:val="nil"/>
              <w:right w:val="nil"/>
            </w:tcBorders>
          </w:tcPr>
          <w:p>
            <w:pPr>
              <w:pStyle w:val="TableParagraph"/>
              <w:spacing w:before="98"/>
              <w:rPr>
                <w:sz w:val="20"/>
              </w:rPr>
            </w:pPr>
            <w:r>
              <w:rPr>
                <w:w w:val="100"/>
                <w:sz w:val="20"/>
              </w:rPr>
              <w:t>0</w:t>
            </w:r>
          </w:p>
        </w:tc>
        <w:tc>
          <w:tcPr>
            <w:tcW w:w="434" w:type="dxa"/>
            <w:tcBorders>
              <w:top w:val="nil"/>
              <w:left w:val="nil"/>
              <w:bottom w:val="nil"/>
              <w:right w:val="nil"/>
            </w:tcBorders>
          </w:tcPr>
          <w:p>
            <w:pPr>
              <w:pStyle w:val="TableParagraph"/>
              <w:spacing w:before="98"/>
              <w:ind w:right="29"/>
              <w:rPr>
                <w:sz w:val="20"/>
              </w:rPr>
            </w:pPr>
            <w:r>
              <w:rPr>
                <w:w w:val="100"/>
                <w:sz w:val="20"/>
              </w:rPr>
              <w:t>0</w:t>
            </w:r>
          </w:p>
        </w:tc>
        <w:tc>
          <w:tcPr>
            <w:tcW w:w="497" w:type="dxa"/>
            <w:tcBorders>
              <w:top w:val="nil"/>
              <w:left w:val="nil"/>
              <w:bottom w:val="nil"/>
              <w:right w:val="nil"/>
            </w:tcBorders>
          </w:tcPr>
          <w:p>
            <w:pPr>
              <w:pStyle w:val="TableParagraph"/>
              <w:spacing w:before="98"/>
              <w:ind w:right="29"/>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26" w:type="dxa"/>
            <w:tcBorders>
              <w:top w:val="nil"/>
              <w:left w:val="nil"/>
              <w:bottom w:val="nil"/>
              <w:right w:val="nil"/>
            </w:tcBorders>
          </w:tcPr>
          <w:p>
            <w:pPr>
              <w:pStyle w:val="TableParagraph"/>
              <w:spacing w:before="98"/>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26" w:type="dxa"/>
            <w:tcBorders>
              <w:top w:val="nil"/>
              <w:left w:val="nil"/>
              <w:bottom w:val="nil"/>
              <w:right w:val="nil"/>
            </w:tcBorders>
          </w:tcPr>
          <w:p>
            <w:pPr>
              <w:pStyle w:val="TableParagraph"/>
              <w:spacing w:before="98"/>
              <w:rPr>
                <w:sz w:val="20"/>
              </w:rPr>
            </w:pPr>
            <w:r>
              <w:rPr>
                <w:w w:val="100"/>
                <w:sz w:val="20"/>
              </w:rPr>
              <w:t>0</w:t>
            </w:r>
          </w:p>
        </w:tc>
        <w:tc>
          <w:tcPr>
            <w:tcW w:w="528" w:type="dxa"/>
            <w:tcBorders>
              <w:top w:val="nil"/>
              <w:left w:val="nil"/>
              <w:bottom w:val="nil"/>
              <w:right w:val="nil"/>
            </w:tcBorders>
          </w:tcPr>
          <w:p>
            <w:pPr>
              <w:pStyle w:val="TableParagraph"/>
              <w:spacing w:before="98"/>
              <w:ind w:right="211"/>
              <w:jc w:val="right"/>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33" w:type="dxa"/>
            <w:tcBorders>
              <w:top w:val="nil"/>
              <w:left w:val="nil"/>
              <w:bottom w:val="nil"/>
              <w:right w:val="nil"/>
            </w:tcBorders>
          </w:tcPr>
          <w:p>
            <w:pPr>
              <w:pStyle w:val="TableParagraph"/>
              <w:spacing w:before="98"/>
              <w:ind w:right="7"/>
              <w:rPr>
                <w:sz w:val="20"/>
              </w:rPr>
            </w:pPr>
            <w:r>
              <w:rPr>
                <w:w w:val="100"/>
                <w:sz w:val="20"/>
              </w:rPr>
              <w:t>0</w:t>
            </w:r>
          </w:p>
        </w:tc>
        <w:tc>
          <w:tcPr>
            <w:tcW w:w="787" w:type="dxa"/>
            <w:tcBorders>
              <w:top w:val="nil"/>
              <w:left w:val="nil"/>
              <w:bottom w:val="nil"/>
              <w:right w:val="nil"/>
            </w:tcBorders>
          </w:tcPr>
          <w:p>
            <w:pPr>
              <w:pStyle w:val="TableParagraph"/>
              <w:spacing w:before="98"/>
              <w:ind w:right="257"/>
              <w:jc w:val="right"/>
              <w:rPr>
                <w:sz w:val="20"/>
              </w:rPr>
            </w:pPr>
            <w:r>
              <w:rPr>
                <w:sz w:val="20"/>
              </w:rPr>
              <w:t>3/8</w:t>
            </w:r>
          </w:p>
        </w:tc>
        <w:tc>
          <w:tcPr>
            <w:tcW w:w="860" w:type="dxa"/>
            <w:tcBorders>
              <w:top w:val="nil"/>
              <w:left w:val="nil"/>
              <w:bottom w:val="nil"/>
              <w:right w:val="nil"/>
            </w:tcBorders>
          </w:tcPr>
          <w:p>
            <w:pPr>
              <w:pStyle w:val="TableParagraph"/>
              <w:spacing w:before="98"/>
              <w:ind w:left="189" w:right="176"/>
              <w:rPr>
                <w:sz w:val="20"/>
              </w:rPr>
            </w:pPr>
            <w:r>
              <w:rPr>
                <w:sz w:val="20"/>
              </w:rPr>
              <w:t>37.5</w:t>
            </w:r>
          </w:p>
        </w:tc>
      </w:tr>
      <w:tr>
        <w:trPr>
          <w:trHeight w:val="444" w:hRule="exact"/>
        </w:trPr>
        <w:tc>
          <w:tcPr>
            <w:tcW w:w="2143" w:type="dxa"/>
            <w:tcBorders>
              <w:top w:val="nil"/>
              <w:left w:val="nil"/>
              <w:bottom w:val="nil"/>
              <w:right w:val="nil"/>
            </w:tcBorders>
          </w:tcPr>
          <w:p>
            <w:pPr>
              <w:pStyle w:val="TableParagraph"/>
              <w:spacing w:before="98"/>
              <w:ind w:left="300" w:right="388"/>
              <w:rPr>
                <w:sz w:val="20"/>
              </w:rPr>
            </w:pPr>
            <w:r>
              <w:rPr>
                <w:sz w:val="20"/>
              </w:rPr>
              <w:t>LID</w:t>
            </w:r>
          </w:p>
        </w:tc>
        <w:tc>
          <w:tcPr>
            <w:tcW w:w="863" w:type="dxa"/>
            <w:tcBorders>
              <w:top w:val="nil"/>
              <w:left w:val="nil"/>
              <w:bottom w:val="nil"/>
              <w:right w:val="nil"/>
            </w:tcBorders>
          </w:tcPr>
          <w:p>
            <w:pPr>
              <w:pStyle w:val="TableParagraph"/>
              <w:spacing w:before="98"/>
              <w:ind w:left="90"/>
              <w:rPr>
                <w:sz w:val="20"/>
              </w:rPr>
            </w:pPr>
            <w:r>
              <w:rPr>
                <w:w w:val="100"/>
                <w:sz w:val="20"/>
              </w:rPr>
              <w:t>0</w:t>
            </w:r>
          </w:p>
        </w:tc>
        <w:tc>
          <w:tcPr>
            <w:tcW w:w="586" w:type="dxa"/>
            <w:tcBorders>
              <w:top w:val="nil"/>
              <w:left w:val="nil"/>
              <w:bottom w:val="nil"/>
              <w:right w:val="nil"/>
            </w:tcBorders>
          </w:tcPr>
          <w:p>
            <w:pPr>
              <w:pStyle w:val="TableParagraph"/>
              <w:spacing w:before="98"/>
              <w:ind w:right="146"/>
              <w:jc w:val="right"/>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ind w:left="2"/>
              <w:rPr>
                <w:sz w:val="20"/>
              </w:rPr>
            </w:pPr>
            <w:r>
              <w:rPr>
                <w:w w:val="100"/>
                <w:sz w:val="20"/>
              </w:rPr>
              <w:t>1</w:t>
            </w:r>
          </w:p>
        </w:tc>
        <w:tc>
          <w:tcPr>
            <w:tcW w:w="398" w:type="dxa"/>
            <w:tcBorders>
              <w:top w:val="nil"/>
              <w:left w:val="nil"/>
              <w:bottom w:val="nil"/>
              <w:right w:val="nil"/>
            </w:tcBorders>
          </w:tcPr>
          <w:p>
            <w:pPr>
              <w:pStyle w:val="TableParagraph"/>
              <w:spacing w:before="98"/>
              <w:rPr>
                <w:sz w:val="20"/>
              </w:rPr>
            </w:pPr>
            <w:r>
              <w:rPr>
                <w:w w:val="100"/>
                <w:sz w:val="20"/>
              </w:rPr>
              <w:t>1</w:t>
            </w:r>
          </w:p>
        </w:tc>
        <w:tc>
          <w:tcPr>
            <w:tcW w:w="401"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ind w:left="2"/>
              <w:rPr>
                <w:sz w:val="20"/>
              </w:rPr>
            </w:pPr>
            <w:r>
              <w:rPr>
                <w:w w:val="100"/>
                <w:sz w:val="20"/>
              </w:rPr>
              <w:t>0</w:t>
            </w:r>
          </w:p>
        </w:tc>
        <w:tc>
          <w:tcPr>
            <w:tcW w:w="399"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0</w:t>
            </w:r>
          </w:p>
        </w:tc>
        <w:tc>
          <w:tcPr>
            <w:tcW w:w="434" w:type="dxa"/>
            <w:tcBorders>
              <w:top w:val="nil"/>
              <w:left w:val="nil"/>
              <w:bottom w:val="nil"/>
              <w:right w:val="nil"/>
            </w:tcBorders>
          </w:tcPr>
          <w:p>
            <w:pPr>
              <w:pStyle w:val="TableParagraph"/>
              <w:spacing w:before="98"/>
              <w:ind w:right="29"/>
              <w:rPr>
                <w:sz w:val="20"/>
              </w:rPr>
            </w:pPr>
            <w:r>
              <w:rPr>
                <w:w w:val="100"/>
                <w:sz w:val="20"/>
              </w:rPr>
              <w:t>0</w:t>
            </w:r>
          </w:p>
        </w:tc>
        <w:tc>
          <w:tcPr>
            <w:tcW w:w="497" w:type="dxa"/>
            <w:tcBorders>
              <w:top w:val="nil"/>
              <w:left w:val="nil"/>
              <w:bottom w:val="nil"/>
              <w:right w:val="nil"/>
            </w:tcBorders>
          </w:tcPr>
          <w:p>
            <w:pPr>
              <w:pStyle w:val="TableParagraph"/>
              <w:spacing w:before="98"/>
              <w:ind w:right="29"/>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26" w:type="dxa"/>
            <w:tcBorders>
              <w:top w:val="nil"/>
              <w:left w:val="nil"/>
              <w:bottom w:val="nil"/>
              <w:right w:val="nil"/>
            </w:tcBorders>
          </w:tcPr>
          <w:p>
            <w:pPr>
              <w:pStyle w:val="TableParagraph"/>
              <w:spacing w:before="98"/>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26" w:type="dxa"/>
            <w:tcBorders>
              <w:top w:val="nil"/>
              <w:left w:val="nil"/>
              <w:bottom w:val="nil"/>
              <w:right w:val="nil"/>
            </w:tcBorders>
          </w:tcPr>
          <w:p>
            <w:pPr>
              <w:pStyle w:val="TableParagraph"/>
              <w:spacing w:before="98"/>
              <w:rPr>
                <w:sz w:val="20"/>
              </w:rPr>
            </w:pPr>
            <w:r>
              <w:rPr>
                <w:w w:val="100"/>
                <w:sz w:val="20"/>
              </w:rPr>
              <w:t>0</w:t>
            </w:r>
          </w:p>
        </w:tc>
        <w:tc>
          <w:tcPr>
            <w:tcW w:w="528" w:type="dxa"/>
            <w:tcBorders>
              <w:top w:val="nil"/>
              <w:left w:val="nil"/>
              <w:bottom w:val="nil"/>
              <w:right w:val="nil"/>
            </w:tcBorders>
          </w:tcPr>
          <w:p>
            <w:pPr>
              <w:pStyle w:val="TableParagraph"/>
              <w:spacing w:before="98"/>
              <w:ind w:right="211"/>
              <w:jc w:val="right"/>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33" w:type="dxa"/>
            <w:tcBorders>
              <w:top w:val="nil"/>
              <w:left w:val="nil"/>
              <w:bottom w:val="nil"/>
              <w:right w:val="nil"/>
            </w:tcBorders>
          </w:tcPr>
          <w:p>
            <w:pPr>
              <w:pStyle w:val="TableParagraph"/>
              <w:spacing w:before="98"/>
              <w:ind w:right="7"/>
              <w:rPr>
                <w:sz w:val="20"/>
              </w:rPr>
            </w:pPr>
            <w:r>
              <w:rPr>
                <w:w w:val="100"/>
                <w:sz w:val="20"/>
              </w:rPr>
              <w:t>0</w:t>
            </w:r>
          </w:p>
        </w:tc>
        <w:tc>
          <w:tcPr>
            <w:tcW w:w="787" w:type="dxa"/>
            <w:tcBorders>
              <w:top w:val="nil"/>
              <w:left w:val="nil"/>
              <w:bottom w:val="nil"/>
              <w:right w:val="nil"/>
            </w:tcBorders>
          </w:tcPr>
          <w:p>
            <w:pPr>
              <w:pStyle w:val="TableParagraph"/>
              <w:spacing w:before="98"/>
              <w:ind w:right="257"/>
              <w:jc w:val="right"/>
              <w:rPr>
                <w:sz w:val="20"/>
              </w:rPr>
            </w:pPr>
            <w:r>
              <w:rPr>
                <w:sz w:val="20"/>
              </w:rPr>
              <w:t>2/9</w:t>
            </w:r>
          </w:p>
        </w:tc>
        <w:tc>
          <w:tcPr>
            <w:tcW w:w="860" w:type="dxa"/>
            <w:tcBorders>
              <w:top w:val="nil"/>
              <w:left w:val="nil"/>
              <w:bottom w:val="nil"/>
              <w:right w:val="nil"/>
            </w:tcBorders>
          </w:tcPr>
          <w:p>
            <w:pPr>
              <w:pStyle w:val="TableParagraph"/>
              <w:spacing w:before="98"/>
              <w:ind w:left="189" w:right="176"/>
              <w:rPr>
                <w:sz w:val="20"/>
              </w:rPr>
            </w:pPr>
            <w:r>
              <w:rPr>
                <w:sz w:val="20"/>
              </w:rPr>
              <w:t>22.2</w:t>
            </w:r>
          </w:p>
        </w:tc>
      </w:tr>
      <w:tr>
        <w:trPr>
          <w:trHeight w:val="444" w:hRule="exact"/>
        </w:trPr>
        <w:tc>
          <w:tcPr>
            <w:tcW w:w="2143" w:type="dxa"/>
            <w:tcBorders>
              <w:top w:val="nil"/>
              <w:left w:val="nil"/>
              <w:bottom w:val="nil"/>
              <w:right w:val="nil"/>
            </w:tcBorders>
          </w:tcPr>
          <w:p>
            <w:pPr>
              <w:pStyle w:val="TableParagraph"/>
              <w:spacing w:before="95"/>
              <w:ind w:left="300" w:right="393"/>
              <w:rPr>
                <w:sz w:val="20"/>
              </w:rPr>
            </w:pPr>
            <w:r>
              <w:rPr>
                <w:sz w:val="20"/>
              </w:rPr>
              <w:t>DEX</w:t>
            </w:r>
          </w:p>
        </w:tc>
        <w:tc>
          <w:tcPr>
            <w:tcW w:w="863" w:type="dxa"/>
            <w:tcBorders>
              <w:top w:val="nil"/>
              <w:left w:val="nil"/>
              <w:bottom w:val="nil"/>
              <w:right w:val="nil"/>
            </w:tcBorders>
          </w:tcPr>
          <w:p>
            <w:pPr>
              <w:pStyle w:val="TableParagraph"/>
              <w:spacing w:before="95"/>
              <w:ind w:left="90"/>
              <w:rPr>
                <w:sz w:val="20"/>
              </w:rPr>
            </w:pPr>
            <w:r>
              <w:rPr>
                <w:w w:val="100"/>
                <w:sz w:val="20"/>
              </w:rPr>
              <w:t>0</w:t>
            </w:r>
          </w:p>
        </w:tc>
        <w:tc>
          <w:tcPr>
            <w:tcW w:w="586" w:type="dxa"/>
            <w:tcBorders>
              <w:top w:val="nil"/>
              <w:left w:val="nil"/>
              <w:bottom w:val="nil"/>
              <w:right w:val="nil"/>
            </w:tcBorders>
          </w:tcPr>
          <w:p>
            <w:pPr>
              <w:pStyle w:val="TableParagraph"/>
              <w:spacing w:before="95"/>
              <w:ind w:right="146"/>
              <w:jc w:val="right"/>
              <w:rPr>
                <w:sz w:val="20"/>
              </w:rPr>
            </w:pPr>
            <w:r>
              <w:rPr>
                <w:w w:val="100"/>
                <w:sz w:val="20"/>
              </w:rPr>
              <w:t>0</w:t>
            </w:r>
          </w:p>
        </w:tc>
        <w:tc>
          <w:tcPr>
            <w:tcW w:w="401" w:type="dxa"/>
            <w:tcBorders>
              <w:top w:val="nil"/>
              <w:left w:val="nil"/>
              <w:bottom w:val="nil"/>
              <w:right w:val="nil"/>
            </w:tcBorders>
          </w:tcPr>
          <w:p>
            <w:pPr>
              <w:pStyle w:val="TableParagraph"/>
              <w:spacing w:before="95"/>
              <w:rPr>
                <w:sz w:val="20"/>
              </w:rPr>
            </w:pPr>
            <w:r>
              <w:rPr>
                <w:w w:val="100"/>
                <w:sz w:val="20"/>
              </w:rPr>
              <w:t>0</w:t>
            </w:r>
          </w:p>
        </w:tc>
        <w:tc>
          <w:tcPr>
            <w:tcW w:w="401" w:type="dxa"/>
            <w:tcBorders>
              <w:top w:val="nil"/>
              <w:left w:val="nil"/>
              <w:bottom w:val="nil"/>
              <w:right w:val="nil"/>
            </w:tcBorders>
          </w:tcPr>
          <w:p>
            <w:pPr>
              <w:pStyle w:val="TableParagraph"/>
              <w:spacing w:before="95"/>
              <w:ind w:left="2"/>
              <w:rPr>
                <w:sz w:val="20"/>
              </w:rPr>
            </w:pPr>
            <w:r>
              <w:rPr>
                <w:w w:val="100"/>
                <w:sz w:val="20"/>
              </w:rPr>
              <w:t>1</w:t>
            </w:r>
          </w:p>
        </w:tc>
        <w:tc>
          <w:tcPr>
            <w:tcW w:w="398" w:type="dxa"/>
            <w:tcBorders>
              <w:top w:val="nil"/>
              <w:left w:val="nil"/>
              <w:bottom w:val="nil"/>
              <w:right w:val="nil"/>
            </w:tcBorders>
          </w:tcPr>
          <w:p>
            <w:pPr>
              <w:pStyle w:val="TableParagraph"/>
              <w:spacing w:before="95"/>
              <w:rPr>
                <w:sz w:val="20"/>
              </w:rPr>
            </w:pPr>
            <w:r>
              <w:rPr>
                <w:w w:val="100"/>
                <w:sz w:val="20"/>
              </w:rPr>
              <w:t>0</w:t>
            </w:r>
          </w:p>
        </w:tc>
        <w:tc>
          <w:tcPr>
            <w:tcW w:w="401" w:type="dxa"/>
            <w:tcBorders>
              <w:top w:val="nil"/>
              <w:left w:val="nil"/>
              <w:bottom w:val="nil"/>
              <w:right w:val="nil"/>
            </w:tcBorders>
          </w:tcPr>
          <w:p>
            <w:pPr>
              <w:pStyle w:val="TableParagraph"/>
              <w:spacing w:before="95"/>
              <w:rPr>
                <w:sz w:val="20"/>
              </w:rPr>
            </w:pPr>
            <w:r>
              <w:rPr>
                <w:w w:val="100"/>
                <w:sz w:val="20"/>
              </w:rPr>
              <w:t>0</w:t>
            </w:r>
          </w:p>
        </w:tc>
        <w:tc>
          <w:tcPr>
            <w:tcW w:w="401" w:type="dxa"/>
            <w:tcBorders>
              <w:top w:val="nil"/>
              <w:left w:val="nil"/>
              <w:bottom w:val="nil"/>
              <w:right w:val="nil"/>
            </w:tcBorders>
          </w:tcPr>
          <w:p>
            <w:pPr>
              <w:pStyle w:val="TableParagraph"/>
              <w:spacing w:before="95"/>
              <w:ind w:left="2"/>
              <w:rPr>
                <w:sz w:val="20"/>
              </w:rPr>
            </w:pPr>
            <w:r>
              <w:rPr>
                <w:w w:val="100"/>
                <w:sz w:val="20"/>
              </w:rPr>
              <w:t>0</w:t>
            </w:r>
          </w:p>
        </w:tc>
        <w:tc>
          <w:tcPr>
            <w:tcW w:w="399" w:type="dxa"/>
            <w:tcBorders>
              <w:top w:val="nil"/>
              <w:left w:val="nil"/>
              <w:bottom w:val="nil"/>
              <w:right w:val="nil"/>
            </w:tcBorders>
          </w:tcPr>
          <w:p>
            <w:pPr>
              <w:pStyle w:val="TableParagraph"/>
              <w:spacing w:before="95"/>
              <w:rPr>
                <w:sz w:val="20"/>
              </w:rPr>
            </w:pPr>
            <w:r>
              <w:rPr>
                <w:w w:val="100"/>
                <w:sz w:val="20"/>
              </w:rPr>
              <w:t>0</w:t>
            </w:r>
          </w:p>
        </w:tc>
        <w:tc>
          <w:tcPr>
            <w:tcW w:w="401" w:type="dxa"/>
            <w:tcBorders>
              <w:top w:val="nil"/>
              <w:left w:val="nil"/>
              <w:bottom w:val="nil"/>
              <w:right w:val="nil"/>
            </w:tcBorders>
          </w:tcPr>
          <w:p>
            <w:pPr>
              <w:pStyle w:val="TableParagraph"/>
              <w:spacing w:before="95"/>
              <w:rPr>
                <w:sz w:val="20"/>
              </w:rPr>
            </w:pPr>
            <w:r>
              <w:rPr>
                <w:w w:val="100"/>
                <w:sz w:val="20"/>
              </w:rPr>
              <w:t>0</w:t>
            </w:r>
          </w:p>
        </w:tc>
        <w:tc>
          <w:tcPr>
            <w:tcW w:w="434" w:type="dxa"/>
            <w:tcBorders>
              <w:top w:val="nil"/>
              <w:left w:val="nil"/>
              <w:bottom w:val="nil"/>
              <w:right w:val="nil"/>
            </w:tcBorders>
          </w:tcPr>
          <w:p>
            <w:pPr>
              <w:pStyle w:val="TableParagraph"/>
              <w:spacing w:before="95"/>
              <w:ind w:right="29"/>
              <w:rPr>
                <w:sz w:val="20"/>
              </w:rPr>
            </w:pPr>
            <w:r>
              <w:rPr>
                <w:w w:val="100"/>
                <w:sz w:val="20"/>
              </w:rPr>
              <w:t>0</w:t>
            </w:r>
          </w:p>
        </w:tc>
        <w:tc>
          <w:tcPr>
            <w:tcW w:w="497" w:type="dxa"/>
            <w:tcBorders>
              <w:top w:val="nil"/>
              <w:left w:val="nil"/>
              <w:bottom w:val="nil"/>
              <w:right w:val="nil"/>
            </w:tcBorders>
          </w:tcPr>
          <w:p>
            <w:pPr>
              <w:pStyle w:val="TableParagraph"/>
              <w:spacing w:before="95"/>
              <w:ind w:right="29"/>
              <w:rPr>
                <w:sz w:val="20"/>
              </w:rPr>
            </w:pPr>
            <w:r>
              <w:rPr>
                <w:w w:val="100"/>
                <w:sz w:val="20"/>
              </w:rPr>
              <w:t>0</w:t>
            </w:r>
          </w:p>
        </w:tc>
        <w:tc>
          <w:tcPr>
            <w:tcW w:w="526" w:type="dxa"/>
            <w:tcBorders>
              <w:top w:val="nil"/>
              <w:left w:val="nil"/>
              <w:bottom w:val="nil"/>
              <w:right w:val="nil"/>
            </w:tcBorders>
          </w:tcPr>
          <w:p>
            <w:pPr>
              <w:pStyle w:val="TableParagraph"/>
              <w:spacing w:before="95"/>
              <w:ind w:left="2"/>
              <w:rPr>
                <w:sz w:val="20"/>
              </w:rPr>
            </w:pPr>
            <w:r>
              <w:rPr>
                <w:w w:val="100"/>
                <w:sz w:val="20"/>
              </w:rPr>
              <w:t>1</w:t>
            </w:r>
          </w:p>
        </w:tc>
        <w:tc>
          <w:tcPr>
            <w:tcW w:w="526" w:type="dxa"/>
            <w:tcBorders>
              <w:top w:val="nil"/>
              <w:left w:val="nil"/>
              <w:bottom w:val="nil"/>
              <w:right w:val="nil"/>
            </w:tcBorders>
          </w:tcPr>
          <w:p>
            <w:pPr>
              <w:pStyle w:val="TableParagraph"/>
              <w:spacing w:before="95"/>
              <w:rPr>
                <w:sz w:val="20"/>
              </w:rPr>
            </w:pPr>
            <w:r>
              <w:rPr>
                <w:w w:val="100"/>
                <w:sz w:val="20"/>
              </w:rPr>
              <w:t>0</w:t>
            </w:r>
          </w:p>
        </w:tc>
        <w:tc>
          <w:tcPr>
            <w:tcW w:w="526" w:type="dxa"/>
            <w:tcBorders>
              <w:top w:val="nil"/>
              <w:left w:val="nil"/>
              <w:bottom w:val="nil"/>
              <w:right w:val="nil"/>
            </w:tcBorders>
          </w:tcPr>
          <w:p>
            <w:pPr>
              <w:pStyle w:val="TableParagraph"/>
              <w:spacing w:before="95"/>
              <w:ind w:left="2"/>
              <w:rPr>
                <w:sz w:val="20"/>
              </w:rPr>
            </w:pPr>
            <w:r>
              <w:rPr>
                <w:w w:val="100"/>
                <w:sz w:val="20"/>
              </w:rPr>
              <w:t>0</w:t>
            </w:r>
          </w:p>
        </w:tc>
        <w:tc>
          <w:tcPr>
            <w:tcW w:w="526" w:type="dxa"/>
            <w:tcBorders>
              <w:top w:val="nil"/>
              <w:left w:val="nil"/>
              <w:bottom w:val="nil"/>
              <w:right w:val="nil"/>
            </w:tcBorders>
          </w:tcPr>
          <w:p>
            <w:pPr>
              <w:pStyle w:val="TableParagraph"/>
              <w:spacing w:before="95"/>
              <w:rPr>
                <w:sz w:val="20"/>
              </w:rPr>
            </w:pPr>
            <w:r>
              <w:rPr>
                <w:w w:val="100"/>
                <w:sz w:val="20"/>
              </w:rPr>
              <w:t>0</w:t>
            </w:r>
          </w:p>
        </w:tc>
        <w:tc>
          <w:tcPr>
            <w:tcW w:w="528" w:type="dxa"/>
            <w:tcBorders>
              <w:top w:val="nil"/>
              <w:left w:val="nil"/>
              <w:bottom w:val="nil"/>
              <w:right w:val="nil"/>
            </w:tcBorders>
          </w:tcPr>
          <w:p>
            <w:pPr>
              <w:pStyle w:val="TableParagraph"/>
              <w:spacing w:before="95"/>
              <w:ind w:right="211"/>
              <w:jc w:val="right"/>
              <w:rPr>
                <w:sz w:val="20"/>
              </w:rPr>
            </w:pPr>
            <w:r>
              <w:rPr>
                <w:w w:val="100"/>
                <w:sz w:val="20"/>
              </w:rPr>
              <w:t>0</w:t>
            </w:r>
          </w:p>
        </w:tc>
        <w:tc>
          <w:tcPr>
            <w:tcW w:w="526" w:type="dxa"/>
            <w:tcBorders>
              <w:top w:val="nil"/>
              <w:left w:val="nil"/>
              <w:bottom w:val="nil"/>
              <w:right w:val="nil"/>
            </w:tcBorders>
          </w:tcPr>
          <w:p>
            <w:pPr>
              <w:pStyle w:val="TableParagraph"/>
              <w:spacing w:before="95"/>
              <w:ind w:left="2"/>
              <w:rPr>
                <w:sz w:val="20"/>
              </w:rPr>
            </w:pPr>
            <w:r>
              <w:rPr>
                <w:w w:val="100"/>
                <w:sz w:val="20"/>
              </w:rPr>
              <w:t>0</w:t>
            </w:r>
          </w:p>
        </w:tc>
        <w:tc>
          <w:tcPr>
            <w:tcW w:w="533" w:type="dxa"/>
            <w:tcBorders>
              <w:top w:val="nil"/>
              <w:left w:val="nil"/>
              <w:bottom w:val="nil"/>
              <w:right w:val="nil"/>
            </w:tcBorders>
          </w:tcPr>
          <w:p>
            <w:pPr>
              <w:pStyle w:val="TableParagraph"/>
              <w:spacing w:before="95"/>
              <w:ind w:right="7"/>
              <w:rPr>
                <w:sz w:val="20"/>
              </w:rPr>
            </w:pPr>
            <w:r>
              <w:rPr>
                <w:w w:val="100"/>
                <w:sz w:val="20"/>
              </w:rPr>
              <w:t>0</w:t>
            </w:r>
          </w:p>
        </w:tc>
        <w:tc>
          <w:tcPr>
            <w:tcW w:w="787" w:type="dxa"/>
            <w:tcBorders>
              <w:top w:val="nil"/>
              <w:left w:val="nil"/>
              <w:bottom w:val="nil"/>
              <w:right w:val="nil"/>
            </w:tcBorders>
          </w:tcPr>
          <w:p>
            <w:pPr>
              <w:pStyle w:val="TableParagraph"/>
              <w:spacing w:before="95"/>
              <w:ind w:right="257"/>
              <w:jc w:val="right"/>
              <w:rPr>
                <w:sz w:val="20"/>
              </w:rPr>
            </w:pPr>
            <w:r>
              <w:rPr>
                <w:sz w:val="20"/>
              </w:rPr>
              <w:t>2/8</w:t>
            </w:r>
          </w:p>
        </w:tc>
        <w:tc>
          <w:tcPr>
            <w:tcW w:w="860" w:type="dxa"/>
            <w:tcBorders>
              <w:top w:val="nil"/>
              <w:left w:val="nil"/>
              <w:bottom w:val="nil"/>
              <w:right w:val="nil"/>
            </w:tcBorders>
          </w:tcPr>
          <w:p>
            <w:pPr>
              <w:pStyle w:val="TableParagraph"/>
              <w:spacing w:before="95"/>
              <w:ind w:left="184" w:right="180"/>
              <w:rPr>
                <w:sz w:val="20"/>
              </w:rPr>
            </w:pPr>
            <w:r>
              <w:rPr>
                <w:sz w:val="20"/>
              </w:rPr>
              <w:t>25</w:t>
            </w:r>
          </w:p>
        </w:tc>
      </w:tr>
      <w:tr>
        <w:trPr>
          <w:trHeight w:val="420" w:hRule="exact"/>
        </w:trPr>
        <w:tc>
          <w:tcPr>
            <w:tcW w:w="2143" w:type="dxa"/>
            <w:tcBorders>
              <w:top w:val="nil"/>
              <w:left w:val="nil"/>
              <w:bottom w:val="nil"/>
              <w:right w:val="nil"/>
            </w:tcBorders>
          </w:tcPr>
          <w:p>
            <w:pPr>
              <w:pStyle w:val="TableParagraph"/>
              <w:spacing w:before="98"/>
              <w:ind w:left="300" w:right="398"/>
              <w:rPr>
                <w:sz w:val="20"/>
              </w:rPr>
            </w:pPr>
            <w:r>
              <w:rPr>
                <w:sz w:val="20"/>
              </w:rPr>
              <w:t>LKD</w:t>
            </w:r>
          </w:p>
        </w:tc>
        <w:tc>
          <w:tcPr>
            <w:tcW w:w="863" w:type="dxa"/>
            <w:tcBorders>
              <w:top w:val="nil"/>
              <w:left w:val="nil"/>
              <w:bottom w:val="nil"/>
              <w:right w:val="nil"/>
            </w:tcBorders>
          </w:tcPr>
          <w:p>
            <w:pPr>
              <w:pStyle w:val="TableParagraph"/>
              <w:spacing w:before="98"/>
              <w:ind w:left="90"/>
              <w:rPr>
                <w:sz w:val="20"/>
              </w:rPr>
            </w:pPr>
            <w:r>
              <w:rPr>
                <w:w w:val="100"/>
                <w:sz w:val="20"/>
              </w:rPr>
              <w:t>0</w:t>
            </w:r>
          </w:p>
        </w:tc>
        <w:tc>
          <w:tcPr>
            <w:tcW w:w="586" w:type="dxa"/>
            <w:tcBorders>
              <w:top w:val="nil"/>
              <w:left w:val="nil"/>
              <w:bottom w:val="nil"/>
              <w:right w:val="nil"/>
            </w:tcBorders>
          </w:tcPr>
          <w:p>
            <w:pPr>
              <w:pStyle w:val="TableParagraph"/>
              <w:spacing w:before="98"/>
              <w:ind w:right="146"/>
              <w:jc w:val="right"/>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ind w:left="2"/>
              <w:rPr>
                <w:sz w:val="20"/>
              </w:rPr>
            </w:pPr>
            <w:r>
              <w:rPr>
                <w:w w:val="100"/>
                <w:sz w:val="20"/>
              </w:rPr>
              <w:t>0</w:t>
            </w:r>
          </w:p>
        </w:tc>
        <w:tc>
          <w:tcPr>
            <w:tcW w:w="398"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ind w:left="2"/>
              <w:rPr>
                <w:sz w:val="20"/>
              </w:rPr>
            </w:pPr>
            <w:r>
              <w:rPr>
                <w:w w:val="100"/>
                <w:sz w:val="20"/>
              </w:rPr>
              <w:t>0</w:t>
            </w:r>
          </w:p>
        </w:tc>
        <w:tc>
          <w:tcPr>
            <w:tcW w:w="399" w:type="dxa"/>
            <w:tcBorders>
              <w:top w:val="nil"/>
              <w:left w:val="nil"/>
              <w:bottom w:val="nil"/>
              <w:right w:val="nil"/>
            </w:tcBorders>
          </w:tcPr>
          <w:p>
            <w:pPr>
              <w:pStyle w:val="TableParagraph"/>
              <w:spacing w:before="98"/>
              <w:rPr>
                <w:sz w:val="20"/>
              </w:rPr>
            </w:pPr>
            <w:r>
              <w:rPr>
                <w:w w:val="100"/>
                <w:sz w:val="20"/>
              </w:rPr>
              <w:t>0</w:t>
            </w:r>
          </w:p>
        </w:tc>
        <w:tc>
          <w:tcPr>
            <w:tcW w:w="401" w:type="dxa"/>
            <w:tcBorders>
              <w:top w:val="nil"/>
              <w:left w:val="nil"/>
              <w:bottom w:val="nil"/>
              <w:right w:val="nil"/>
            </w:tcBorders>
          </w:tcPr>
          <w:p>
            <w:pPr>
              <w:pStyle w:val="TableParagraph"/>
              <w:spacing w:before="98"/>
              <w:rPr>
                <w:sz w:val="20"/>
              </w:rPr>
            </w:pPr>
            <w:r>
              <w:rPr>
                <w:w w:val="100"/>
                <w:sz w:val="20"/>
              </w:rPr>
              <w:t>0</w:t>
            </w:r>
          </w:p>
        </w:tc>
        <w:tc>
          <w:tcPr>
            <w:tcW w:w="434" w:type="dxa"/>
            <w:tcBorders>
              <w:top w:val="nil"/>
              <w:left w:val="nil"/>
              <w:bottom w:val="nil"/>
              <w:right w:val="nil"/>
            </w:tcBorders>
          </w:tcPr>
          <w:p>
            <w:pPr>
              <w:pStyle w:val="TableParagraph"/>
              <w:spacing w:before="98"/>
              <w:ind w:right="29"/>
              <w:rPr>
                <w:sz w:val="20"/>
              </w:rPr>
            </w:pPr>
            <w:r>
              <w:rPr>
                <w:w w:val="100"/>
                <w:sz w:val="20"/>
              </w:rPr>
              <w:t>0</w:t>
            </w:r>
          </w:p>
        </w:tc>
        <w:tc>
          <w:tcPr>
            <w:tcW w:w="497" w:type="dxa"/>
            <w:tcBorders>
              <w:top w:val="nil"/>
              <w:left w:val="nil"/>
              <w:bottom w:val="nil"/>
              <w:right w:val="nil"/>
            </w:tcBorders>
          </w:tcPr>
          <w:p>
            <w:pPr>
              <w:pStyle w:val="TableParagraph"/>
              <w:spacing w:before="98"/>
              <w:ind w:right="29"/>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26" w:type="dxa"/>
            <w:tcBorders>
              <w:top w:val="nil"/>
              <w:left w:val="nil"/>
              <w:bottom w:val="nil"/>
              <w:right w:val="nil"/>
            </w:tcBorders>
          </w:tcPr>
          <w:p>
            <w:pPr>
              <w:pStyle w:val="TableParagraph"/>
              <w:spacing w:before="98"/>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26" w:type="dxa"/>
            <w:tcBorders>
              <w:top w:val="nil"/>
              <w:left w:val="nil"/>
              <w:bottom w:val="nil"/>
              <w:right w:val="nil"/>
            </w:tcBorders>
          </w:tcPr>
          <w:p>
            <w:pPr>
              <w:pStyle w:val="TableParagraph"/>
              <w:spacing w:before="98"/>
              <w:rPr>
                <w:sz w:val="20"/>
              </w:rPr>
            </w:pPr>
            <w:r>
              <w:rPr>
                <w:w w:val="100"/>
                <w:sz w:val="20"/>
              </w:rPr>
              <w:t>0</w:t>
            </w:r>
          </w:p>
        </w:tc>
        <w:tc>
          <w:tcPr>
            <w:tcW w:w="528" w:type="dxa"/>
            <w:tcBorders>
              <w:top w:val="nil"/>
              <w:left w:val="nil"/>
              <w:bottom w:val="nil"/>
              <w:right w:val="nil"/>
            </w:tcBorders>
          </w:tcPr>
          <w:p>
            <w:pPr>
              <w:pStyle w:val="TableParagraph"/>
              <w:spacing w:before="98"/>
              <w:ind w:right="211"/>
              <w:jc w:val="right"/>
              <w:rPr>
                <w:sz w:val="20"/>
              </w:rPr>
            </w:pPr>
            <w:r>
              <w:rPr>
                <w:w w:val="100"/>
                <w:sz w:val="20"/>
              </w:rPr>
              <w:t>0</w:t>
            </w:r>
          </w:p>
        </w:tc>
        <w:tc>
          <w:tcPr>
            <w:tcW w:w="526" w:type="dxa"/>
            <w:tcBorders>
              <w:top w:val="nil"/>
              <w:left w:val="nil"/>
              <w:bottom w:val="nil"/>
              <w:right w:val="nil"/>
            </w:tcBorders>
          </w:tcPr>
          <w:p>
            <w:pPr>
              <w:pStyle w:val="TableParagraph"/>
              <w:spacing w:before="98"/>
              <w:ind w:left="2"/>
              <w:rPr>
                <w:sz w:val="20"/>
              </w:rPr>
            </w:pPr>
            <w:r>
              <w:rPr>
                <w:w w:val="100"/>
                <w:sz w:val="20"/>
              </w:rPr>
              <w:t>0</w:t>
            </w:r>
          </w:p>
        </w:tc>
        <w:tc>
          <w:tcPr>
            <w:tcW w:w="533" w:type="dxa"/>
            <w:tcBorders>
              <w:top w:val="nil"/>
              <w:left w:val="nil"/>
              <w:bottom w:val="nil"/>
              <w:right w:val="nil"/>
            </w:tcBorders>
          </w:tcPr>
          <w:p>
            <w:pPr>
              <w:pStyle w:val="TableParagraph"/>
              <w:spacing w:before="98"/>
              <w:ind w:right="7"/>
              <w:rPr>
                <w:sz w:val="20"/>
              </w:rPr>
            </w:pPr>
            <w:r>
              <w:rPr>
                <w:w w:val="100"/>
                <w:sz w:val="20"/>
              </w:rPr>
              <w:t>0</w:t>
            </w:r>
          </w:p>
        </w:tc>
        <w:tc>
          <w:tcPr>
            <w:tcW w:w="787" w:type="dxa"/>
            <w:tcBorders>
              <w:top w:val="nil"/>
              <w:left w:val="nil"/>
              <w:bottom w:val="nil"/>
              <w:right w:val="nil"/>
            </w:tcBorders>
          </w:tcPr>
          <w:p>
            <w:pPr>
              <w:pStyle w:val="TableParagraph"/>
              <w:spacing w:before="98"/>
              <w:ind w:right="204"/>
              <w:jc w:val="right"/>
              <w:rPr>
                <w:sz w:val="20"/>
              </w:rPr>
            </w:pPr>
            <w:r>
              <w:rPr>
                <w:sz w:val="20"/>
              </w:rPr>
              <w:t>0/10</w:t>
            </w:r>
          </w:p>
        </w:tc>
        <w:tc>
          <w:tcPr>
            <w:tcW w:w="860" w:type="dxa"/>
            <w:tcBorders>
              <w:top w:val="nil"/>
              <w:left w:val="nil"/>
              <w:bottom w:val="nil"/>
              <w:right w:val="nil"/>
            </w:tcBorders>
          </w:tcPr>
          <w:p>
            <w:pPr>
              <w:pStyle w:val="TableParagraph"/>
              <w:spacing w:before="98"/>
              <w:ind w:left="9"/>
              <w:rPr>
                <w:sz w:val="20"/>
              </w:rPr>
            </w:pPr>
            <w:r>
              <w:rPr>
                <w:w w:val="100"/>
                <w:sz w:val="20"/>
              </w:rPr>
              <w:t>0</w:t>
            </w:r>
          </w:p>
        </w:tc>
      </w:tr>
      <w:tr>
        <w:trPr>
          <w:trHeight w:val="431" w:hRule="exact"/>
        </w:trPr>
        <w:tc>
          <w:tcPr>
            <w:tcW w:w="2143" w:type="dxa"/>
            <w:tcBorders>
              <w:top w:val="nil"/>
              <w:left w:val="nil"/>
              <w:right w:val="nil"/>
            </w:tcBorders>
          </w:tcPr>
          <w:p>
            <w:pPr>
              <w:pStyle w:val="TableParagraph"/>
              <w:spacing w:before="71"/>
              <w:ind w:left="300" w:right="402"/>
              <w:rPr>
                <w:sz w:val="20"/>
              </w:rPr>
            </w:pPr>
            <w:r>
              <w:rPr>
                <w:sz w:val="20"/>
              </w:rPr>
              <w:t>CONTROL/BUT</w:t>
            </w:r>
          </w:p>
        </w:tc>
        <w:tc>
          <w:tcPr>
            <w:tcW w:w="863" w:type="dxa"/>
            <w:tcBorders>
              <w:top w:val="nil"/>
              <w:left w:val="nil"/>
              <w:right w:val="nil"/>
            </w:tcBorders>
          </w:tcPr>
          <w:p>
            <w:pPr>
              <w:pStyle w:val="TableParagraph"/>
              <w:spacing w:before="71"/>
              <w:ind w:left="90"/>
              <w:rPr>
                <w:sz w:val="20"/>
              </w:rPr>
            </w:pPr>
            <w:r>
              <w:rPr>
                <w:w w:val="100"/>
                <w:sz w:val="20"/>
              </w:rPr>
              <w:t>0</w:t>
            </w:r>
          </w:p>
        </w:tc>
        <w:tc>
          <w:tcPr>
            <w:tcW w:w="586" w:type="dxa"/>
            <w:tcBorders>
              <w:top w:val="nil"/>
              <w:left w:val="nil"/>
              <w:right w:val="nil"/>
            </w:tcBorders>
          </w:tcPr>
          <w:p>
            <w:pPr>
              <w:pStyle w:val="TableParagraph"/>
              <w:spacing w:before="71"/>
              <w:ind w:right="146"/>
              <w:jc w:val="right"/>
              <w:rPr>
                <w:sz w:val="20"/>
              </w:rPr>
            </w:pPr>
            <w:r>
              <w:rPr>
                <w:w w:val="100"/>
                <w:sz w:val="20"/>
              </w:rPr>
              <w:t>8</w:t>
            </w:r>
          </w:p>
        </w:tc>
        <w:tc>
          <w:tcPr>
            <w:tcW w:w="401" w:type="dxa"/>
            <w:tcBorders>
              <w:top w:val="nil"/>
              <w:left w:val="nil"/>
              <w:right w:val="nil"/>
            </w:tcBorders>
          </w:tcPr>
          <w:p>
            <w:pPr>
              <w:pStyle w:val="TableParagraph"/>
              <w:spacing w:before="71"/>
              <w:rPr>
                <w:sz w:val="20"/>
              </w:rPr>
            </w:pPr>
            <w:r>
              <w:rPr>
                <w:w w:val="100"/>
                <w:sz w:val="20"/>
              </w:rPr>
              <w:t>0</w:t>
            </w:r>
          </w:p>
        </w:tc>
        <w:tc>
          <w:tcPr>
            <w:tcW w:w="401" w:type="dxa"/>
            <w:tcBorders>
              <w:top w:val="nil"/>
              <w:left w:val="nil"/>
              <w:right w:val="nil"/>
            </w:tcBorders>
          </w:tcPr>
          <w:p>
            <w:pPr>
              <w:pStyle w:val="TableParagraph"/>
              <w:spacing w:before="71"/>
              <w:ind w:left="2"/>
              <w:rPr>
                <w:sz w:val="20"/>
              </w:rPr>
            </w:pPr>
            <w:r>
              <w:rPr>
                <w:w w:val="100"/>
                <w:sz w:val="20"/>
              </w:rPr>
              <w:t>0</w:t>
            </w:r>
          </w:p>
        </w:tc>
        <w:tc>
          <w:tcPr>
            <w:tcW w:w="398" w:type="dxa"/>
            <w:tcBorders>
              <w:top w:val="nil"/>
              <w:left w:val="nil"/>
              <w:right w:val="nil"/>
            </w:tcBorders>
          </w:tcPr>
          <w:p>
            <w:pPr>
              <w:pStyle w:val="TableParagraph"/>
              <w:spacing w:before="71"/>
              <w:rPr>
                <w:sz w:val="20"/>
              </w:rPr>
            </w:pPr>
            <w:r>
              <w:rPr>
                <w:w w:val="100"/>
                <w:sz w:val="20"/>
              </w:rPr>
              <w:t>0</w:t>
            </w:r>
          </w:p>
        </w:tc>
        <w:tc>
          <w:tcPr>
            <w:tcW w:w="401" w:type="dxa"/>
            <w:tcBorders>
              <w:top w:val="nil"/>
              <w:left w:val="nil"/>
              <w:right w:val="nil"/>
            </w:tcBorders>
          </w:tcPr>
          <w:p>
            <w:pPr>
              <w:pStyle w:val="TableParagraph"/>
              <w:spacing w:before="71"/>
              <w:rPr>
                <w:sz w:val="20"/>
              </w:rPr>
            </w:pPr>
            <w:r>
              <w:rPr>
                <w:w w:val="100"/>
                <w:sz w:val="20"/>
              </w:rPr>
              <w:t>0</w:t>
            </w:r>
          </w:p>
        </w:tc>
        <w:tc>
          <w:tcPr>
            <w:tcW w:w="401" w:type="dxa"/>
            <w:tcBorders>
              <w:top w:val="nil"/>
              <w:left w:val="nil"/>
              <w:right w:val="nil"/>
            </w:tcBorders>
          </w:tcPr>
          <w:p>
            <w:pPr>
              <w:pStyle w:val="TableParagraph"/>
              <w:spacing w:before="71"/>
              <w:ind w:left="2"/>
              <w:rPr>
                <w:sz w:val="20"/>
              </w:rPr>
            </w:pPr>
            <w:r>
              <w:rPr>
                <w:w w:val="100"/>
                <w:sz w:val="20"/>
              </w:rPr>
              <w:t>0</w:t>
            </w:r>
          </w:p>
        </w:tc>
        <w:tc>
          <w:tcPr>
            <w:tcW w:w="399" w:type="dxa"/>
            <w:tcBorders>
              <w:top w:val="nil"/>
              <w:left w:val="nil"/>
              <w:right w:val="nil"/>
            </w:tcBorders>
          </w:tcPr>
          <w:p>
            <w:pPr>
              <w:pStyle w:val="TableParagraph"/>
              <w:spacing w:before="71"/>
              <w:rPr>
                <w:sz w:val="20"/>
              </w:rPr>
            </w:pPr>
            <w:r>
              <w:rPr>
                <w:w w:val="100"/>
                <w:sz w:val="20"/>
              </w:rPr>
              <w:t>0</w:t>
            </w:r>
          </w:p>
        </w:tc>
        <w:tc>
          <w:tcPr>
            <w:tcW w:w="401" w:type="dxa"/>
            <w:tcBorders>
              <w:top w:val="nil"/>
              <w:left w:val="nil"/>
              <w:right w:val="nil"/>
            </w:tcBorders>
          </w:tcPr>
          <w:p>
            <w:pPr>
              <w:pStyle w:val="TableParagraph"/>
              <w:spacing w:before="71"/>
              <w:rPr>
                <w:sz w:val="20"/>
              </w:rPr>
            </w:pPr>
            <w:r>
              <w:rPr>
                <w:w w:val="100"/>
                <w:sz w:val="20"/>
              </w:rPr>
              <w:t>0</w:t>
            </w:r>
          </w:p>
        </w:tc>
        <w:tc>
          <w:tcPr>
            <w:tcW w:w="434" w:type="dxa"/>
            <w:tcBorders>
              <w:top w:val="nil"/>
              <w:left w:val="nil"/>
              <w:right w:val="nil"/>
            </w:tcBorders>
          </w:tcPr>
          <w:p>
            <w:pPr>
              <w:pStyle w:val="TableParagraph"/>
              <w:spacing w:before="71"/>
              <w:ind w:right="29"/>
              <w:rPr>
                <w:sz w:val="20"/>
              </w:rPr>
            </w:pPr>
            <w:r>
              <w:rPr>
                <w:w w:val="100"/>
                <w:sz w:val="20"/>
              </w:rPr>
              <w:t>0</w:t>
            </w:r>
          </w:p>
        </w:tc>
        <w:tc>
          <w:tcPr>
            <w:tcW w:w="497" w:type="dxa"/>
            <w:tcBorders>
              <w:top w:val="nil"/>
              <w:left w:val="nil"/>
              <w:right w:val="nil"/>
            </w:tcBorders>
          </w:tcPr>
          <w:p>
            <w:pPr>
              <w:pStyle w:val="TableParagraph"/>
              <w:spacing w:before="71"/>
              <w:ind w:right="29"/>
              <w:rPr>
                <w:sz w:val="20"/>
              </w:rPr>
            </w:pPr>
            <w:r>
              <w:rPr>
                <w:w w:val="100"/>
                <w:sz w:val="20"/>
              </w:rPr>
              <w:t>0</w:t>
            </w:r>
          </w:p>
        </w:tc>
        <w:tc>
          <w:tcPr>
            <w:tcW w:w="526" w:type="dxa"/>
            <w:tcBorders>
              <w:top w:val="nil"/>
              <w:left w:val="nil"/>
              <w:right w:val="nil"/>
            </w:tcBorders>
          </w:tcPr>
          <w:p>
            <w:pPr>
              <w:pStyle w:val="TableParagraph"/>
              <w:spacing w:before="71"/>
              <w:ind w:left="2"/>
              <w:rPr>
                <w:sz w:val="20"/>
              </w:rPr>
            </w:pPr>
            <w:r>
              <w:rPr>
                <w:w w:val="100"/>
                <w:sz w:val="20"/>
              </w:rPr>
              <w:t>0</w:t>
            </w:r>
          </w:p>
        </w:tc>
        <w:tc>
          <w:tcPr>
            <w:tcW w:w="526" w:type="dxa"/>
            <w:tcBorders>
              <w:top w:val="nil"/>
              <w:left w:val="nil"/>
              <w:right w:val="nil"/>
            </w:tcBorders>
          </w:tcPr>
          <w:p>
            <w:pPr>
              <w:pStyle w:val="TableParagraph"/>
              <w:spacing w:before="71"/>
              <w:rPr>
                <w:sz w:val="20"/>
              </w:rPr>
            </w:pPr>
            <w:r>
              <w:rPr>
                <w:w w:val="100"/>
                <w:sz w:val="20"/>
              </w:rPr>
              <w:t>0</w:t>
            </w:r>
          </w:p>
        </w:tc>
        <w:tc>
          <w:tcPr>
            <w:tcW w:w="526" w:type="dxa"/>
            <w:tcBorders>
              <w:top w:val="nil"/>
              <w:left w:val="nil"/>
              <w:right w:val="nil"/>
            </w:tcBorders>
          </w:tcPr>
          <w:p>
            <w:pPr>
              <w:pStyle w:val="TableParagraph"/>
              <w:spacing w:before="71"/>
              <w:ind w:left="2"/>
              <w:rPr>
                <w:sz w:val="20"/>
              </w:rPr>
            </w:pPr>
            <w:r>
              <w:rPr>
                <w:w w:val="100"/>
                <w:sz w:val="20"/>
              </w:rPr>
              <w:t>0</w:t>
            </w:r>
          </w:p>
        </w:tc>
        <w:tc>
          <w:tcPr>
            <w:tcW w:w="526" w:type="dxa"/>
            <w:tcBorders>
              <w:top w:val="nil"/>
              <w:left w:val="nil"/>
              <w:right w:val="nil"/>
            </w:tcBorders>
          </w:tcPr>
          <w:p>
            <w:pPr>
              <w:pStyle w:val="TableParagraph"/>
              <w:spacing w:before="71"/>
              <w:rPr>
                <w:sz w:val="20"/>
              </w:rPr>
            </w:pPr>
            <w:r>
              <w:rPr>
                <w:w w:val="100"/>
                <w:sz w:val="20"/>
              </w:rPr>
              <w:t>0</w:t>
            </w:r>
          </w:p>
        </w:tc>
        <w:tc>
          <w:tcPr>
            <w:tcW w:w="528" w:type="dxa"/>
            <w:tcBorders>
              <w:top w:val="nil"/>
              <w:left w:val="nil"/>
              <w:right w:val="nil"/>
            </w:tcBorders>
          </w:tcPr>
          <w:p>
            <w:pPr>
              <w:pStyle w:val="TableParagraph"/>
              <w:spacing w:before="71"/>
              <w:ind w:right="211"/>
              <w:jc w:val="right"/>
              <w:rPr>
                <w:sz w:val="20"/>
              </w:rPr>
            </w:pPr>
            <w:r>
              <w:rPr>
                <w:w w:val="100"/>
                <w:sz w:val="20"/>
              </w:rPr>
              <w:t>0</w:t>
            </w:r>
          </w:p>
        </w:tc>
        <w:tc>
          <w:tcPr>
            <w:tcW w:w="526" w:type="dxa"/>
            <w:tcBorders>
              <w:top w:val="nil"/>
              <w:left w:val="nil"/>
              <w:right w:val="nil"/>
            </w:tcBorders>
          </w:tcPr>
          <w:p>
            <w:pPr>
              <w:pStyle w:val="TableParagraph"/>
              <w:spacing w:before="71"/>
              <w:ind w:left="2"/>
              <w:rPr>
                <w:sz w:val="20"/>
              </w:rPr>
            </w:pPr>
            <w:r>
              <w:rPr>
                <w:w w:val="100"/>
                <w:sz w:val="20"/>
              </w:rPr>
              <w:t>0</w:t>
            </w:r>
          </w:p>
        </w:tc>
        <w:tc>
          <w:tcPr>
            <w:tcW w:w="533" w:type="dxa"/>
            <w:tcBorders>
              <w:top w:val="nil"/>
              <w:left w:val="nil"/>
              <w:right w:val="nil"/>
            </w:tcBorders>
          </w:tcPr>
          <w:p>
            <w:pPr>
              <w:pStyle w:val="TableParagraph"/>
              <w:spacing w:before="71"/>
              <w:ind w:right="7"/>
              <w:rPr>
                <w:sz w:val="20"/>
              </w:rPr>
            </w:pPr>
            <w:r>
              <w:rPr>
                <w:w w:val="100"/>
                <w:sz w:val="20"/>
              </w:rPr>
              <w:t>0</w:t>
            </w:r>
          </w:p>
        </w:tc>
        <w:tc>
          <w:tcPr>
            <w:tcW w:w="787" w:type="dxa"/>
            <w:tcBorders>
              <w:top w:val="nil"/>
              <w:left w:val="nil"/>
              <w:right w:val="nil"/>
            </w:tcBorders>
          </w:tcPr>
          <w:p>
            <w:pPr>
              <w:pStyle w:val="TableParagraph"/>
              <w:spacing w:before="71"/>
              <w:ind w:right="257"/>
              <w:jc w:val="right"/>
              <w:rPr>
                <w:sz w:val="20"/>
              </w:rPr>
            </w:pPr>
            <w:r>
              <w:rPr>
                <w:sz w:val="20"/>
              </w:rPr>
              <w:t>8/9</w:t>
            </w:r>
          </w:p>
        </w:tc>
        <w:tc>
          <w:tcPr>
            <w:tcW w:w="860" w:type="dxa"/>
            <w:tcBorders>
              <w:top w:val="nil"/>
              <w:left w:val="nil"/>
              <w:right w:val="nil"/>
            </w:tcBorders>
          </w:tcPr>
          <w:p>
            <w:pPr>
              <w:pStyle w:val="TableParagraph"/>
              <w:spacing w:before="71"/>
              <w:ind w:left="189" w:right="180"/>
              <w:rPr>
                <w:sz w:val="20"/>
              </w:rPr>
            </w:pPr>
            <w:r>
              <w:rPr>
                <w:sz w:val="20"/>
              </w:rPr>
              <w:t>88.9*</w:t>
            </w:r>
          </w:p>
        </w:tc>
      </w:tr>
    </w:tbl>
    <w:p>
      <w:pPr>
        <w:spacing w:after="0"/>
        <w:rPr>
          <w:sz w:val="20"/>
        </w:rPr>
        <w:sectPr>
          <w:footerReference w:type="default" r:id="rId49"/>
          <w:pgSz w:w="15840" w:h="12240" w:orient="landscape"/>
          <w:pgMar w:footer="1628" w:header="0" w:top="1140" w:bottom="1820" w:left="1640" w:right="1260"/>
          <w:pgNumType w:start="67"/>
        </w:sectPr>
      </w:pPr>
    </w:p>
    <w:p>
      <w:pPr>
        <w:pStyle w:val="BodyText"/>
        <w:rPr>
          <w:sz w:val="20"/>
        </w:rPr>
      </w:pPr>
    </w:p>
    <w:p>
      <w:pPr>
        <w:pStyle w:val="BodyText"/>
        <w:rPr>
          <w:sz w:val="20"/>
        </w:rPr>
      </w:pPr>
    </w:p>
    <w:p>
      <w:pPr>
        <w:pStyle w:val="BodyText"/>
        <w:spacing w:before="10"/>
        <w:rPr>
          <w:sz w:val="17"/>
        </w:rPr>
      </w:pPr>
    </w:p>
    <w:p>
      <w:pPr>
        <w:spacing w:line="472" w:lineRule="auto" w:before="1"/>
        <w:ind w:left="232" w:right="241" w:firstLine="0"/>
        <w:jc w:val="both"/>
        <w:rPr>
          <w:sz w:val="20"/>
        </w:rPr>
      </w:pPr>
      <w:r>
        <w:rPr>
          <w:sz w:val="20"/>
        </w:rPr>
        <w:t>Table 2. Median (range) of the Glasgow composite pain scale (GCPS), the University of Melbourne pain scale (UMPS) and the numerical rate scaling (NRS) in dogs after ovariohysterectomy. Animals received a constant rate infusion of either fentanyl (FENT), lidocaine (LIDO), ketamine (KET), dexmedetomidine (DEX), a combination of lidocaine-ketamine-dexmedetomidine (LKD), or saline 0.9% with a loading dose of  butorphanol  after induction of anesthesia (CONTROL/BUT). Baseline values were recorded 90 minutes before induction of anesthesia. Treatments were infused for 4 hours after surgery. *Significantly different from baseline values</w:t>
      </w:r>
      <w:r>
        <w:rPr>
          <w:position w:val="9"/>
          <w:sz w:val="13"/>
        </w:rPr>
        <w:t>. a,b,c,d </w:t>
      </w:r>
      <w:r>
        <w:rPr>
          <w:sz w:val="20"/>
        </w:rPr>
        <w:t>significantly different among groups (</w:t>
      </w:r>
      <w:r>
        <w:rPr>
          <w:i/>
          <w:sz w:val="20"/>
        </w:rPr>
        <w:t>p </w:t>
      </w:r>
      <w:r>
        <w:rPr>
          <w:sz w:val="20"/>
        </w:rPr>
        <w:t>&lt; 0.05).</w:t>
      </w:r>
    </w:p>
    <w:p>
      <w:pPr>
        <w:pStyle w:val="BodyText"/>
        <w:spacing w:line="20" w:lineRule="exact"/>
        <w:ind w:left="117"/>
        <w:rPr>
          <w:sz w:val="2"/>
        </w:rPr>
      </w:pPr>
      <w:r>
        <w:rPr>
          <w:sz w:val="2"/>
        </w:rPr>
        <w:pict>
          <v:group style="width:633.6pt;height:.5pt;mso-position-horizontal-relative:char;mso-position-vertical-relative:line" coordorigin="0,0" coordsize="12672,10">
            <v:line style="position:absolute" from="5,5" to="927,5" stroked="true" strokeweight=".48pt" strokecolor="#000000"/>
            <v:line style="position:absolute" from="927,5" to="937,5" stroked="true" strokeweight=".48pt" strokecolor="#000000"/>
            <v:line style="position:absolute" from="937,5" to="2305,5" stroked="true" strokeweight=".48pt" strokecolor="#000000"/>
            <v:line style="position:absolute" from="2305,5" to="2314,5" stroked="true" strokeweight=".48pt" strokecolor="#000000"/>
            <v:line style="position:absolute" from="2314,5" to="12667,5" stroked="true" strokeweight=".48pt" strokecolor="#000000"/>
          </v:group>
        </w:pict>
      </w:r>
      <w:r>
        <w:rPr>
          <w:sz w:val="2"/>
        </w:rPr>
      </w:r>
    </w:p>
    <w:p>
      <w:pPr>
        <w:spacing w:before="0"/>
        <w:ind w:left="6576" w:right="4303" w:firstLine="0"/>
        <w:jc w:val="center"/>
        <w:rPr>
          <w:sz w:val="16"/>
        </w:rPr>
      </w:pPr>
      <w:r>
        <w:rPr>
          <w:sz w:val="16"/>
        </w:rPr>
        <w:t>Time points (hours)</w:t>
      </w:r>
    </w:p>
    <w:p>
      <w:pPr>
        <w:tabs>
          <w:tab w:pos="1399" w:val="left" w:leader="none"/>
          <w:tab w:pos="2421" w:val="left" w:leader="none"/>
          <w:tab w:pos="3492" w:val="left" w:leader="none"/>
          <w:tab w:pos="4082" w:val="left" w:leader="none"/>
          <w:tab w:pos="4635" w:val="left" w:leader="none"/>
          <w:tab w:pos="5192" w:val="left" w:leader="none"/>
          <w:tab w:pos="5744" w:val="left" w:leader="none"/>
          <w:tab w:pos="6301" w:val="left" w:leader="none"/>
          <w:tab w:pos="6853" w:val="left" w:leader="none"/>
          <w:tab w:pos="7410" w:val="left" w:leader="none"/>
          <w:tab w:pos="8005" w:val="left" w:leader="none"/>
          <w:tab w:pos="8557" w:val="left" w:leader="none"/>
          <w:tab w:pos="9114" w:val="left" w:leader="none"/>
          <w:tab w:pos="9667" w:val="left" w:leader="none"/>
          <w:tab w:pos="10219" w:val="left" w:leader="none"/>
          <w:tab w:pos="10776" w:val="left" w:leader="none"/>
          <w:tab w:pos="11328" w:val="left" w:leader="none"/>
          <w:tab w:pos="11885" w:val="left" w:leader="none"/>
          <w:tab w:pos="12595" w:val="right" w:leader="none"/>
          <w:tab w:pos="12818" w:val="left" w:leader="none"/>
        </w:tabs>
        <w:spacing w:line="249" w:lineRule="auto" w:before="3"/>
        <w:ind w:left="2537" w:right="99" w:hanging="2291"/>
        <w:jc w:val="left"/>
        <w:rPr>
          <w:sz w:val="16"/>
        </w:rPr>
      </w:pPr>
      <w:r>
        <w:rPr/>
        <w:pict>
          <v:group style="position:absolute;margin-left:87.853996pt;margin-top:28.488743pt;width:633.6pt;height:.5pt;mso-position-horizontal-relative:page;mso-position-vertical-relative:paragraph;z-index:-131896" coordorigin="1757,570" coordsize="12672,10">
            <v:line style="position:absolute" from="1762,575" to="2684,575" stroked="true" strokeweight=".48pt" strokecolor="#000000"/>
            <v:line style="position:absolute" from="2684,575" to="2694,575" stroked="true" strokeweight=".48pt" strokecolor="#000000"/>
            <v:line style="position:absolute" from="2694,575" to="4062,575" stroked="true" strokeweight=".48pt" strokecolor="#000000"/>
            <v:line style="position:absolute" from="4062,575" to="4071,575" stroked="true" strokeweight=".48pt" strokecolor="#000000"/>
            <v:line style="position:absolute" from="4071,575" to="4854,575" stroked="true" strokeweight=".48pt" strokecolor="#000000"/>
            <v:line style="position:absolute" from="4854,575" to="4864,575" stroked="true" strokeweight=".48pt" strokecolor="#000000"/>
            <v:line style="position:absolute" from="4864,575" to="5493,575" stroked="true" strokeweight=".48pt" strokecolor="#000000"/>
            <v:line style="position:absolute" from="5493,575" to="5502,575" stroked="true" strokeweight=".48pt" strokecolor="#000000"/>
            <v:line style="position:absolute" from="5502,575" to="6045,575" stroked="true" strokeweight=".48pt" strokecolor="#000000"/>
            <v:line style="position:absolute" from="6045,575" to="6055,575" stroked="true" strokeweight=".48pt" strokecolor="#000000"/>
            <v:line style="position:absolute" from="6055,575" to="6602,575" stroked="true" strokeweight=".48pt" strokecolor="#000000"/>
            <v:line style="position:absolute" from="6602,575" to="6612,575" stroked="true" strokeweight=".48pt" strokecolor="#000000"/>
            <v:line style="position:absolute" from="6612,575" to="7154,575" stroked="true" strokeweight=".48pt" strokecolor="#000000"/>
            <v:line style="position:absolute" from="7154,575" to="7164,575" stroked="true" strokeweight=".48pt" strokecolor="#000000"/>
            <v:line style="position:absolute" from="7164,575" to="7706,575" stroked="true" strokeweight=".48pt" strokecolor="#000000"/>
            <v:line style="position:absolute" from="7706,575" to="7716,575" stroked="true" strokeweight=".48pt" strokecolor="#000000"/>
            <v:line style="position:absolute" from="7716,575" to="8263,575" stroked="true" strokeweight=".48pt" strokecolor="#000000"/>
            <v:line style="position:absolute" from="8263,575" to="8273,575" stroked="true" strokeweight=".48pt" strokecolor="#000000"/>
            <v:line style="position:absolute" from="8273,575" to="8815,575" stroked="true" strokeweight=".48pt" strokecolor="#000000"/>
            <v:line style="position:absolute" from="8815,575" to="8825,575" stroked="true" strokeweight=".48pt" strokecolor="#000000"/>
            <v:line style="position:absolute" from="8825,575" to="9372,575" stroked="true" strokeweight=".48pt" strokecolor="#000000"/>
            <v:line style="position:absolute" from="9372,575" to="9382,575" stroked="true" strokeweight=".48pt" strokecolor="#000000"/>
            <v:line style="position:absolute" from="9382,575" to="10006,575" stroked="true" strokeweight=".48pt" strokecolor="#000000"/>
            <v:line style="position:absolute" from="10006,575" to="10016,575" stroked="true" strokeweight=".48pt" strokecolor="#000000"/>
            <v:line style="position:absolute" from="10016,575" to="10558,575" stroked="true" strokeweight=".48pt" strokecolor="#000000"/>
            <v:line style="position:absolute" from="10558,575" to="10568,575" stroked="true" strokeweight=".48pt" strokecolor="#000000"/>
            <v:line style="position:absolute" from="10568,575" to="11115,575" stroked="true" strokeweight=".48pt" strokecolor="#000000"/>
            <v:line style="position:absolute" from="11115,575" to="11125,575" stroked="true" strokeweight=".48pt" strokecolor="#000000"/>
            <v:line style="position:absolute" from="11125,575" to="11667,575" stroked="true" strokeweight=".48pt" strokecolor="#000000"/>
            <v:line style="position:absolute" from="11667,575" to="11677,575" stroked="true" strokeweight=".48pt" strokecolor="#000000"/>
            <v:line style="position:absolute" from="11677,575" to="12224,575" stroked="true" strokeweight=".48pt" strokecolor="#000000"/>
            <v:line style="position:absolute" from="12224,575" to="12234,575" stroked="true" strokeweight=".48pt" strokecolor="#000000"/>
            <v:line style="position:absolute" from="12234,575" to="12777,575" stroked="true" strokeweight=".48pt" strokecolor="#000000"/>
            <v:line style="position:absolute" from="12777,575" to="12786,575" stroked="true" strokeweight=".48pt" strokecolor="#000000"/>
            <v:line style="position:absolute" from="12786,575" to="13329,575" stroked="true" strokeweight=".48pt" strokecolor="#000000"/>
            <v:line style="position:absolute" from="13329,575" to="13338,575" stroked="true" strokeweight=".48pt" strokecolor="#000000"/>
            <v:line style="position:absolute" from="13338,575" to="13885,575" stroked="true" strokeweight=".48pt" strokecolor="#000000"/>
            <v:line style="position:absolute" from="13885,575" to="13895,575" stroked="true" strokeweight=".48pt" strokecolor="#000000"/>
            <v:line style="position:absolute" from="13895,575" to="14423,575" stroked="true" strokeweight=".48pt" strokecolor="#000000"/>
            <w10:wrap type="none"/>
          </v:group>
        </w:pict>
      </w:r>
      <w:r>
        <w:rPr>
          <w:sz w:val="16"/>
        </w:rPr>
        <w:t>Pain</w:t>
      </w:r>
      <w:r>
        <w:rPr>
          <w:spacing w:val="-2"/>
          <w:sz w:val="16"/>
        </w:rPr>
        <w:t> </w:t>
      </w:r>
      <w:r>
        <w:rPr>
          <w:sz w:val="16"/>
        </w:rPr>
        <w:t>Scale</w:t>
        <w:tab/>
        <w:t>Treatment</w:t>
        <w:tab/>
      </w:r>
      <w:r>
        <w:rPr>
          <w:sz w:val="16"/>
          <w:u w:val="single"/>
        </w:rPr>
        <w:tab/>
        <w:tab/>
        <w:tab/>
        <w:tab/>
        <w:tab/>
        <w:tab/>
        <w:tab/>
        <w:tab/>
        <w:tab/>
        <w:tab/>
        <w:tab/>
        <w:tab/>
        <w:tab/>
        <w:tab/>
        <w:tab/>
        <w:tab/>
        <w:tab/>
        <w:tab/>
        <w:tab/>
      </w:r>
      <w:r>
        <w:rPr>
          <w:sz w:val="16"/>
        </w:rPr>
        <w:t> Baseline</w:t>
        <w:tab/>
        <w:t>1</w:t>
        <w:tab/>
        <w:t>2</w:t>
        <w:tab/>
        <w:t>3</w:t>
        <w:tab/>
        <w:t>4</w:t>
        <w:tab/>
        <w:t>5</w:t>
        <w:tab/>
        <w:t>6</w:t>
        <w:tab/>
        <w:t>7</w:t>
        <w:tab/>
        <w:t>8</w:t>
        <w:tab/>
        <w:t>9</w:t>
        <w:tab/>
        <w:t>10</w:t>
        <w:tab/>
        <w:t>11</w:t>
        <w:tab/>
        <w:t>12</w:t>
        <w:tab/>
        <w:t>16</w:t>
        <w:tab/>
        <w:t>18</w:t>
        <w:tab/>
        <w:t>20</w:t>
        <w:tab/>
        <w:t>22</w:t>
        <w:tab/>
        <w:t>24</w:t>
      </w:r>
    </w:p>
    <w:p>
      <w:pPr>
        <w:spacing w:after="0" w:line="249" w:lineRule="auto"/>
        <w:jc w:val="left"/>
        <w:rPr>
          <w:sz w:val="16"/>
        </w:rPr>
        <w:sectPr>
          <w:pgSz w:w="15840" w:h="12240" w:orient="landscape"/>
          <w:pgMar w:header="0" w:footer="1628" w:top="1140" w:bottom="1880" w:left="1640" w:right="1280"/>
        </w:sectPr>
      </w:pPr>
    </w:p>
    <w:p>
      <w:pPr>
        <w:spacing w:before="370"/>
        <w:ind w:left="0" w:right="0" w:firstLine="0"/>
        <w:jc w:val="right"/>
        <w:rPr>
          <w:sz w:val="16"/>
        </w:rPr>
      </w:pPr>
      <w:r>
        <w:rPr>
          <w:w w:val="95"/>
          <w:sz w:val="16"/>
        </w:rPr>
        <w:t>FENT</w:t>
      </w:r>
    </w:p>
    <w:p>
      <w:pPr>
        <w:spacing w:before="188"/>
        <w:ind w:left="0" w:right="117" w:firstLine="0"/>
        <w:jc w:val="right"/>
        <w:rPr>
          <w:sz w:val="16"/>
        </w:rPr>
      </w:pPr>
      <w:r>
        <w:rPr/>
        <w:br w:type="column"/>
      </w:r>
      <w:r>
        <w:rPr>
          <w:sz w:val="16"/>
        </w:rPr>
        <w:t>0</w:t>
      </w:r>
    </w:p>
    <w:p>
      <w:pPr>
        <w:spacing w:before="181"/>
        <w:ind w:left="0" w:right="0" w:firstLine="0"/>
        <w:jc w:val="right"/>
        <w:rPr>
          <w:sz w:val="16"/>
        </w:rPr>
      </w:pPr>
      <w:r>
        <w:rPr>
          <w:w w:val="95"/>
          <w:sz w:val="16"/>
        </w:rPr>
        <w:t>(0-3)</w:t>
      </w:r>
    </w:p>
    <w:p>
      <w:pPr>
        <w:spacing w:line="475" w:lineRule="auto" w:before="174"/>
        <w:ind w:left="360" w:right="0" w:firstLine="38"/>
        <w:jc w:val="left"/>
        <w:rPr>
          <w:sz w:val="16"/>
        </w:rPr>
      </w:pPr>
      <w:r>
        <w:rPr/>
        <w:br w:type="column"/>
      </w:r>
      <w:r>
        <w:rPr>
          <w:sz w:val="16"/>
        </w:rPr>
        <w:t>2.5</w:t>
      </w:r>
      <w:r>
        <w:rPr>
          <w:position w:val="7"/>
          <w:sz w:val="10"/>
        </w:rPr>
        <w:t>* </w:t>
      </w:r>
      <w:r>
        <w:rPr>
          <w:sz w:val="16"/>
        </w:rPr>
        <w:t>(1-4)</w:t>
      </w:r>
    </w:p>
    <w:p>
      <w:pPr>
        <w:spacing w:line="480" w:lineRule="auto" w:before="172"/>
        <w:ind w:left="231" w:right="0" w:firstLine="76"/>
        <w:jc w:val="left"/>
        <w:rPr>
          <w:sz w:val="16"/>
        </w:rPr>
      </w:pPr>
      <w:r>
        <w:rPr/>
        <w:br w:type="column"/>
      </w:r>
      <w:r>
        <w:rPr>
          <w:position w:val="-6"/>
          <w:sz w:val="16"/>
        </w:rPr>
        <w:t>1</w:t>
      </w:r>
      <w:r>
        <w:rPr>
          <w:sz w:val="10"/>
        </w:rPr>
        <w:t>ac </w:t>
      </w:r>
      <w:r>
        <w:rPr>
          <w:w w:val="95"/>
          <w:sz w:val="16"/>
        </w:rPr>
        <w:t>(1-2)</w:t>
      </w:r>
    </w:p>
    <w:p>
      <w:pPr>
        <w:spacing w:before="188"/>
        <w:ind w:left="193" w:right="0" w:firstLine="0"/>
        <w:jc w:val="center"/>
        <w:rPr>
          <w:sz w:val="16"/>
        </w:rPr>
      </w:pPr>
      <w:r>
        <w:rPr/>
        <w:br w:type="column"/>
      </w:r>
      <w:r>
        <w:rPr>
          <w:sz w:val="16"/>
        </w:rPr>
        <w:t>1</w:t>
      </w:r>
    </w:p>
    <w:p>
      <w:pPr>
        <w:spacing w:before="181"/>
        <w:ind w:left="193" w:right="0" w:firstLine="0"/>
        <w:jc w:val="center"/>
        <w:rPr>
          <w:sz w:val="16"/>
        </w:rPr>
      </w:pPr>
      <w:r>
        <w:rPr>
          <w:w w:val="95"/>
          <w:sz w:val="16"/>
        </w:rPr>
        <w:t>(1-4)</w:t>
      </w:r>
    </w:p>
    <w:p>
      <w:pPr>
        <w:spacing w:before="188"/>
        <w:ind w:left="197" w:right="0" w:firstLine="0"/>
        <w:jc w:val="center"/>
        <w:rPr>
          <w:sz w:val="16"/>
        </w:rPr>
      </w:pPr>
      <w:r>
        <w:rPr/>
        <w:br w:type="column"/>
      </w:r>
      <w:r>
        <w:rPr>
          <w:sz w:val="16"/>
        </w:rPr>
        <w:t>2</w:t>
      </w:r>
    </w:p>
    <w:p>
      <w:pPr>
        <w:spacing w:before="181"/>
        <w:ind w:left="197" w:right="0" w:firstLine="0"/>
        <w:jc w:val="center"/>
        <w:rPr>
          <w:sz w:val="16"/>
        </w:rPr>
      </w:pPr>
      <w:r>
        <w:rPr>
          <w:w w:val="95"/>
          <w:sz w:val="16"/>
        </w:rPr>
        <w:t>(1-2)</w:t>
      </w:r>
    </w:p>
    <w:p>
      <w:pPr>
        <w:spacing w:before="188"/>
        <w:ind w:left="192" w:right="0" w:firstLine="0"/>
        <w:jc w:val="center"/>
        <w:rPr>
          <w:sz w:val="16"/>
        </w:rPr>
      </w:pPr>
      <w:r>
        <w:rPr/>
        <w:br w:type="column"/>
      </w:r>
      <w:r>
        <w:rPr>
          <w:sz w:val="16"/>
        </w:rPr>
        <w:t>2</w:t>
      </w:r>
    </w:p>
    <w:p>
      <w:pPr>
        <w:spacing w:before="181"/>
        <w:ind w:left="192" w:right="0" w:firstLine="0"/>
        <w:jc w:val="center"/>
        <w:rPr>
          <w:sz w:val="16"/>
        </w:rPr>
      </w:pPr>
      <w:r>
        <w:rPr>
          <w:w w:val="95"/>
          <w:sz w:val="16"/>
        </w:rPr>
        <w:t>(1-4)</w:t>
      </w:r>
    </w:p>
    <w:p>
      <w:pPr>
        <w:spacing w:before="188"/>
        <w:ind w:left="198" w:right="0" w:firstLine="0"/>
        <w:jc w:val="center"/>
        <w:rPr>
          <w:sz w:val="16"/>
        </w:rPr>
      </w:pPr>
      <w:r>
        <w:rPr/>
        <w:br w:type="column"/>
      </w:r>
      <w:r>
        <w:rPr>
          <w:sz w:val="16"/>
        </w:rPr>
        <w:t>2</w:t>
      </w:r>
    </w:p>
    <w:p>
      <w:pPr>
        <w:spacing w:before="181"/>
        <w:ind w:left="198" w:right="0" w:firstLine="0"/>
        <w:jc w:val="center"/>
        <w:rPr>
          <w:sz w:val="16"/>
        </w:rPr>
      </w:pPr>
      <w:r>
        <w:rPr>
          <w:w w:val="95"/>
          <w:sz w:val="16"/>
        </w:rPr>
        <w:t>(1-5)</w:t>
      </w:r>
    </w:p>
    <w:p>
      <w:pPr>
        <w:spacing w:before="188"/>
        <w:ind w:left="192" w:right="0" w:firstLine="0"/>
        <w:jc w:val="center"/>
        <w:rPr>
          <w:sz w:val="16"/>
        </w:rPr>
      </w:pPr>
      <w:r>
        <w:rPr/>
        <w:br w:type="column"/>
      </w:r>
      <w:r>
        <w:rPr>
          <w:sz w:val="16"/>
        </w:rPr>
        <w:t>2</w:t>
      </w:r>
    </w:p>
    <w:p>
      <w:pPr>
        <w:spacing w:before="181"/>
        <w:ind w:left="192" w:right="0" w:firstLine="0"/>
        <w:jc w:val="center"/>
        <w:rPr>
          <w:sz w:val="16"/>
        </w:rPr>
      </w:pPr>
      <w:r>
        <w:rPr>
          <w:w w:val="95"/>
          <w:sz w:val="16"/>
        </w:rPr>
        <w:t>(1-4)</w:t>
      </w:r>
    </w:p>
    <w:p>
      <w:pPr>
        <w:spacing w:before="188"/>
        <w:ind w:left="260" w:right="-4" w:firstLine="0"/>
        <w:jc w:val="left"/>
        <w:rPr>
          <w:sz w:val="16"/>
        </w:rPr>
      </w:pPr>
      <w:r>
        <w:rPr/>
        <w:br w:type="column"/>
      </w:r>
      <w:r>
        <w:rPr>
          <w:sz w:val="16"/>
        </w:rPr>
        <w:t>1.5</w:t>
      </w:r>
    </w:p>
    <w:p>
      <w:pPr>
        <w:spacing w:before="181"/>
        <w:ind w:left="197" w:right="-4" w:firstLine="0"/>
        <w:jc w:val="left"/>
        <w:rPr>
          <w:sz w:val="16"/>
        </w:rPr>
      </w:pPr>
      <w:r>
        <w:rPr>
          <w:w w:val="95"/>
          <w:sz w:val="16"/>
        </w:rPr>
        <w:t>(1-2)</w:t>
      </w:r>
    </w:p>
    <w:p>
      <w:pPr>
        <w:spacing w:line="480" w:lineRule="auto" w:before="172"/>
        <w:ind w:left="236" w:right="0" w:firstLine="96"/>
        <w:jc w:val="left"/>
        <w:rPr>
          <w:sz w:val="16"/>
        </w:rPr>
      </w:pPr>
      <w:r>
        <w:rPr/>
        <w:br w:type="column"/>
      </w:r>
      <w:r>
        <w:rPr>
          <w:position w:val="-6"/>
          <w:sz w:val="16"/>
        </w:rPr>
        <w:t>2</w:t>
      </w:r>
      <w:r>
        <w:rPr>
          <w:sz w:val="10"/>
        </w:rPr>
        <w:t>* </w:t>
      </w:r>
      <w:r>
        <w:rPr>
          <w:w w:val="95"/>
          <w:sz w:val="16"/>
        </w:rPr>
        <w:t>(1-6)</w:t>
      </w:r>
    </w:p>
    <w:p>
      <w:pPr>
        <w:spacing w:before="188"/>
        <w:ind w:left="231" w:right="0" w:firstLine="0"/>
        <w:jc w:val="center"/>
        <w:rPr>
          <w:sz w:val="16"/>
        </w:rPr>
      </w:pPr>
      <w:r>
        <w:rPr/>
        <w:br w:type="column"/>
      </w:r>
      <w:r>
        <w:rPr>
          <w:sz w:val="16"/>
        </w:rPr>
        <w:t>2</w:t>
      </w:r>
    </w:p>
    <w:p>
      <w:pPr>
        <w:spacing w:before="181"/>
        <w:ind w:left="231" w:right="0" w:firstLine="0"/>
        <w:jc w:val="center"/>
        <w:rPr>
          <w:sz w:val="16"/>
        </w:rPr>
      </w:pPr>
      <w:r>
        <w:rPr>
          <w:w w:val="95"/>
          <w:sz w:val="16"/>
        </w:rPr>
        <w:t>(1-4)</w:t>
      </w:r>
    </w:p>
    <w:p>
      <w:pPr>
        <w:spacing w:before="188"/>
        <w:ind w:left="197" w:right="0" w:firstLine="0"/>
        <w:jc w:val="center"/>
        <w:rPr>
          <w:sz w:val="16"/>
        </w:rPr>
      </w:pPr>
      <w:r>
        <w:rPr/>
        <w:br w:type="column"/>
      </w:r>
      <w:r>
        <w:rPr>
          <w:sz w:val="16"/>
        </w:rPr>
        <w:t>2</w:t>
      </w:r>
    </w:p>
    <w:p>
      <w:pPr>
        <w:spacing w:before="181"/>
        <w:ind w:left="197" w:right="0" w:firstLine="0"/>
        <w:jc w:val="center"/>
        <w:rPr>
          <w:sz w:val="16"/>
        </w:rPr>
      </w:pPr>
      <w:r>
        <w:rPr>
          <w:w w:val="95"/>
          <w:sz w:val="16"/>
        </w:rPr>
        <w:t>(1-5)</w:t>
      </w:r>
    </w:p>
    <w:p>
      <w:pPr>
        <w:spacing w:line="480" w:lineRule="auto" w:before="172"/>
        <w:ind w:left="193" w:right="0" w:firstLine="96"/>
        <w:jc w:val="left"/>
        <w:rPr>
          <w:sz w:val="16"/>
        </w:rPr>
      </w:pPr>
      <w:r>
        <w:rPr/>
        <w:br w:type="column"/>
      </w:r>
      <w:r>
        <w:rPr>
          <w:position w:val="-6"/>
          <w:sz w:val="16"/>
        </w:rPr>
        <w:t>2</w:t>
      </w:r>
      <w:r>
        <w:rPr>
          <w:sz w:val="10"/>
        </w:rPr>
        <w:t>* </w:t>
      </w:r>
      <w:r>
        <w:rPr>
          <w:w w:val="95"/>
          <w:sz w:val="16"/>
        </w:rPr>
        <w:t>(1-5)</w:t>
      </w:r>
    </w:p>
    <w:p>
      <w:pPr>
        <w:spacing w:before="188"/>
        <w:ind w:left="192" w:right="0" w:firstLine="0"/>
        <w:jc w:val="center"/>
        <w:rPr>
          <w:sz w:val="16"/>
        </w:rPr>
      </w:pPr>
      <w:r>
        <w:rPr/>
        <w:br w:type="column"/>
      </w:r>
      <w:r>
        <w:rPr>
          <w:sz w:val="16"/>
        </w:rPr>
        <w:t>2</w:t>
      </w:r>
    </w:p>
    <w:p>
      <w:pPr>
        <w:spacing w:before="181"/>
        <w:ind w:left="192" w:right="0" w:firstLine="0"/>
        <w:jc w:val="center"/>
        <w:rPr>
          <w:sz w:val="16"/>
        </w:rPr>
      </w:pPr>
      <w:r>
        <w:rPr>
          <w:w w:val="95"/>
          <w:sz w:val="16"/>
        </w:rPr>
        <w:t>(1-4)</w:t>
      </w:r>
    </w:p>
    <w:p>
      <w:pPr>
        <w:spacing w:before="188"/>
        <w:ind w:left="197" w:right="0" w:firstLine="0"/>
        <w:jc w:val="center"/>
        <w:rPr>
          <w:sz w:val="16"/>
        </w:rPr>
      </w:pPr>
      <w:r>
        <w:rPr/>
        <w:br w:type="column"/>
      </w:r>
      <w:r>
        <w:rPr>
          <w:sz w:val="16"/>
        </w:rPr>
        <w:t>2</w:t>
      </w:r>
    </w:p>
    <w:p>
      <w:pPr>
        <w:spacing w:before="181"/>
        <w:ind w:left="197" w:right="0" w:firstLine="0"/>
        <w:jc w:val="center"/>
        <w:rPr>
          <w:sz w:val="16"/>
        </w:rPr>
      </w:pPr>
      <w:r>
        <w:rPr>
          <w:w w:val="95"/>
          <w:sz w:val="16"/>
        </w:rPr>
        <w:t>(0-3)</w:t>
      </w:r>
    </w:p>
    <w:p>
      <w:pPr>
        <w:spacing w:before="188"/>
        <w:ind w:left="193" w:right="0" w:firstLine="0"/>
        <w:jc w:val="center"/>
        <w:rPr>
          <w:sz w:val="16"/>
        </w:rPr>
      </w:pPr>
      <w:r>
        <w:rPr/>
        <w:br w:type="column"/>
      </w:r>
      <w:r>
        <w:rPr>
          <w:sz w:val="16"/>
        </w:rPr>
        <w:t>2</w:t>
      </w:r>
    </w:p>
    <w:p>
      <w:pPr>
        <w:spacing w:before="181"/>
        <w:ind w:left="193" w:right="0" w:firstLine="0"/>
        <w:jc w:val="center"/>
        <w:rPr>
          <w:sz w:val="16"/>
        </w:rPr>
      </w:pPr>
      <w:r>
        <w:rPr>
          <w:w w:val="95"/>
          <w:sz w:val="16"/>
        </w:rPr>
        <w:t>(1-4)</w:t>
      </w:r>
    </w:p>
    <w:p>
      <w:pPr>
        <w:spacing w:before="188"/>
        <w:ind w:left="260" w:right="-4" w:firstLine="0"/>
        <w:jc w:val="left"/>
        <w:rPr>
          <w:sz w:val="16"/>
        </w:rPr>
      </w:pPr>
      <w:r>
        <w:rPr/>
        <w:br w:type="column"/>
      </w:r>
      <w:r>
        <w:rPr>
          <w:sz w:val="16"/>
        </w:rPr>
        <w:t>1.5</w:t>
      </w:r>
    </w:p>
    <w:p>
      <w:pPr>
        <w:spacing w:before="181"/>
        <w:ind w:left="197" w:right="-4" w:firstLine="0"/>
        <w:jc w:val="left"/>
        <w:rPr>
          <w:sz w:val="16"/>
        </w:rPr>
      </w:pPr>
      <w:r>
        <w:rPr>
          <w:w w:val="95"/>
          <w:sz w:val="16"/>
        </w:rPr>
        <w:t>(1-4)</w:t>
      </w:r>
    </w:p>
    <w:p>
      <w:pPr>
        <w:spacing w:line="475" w:lineRule="auto" w:before="174"/>
        <w:ind w:left="188" w:right="247" w:firstLine="33"/>
        <w:jc w:val="left"/>
        <w:rPr>
          <w:sz w:val="16"/>
        </w:rPr>
      </w:pPr>
      <w:r>
        <w:rPr/>
        <w:br w:type="column"/>
      </w:r>
      <w:r>
        <w:rPr>
          <w:spacing w:val="2"/>
          <w:w w:val="99"/>
          <w:sz w:val="16"/>
        </w:rPr>
        <w:t>1</w:t>
      </w:r>
      <w:r>
        <w:rPr>
          <w:spacing w:val="-2"/>
          <w:w w:val="99"/>
          <w:sz w:val="16"/>
        </w:rPr>
        <w:t>.</w:t>
      </w:r>
      <w:r>
        <w:rPr>
          <w:spacing w:val="2"/>
          <w:w w:val="99"/>
          <w:sz w:val="16"/>
        </w:rPr>
        <w:t>5</w:t>
      </w:r>
      <w:r>
        <w:rPr>
          <w:w w:val="100"/>
          <w:position w:val="7"/>
          <w:sz w:val="10"/>
        </w:rPr>
        <w:t>b </w:t>
      </w:r>
      <w:r>
        <w:rPr>
          <w:w w:val="98"/>
          <w:sz w:val="16"/>
        </w:rPr>
        <w:t>(</w:t>
      </w:r>
      <w:r>
        <w:rPr>
          <w:spacing w:val="2"/>
          <w:w w:val="98"/>
          <w:sz w:val="16"/>
        </w:rPr>
        <w:t>1</w:t>
      </w:r>
      <w:r>
        <w:rPr>
          <w:spacing w:val="-5"/>
          <w:w w:val="98"/>
          <w:sz w:val="16"/>
        </w:rPr>
        <w:t>-</w:t>
      </w:r>
      <w:r>
        <w:rPr>
          <w:spacing w:val="2"/>
          <w:w w:val="98"/>
          <w:sz w:val="16"/>
        </w:rPr>
        <w:t>4)</w:t>
      </w:r>
    </w:p>
    <w:p>
      <w:pPr>
        <w:spacing w:after="0" w:line="475" w:lineRule="auto"/>
        <w:jc w:val="left"/>
        <w:rPr>
          <w:sz w:val="16"/>
        </w:rPr>
        <w:sectPr>
          <w:type w:val="continuous"/>
          <w:pgSz w:w="15840" w:h="12240" w:orient="landscape"/>
          <w:pgMar w:top="1460" w:bottom="280" w:left="1640" w:right="1280"/>
          <w:cols w:num="19" w:equalWidth="0">
            <w:col w:w="1924" w:space="40"/>
            <w:col w:w="1009" w:space="40"/>
            <w:col w:w="681" w:space="40"/>
            <w:col w:w="551" w:space="40"/>
            <w:col w:w="513" w:space="40"/>
            <w:col w:w="517" w:space="40"/>
            <w:col w:w="512" w:space="40"/>
            <w:col w:w="518" w:space="40"/>
            <w:col w:w="513" w:space="40"/>
            <w:col w:w="517" w:space="40"/>
            <w:col w:w="556" w:space="40"/>
            <w:col w:w="551" w:space="40"/>
            <w:col w:w="517" w:space="40"/>
            <w:col w:w="513" w:space="40"/>
            <w:col w:w="513" w:space="40"/>
            <w:col w:w="517" w:space="40"/>
            <w:col w:w="513" w:space="40"/>
            <w:col w:w="517" w:space="40"/>
            <w:col w:w="748"/>
          </w:cols>
        </w:sectPr>
      </w:pPr>
    </w:p>
    <w:p>
      <w:pPr>
        <w:spacing w:before="200"/>
        <w:ind w:left="0" w:right="0" w:firstLine="0"/>
        <w:jc w:val="right"/>
        <w:rPr>
          <w:sz w:val="16"/>
        </w:rPr>
      </w:pPr>
      <w:r>
        <w:rPr>
          <w:w w:val="95"/>
          <w:sz w:val="16"/>
        </w:rPr>
        <w:t>KET</w:t>
      </w:r>
    </w:p>
    <w:p>
      <w:pPr>
        <w:tabs>
          <w:tab w:pos="1577" w:val="left" w:leader="none"/>
          <w:tab w:pos="2109" w:val="left" w:leader="none"/>
        </w:tabs>
        <w:spacing w:before="18"/>
        <w:ind w:left="857" w:right="0" w:firstLine="0"/>
        <w:jc w:val="left"/>
        <w:rPr>
          <w:sz w:val="16"/>
        </w:rPr>
      </w:pPr>
      <w:r>
        <w:rPr/>
        <w:br w:type="column"/>
      </w:r>
      <w:r>
        <w:rPr>
          <w:sz w:val="16"/>
        </w:rPr>
        <w:t>1</w:t>
        <w:tab/>
        <w:t>2</w:t>
        <w:tab/>
      </w:r>
      <w:r>
        <w:rPr>
          <w:w w:val="95"/>
          <w:sz w:val="16"/>
        </w:rPr>
        <w:t>2.5</w:t>
      </w:r>
    </w:p>
    <w:p>
      <w:pPr>
        <w:spacing w:before="18"/>
        <w:ind w:left="313" w:right="-10" w:firstLine="0"/>
        <w:jc w:val="left"/>
        <w:rPr>
          <w:sz w:val="16"/>
        </w:rPr>
      </w:pPr>
      <w:r>
        <w:rPr/>
        <w:br w:type="column"/>
      </w:r>
      <w:r>
        <w:rPr>
          <w:w w:val="95"/>
          <w:sz w:val="16"/>
        </w:rPr>
        <w:t>2.5</w:t>
      </w:r>
    </w:p>
    <w:p>
      <w:pPr>
        <w:tabs>
          <w:tab w:pos="869" w:val="left" w:leader="none"/>
        </w:tabs>
        <w:spacing w:before="18"/>
        <w:ind w:left="375" w:right="0" w:firstLine="0"/>
        <w:jc w:val="left"/>
        <w:rPr>
          <w:sz w:val="16"/>
        </w:rPr>
      </w:pPr>
      <w:r>
        <w:rPr/>
        <w:br w:type="column"/>
      </w:r>
      <w:r>
        <w:rPr>
          <w:sz w:val="16"/>
        </w:rPr>
        <w:t>2</w:t>
        <w:tab/>
      </w:r>
      <w:r>
        <w:rPr>
          <w:w w:val="95"/>
          <w:sz w:val="16"/>
        </w:rPr>
        <w:t>2.5</w:t>
      </w:r>
    </w:p>
    <w:p>
      <w:pPr>
        <w:tabs>
          <w:tab w:pos="927" w:val="left" w:leader="none"/>
          <w:tab w:pos="1484" w:val="left" w:leader="none"/>
        </w:tabs>
        <w:spacing w:before="18"/>
        <w:ind w:left="318" w:right="0" w:firstLine="0"/>
        <w:jc w:val="left"/>
        <w:rPr>
          <w:sz w:val="16"/>
        </w:rPr>
      </w:pPr>
      <w:r>
        <w:rPr/>
        <w:br w:type="column"/>
      </w:r>
      <w:r>
        <w:rPr>
          <w:sz w:val="16"/>
        </w:rPr>
        <w:t>2.5</w:t>
        <w:tab/>
        <w:t>3</w:t>
        <w:tab/>
      </w:r>
      <w:r>
        <w:rPr>
          <w:w w:val="95"/>
          <w:sz w:val="16"/>
        </w:rPr>
        <w:t>2</w:t>
      </w:r>
    </w:p>
    <w:p>
      <w:pPr>
        <w:tabs>
          <w:tab w:pos="1066" w:val="left" w:leader="none"/>
          <w:tab w:pos="1623" w:val="left" w:leader="none"/>
          <w:tab w:pos="2176" w:val="left" w:leader="none"/>
          <w:tab w:pos="2728" w:val="left" w:leader="none"/>
        </w:tabs>
        <w:spacing w:before="18"/>
        <w:ind w:left="476" w:right="0" w:firstLine="0"/>
        <w:jc w:val="left"/>
        <w:rPr>
          <w:sz w:val="16"/>
        </w:rPr>
      </w:pPr>
      <w:r>
        <w:rPr/>
        <w:br w:type="column"/>
      </w:r>
      <w:r>
        <w:rPr>
          <w:sz w:val="16"/>
        </w:rPr>
        <w:t>2</w:t>
        <w:tab/>
        <w:t>2</w:t>
        <w:tab/>
        <w:t>2</w:t>
        <w:tab/>
        <w:t>1</w:t>
        <w:tab/>
      </w:r>
      <w:r>
        <w:rPr>
          <w:w w:val="95"/>
          <w:sz w:val="16"/>
        </w:rPr>
        <w:t>1</w:t>
      </w:r>
    </w:p>
    <w:p>
      <w:pPr>
        <w:tabs>
          <w:tab w:pos="970" w:val="left" w:leader="none"/>
          <w:tab w:pos="1546" w:val="left" w:leader="none"/>
          <w:tab w:pos="2173" w:val="right" w:leader="none"/>
        </w:tabs>
        <w:spacing w:before="4"/>
        <w:ind w:left="437" w:right="0" w:firstLine="0"/>
        <w:jc w:val="left"/>
        <w:rPr>
          <w:sz w:val="16"/>
        </w:rPr>
      </w:pPr>
      <w:r>
        <w:rPr/>
        <w:br w:type="column"/>
      </w:r>
      <w:r>
        <w:rPr>
          <w:sz w:val="16"/>
        </w:rPr>
        <w:t>1</w:t>
        <w:tab/>
        <w:t>1</w:t>
      </w:r>
      <w:r>
        <w:rPr>
          <w:position w:val="7"/>
          <w:sz w:val="10"/>
        </w:rPr>
        <w:t>a</w:t>
        <w:tab/>
      </w:r>
      <w:r>
        <w:rPr>
          <w:sz w:val="16"/>
        </w:rPr>
        <w:t>1</w:t>
        <w:tab/>
        <w:t>1</w:t>
      </w:r>
    </w:p>
    <w:p>
      <w:pPr>
        <w:spacing w:after="0"/>
        <w:jc w:val="left"/>
        <w:rPr>
          <w:sz w:val="16"/>
        </w:rPr>
        <w:sectPr>
          <w:type w:val="continuous"/>
          <w:pgSz w:w="15840" w:h="12240" w:orient="landscape"/>
          <w:pgMar w:top="1460" w:bottom="280" w:left="1640" w:right="1280"/>
          <w:cols w:num="7" w:equalWidth="0">
            <w:col w:w="1876" w:space="40"/>
            <w:col w:w="2309" w:space="40"/>
            <w:col w:w="513" w:space="40"/>
            <w:col w:w="1069" w:space="40"/>
            <w:col w:w="1564" w:space="40"/>
            <w:col w:w="2808" w:space="40"/>
            <w:col w:w="2541"/>
          </w:cols>
        </w:sectPr>
      </w:pPr>
    </w:p>
    <w:p>
      <w:pPr>
        <w:spacing w:before="935"/>
        <w:ind w:left="381" w:right="-5" w:firstLine="0"/>
        <w:jc w:val="left"/>
        <w:rPr>
          <w:sz w:val="16"/>
        </w:rPr>
      </w:pPr>
      <w:r>
        <w:rPr>
          <w:w w:val="95"/>
          <w:sz w:val="16"/>
        </w:rPr>
        <w:t>GCPS</w:t>
      </w:r>
    </w:p>
    <w:p>
      <w:pPr>
        <w:spacing w:before="565"/>
        <w:ind w:left="381" w:right="-7" w:firstLine="28"/>
        <w:jc w:val="left"/>
        <w:rPr>
          <w:sz w:val="16"/>
        </w:rPr>
      </w:pPr>
      <w:r>
        <w:rPr/>
        <w:br w:type="column"/>
      </w:r>
      <w:r>
        <w:rPr>
          <w:sz w:val="16"/>
        </w:rPr>
        <w:t>LID</w:t>
      </w:r>
    </w:p>
    <w:p>
      <w:pPr>
        <w:spacing w:before="560"/>
        <w:ind w:left="381" w:right="-7" w:firstLine="0"/>
        <w:jc w:val="left"/>
        <w:rPr>
          <w:sz w:val="16"/>
        </w:rPr>
      </w:pPr>
      <w:r>
        <w:rPr>
          <w:w w:val="95"/>
          <w:sz w:val="16"/>
        </w:rPr>
        <w:t>DEX</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381" w:right="0" w:firstLine="0"/>
        <w:jc w:val="center"/>
        <w:rPr>
          <w:sz w:val="16"/>
        </w:rPr>
      </w:pPr>
      <w:r>
        <w:rPr/>
        <w:pict>
          <v:shape style="position:absolute;margin-left:212.880005pt;margin-top:-36.124252pt;width:504.4pt;height:31.7pt;mso-position-horizontal-relative:page;mso-position-vertical-relative:paragraph;z-index:15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5"/>
                    <w:gridCol w:w="655"/>
                    <w:gridCol w:w="571"/>
                    <w:gridCol w:w="555"/>
                    <w:gridCol w:w="554"/>
                    <w:gridCol w:w="555"/>
                    <w:gridCol w:w="555"/>
                    <w:gridCol w:w="554"/>
                    <w:gridCol w:w="576"/>
                    <w:gridCol w:w="754"/>
                    <w:gridCol w:w="413"/>
                    <w:gridCol w:w="555"/>
                    <w:gridCol w:w="552"/>
                    <w:gridCol w:w="554"/>
                    <w:gridCol w:w="555"/>
                    <w:gridCol w:w="555"/>
                    <w:gridCol w:w="552"/>
                    <w:gridCol w:w="468"/>
                  </w:tblGrid>
                  <w:tr>
                    <w:trPr>
                      <w:trHeight w:val="267" w:hRule="exact"/>
                    </w:trPr>
                    <w:tc>
                      <w:tcPr>
                        <w:tcW w:w="555" w:type="dxa"/>
                      </w:tcPr>
                      <w:p>
                        <w:pPr>
                          <w:pStyle w:val="TableParagraph"/>
                          <w:spacing w:line="162" w:lineRule="exact"/>
                          <w:ind w:left="35"/>
                          <w:jc w:val="left"/>
                          <w:rPr>
                            <w:sz w:val="16"/>
                          </w:rPr>
                        </w:pPr>
                        <w:r>
                          <w:rPr>
                            <w:sz w:val="16"/>
                          </w:rPr>
                          <w:t>(0-2)</w:t>
                        </w:r>
                      </w:p>
                    </w:tc>
                    <w:tc>
                      <w:tcPr>
                        <w:tcW w:w="655" w:type="dxa"/>
                      </w:tcPr>
                      <w:p>
                        <w:pPr>
                          <w:pStyle w:val="TableParagraph"/>
                          <w:spacing w:line="162" w:lineRule="exact"/>
                          <w:ind w:left="200"/>
                          <w:jc w:val="left"/>
                          <w:rPr>
                            <w:sz w:val="16"/>
                          </w:rPr>
                        </w:pPr>
                        <w:r>
                          <w:rPr>
                            <w:sz w:val="16"/>
                          </w:rPr>
                          <w:t>(1-7)</w:t>
                        </w:r>
                      </w:p>
                    </w:tc>
                    <w:tc>
                      <w:tcPr>
                        <w:tcW w:w="571" w:type="dxa"/>
                      </w:tcPr>
                      <w:p>
                        <w:pPr>
                          <w:pStyle w:val="TableParagraph"/>
                          <w:spacing w:line="162" w:lineRule="exact"/>
                          <w:ind w:left="135"/>
                          <w:jc w:val="left"/>
                          <w:rPr>
                            <w:sz w:val="16"/>
                          </w:rPr>
                        </w:pPr>
                        <w:r>
                          <w:rPr>
                            <w:sz w:val="16"/>
                          </w:rPr>
                          <w:t>(1-4)</w:t>
                        </w:r>
                      </w:p>
                    </w:tc>
                    <w:tc>
                      <w:tcPr>
                        <w:tcW w:w="555" w:type="dxa"/>
                      </w:tcPr>
                      <w:p>
                        <w:pPr>
                          <w:pStyle w:val="TableParagraph"/>
                          <w:spacing w:line="162" w:lineRule="exact"/>
                          <w:ind w:left="116"/>
                          <w:jc w:val="left"/>
                          <w:rPr>
                            <w:sz w:val="16"/>
                          </w:rPr>
                        </w:pPr>
                        <w:r>
                          <w:rPr>
                            <w:sz w:val="16"/>
                          </w:rPr>
                          <w:t>(1-4)</w:t>
                        </w:r>
                      </w:p>
                    </w:tc>
                    <w:tc>
                      <w:tcPr>
                        <w:tcW w:w="554" w:type="dxa"/>
                      </w:tcPr>
                      <w:p>
                        <w:pPr>
                          <w:pStyle w:val="TableParagraph"/>
                          <w:spacing w:line="162" w:lineRule="exact"/>
                          <w:ind w:left="118"/>
                          <w:jc w:val="left"/>
                          <w:rPr>
                            <w:sz w:val="16"/>
                          </w:rPr>
                        </w:pPr>
                        <w:r>
                          <w:rPr>
                            <w:sz w:val="16"/>
                          </w:rPr>
                          <w:t>(1-4)</w:t>
                        </w:r>
                      </w:p>
                    </w:tc>
                    <w:tc>
                      <w:tcPr>
                        <w:tcW w:w="555" w:type="dxa"/>
                      </w:tcPr>
                      <w:p>
                        <w:pPr>
                          <w:pStyle w:val="TableParagraph"/>
                          <w:spacing w:line="162" w:lineRule="exact"/>
                          <w:ind w:left="116"/>
                          <w:jc w:val="left"/>
                          <w:rPr>
                            <w:sz w:val="16"/>
                          </w:rPr>
                        </w:pPr>
                        <w:r>
                          <w:rPr>
                            <w:sz w:val="16"/>
                          </w:rPr>
                          <w:t>(1-6)</w:t>
                        </w:r>
                      </w:p>
                    </w:tc>
                    <w:tc>
                      <w:tcPr>
                        <w:tcW w:w="555" w:type="dxa"/>
                      </w:tcPr>
                      <w:p>
                        <w:pPr>
                          <w:pStyle w:val="TableParagraph"/>
                          <w:spacing w:line="162" w:lineRule="exact"/>
                          <w:ind w:left="119"/>
                          <w:jc w:val="left"/>
                          <w:rPr>
                            <w:sz w:val="16"/>
                          </w:rPr>
                        </w:pPr>
                        <w:r>
                          <w:rPr>
                            <w:sz w:val="16"/>
                          </w:rPr>
                          <w:t>(1-4)</w:t>
                        </w:r>
                      </w:p>
                    </w:tc>
                    <w:tc>
                      <w:tcPr>
                        <w:tcW w:w="554" w:type="dxa"/>
                      </w:tcPr>
                      <w:p>
                        <w:pPr>
                          <w:pStyle w:val="TableParagraph"/>
                          <w:spacing w:line="162" w:lineRule="exact"/>
                          <w:ind w:left="116"/>
                          <w:jc w:val="left"/>
                          <w:rPr>
                            <w:sz w:val="16"/>
                          </w:rPr>
                        </w:pPr>
                        <w:r>
                          <w:rPr>
                            <w:sz w:val="16"/>
                          </w:rPr>
                          <w:t>(1-3)</w:t>
                        </w:r>
                      </w:p>
                    </w:tc>
                    <w:tc>
                      <w:tcPr>
                        <w:tcW w:w="576" w:type="dxa"/>
                      </w:tcPr>
                      <w:p>
                        <w:pPr>
                          <w:pStyle w:val="TableParagraph"/>
                          <w:spacing w:line="162" w:lineRule="exact"/>
                          <w:ind w:left="118"/>
                          <w:jc w:val="left"/>
                          <w:rPr>
                            <w:sz w:val="16"/>
                          </w:rPr>
                        </w:pPr>
                        <w:r>
                          <w:rPr>
                            <w:sz w:val="16"/>
                          </w:rPr>
                          <w:t>(1-3)</w:t>
                        </w:r>
                      </w:p>
                    </w:tc>
                    <w:tc>
                      <w:tcPr>
                        <w:tcW w:w="754" w:type="dxa"/>
                      </w:tcPr>
                      <w:p>
                        <w:pPr>
                          <w:pStyle w:val="TableParagraph"/>
                          <w:spacing w:line="162" w:lineRule="exact"/>
                          <w:ind w:left="138"/>
                          <w:jc w:val="left"/>
                          <w:rPr>
                            <w:sz w:val="16"/>
                          </w:rPr>
                        </w:pPr>
                        <w:r>
                          <w:rPr>
                            <w:sz w:val="16"/>
                          </w:rPr>
                          <w:t>(1-4)</w:t>
                        </w:r>
                      </w:p>
                    </w:tc>
                    <w:tc>
                      <w:tcPr>
                        <w:tcW w:w="413" w:type="dxa"/>
                      </w:tcPr>
                      <w:p>
                        <w:pPr>
                          <w:pStyle w:val="TableParagraph"/>
                          <w:spacing w:line="162" w:lineRule="exact"/>
                          <w:ind w:left="-25"/>
                          <w:jc w:val="left"/>
                          <w:rPr>
                            <w:sz w:val="16"/>
                          </w:rPr>
                        </w:pPr>
                        <w:r>
                          <w:rPr>
                            <w:sz w:val="16"/>
                          </w:rPr>
                          <w:t>(1-3)</w:t>
                        </w:r>
                      </w:p>
                    </w:tc>
                    <w:tc>
                      <w:tcPr>
                        <w:tcW w:w="555" w:type="dxa"/>
                      </w:tcPr>
                      <w:p>
                        <w:pPr>
                          <w:pStyle w:val="TableParagraph"/>
                          <w:spacing w:line="162" w:lineRule="exact"/>
                          <w:ind w:left="97" w:right="95"/>
                          <w:rPr>
                            <w:sz w:val="16"/>
                          </w:rPr>
                        </w:pPr>
                        <w:r>
                          <w:rPr>
                            <w:sz w:val="16"/>
                          </w:rPr>
                          <w:t>(1-3)</w:t>
                        </w:r>
                      </w:p>
                    </w:tc>
                    <w:tc>
                      <w:tcPr>
                        <w:tcW w:w="552" w:type="dxa"/>
                      </w:tcPr>
                      <w:p>
                        <w:pPr>
                          <w:pStyle w:val="TableParagraph"/>
                          <w:spacing w:line="162" w:lineRule="exact"/>
                          <w:ind w:left="96" w:right="96"/>
                          <w:rPr>
                            <w:sz w:val="16"/>
                          </w:rPr>
                        </w:pPr>
                        <w:r>
                          <w:rPr>
                            <w:sz w:val="16"/>
                          </w:rPr>
                          <w:t>(1-3)</w:t>
                        </w:r>
                      </w:p>
                    </w:tc>
                    <w:tc>
                      <w:tcPr>
                        <w:tcW w:w="554" w:type="dxa"/>
                      </w:tcPr>
                      <w:p>
                        <w:pPr>
                          <w:pStyle w:val="TableParagraph"/>
                          <w:spacing w:line="162" w:lineRule="exact"/>
                          <w:ind w:left="96" w:right="96"/>
                          <w:rPr>
                            <w:sz w:val="16"/>
                          </w:rPr>
                        </w:pPr>
                        <w:r>
                          <w:rPr>
                            <w:sz w:val="16"/>
                          </w:rPr>
                          <w:t>(0-1)</w:t>
                        </w:r>
                      </w:p>
                    </w:tc>
                    <w:tc>
                      <w:tcPr>
                        <w:tcW w:w="555" w:type="dxa"/>
                      </w:tcPr>
                      <w:p>
                        <w:pPr>
                          <w:pStyle w:val="TableParagraph"/>
                          <w:spacing w:line="162" w:lineRule="exact"/>
                          <w:ind w:left="97" w:right="95"/>
                          <w:rPr>
                            <w:sz w:val="16"/>
                          </w:rPr>
                        </w:pPr>
                        <w:r>
                          <w:rPr>
                            <w:sz w:val="16"/>
                          </w:rPr>
                          <w:t>(0-1)</w:t>
                        </w:r>
                      </w:p>
                    </w:tc>
                    <w:tc>
                      <w:tcPr>
                        <w:tcW w:w="555" w:type="dxa"/>
                      </w:tcPr>
                      <w:p>
                        <w:pPr>
                          <w:pStyle w:val="TableParagraph"/>
                          <w:spacing w:line="162" w:lineRule="exact"/>
                          <w:ind w:left="96" w:right="96"/>
                          <w:rPr>
                            <w:sz w:val="16"/>
                          </w:rPr>
                        </w:pPr>
                        <w:r>
                          <w:rPr>
                            <w:sz w:val="16"/>
                          </w:rPr>
                          <w:t>(0-1)</w:t>
                        </w:r>
                      </w:p>
                    </w:tc>
                    <w:tc>
                      <w:tcPr>
                        <w:tcW w:w="552" w:type="dxa"/>
                      </w:tcPr>
                      <w:p>
                        <w:pPr>
                          <w:pStyle w:val="TableParagraph"/>
                          <w:spacing w:line="162" w:lineRule="exact"/>
                          <w:ind w:left="98" w:right="94"/>
                          <w:rPr>
                            <w:sz w:val="16"/>
                          </w:rPr>
                        </w:pPr>
                        <w:r>
                          <w:rPr>
                            <w:sz w:val="16"/>
                          </w:rPr>
                          <w:t>(0-1)</w:t>
                        </w:r>
                      </w:p>
                    </w:tc>
                    <w:tc>
                      <w:tcPr>
                        <w:tcW w:w="468" w:type="dxa"/>
                      </w:tcPr>
                      <w:p>
                        <w:pPr>
                          <w:pStyle w:val="TableParagraph"/>
                          <w:spacing w:line="162" w:lineRule="exact"/>
                          <w:ind w:left="93" w:right="14"/>
                          <w:rPr>
                            <w:sz w:val="16"/>
                          </w:rPr>
                        </w:pPr>
                        <w:r>
                          <w:rPr>
                            <w:sz w:val="16"/>
                          </w:rPr>
                          <w:t>(0-2)</w:t>
                        </w:r>
                      </w:p>
                    </w:tc>
                  </w:tr>
                  <w:tr>
                    <w:trPr>
                      <w:trHeight w:val="367" w:hRule="exact"/>
                    </w:trPr>
                    <w:tc>
                      <w:tcPr>
                        <w:tcW w:w="6297" w:type="dxa"/>
                        <w:gridSpan w:val="11"/>
                      </w:tcPr>
                      <w:p>
                        <w:pPr>
                          <w:pStyle w:val="TableParagraph"/>
                          <w:tabs>
                            <w:tab w:pos="874" w:val="left" w:leader="none"/>
                            <w:tab w:pos="1441" w:val="left" w:leader="none"/>
                            <w:tab w:pos="2017" w:val="left" w:leader="none"/>
                            <w:tab w:pos="2574" w:val="left" w:leader="none"/>
                            <w:tab w:pos="3126" w:val="left" w:leader="none"/>
                            <w:tab w:pos="3683" w:val="left" w:leader="none"/>
                            <w:tab w:pos="4235" w:val="left" w:leader="none"/>
                            <w:tab w:pos="4792" w:val="left" w:leader="none"/>
                            <w:tab w:pos="5364" w:val="left" w:leader="none"/>
                            <w:tab w:pos="5978" w:val="left" w:leader="none"/>
                          </w:tabs>
                          <w:spacing w:before="72"/>
                          <w:ind w:left="155"/>
                          <w:jc w:val="left"/>
                          <w:rPr>
                            <w:sz w:val="16"/>
                          </w:rPr>
                        </w:pPr>
                        <w:r>
                          <w:rPr>
                            <w:sz w:val="16"/>
                          </w:rPr>
                          <w:t>0</w:t>
                          <w:tab/>
                          <w:t>2</w:t>
                          <w:tab/>
                          <w:t>3</w:t>
                        </w:r>
                        <w:r>
                          <w:rPr>
                            <w:position w:val="7"/>
                            <w:sz w:val="10"/>
                          </w:rPr>
                          <w:t>*</w:t>
                          <w:tab/>
                        </w:r>
                        <w:r>
                          <w:rPr>
                            <w:sz w:val="16"/>
                          </w:rPr>
                          <w:t>2</w:t>
                          <w:tab/>
                          <w:t>2</w:t>
                          <w:tab/>
                          <w:t>1</w:t>
                          <w:tab/>
                          <w:t>2</w:t>
                          <w:tab/>
                          <w:t>2</w:t>
                          <w:tab/>
                          <w:t>2</w:t>
                          <w:tab/>
                          <w:t>2</w:t>
                        </w:r>
                        <w:r>
                          <w:rPr>
                            <w:position w:val="7"/>
                            <w:sz w:val="10"/>
                          </w:rPr>
                          <w:t>*</w:t>
                          <w:tab/>
                        </w:r>
                        <w:r>
                          <w:rPr>
                            <w:sz w:val="16"/>
                          </w:rPr>
                          <w:t>1</w:t>
                        </w:r>
                      </w:p>
                    </w:tc>
                    <w:tc>
                      <w:tcPr>
                        <w:tcW w:w="555" w:type="dxa"/>
                      </w:tcPr>
                      <w:p>
                        <w:pPr>
                          <w:pStyle w:val="TableParagraph"/>
                          <w:spacing w:before="86"/>
                          <w:ind w:left="2"/>
                          <w:rPr>
                            <w:sz w:val="16"/>
                          </w:rPr>
                        </w:pPr>
                        <w:r>
                          <w:rPr>
                            <w:w w:val="99"/>
                            <w:sz w:val="16"/>
                          </w:rPr>
                          <w:t>1</w:t>
                        </w:r>
                      </w:p>
                    </w:tc>
                    <w:tc>
                      <w:tcPr>
                        <w:tcW w:w="552" w:type="dxa"/>
                      </w:tcPr>
                      <w:p>
                        <w:pPr>
                          <w:pStyle w:val="TableParagraph"/>
                          <w:spacing w:before="86"/>
                          <w:rPr>
                            <w:sz w:val="16"/>
                          </w:rPr>
                        </w:pPr>
                        <w:r>
                          <w:rPr>
                            <w:w w:val="99"/>
                            <w:sz w:val="16"/>
                          </w:rPr>
                          <w:t>2</w:t>
                        </w:r>
                      </w:p>
                    </w:tc>
                    <w:tc>
                      <w:tcPr>
                        <w:tcW w:w="554" w:type="dxa"/>
                      </w:tcPr>
                      <w:p>
                        <w:pPr>
                          <w:pStyle w:val="TableParagraph"/>
                          <w:spacing w:before="86"/>
                          <w:rPr>
                            <w:sz w:val="16"/>
                          </w:rPr>
                        </w:pPr>
                        <w:r>
                          <w:rPr>
                            <w:w w:val="99"/>
                            <w:sz w:val="16"/>
                          </w:rPr>
                          <w:t>2</w:t>
                        </w:r>
                      </w:p>
                    </w:tc>
                    <w:tc>
                      <w:tcPr>
                        <w:tcW w:w="555" w:type="dxa"/>
                      </w:tcPr>
                      <w:p>
                        <w:pPr>
                          <w:pStyle w:val="TableParagraph"/>
                          <w:spacing w:before="86"/>
                          <w:ind w:left="2"/>
                          <w:rPr>
                            <w:sz w:val="16"/>
                          </w:rPr>
                        </w:pPr>
                        <w:r>
                          <w:rPr>
                            <w:w w:val="99"/>
                            <w:sz w:val="16"/>
                          </w:rPr>
                          <w:t>1</w:t>
                        </w:r>
                      </w:p>
                    </w:tc>
                    <w:tc>
                      <w:tcPr>
                        <w:tcW w:w="555" w:type="dxa"/>
                      </w:tcPr>
                      <w:p>
                        <w:pPr>
                          <w:pStyle w:val="TableParagraph"/>
                          <w:spacing w:before="86"/>
                          <w:rPr>
                            <w:sz w:val="16"/>
                          </w:rPr>
                        </w:pPr>
                        <w:r>
                          <w:rPr>
                            <w:w w:val="99"/>
                            <w:sz w:val="16"/>
                          </w:rPr>
                          <w:t>1</w:t>
                        </w:r>
                      </w:p>
                    </w:tc>
                    <w:tc>
                      <w:tcPr>
                        <w:tcW w:w="552" w:type="dxa"/>
                      </w:tcPr>
                      <w:p>
                        <w:pPr>
                          <w:pStyle w:val="TableParagraph"/>
                          <w:spacing w:before="86"/>
                          <w:ind w:left="4"/>
                          <w:rPr>
                            <w:sz w:val="16"/>
                          </w:rPr>
                        </w:pPr>
                        <w:r>
                          <w:rPr>
                            <w:w w:val="99"/>
                            <w:sz w:val="16"/>
                          </w:rPr>
                          <w:t>1</w:t>
                        </w:r>
                      </w:p>
                    </w:tc>
                    <w:tc>
                      <w:tcPr>
                        <w:tcW w:w="468" w:type="dxa"/>
                      </w:tcPr>
                      <w:p>
                        <w:pPr>
                          <w:pStyle w:val="TableParagraph"/>
                          <w:spacing w:before="86"/>
                          <w:ind w:left="79"/>
                          <w:rPr>
                            <w:sz w:val="16"/>
                          </w:rPr>
                        </w:pPr>
                        <w:r>
                          <w:rPr>
                            <w:w w:val="99"/>
                            <w:sz w:val="16"/>
                          </w:rPr>
                          <w:t>1</w:t>
                        </w:r>
                      </w:p>
                    </w:tc>
                  </w:tr>
                </w:tbl>
                <w:p>
                  <w:pPr>
                    <w:pStyle w:val="BodyText"/>
                  </w:pPr>
                </w:p>
              </w:txbxContent>
            </v:textbox>
            <w10:wrap type="none"/>
          </v:shape>
        </w:pict>
      </w:r>
      <w:r>
        <w:rPr>
          <w:w w:val="95"/>
          <w:sz w:val="16"/>
        </w:rPr>
        <w:t>(0-2)</w:t>
      </w:r>
    </w:p>
    <w:p>
      <w:pPr>
        <w:pStyle w:val="BodyText"/>
        <w:spacing w:before="11"/>
        <w:rPr>
          <w:sz w:val="16"/>
        </w:rPr>
      </w:pPr>
    </w:p>
    <w:p>
      <w:pPr>
        <w:spacing w:before="0"/>
        <w:ind w:left="0" w:right="117" w:firstLine="0"/>
        <w:jc w:val="right"/>
        <w:rPr>
          <w:sz w:val="16"/>
        </w:rPr>
      </w:pPr>
      <w:r>
        <w:rPr>
          <w:w w:val="98"/>
          <w:sz w:val="16"/>
        </w:rPr>
        <w:t>0</w:t>
      </w:r>
    </w:p>
    <w:p>
      <w:pPr>
        <w:pStyle w:val="BodyText"/>
        <w:spacing w:before="8"/>
        <w:rPr>
          <w:sz w:val="15"/>
        </w:rPr>
      </w:pPr>
    </w:p>
    <w:p>
      <w:pPr>
        <w:spacing w:before="0"/>
        <w:ind w:left="381" w:right="0" w:firstLine="0"/>
        <w:jc w:val="center"/>
        <w:rPr>
          <w:sz w:val="16"/>
        </w:rPr>
      </w:pPr>
      <w:r>
        <w:rPr>
          <w:w w:val="95"/>
          <w:sz w:val="16"/>
        </w:rPr>
        <w:t>(0-3)</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360" w:right="-19" w:firstLine="0"/>
        <w:jc w:val="left"/>
        <w:rPr>
          <w:sz w:val="16"/>
        </w:rPr>
      </w:pPr>
      <w:r>
        <w:rPr>
          <w:sz w:val="16"/>
        </w:rPr>
        <w:t>(1-7)</w:t>
      </w:r>
    </w:p>
    <w:p>
      <w:pPr>
        <w:pStyle w:val="BodyText"/>
        <w:spacing w:before="6"/>
        <w:rPr>
          <w:sz w:val="15"/>
        </w:rPr>
      </w:pPr>
    </w:p>
    <w:p>
      <w:pPr>
        <w:spacing w:line="477" w:lineRule="auto" w:before="0"/>
        <w:ind w:left="360" w:right="0" w:firstLine="52"/>
        <w:jc w:val="left"/>
        <w:rPr>
          <w:sz w:val="16"/>
        </w:rPr>
      </w:pPr>
      <w:r>
        <w:rPr>
          <w:position w:val="-6"/>
          <w:sz w:val="16"/>
        </w:rPr>
        <w:t>2</w:t>
      </w:r>
      <w:r>
        <w:rPr>
          <w:sz w:val="10"/>
        </w:rPr>
        <w:t>ac* </w:t>
      </w:r>
      <w:r>
        <w:rPr>
          <w:sz w:val="16"/>
        </w:rPr>
        <w:t>(1-3)</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231" w:right="0" w:firstLine="0"/>
        <w:jc w:val="center"/>
        <w:rPr>
          <w:sz w:val="16"/>
        </w:rPr>
      </w:pPr>
      <w:r>
        <w:rPr>
          <w:w w:val="95"/>
          <w:sz w:val="16"/>
        </w:rPr>
        <w:t>(1-6)</w:t>
      </w:r>
    </w:p>
    <w:p>
      <w:pPr>
        <w:pStyle w:val="BodyText"/>
        <w:spacing w:before="11"/>
        <w:rPr>
          <w:sz w:val="16"/>
        </w:rPr>
      </w:pPr>
    </w:p>
    <w:p>
      <w:pPr>
        <w:spacing w:before="0"/>
        <w:ind w:left="231" w:right="0" w:firstLine="0"/>
        <w:jc w:val="center"/>
        <w:rPr>
          <w:sz w:val="16"/>
        </w:rPr>
      </w:pPr>
      <w:r>
        <w:rPr>
          <w:w w:val="98"/>
          <w:sz w:val="16"/>
        </w:rPr>
        <w:t>2</w:t>
      </w:r>
    </w:p>
    <w:p>
      <w:pPr>
        <w:pStyle w:val="BodyText"/>
        <w:spacing w:before="8"/>
        <w:rPr>
          <w:sz w:val="15"/>
        </w:rPr>
      </w:pPr>
    </w:p>
    <w:p>
      <w:pPr>
        <w:spacing w:before="0"/>
        <w:ind w:left="231" w:right="0" w:firstLine="0"/>
        <w:jc w:val="center"/>
        <w:rPr>
          <w:sz w:val="16"/>
        </w:rPr>
      </w:pPr>
      <w:r>
        <w:rPr>
          <w:w w:val="95"/>
          <w:sz w:val="16"/>
        </w:rPr>
        <w:t>(1-2)</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3" w:right="0" w:firstLine="0"/>
        <w:jc w:val="center"/>
        <w:rPr>
          <w:sz w:val="16"/>
        </w:rPr>
      </w:pPr>
      <w:r>
        <w:rPr>
          <w:w w:val="95"/>
          <w:sz w:val="16"/>
        </w:rPr>
        <w:t>(1-6)</w:t>
      </w:r>
    </w:p>
    <w:p>
      <w:pPr>
        <w:pStyle w:val="BodyText"/>
        <w:spacing w:before="11"/>
        <w:rPr>
          <w:sz w:val="16"/>
        </w:rPr>
      </w:pPr>
    </w:p>
    <w:p>
      <w:pPr>
        <w:spacing w:before="0"/>
        <w:ind w:left="193" w:right="0" w:firstLine="0"/>
        <w:jc w:val="center"/>
        <w:rPr>
          <w:sz w:val="16"/>
        </w:rPr>
      </w:pPr>
      <w:r>
        <w:rPr>
          <w:w w:val="98"/>
          <w:sz w:val="16"/>
        </w:rPr>
        <w:t>2</w:t>
      </w:r>
    </w:p>
    <w:p>
      <w:pPr>
        <w:pStyle w:val="BodyText"/>
        <w:spacing w:before="8"/>
        <w:rPr>
          <w:sz w:val="15"/>
        </w:rPr>
      </w:pPr>
    </w:p>
    <w:p>
      <w:pPr>
        <w:spacing w:before="0"/>
        <w:ind w:left="193" w:right="0" w:firstLine="0"/>
        <w:jc w:val="center"/>
        <w:rPr>
          <w:sz w:val="16"/>
        </w:rPr>
      </w:pPr>
      <w:r>
        <w:rPr>
          <w:w w:val="95"/>
          <w:sz w:val="16"/>
        </w:rPr>
        <w:t>(1-4)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7" w:right="0" w:firstLine="0"/>
        <w:jc w:val="center"/>
        <w:rPr>
          <w:sz w:val="16"/>
        </w:rPr>
      </w:pPr>
      <w:r>
        <w:rPr>
          <w:w w:val="95"/>
          <w:sz w:val="16"/>
        </w:rPr>
        <w:t>(1-4)</w:t>
      </w:r>
    </w:p>
    <w:p>
      <w:pPr>
        <w:pStyle w:val="BodyText"/>
        <w:spacing w:before="11"/>
        <w:rPr>
          <w:sz w:val="16"/>
        </w:rPr>
      </w:pPr>
    </w:p>
    <w:p>
      <w:pPr>
        <w:spacing w:before="0"/>
        <w:ind w:left="197" w:right="0" w:firstLine="0"/>
        <w:jc w:val="center"/>
        <w:rPr>
          <w:sz w:val="16"/>
        </w:rPr>
      </w:pPr>
      <w:r>
        <w:rPr>
          <w:w w:val="98"/>
          <w:sz w:val="16"/>
        </w:rPr>
        <w:t>2</w:t>
      </w:r>
    </w:p>
    <w:p>
      <w:pPr>
        <w:pStyle w:val="BodyText"/>
        <w:spacing w:before="8"/>
        <w:rPr>
          <w:sz w:val="15"/>
        </w:rPr>
      </w:pPr>
    </w:p>
    <w:p>
      <w:pPr>
        <w:spacing w:before="0"/>
        <w:ind w:left="197" w:right="0" w:firstLine="0"/>
        <w:jc w:val="center"/>
        <w:rPr>
          <w:sz w:val="16"/>
        </w:rPr>
      </w:pPr>
      <w:r>
        <w:rPr>
          <w:w w:val="95"/>
          <w:sz w:val="16"/>
        </w:rPr>
        <w:t>(1-4)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2" w:right="0" w:firstLine="0"/>
        <w:jc w:val="center"/>
        <w:rPr>
          <w:sz w:val="16"/>
        </w:rPr>
      </w:pPr>
      <w:r>
        <w:rPr>
          <w:w w:val="95"/>
          <w:sz w:val="16"/>
        </w:rPr>
        <w:t>(0-7)</w:t>
      </w:r>
    </w:p>
    <w:p>
      <w:pPr>
        <w:pStyle w:val="BodyText"/>
        <w:spacing w:before="11"/>
        <w:rPr>
          <w:sz w:val="16"/>
        </w:rPr>
      </w:pPr>
    </w:p>
    <w:p>
      <w:pPr>
        <w:spacing w:before="0"/>
        <w:ind w:left="192" w:right="0" w:firstLine="0"/>
        <w:jc w:val="center"/>
        <w:rPr>
          <w:sz w:val="16"/>
        </w:rPr>
      </w:pPr>
      <w:r>
        <w:rPr>
          <w:w w:val="98"/>
          <w:sz w:val="16"/>
        </w:rPr>
        <w:t>2</w:t>
      </w:r>
    </w:p>
    <w:p>
      <w:pPr>
        <w:pStyle w:val="BodyText"/>
        <w:spacing w:before="8"/>
        <w:rPr>
          <w:sz w:val="15"/>
        </w:rPr>
      </w:pPr>
    </w:p>
    <w:p>
      <w:pPr>
        <w:spacing w:before="0"/>
        <w:ind w:left="192" w:right="0" w:firstLine="0"/>
        <w:jc w:val="center"/>
        <w:rPr>
          <w:sz w:val="16"/>
        </w:rPr>
      </w:pPr>
      <w:r>
        <w:rPr>
          <w:w w:val="95"/>
          <w:sz w:val="16"/>
        </w:rPr>
        <w:t>(1-4)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8" w:right="0" w:firstLine="0"/>
        <w:jc w:val="center"/>
        <w:rPr>
          <w:sz w:val="16"/>
        </w:rPr>
      </w:pPr>
      <w:r>
        <w:rPr>
          <w:w w:val="95"/>
          <w:sz w:val="16"/>
        </w:rPr>
        <w:t>(1-2)</w:t>
      </w:r>
    </w:p>
    <w:p>
      <w:pPr>
        <w:pStyle w:val="BodyText"/>
        <w:spacing w:before="11"/>
        <w:rPr>
          <w:sz w:val="16"/>
        </w:rPr>
      </w:pPr>
    </w:p>
    <w:p>
      <w:pPr>
        <w:spacing w:before="0"/>
        <w:ind w:left="198" w:right="0" w:firstLine="0"/>
        <w:jc w:val="center"/>
        <w:rPr>
          <w:sz w:val="16"/>
        </w:rPr>
      </w:pPr>
      <w:r>
        <w:rPr>
          <w:w w:val="98"/>
          <w:sz w:val="16"/>
        </w:rPr>
        <w:t>2</w:t>
      </w:r>
    </w:p>
    <w:p>
      <w:pPr>
        <w:pStyle w:val="BodyText"/>
        <w:spacing w:before="8"/>
        <w:rPr>
          <w:sz w:val="15"/>
        </w:rPr>
      </w:pPr>
    </w:p>
    <w:p>
      <w:pPr>
        <w:spacing w:before="0"/>
        <w:ind w:left="198" w:right="0" w:firstLine="0"/>
        <w:jc w:val="center"/>
        <w:rPr>
          <w:sz w:val="16"/>
        </w:rPr>
      </w:pPr>
      <w:r>
        <w:rPr>
          <w:w w:val="95"/>
          <w:sz w:val="16"/>
        </w:rPr>
        <w:t>(1-4)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2" w:right="0" w:firstLine="0"/>
        <w:jc w:val="center"/>
        <w:rPr>
          <w:sz w:val="16"/>
        </w:rPr>
      </w:pPr>
      <w:r>
        <w:rPr>
          <w:w w:val="95"/>
          <w:sz w:val="16"/>
        </w:rPr>
        <w:t>(1-2)</w:t>
      </w:r>
    </w:p>
    <w:p>
      <w:pPr>
        <w:pStyle w:val="BodyText"/>
        <w:spacing w:before="11"/>
        <w:rPr>
          <w:sz w:val="16"/>
        </w:rPr>
      </w:pPr>
    </w:p>
    <w:p>
      <w:pPr>
        <w:spacing w:before="0"/>
        <w:ind w:left="192" w:right="0" w:firstLine="0"/>
        <w:jc w:val="center"/>
        <w:rPr>
          <w:sz w:val="16"/>
        </w:rPr>
      </w:pPr>
      <w:r>
        <w:rPr>
          <w:w w:val="98"/>
          <w:sz w:val="16"/>
        </w:rPr>
        <w:t>2</w:t>
      </w:r>
    </w:p>
    <w:p>
      <w:pPr>
        <w:pStyle w:val="BodyText"/>
        <w:spacing w:before="8"/>
        <w:rPr>
          <w:sz w:val="15"/>
        </w:rPr>
      </w:pPr>
    </w:p>
    <w:p>
      <w:pPr>
        <w:spacing w:before="0"/>
        <w:ind w:left="192" w:right="0" w:firstLine="0"/>
        <w:jc w:val="center"/>
        <w:rPr>
          <w:sz w:val="16"/>
        </w:rPr>
      </w:pPr>
      <w:r>
        <w:rPr>
          <w:w w:val="95"/>
          <w:sz w:val="16"/>
        </w:rPr>
        <w:t>(1-4)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7" w:right="-4" w:firstLine="0"/>
        <w:jc w:val="left"/>
        <w:rPr>
          <w:sz w:val="16"/>
        </w:rPr>
      </w:pPr>
      <w:r>
        <w:rPr>
          <w:w w:val="95"/>
          <w:sz w:val="16"/>
        </w:rPr>
        <w:t>(0-3)</w:t>
      </w:r>
    </w:p>
    <w:p>
      <w:pPr>
        <w:pStyle w:val="BodyText"/>
        <w:spacing w:before="6"/>
        <w:rPr>
          <w:sz w:val="15"/>
        </w:rPr>
      </w:pPr>
    </w:p>
    <w:p>
      <w:pPr>
        <w:spacing w:line="477" w:lineRule="auto" w:before="0"/>
        <w:ind w:left="197" w:right="0" w:firstLine="96"/>
        <w:jc w:val="left"/>
        <w:rPr>
          <w:sz w:val="16"/>
        </w:rPr>
      </w:pPr>
      <w:r>
        <w:rPr>
          <w:position w:val="-6"/>
          <w:sz w:val="16"/>
        </w:rPr>
        <w:t>3</w:t>
      </w:r>
      <w:r>
        <w:rPr>
          <w:sz w:val="10"/>
        </w:rPr>
        <w:t>* </w:t>
      </w:r>
      <w:r>
        <w:rPr>
          <w:w w:val="95"/>
          <w:sz w:val="16"/>
        </w:rPr>
        <w:t>(1-4)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236" w:right="-4" w:firstLine="0"/>
        <w:jc w:val="left"/>
        <w:rPr>
          <w:sz w:val="16"/>
        </w:rPr>
      </w:pPr>
      <w:r>
        <w:rPr>
          <w:w w:val="95"/>
          <w:sz w:val="16"/>
        </w:rPr>
        <w:t>(1-4)</w:t>
      </w:r>
    </w:p>
    <w:p>
      <w:pPr>
        <w:pStyle w:val="BodyText"/>
        <w:spacing w:before="6"/>
        <w:rPr>
          <w:sz w:val="15"/>
        </w:rPr>
      </w:pPr>
    </w:p>
    <w:p>
      <w:pPr>
        <w:spacing w:line="477" w:lineRule="auto" w:before="0"/>
        <w:ind w:left="236" w:right="0" w:firstLine="96"/>
        <w:jc w:val="left"/>
        <w:rPr>
          <w:sz w:val="16"/>
        </w:rPr>
      </w:pPr>
      <w:r>
        <w:rPr>
          <w:position w:val="-6"/>
          <w:sz w:val="16"/>
        </w:rPr>
        <w:t>2</w:t>
      </w:r>
      <w:r>
        <w:rPr>
          <w:sz w:val="10"/>
        </w:rPr>
        <w:t>* </w:t>
      </w:r>
      <w:r>
        <w:rPr>
          <w:w w:val="95"/>
          <w:sz w:val="16"/>
        </w:rPr>
        <w:t>(2-3)</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231" w:right="-4" w:firstLine="0"/>
        <w:jc w:val="left"/>
        <w:rPr>
          <w:sz w:val="16"/>
        </w:rPr>
      </w:pPr>
      <w:r>
        <w:rPr>
          <w:w w:val="95"/>
          <w:sz w:val="16"/>
        </w:rPr>
        <w:t>(0-3)</w:t>
      </w:r>
    </w:p>
    <w:p>
      <w:pPr>
        <w:pStyle w:val="BodyText"/>
        <w:spacing w:before="6"/>
        <w:rPr>
          <w:sz w:val="15"/>
        </w:rPr>
      </w:pPr>
    </w:p>
    <w:p>
      <w:pPr>
        <w:spacing w:line="477" w:lineRule="auto" w:before="0"/>
        <w:ind w:left="231" w:right="0" w:firstLine="96"/>
        <w:jc w:val="left"/>
        <w:rPr>
          <w:sz w:val="16"/>
        </w:rPr>
      </w:pPr>
      <w:r>
        <w:rPr>
          <w:position w:val="-6"/>
          <w:sz w:val="16"/>
        </w:rPr>
        <w:t>2</w:t>
      </w:r>
      <w:r>
        <w:rPr>
          <w:sz w:val="10"/>
        </w:rPr>
        <w:t>* </w:t>
      </w:r>
      <w:r>
        <w:rPr>
          <w:w w:val="95"/>
          <w:sz w:val="16"/>
        </w:rPr>
        <w:t>(2-5)</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7" w:right="-4" w:firstLine="0"/>
        <w:jc w:val="left"/>
        <w:rPr>
          <w:sz w:val="16"/>
        </w:rPr>
      </w:pPr>
      <w:r>
        <w:rPr>
          <w:w w:val="95"/>
          <w:sz w:val="16"/>
        </w:rPr>
        <w:t>(0-4)</w:t>
      </w:r>
    </w:p>
    <w:p>
      <w:pPr>
        <w:pStyle w:val="BodyText"/>
        <w:spacing w:before="6"/>
        <w:rPr>
          <w:sz w:val="15"/>
        </w:rPr>
      </w:pPr>
    </w:p>
    <w:p>
      <w:pPr>
        <w:spacing w:line="477" w:lineRule="auto" w:before="0"/>
        <w:ind w:left="197" w:right="0" w:firstLine="96"/>
        <w:jc w:val="left"/>
        <w:rPr>
          <w:sz w:val="16"/>
        </w:rPr>
      </w:pPr>
      <w:r>
        <w:rPr>
          <w:position w:val="-6"/>
          <w:sz w:val="16"/>
        </w:rPr>
        <w:t>3</w:t>
      </w:r>
      <w:r>
        <w:rPr>
          <w:sz w:val="10"/>
        </w:rPr>
        <w:t>* </w:t>
      </w:r>
      <w:r>
        <w:rPr>
          <w:w w:val="95"/>
          <w:sz w:val="16"/>
        </w:rPr>
        <w:t>(2-5)</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3" w:right="-4" w:firstLine="0"/>
        <w:jc w:val="left"/>
        <w:rPr>
          <w:sz w:val="16"/>
        </w:rPr>
      </w:pPr>
      <w:r>
        <w:rPr>
          <w:w w:val="95"/>
          <w:sz w:val="16"/>
        </w:rPr>
        <w:t>(0-3)</w:t>
      </w:r>
    </w:p>
    <w:p>
      <w:pPr>
        <w:pStyle w:val="BodyText"/>
        <w:spacing w:before="6"/>
        <w:rPr>
          <w:sz w:val="15"/>
        </w:rPr>
      </w:pPr>
    </w:p>
    <w:p>
      <w:pPr>
        <w:spacing w:line="477" w:lineRule="auto" w:before="0"/>
        <w:ind w:left="193" w:right="0" w:firstLine="96"/>
        <w:jc w:val="left"/>
        <w:rPr>
          <w:sz w:val="16"/>
        </w:rPr>
      </w:pPr>
      <w:r>
        <w:rPr>
          <w:position w:val="-6"/>
          <w:sz w:val="16"/>
        </w:rPr>
        <w:t>2</w:t>
      </w:r>
      <w:r>
        <w:rPr>
          <w:sz w:val="10"/>
        </w:rPr>
        <w:t>* </w:t>
      </w:r>
      <w:r>
        <w:rPr>
          <w:w w:val="95"/>
          <w:sz w:val="16"/>
        </w:rPr>
        <w:t>(2-4)</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2" w:right="0" w:firstLine="0"/>
        <w:jc w:val="center"/>
        <w:rPr>
          <w:sz w:val="16"/>
        </w:rPr>
      </w:pPr>
      <w:r>
        <w:rPr>
          <w:w w:val="95"/>
          <w:sz w:val="16"/>
        </w:rPr>
        <w:t>(1-3)</w:t>
      </w:r>
    </w:p>
    <w:p>
      <w:pPr>
        <w:pStyle w:val="BodyText"/>
        <w:spacing w:before="11"/>
        <w:rPr>
          <w:sz w:val="16"/>
        </w:rPr>
      </w:pPr>
    </w:p>
    <w:p>
      <w:pPr>
        <w:spacing w:before="0"/>
        <w:ind w:left="192" w:right="0" w:firstLine="0"/>
        <w:jc w:val="center"/>
        <w:rPr>
          <w:sz w:val="16"/>
        </w:rPr>
      </w:pPr>
      <w:r>
        <w:rPr>
          <w:w w:val="98"/>
          <w:sz w:val="16"/>
        </w:rPr>
        <w:t>2</w:t>
      </w:r>
    </w:p>
    <w:p>
      <w:pPr>
        <w:pStyle w:val="BodyText"/>
        <w:spacing w:before="8"/>
        <w:rPr>
          <w:sz w:val="15"/>
        </w:rPr>
      </w:pPr>
    </w:p>
    <w:p>
      <w:pPr>
        <w:spacing w:before="0"/>
        <w:ind w:left="192" w:right="0" w:firstLine="0"/>
        <w:jc w:val="center"/>
        <w:rPr>
          <w:sz w:val="16"/>
        </w:rPr>
      </w:pPr>
      <w:r>
        <w:rPr>
          <w:w w:val="95"/>
          <w:sz w:val="16"/>
        </w:rPr>
        <w:t>(2-3)</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7" w:right="0" w:firstLine="0"/>
        <w:jc w:val="center"/>
        <w:rPr>
          <w:sz w:val="16"/>
        </w:rPr>
      </w:pPr>
      <w:r>
        <w:rPr>
          <w:w w:val="95"/>
          <w:sz w:val="16"/>
        </w:rPr>
        <w:t>(0-2)</w:t>
      </w:r>
    </w:p>
    <w:p>
      <w:pPr>
        <w:pStyle w:val="BodyText"/>
        <w:spacing w:before="11"/>
        <w:rPr>
          <w:sz w:val="16"/>
        </w:rPr>
      </w:pPr>
    </w:p>
    <w:p>
      <w:pPr>
        <w:spacing w:before="0"/>
        <w:ind w:left="197" w:right="0" w:firstLine="0"/>
        <w:jc w:val="center"/>
        <w:rPr>
          <w:sz w:val="16"/>
        </w:rPr>
      </w:pPr>
      <w:r>
        <w:rPr>
          <w:w w:val="98"/>
          <w:sz w:val="16"/>
        </w:rPr>
        <w:t>2</w:t>
      </w:r>
    </w:p>
    <w:p>
      <w:pPr>
        <w:pStyle w:val="BodyText"/>
        <w:spacing w:before="8"/>
        <w:rPr>
          <w:sz w:val="15"/>
        </w:rPr>
      </w:pPr>
    </w:p>
    <w:p>
      <w:pPr>
        <w:spacing w:before="0"/>
        <w:ind w:left="197" w:right="0" w:firstLine="0"/>
        <w:jc w:val="center"/>
        <w:rPr>
          <w:sz w:val="16"/>
        </w:rPr>
      </w:pPr>
      <w:r>
        <w:rPr>
          <w:w w:val="95"/>
          <w:sz w:val="16"/>
        </w:rPr>
        <w:t>(2-2)</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3" w:right="-4" w:firstLine="0"/>
        <w:jc w:val="left"/>
        <w:rPr>
          <w:sz w:val="16"/>
        </w:rPr>
      </w:pPr>
      <w:r>
        <w:rPr>
          <w:w w:val="95"/>
          <w:sz w:val="16"/>
        </w:rPr>
        <w:t>(0-2)</w:t>
      </w:r>
    </w:p>
    <w:p>
      <w:pPr>
        <w:pStyle w:val="BodyText"/>
        <w:spacing w:before="6"/>
        <w:rPr>
          <w:sz w:val="15"/>
        </w:rPr>
      </w:pPr>
    </w:p>
    <w:p>
      <w:pPr>
        <w:spacing w:line="477" w:lineRule="auto" w:before="0"/>
        <w:ind w:left="193" w:right="0" w:firstLine="96"/>
        <w:jc w:val="left"/>
        <w:rPr>
          <w:sz w:val="16"/>
        </w:rPr>
      </w:pPr>
      <w:r>
        <w:rPr>
          <w:position w:val="-6"/>
          <w:sz w:val="16"/>
        </w:rPr>
        <w:t>2</w:t>
      </w:r>
      <w:r>
        <w:rPr>
          <w:sz w:val="10"/>
        </w:rPr>
        <w:t>b </w:t>
      </w:r>
      <w:r>
        <w:rPr>
          <w:w w:val="95"/>
          <w:sz w:val="16"/>
        </w:rPr>
        <w:t>(2-3)</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97" w:right="-4" w:firstLine="0"/>
        <w:jc w:val="left"/>
        <w:rPr>
          <w:sz w:val="16"/>
        </w:rPr>
      </w:pPr>
      <w:r>
        <w:rPr>
          <w:w w:val="95"/>
          <w:sz w:val="16"/>
        </w:rPr>
        <w:t>(0-2)</w:t>
      </w:r>
    </w:p>
    <w:p>
      <w:pPr>
        <w:pStyle w:val="BodyText"/>
        <w:spacing w:before="11"/>
        <w:rPr>
          <w:sz w:val="16"/>
        </w:rPr>
      </w:pPr>
    </w:p>
    <w:p>
      <w:pPr>
        <w:spacing w:before="0"/>
        <w:ind w:left="260" w:right="-4" w:firstLine="0"/>
        <w:jc w:val="left"/>
        <w:rPr>
          <w:sz w:val="16"/>
        </w:rPr>
      </w:pPr>
      <w:r>
        <w:rPr>
          <w:sz w:val="16"/>
        </w:rPr>
        <w:t>1.5</w:t>
      </w:r>
    </w:p>
    <w:p>
      <w:pPr>
        <w:pStyle w:val="BodyText"/>
        <w:spacing w:before="8"/>
        <w:rPr>
          <w:sz w:val="15"/>
        </w:rPr>
      </w:pPr>
    </w:p>
    <w:p>
      <w:pPr>
        <w:spacing w:before="0"/>
        <w:ind w:left="197" w:right="-4" w:firstLine="0"/>
        <w:jc w:val="left"/>
        <w:rPr>
          <w:sz w:val="16"/>
        </w:rPr>
      </w:pPr>
      <w:r>
        <w:rPr>
          <w:w w:val="95"/>
          <w:sz w:val="16"/>
        </w:rPr>
        <w:t>(1-3)</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7"/>
        </w:rPr>
      </w:pPr>
    </w:p>
    <w:p>
      <w:pPr>
        <w:spacing w:before="0"/>
        <w:ind w:left="165" w:right="224" w:firstLine="0"/>
        <w:jc w:val="center"/>
        <w:rPr>
          <w:sz w:val="16"/>
        </w:rPr>
      </w:pPr>
      <w:r>
        <w:rPr>
          <w:sz w:val="16"/>
        </w:rPr>
        <w:t>(0-3)</w:t>
      </w:r>
    </w:p>
    <w:p>
      <w:pPr>
        <w:pStyle w:val="BodyText"/>
        <w:spacing w:before="11"/>
        <w:rPr>
          <w:sz w:val="16"/>
        </w:rPr>
      </w:pPr>
    </w:p>
    <w:p>
      <w:pPr>
        <w:spacing w:before="0"/>
        <w:ind w:left="0" w:right="59" w:firstLine="0"/>
        <w:jc w:val="center"/>
        <w:rPr>
          <w:sz w:val="16"/>
        </w:rPr>
      </w:pPr>
      <w:r>
        <w:rPr>
          <w:w w:val="98"/>
          <w:sz w:val="16"/>
        </w:rPr>
        <w:t>1</w:t>
      </w:r>
    </w:p>
    <w:p>
      <w:pPr>
        <w:pStyle w:val="BodyText"/>
        <w:spacing w:before="8"/>
        <w:rPr>
          <w:sz w:val="15"/>
        </w:rPr>
      </w:pPr>
    </w:p>
    <w:p>
      <w:pPr>
        <w:spacing w:before="0"/>
        <w:ind w:left="165" w:right="224" w:firstLine="0"/>
        <w:jc w:val="center"/>
        <w:rPr>
          <w:sz w:val="16"/>
        </w:rPr>
      </w:pPr>
      <w:r>
        <w:rPr>
          <w:sz w:val="16"/>
        </w:rPr>
        <w:t>(0-2)</w:t>
      </w:r>
    </w:p>
    <w:p>
      <w:pPr>
        <w:spacing w:after="0"/>
        <w:jc w:val="center"/>
        <w:rPr>
          <w:sz w:val="16"/>
        </w:rPr>
        <w:sectPr>
          <w:type w:val="continuous"/>
          <w:pgSz w:w="15840" w:h="12240" w:orient="landscape"/>
          <w:pgMar w:top="1460" w:bottom="280" w:left="1640" w:right="1280"/>
          <w:cols w:num="20" w:equalWidth="0">
            <w:col w:w="777" w:space="409"/>
            <w:col w:w="707" w:space="378"/>
            <w:col w:w="701" w:space="40"/>
            <w:col w:w="681" w:space="40"/>
            <w:col w:w="551" w:space="40"/>
            <w:col w:w="513" w:space="40"/>
            <w:col w:w="517" w:space="40"/>
            <w:col w:w="512" w:space="40"/>
            <w:col w:w="518" w:space="40"/>
            <w:col w:w="513" w:space="40"/>
            <w:col w:w="517" w:space="40"/>
            <w:col w:w="556" w:space="40"/>
            <w:col w:w="551" w:space="40"/>
            <w:col w:w="517" w:space="40"/>
            <w:col w:w="513" w:space="40"/>
            <w:col w:w="513" w:space="40"/>
            <w:col w:w="517" w:space="40"/>
            <w:col w:w="513" w:space="40"/>
            <w:col w:w="517" w:space="40"/>
            <w:col w:w="749"/>
          </w:cols>
        </w:sect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before="78"/>
        <w:ind w:left="1168" w:right="99" w:firstLine="0"/>
        <w:jc w:val="left"/>
        <w:rPr>
          <w:sz w:val="16"/>
        </w:rPr>
      </w:pPr>
      <w:r>
        <w:rPr/>
        <w:pict>
          <v:shape style="position:absolute;margin-left:88.103996pt;margin-top:-41.584274pt;width:633.1pt;height:74.1pt;mso-position-horizontal-relative:page;mso-position-vertical-relative:paragraph;z-index:15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77"/>
                    <w:gridCol w:w="555"/>
                    <w:gridCol w:w="554"/>
                    <w:gridCol w:w="555"/>
                    <w:gridCol w:w="555"/>
                    <w:gridCol w:w="554"/>
                    <w:gridCol w:w="576"/>
                    <w:gridCol w:w="593"/>
                    <w:gridCol w:w="574"/>
                    <w:gridCol w:w="555"/>
                    <w:gridCol w:w="552"/>
                    <w:gridCol w:w="554"/>
                    <w:gridCol w:w="555"/>
                    <w:gridCol w:w="555"/>
                    <w:gridCol w:w="413"/>
                    <w:gridCol w:w="686"/>
                  </w:tblGrid>
                  <w:tr>
                    <w:trPr>
                      <w:trHeight w:val="358" w:hRule="exact"/>
                    </w:trPr>
                    <w:tc>
                      <w:tcPr>
                        <w:tcW w:w="4277" w:type="dxa"/>
                      </w:tcPr>
                      <w:p>
                        <w:pPr>
                          <w:pStyle w:val="TableParagraph"/>
                          <w:tabs>
                            <w:tab w:pos="3288" w:val="left" w:leader="none"/>
                            <w:tab w:pos="4040" w:val="right" w:leader="none"/>
                          </w:tabs>
                          <w:spacing w:line="162" w:lineRule="exact"/>
                          <w:ind w:left="2650"/>
                          <w:jc w:val="left"/>
                          <w:rPr>
                            <w:sz w:val="16"/>
                          </w:rPr>
                        </w:pPr>
                        <w:r>
                          <w:rPr>
                            <w:sz w:val="16"/>
                          </w:rPr>
                          <w:t>0</w:t>
                          <w:tab/>
                          <w:t>1.5</w:t>
                        </w:r>
                        <w:r>
                          <w:rPr>
                            <w:position w:val="7"/>
                            <w:sz w:val="10"/>
                          </w:rPr>
                          <w:t>a</w:t>
                        </w:r>
                        <w:r>
                          <w:rPr>
                            <w:sz w:val="16"/>
                          </w:rPr>
                          <w:tab/>
                          <w:t>1</w:t>
                        </w:r>
                      </w:p>
                      <w:p>
                        <w:pPr>
                          <w:pStyle w:val="TableParagraph"/>
                          <w:spacing w:before="3"/>
                          <w:ind w:left="1422" w:right="2485"/>
                          <w:rPr>
                            <w:sz w:val="16"/>
                          </w:rPr>
                        </w:pPr>
                        <w:r>
                          <w:rPr>
                            <w:sz w:val="16"/>
                          </w:rPr>
                          <w:t>LKD</w:t>
                        </w:r>
                      </w:p>
                    </w:tc>
                    <w:tc>
                      <w:tcPr>
                        <w:tcW w:w="555" w:type="dxa"/>
                      </w:tcPr>
                      <w:p>
                        <w:pPr>
                          <w:pStyle w:val="TableParagraph"/>
                          <w:spacing w:line="162" w:lineRule="exact"/>
                          <w:rPr>
                            <w:sz w:val="16"/>
                          </w:rPr>
                        </w:pPr>
                        <w:r>
                          <w:rPr>
                            <w:w w:val="99"/>
                            <w:sz w:val="16"/>
                          </w:rPr>
                          <w:t>1</w:t>
                        </w:r>
                      </w:p>
                    </w:tc>
                    <w:tc>
                      <w:tcPr>
                        <w:tcW w:w="554" w:type="dxa"/>
                      </w:tcPr>
                      <w:p>
                        <w:pPr>
                          <w:pStyle w:val="TableParagraph"/>
                          <w:spacing w:line="162" w:lineRule="exact"/>
                          <w:ind w:left="2"/>
                          <w:rPr>
                            <w:sz w:val="16"/>
                          </w:rPr>
                        </w:pPr>
                        <w:r>
                          <w:rPr>
                            <w:w w:val="99"/>
                            <w:sz w:val="16"/>
                          </w:rPr>
                          <w:t>1</w:t>
                        </w:r>
                      </w:p>
                    </w:tc>
                    <w:tc>
                      <w:tcPr>
                        <w:tcW w:w="555" w:type="dxa"/>
                      </w:tcPr>
                      <w:p>
                        <w:pPr>
                          <w:pStyle w:val="TableParagraph"/>
                          <w:spacing w:line="162" w:lineRule="exact"/>
                          <w:rPr>
                            <w:sz w:val="16"/>
                          </w:rPr>
                        </w:pPr>
                        <w:r>
                          <w:rPr>
                            <w:w w:val="99"/>
                            <w:sz w:val="16"/>
                          </w:rPr>
                          <w:t>1</w:t>
                        </w:r>
                      </w:p>
                    </w:tc>
                    <w:tc>
                      <w:tcPr>
                        <w:tcW w:w="555" w:type="dxa"/>
                      </w:tcPr>
                      <w:p>
                        <w:pPr>
                          <w:pStyle w:val="TableParagraph"/>
                          <w:spacing w:line="162" w:lineRule="exact"/>
                          <w:ind w:left="2"/>
                          <w:rPr>
                            <w:sz w:val="16"/>
                          </w:rPr>
                        </w:pPr>
                        <w:r>
                          <w:rPr>
                            <w:w w:val="99"/>
                            <w:sz w:val="16"/>
                          </w:rPr>
                          <w:t>1</w:t>
                        </w:r>
                      </w:p>
                    </w:tc>
                    <w:tc>
                      <w:tcPr>
                        <w:tcW w:w="554" w:type="dxa"/>
                      </w:tcPr>
                      <w:p>
                        <w:pPr>
                          <w:pStyle w:val="TableParagraph"/>
                          <w:spacing w:line="162" w:lineRule="exact"/>
                          <w:ind w:left="178"/>
                          <w:jc w:val="left"/>
                          <w:rPr>
                            <w:sz w:val="16"/>
                          </w:rPr>
                        </w:pPr>
                        <w:r>
                          <w:rPr>
                            <w:sz w:val="16"/>
                          </w:rPr>
                          <w:t>1.5</w:t>
                        </w:r>
                      </w:p>
                    </w:tc>
                    <w:tc>
                      <w:tcPr>
                        <w:tcW w:w="576" w:type="dxa"/>
                      </w:tcPr>
                      <w:p>
                        <w:pPr>
                          <w:pStyle w:val="TableParagraph"/>
                          <w:spacing w:line="162" w:lineRule="exact"/>
                          <w:ind w:right="17"/>
                          <w:rPr>
                            <w:sz w:val="16"/>
                          </w:rPr>
                        </w:pPr>
                        <w:r>
                          <w:rPr>
                            <w:w w:val="99"/>
                            <w:sz w:val="16"/>
                          </w:rPr>
                          <w:t>2</w:t>
                        </w:r>
                      </w:p>
                    </w:tc>
                    <w:tc>
                      <w:tcPr>
                        <w:tcW w:w="593" w:type="dxa"/>
                      </w:tcPr>
                      <w:p>
                        <w:pPr>
                          <w:pStyle w:val="TableParagraph"/>
                          <w:spacing w:line="162" w:lineRule="exact"/>
                          <w:ind w:left="2"/>
                          <w:rPr>
                            <w:sz w:val="16"/>
                          </w:rPr>
                        </w:pPr>
                        <w:r>
                          <w:rPr>
                            <w:w w:val="99"/>
                            <w:sz w:val="16"/>
                          </w:rPr>
                          <w:t>2</w:t>
                        </w:r>
                      </w:p>
                    </w:tc>
                    <w:tc>
                      <w:tcPr>
                        <w:tcW w:w="574" w:type="dxa"/>
                      </w:tcPr>
                      <w:p>
                        <w:pPr>
                          <w:pStyle w:val="TableParagraph"/>
                          <w:spacing w:line="162" w:lineRule="exact"/>
                          <w:ind w:left="16"/>
                          <w:rPr>
                            <w:sz w:val="16"/>
                          </w:rPr>
                        </w:pPr>
                        <w:r>
                          <w:rPr>
                            <w:w w:val="99"/>
                            <w:sz w:val="16"/>
                          </w:rPr>
                          <w:t>2</w:t>
                        </w:r>
                      </w:p>
                    </w:tc>
                    <w:tc>
                      <w:tcPr>
                        <w:tcW w:w="555" w:type="dxa"/>
                      </w:tcPr>
                      <w:p>
                        <w:pPr>
                          <w:pStyle w:val="TableParagraph"/>
                          <w:spacing w:line="162" w:lineRule="exact"/>
                          <w:ind w:left="2"/>
                          <w:rPr>
                            <w:sz w:val="16"/>
                          </w:rPr>
                        </w:pPr>
                        <w:r>
                          <w:rPr>
                            <w:w w:val="99"/>
                            <w:sz w:val="16"/>
                          </w:rPr>
                          <w:t>2</w:t>
                        </w:r>
                      </w:p>
                    </w:tc>
                    <w:tc>
                      <w:tcPr>
                        <w:tcW w:w="552" w:type="dxa"/>
                      </w:tcPr>
                      <w:p>
                        <w:pPr>
                          <w:pStyle w:val="TableParagraph"/>
                          <w:spacing w:line="162" w:lineRule="exact"/>
                          <w:rPr>
                            <w:sz w:val="16"/>
                          </w:rPr>
                        </w:pPr>
                        <w:r>
                          <w:rPr>
                            <w:w w:val="99"/>
                            <w:sz w:val="16"/>
                          </w:rPr>
                          <w:t>2</w:t>
                        </w:r>
                      </w:p>
                    </w:tc>
                    <w:tc>
                      <w:tcPr>
                        <w:tcW w:w="554" w:type="dxa"/>
                      </w:tcPr>
                      <w:p>
                        <w:pPr>
                          <w:pStyle w:val="TableParagraph"/>
                          <w:spacing w:line="162" w:lineRule="exact"/>
                          <w:rPr>
                            <w:sz w:val="16"/>
                          </w:rPr>
                        </w:pPr>
                        <w:r>
                          <w:rPr>
                            <w:w w:val="99"/>
                            <w:sz w:val="16"/>
                          </w:rPr>
                          <w:t>1</w:t>
                        </w:r>
                      </w:p>
                    </w:tc>
                    <w:tc>
                      <w:tcPr>
                        <w:tcW w:w="555" w:type="dxa"/>
                      </w:tcPr>
                      <w:p>
                        <w:pPr>
                          <w:pStyle w:val="TableParagraph"/>
                          <w:spacing w:line="162" w:lineRule="exact"/>
                          <w:ind w:left="2"/>
                          <w:rPr>
                            <w:sz w:val="16"/>
                          </w:rPr>
                        </w:pPr>
                        <w:r>
                          <w:rPr>
                            <w:w w:val="99"/>
                            <w:sz w:val="16"/>
                          </w:rPr>
                          <w:t>1</w:t>
                        </w:r>
                      </w:p>
                    </w:tc>
                    <w:tc>
                      <w:tcPr>
                        <w:tcW w:w="555" w:type="dxa"/>
                      </w:tcPr>
                      <w:p>
                        <w:pPr>
                          <w:pStyle w:val="TableParagraph"/>
                          <w:spacing w:line="162" w:lineRule="exact"/>
                          <w:rPr>
                            <w:sz w:val="16"/>
                          </w:rPr>
                        </w:pPr>
                        <w:r>
                          <w:rPr>
                            <w:w w:val="99"/>
                            <w:sz w:val="16"/>
                          </w:rPr>
                          <w:t>1</w:t>
                        </w:r>
                      </w:p>
                    </w:tc>
                    <w:tc>
                      <w:tcPr>
                        <w:tcW w:w="1099" w:type="dxa"/>
                        <w:gridSpan w:val="2"/>
                      </w:tcPr>
                      <w:p>
                        <w:pPr>
                          <w:pStyle w:val="TableParagraph"/>
                          <w:tabs>
                            <w:tab w:pos="761" w:val="left" w:leader="none"/>
                          </w:tabs>
                          <w:spacing w:line="162" w:lineRule="exact"/>
                          <w:ind w:left="238"/>
                          <w:jc w:val="left"/>
                          <w:rPr>
                            <w:sz w:val="10"/>
                          </w:rPr>
                        </w:pPr>
                        <w:r>
                          <w:rPr>
                            <w:sz w:val="16"/>
                          </w:rPr>
                          <w:t>1</w:t>
                          <w:tab/>
                          <w:t>0</w:t>
                        </w:r>
                        <w:r>
                          <w:rPr>
                            <w:position w:val="7"/>
                            <w:sz w:val="10"/>
                          </w:rPr>
                          <w:t>a</w:t>
                        </w:r>
                      </w:p>
                    </w:tc>
                  </w:tr>
                  <w:tr>
                    <w:trPr>
                      <w:trHeight w:val="281" w:hRule="exact"/>
                    </w:trPr>
                    <w:tc>
                      <w:tcPr>
                        <w:tcW w:w="4277" w:type="dxa"/>
                      </w:tcPr>
                      <w:p>
                        <w:pPr>
                          <w:pStyle w:val="TableParagraph"/>
                          <w:tabs>
                            <w:tab w:pos="719" w:val="left" w:leader="none"/>
                            <w:tab w:pos="1310" w:val="left" w:leader="none"/>
                          </w:tabs>
                          <w:spacing w:line="162" w:lineRule="exact"/>
                          <w:ind w:right="114"/>
                          <w:jc w:val="right"/>
                          <w:rPr>
                            <w:sz w:val="16"/>
                          </w:rPr>
                        </w:pPr>
                        <w:r>
                          <w:rPr>
                            <w:sz w:val="16"/>
                          </w:rPr>
                          <w:t>(0-1)</w:t>
                          <w:tab/>
                          <w:t>(1-2)</w:t>
                          <w:tab/>
                        </w:r>
                        <w:r>
                          <w:rPr>
                            <w:w w:val="95"/>
                            <w:sz w:val="16"/>
                          </w:rPr>
                          <w:t>(1-2)</w:t>
                        </w:r>
                      </w:p>
                    </w:tc>
                    <w:tc>
                      <w:tcPr>
                        <w:tcW w:w="555" w:type="dxa"/>
                      </w:tcPr>
                      <w:p>
                        <w:pPr>
                          <w:pStyle w:val="TableParagraph"/>
                          <w:spacing w:line="162" w:lineRule="exact"/>
                          <w:ind w:left="96" w:right="96"/>
                          <w:rPr>
                            <w:sz w:val="16"/>
                          </w:rPr>
                        </w:pPr>
                        <w:r>
                          <w:rPr>
                            <w:sz w:val="16"/>
                          </w:rPr>
                          <w:t>(1-2)</w:t>
                        </w:r>
                      </w:p>
                    </w:tc>
                    <w:tc>
                      <w:tcPr>
                        <w:tcW w:w="554" w:type="dxa"/>
                      </w:tcPr>
                      <w:p>
                        <w:pPr>
                          <w:pStyle w:val="TableParagraph"/>
                          <w:spacing w:line="162" w:lineRule="exact"/>
                          <w:ind w:left="97" w:right="95"/>
                          <w:rPr>
                            <w:sz w:val="16"/>
                          </w:rPr>
                        </w:pPr>
                        <w:r>
                          <w:rPr>
                            <w:sz w:val="16"/>
                          </w:rPr>
                          <w:t>(0-2)</w:t>
                        </w:r>
                      </w:p>
                    </w:tc>
                    <w:tc>
                      <w:tcPr>
                        <w:tcW w:w="555" w:type="dxa"/>
                      </w:tcPr>
                      <w:p>
                        <w:pPr>
                          <w:pStyle w:val="TableParagraph"/>
                          <w:spacing w:line="162" w:lineRule="exact"/>
                          <w:ind w:left="96" w:right="96"/>
                          <w:rPr>
                            <w:sz w:val="16"/>
                          </w:rPr>
                        </w:pPr>
                        <w:r>
                          <w:rPr>
                            <w:sz w:val="16"/>
                          </w:rPr>
                          <w:t>(0-2)</w:t>
                        </w:r>
                      </w:p>
                    </w:tc>
                    <w:tc>
                      <w:tcPr>
                        <w:tcW w:w="555" w:type="dxa"/>
                      </w:tcPr>
                      <w:p>
                        <w:pPr>
                          <w:pStyle w:val="TableParagraph"/>
                          <w:spacing w:line="162" w:lineRule="exact"/>
                          <w:ind w:left="97" w:right="95"/>
                          <w:rPr>
                            <w:sz w:val="16"/>
                          </w:rPr>
                        </w:pPr>
                        <w:r>
                          <w:rPr>
                            <w:sz w:val="16"/>
                          </w:rPr>
                          <w:t>(1-2)</w:t>
                        </w:r>
                      </w:p>
                    </w:tc>
                    <w:tc>
                      <w:tcPr>
                        <w:tcW w:w="554" w:type="dxa"/>
                      </w:tcPr>
                      <w:p>
                        <w:pPr>
                          <w:pStyle w:val="TableParagraph"/>
                          <w:spacing w:line="162" w:lineRule="exact"/>
                          <w:ind w:left="116"/>
                          <w:jc w:val="left"/>
                          <w:rPr>
                            <w:sz w:val="16"/>
                          </w:rPr>
                        </w:pPr>
                        <w:r>
                          <w:rPr>
                            <w:sz w:val="16"/>
                          </w:rPr>
                          <w:t>(0-3)</w:t>
                        </w:r>
                      </w:p>
                    </w:tc>
                    <w:tc>
                      <w:tcPr>
                        <w:tcW w:w="576" w:type="dxa"/>
                      </w:tcPr>
                      <w:p>
                        <w:pPr>
                          <w:pStyle w:val="TableParagraph"/>
                          <w:spacing w:line="162" w:lineRule="exact"/>
                          <w:ind w:left="99" w:right="116"/>
                          <w:rPr>
                            <w:sz w:val="16"/>
                          </w:rPr>
                        </w:pPr>
                        <w:r>
                          <w:rPr>
                            <w:sz w:val="16"/>
                          </w:rPr>
                          <w:t>(0-3)</w:t>
                        </w:r>
                      </w:p>
                    </w:tc>
                    <w:tc>
                      <w:tcPr>
                        <w:tcW w:w="593" w:type="dxa"/>
                      </w:tcPr>
                      <w:p>
                        <w:pPr>
                          <w:pStyle w:val="TableParagraph"/>
                          <w:spacing w:line="162" w:lineRule="exact"/>
                          <w:ind w:left="117" w:right="115"/>
                          <w:rPr>
                            <w:sz w:val="16"/>
                          </w:rPr>
                        </w:pPr>
                        <w:r>
                          <w:rPr>
                            <w:sz w:val="16"/>
                          </w:rPr>
                          <w:t>(0-3)</w:t>
                        </w:r>
                      </w:p>
                    </w:tc>
                    <w:tc>
                      <w:tcPr>
                        <w:tcW w:w="574" w:type="dxa"/>
                      </w:tcPr>
                      <w:p>
                        <w:pPr>
                          <w:pStyle w:val="TableParagraph"/>
                          <w:spacing w:line="162" w:lineRule="exact"/>
                          <w:ind w:left="114" w:right="98"/>
                          <w:rPr>
                            <w:sz w:val="16"/>
                          </w:rPr>
                        </w:pPr>
                        <w:r>
                          <w:rPr>
                            <w:sz w:val="16"/>
                          </w:rPr>
                          <w:t>(0-2)</w:t>
                        </w:r>
                      </w:p>
                    </w:tc>
                    <w:tc>
                      <w:tcPr>
                        <w:tcW w:w="555" w:type="dxa"/>
                      </w:tcPr>
                      <w:p>
                        <w:pPr>
                          <w:pStyle w:val="TableParagraph"/>
                          <w:spacing w:line="162" w:lineRule="exact"/>
                          <w:ind w:left="97" w:right="95"/>
                          <w:rPr>
                            <w:sz w:val="16"/>
                          </w:rPr>
                        </w:pPr>
                        <w:r>
                          <w:rPr>
                            <w:sz w:val="16"/>
                          </w:rPr>
                          <w:t>(0-2)</w:t>
                        </w:r>
                      </w:p>
                    </w:tc>
                    <w:tc>
                      <w:tcPr>
                        <w:tcW w:w="552" w:type="dxa"/>
                      </w:tcPr>
                      <w:p>
                        <w:pPr>
                          <w:pStyle w:val="TableParagraph"/>
                          <w:spacing w:line="162" w:lineRule="exact"/>
                          <w:ind w:left="96" w:right="96"/>
                          <w:rPr>
                            <w:sz w:val="16"/>
                          </w:rPr>
                        </w:pPr>
                        <w:r>
                          <w:rPr>
                            <w:sz w:val="16"/>
                          </w:rPr>
                          <w:t>(0-2)</w:t>
                        </w:r>
                      </w:p>
                    </w:tc>
                    <w:tc>
                      <w:tcPr>
                        <w:tcW w:w="554" w:type="dxa"/>
                      </w:tcPr>
                      <w:p>
                        <w:pPr>
                          <w:pStyle w:val="TableParagraph"/>
                          <w:spacing w:line="162" w:lineRule="exact"/>
                          <w:ind w:left="96" w:right="96"/>
                          <w:rPr>
                            <w:sz w:val="16"/>
                          </w:rPr>
                        </w:pPr>
                        <w:r>
                          <w:rPr>
                            <w:sz w:val="16"/>
                          </w:rPr>
                          <w:t>(0-3)</w:t>
                        </w:r>
                      </w:p>
                    </w:tc>
                    <w:tc>
                      <w:tcPr>
                        <w:tcW w:w="555" w:type="dxa"/>
                      </w:tcPr>
                      <w:p>
                        <w:pPr>
                          <w:pStyle w:val="TableParagraph"/>
                          <w:spacing w:line="162" w:lineRule="exact"/>
                          <w:ind w:left="97" w:right="95"/>
                          <w:rPr>
                            <w:sz w:val="16"/>
                          </w:rPr>
                        </w:pPr>
                        <w:r>
                          <w:rPr>
                            <w:sz w:val="16"/>
                          </w:rPr>
                          <w:t>(0-2)</w:t>
                        </w:r>
                      </w:p>
                    </w:tc>
                    <w:tc>
                      <w:tcPr>
                        <w:tcW w:w="555" w:type="dxa"/>
                      </w:tcPr>
                      <w:p>
                        <w:pPr>
                          <w:pStyle w:val="TableParagraph"/>
                          <w:spacing w:line="162" w:lineRule="exact"/>
                          <w:ind w:left="96" w:right="96"/>
                          <w:rPr>
                            <w:sz w:val="16"/>
                          </w:rPr>
                        </w:pPr>
                        <w:r>
                          <w:rPr>
                            <w:sz w:val="16"/>
                          </w:rPr>
                          <w:t>(0-2)</w:t>
                        </w:r>
                      </w:p>
                    </w:tc>
                    <w:tc>
                      <w:tcPr>
                        <w:tcW w:w="413" w:type="dxa"/>
                      </w:tcPr>
                      <w:p>
                        <w:pPr>
                          <w:pStyle w:val="TableParagraph"/>
                          <w:spacing w:line="162" w:lineRule="exact"/>
                          <w:ind w:left="118" w:right="-25"/>
                          <w:rPr>
                            <w:sz w:val="16"/>
                          </w:rPr>
                        </w:pPr>
                        <w:r>
                          <w:rPr>
                            <w:w w:val="95"/>
                            <w:sz w:val="16"/>
                          </w:rPr>
                          <w:t>(0-2)</w:t>
                        </w:r>
                      </w:p>
                    </w:tc>
                    <w:tc>
                      <w:tcPr>
                        <w:tcW w:w="686" w:type="dxa"/>
                      </w:tcPr>
                      <w:p>
                        <w:pPr>
                          <w:pStyle w:val="TableParagraph"/>
                          <w:spacing w:line="162" w:lineRule="exact"/>
                          <w:ind w:left="232" w:right="93"/>
                          <w:rPr>
                            <w:sz w:val="16"/>
                          </w:rPr>
                        </w:pPr>
                        <w:r>
                          <w:rPr>
                            <w:sz w:val="16"/>
                          </w:rPr>
                          <w:t>(0-1)</w:t>
                        </w:r>
                      </w:p>
                    </w:tc>
                  </w:tr>
                  <w:tr>
                    <w:trPr>
                      <w:trHeight w:val="372" w:hRule="exact"/>
                    </w:trPr>
                    <w:tc>
                      <w:tcPr>
                        <w:tcW w:w="4277" w:type="dxa"/>
                      </w:tcPr>
                      <w:p>
                        <w:pPr>
                          <w:pStyle w:val="TableParagraph"/>
                          <w:tabs>
                            <w:tab w:pos="671" w:val="left" w:leader="none"/>
                            <w:tab w:pos="1389" w:val="right" w:leader="none"/>
                          </w:tabs>
                          <w:spacing w:before="74"/>
                          <w:ind w:right="234"/>
                          <w:jc w:val="right"/>
                          <w:rPr>
                            <w:sz w:val="16"/>
                          </w:rPr>
                        </w:pPr>
                        <w:r>
                          <w:rPr>
                            <w:sz w:val="16"/>
                          </w:rPr>
                          <w:t>0</w:t>
                          <w:tab/>
                          <w:t>7</w:t>
                        </w:r>
                        <w:r>
                          <w:rPr>
                            <w:position w:val="7"/>
                            <w:sz w:val="10"/>
                          </w:rPr>
                          <w:t>b*</w:t>
                        </w:r>
                        <w:r>
                          <w:rPr>
                            <w:sz w:val="16"/>
                          </w:rPr>
                          <w:tab/>
                          <w:t>6</w:t>
                        </w:r>
                      </w:p>
                    </w:tc>
                    <w:tc>
                      <w:tcPr>
                        <w:tcW w:w="555" w:type="dxa"/>
                      </w:tcPr>
                      <w:p>
                        <w:pPr>
                          <w:pStyle w:val="TableParagraph"/>
                          <w:spacing w:before="88"/>
                          <w:rPr>
                            <w:sz w:val="16"/>
                          </w:rPr>
                        </w:pPr>
                        <w:r>
                          <w:rPr>
                            <w:w w:val="98"/>
                            <w:sz w:val="16"/>
                          </w:rPr>
                          <w:t>6</w:t>
                        </w:r>
                      </w:p>
                    </w:tc>
                    <w:tc>
                      <w:tcPr>
                        <w:tcW w:w="554" w:type="dxa"/>
                      </w:tcPr>
                      <w:p>
                        <w:pPr>
                          <w:pStyle w:val="TableParagraph"/>
                          <w:spacing w:before="88"/>
                          <w:ind w:left="2"/>
                          <w:rPr>
                            <w:sz w:val="16"/>
                          </w:rPr>
                        </w:pPr>
                        <w:r>
                          <w:rPr>
                            <w:w w:val="98"/>
                            <w:sz w:val="16"/>
                          </w:rPr>
                          <w:t>4</w:t>
                        </w:r>
                      </w:p>
                    </w:tc>
                    <w:tc>
                      <w:tcPr>
                        <w:tcW w:w="555" w:type="dxa"/>
                      </w:tcPr>
                      <w:p>
                        <w:pPr>
                          <w:pStyle w:val="TableParagraph"/>
                          <w:spacing w:before="88"/>
                          <w:rPr>
                            <w:sz w:val="16"/>
                          </w:rPr>
                        </w:pPr>
                        <w:r>
                          <w:rPr>
                            <w:w w:val="98"/>
                            <w:sz w:val="16"/>
                          </w:rPr>
                          <w:t>2</w:t>
                        </w:r>
                      </w:p>
                    </w:tc>
                    <w:tc>
                      <w:tcPr>
                        <w:tcW w:w="555" w:type="dxa"/>
                      </w:tcPr>
                      <w:p>
                        <w:pPr>
                          <w:pStyle w:val="TableParagraph"/>
                          <w:spacing w:before="88"/>
                          <w:ind w:left="2"/>
                          <w:rPr>
                            <w:sz w:val="16"/>
                          </w:rPr>
                        </w:pPr>
                        <w:r>
                          <w:rPr>
                            <w:w w:val="98"/>
                            <w:sz w:val="16"/>
                          </w:rPr>
                          <w:t>3</w:t>
                        </w:r>
                      </w:p>
                    </w:tc>
                    <w:tc>
                      <w:tcPr>
                        <w:tcW w:w="554" w:type="dxa"/>
                      </w:tcPr>
                      <w:p>
                        <w:pPr>
                          <w:pStyle w:val="TableParagraph"/>
                          <w:spacing w:before="88"/>
                          <w:rPr>
                            <w:sz w:val="16"/>
                          </w:rPr>
                        </w:pPr>
                        <w:r>
                          <w:rPr>
                            <w:w w:val="98"/>
                            <w:sz w:val="16"/>
                          </w:rPr>
                          <w:t>3</w:t>
                        </w:r>
                      </w:p>
                    </w:tc>
                    <w:tc>
                      <w:tcPr>
                        <w:tcW w:w="576" w:type="dxa"/>
                      </w:tcPr>
                      <w:p>
                        <w:pPr>
                          <w:pStyle w:val="TableParagraph"/>
                          <w:spacing w:before="88"/>
                          <w:ind w:right="17"/>
                          <w:rPr>
                            <w:sz w:val="16"/>
                          </w:rPr>
                        </w:pPr>
                        <w:r>
                          <w:rPr>
                            <w:w w:val="98"/>
                            <w:sz w:val="16"/>
                          </w:rPr>
                          <w:t>3</w:t>
                        </w:r>
                      </w:p>
                    </w:tc>
                    <w:tc>
                      <w:tcPr>
                        <w:tcW w:w="593" w:type="dxa"/>
                      </w:tcPr>
                      <w:p>
                        <w:pPr>
                          <w:pStyle w:val="TableParagraph"/>
                          <w:spacing w:before="88"/>
                          <w:ind w:left="2"/>
                          <w:rPr>
                            <w:sz w:val="16"/>
                          </w:rPr>
                        </w:pPr>
                        <w:r>
                          <w:rPr>
                            <w:w w:val="98"/>
                            <w:sz w:val="16"/>
                          </w:rPr>
                          <w:t>3</w:t>
                        </w:r>
                      </w:p>
                    </w:tc>
                    <w:tc>
                      <w:tcPr>
                        <w:tcW w:w="574" w:type="dxa"/>
                      </w:tcPr>
                      <w:p>
                        <w:pPr>
                          <w:pStyle w:val="TableParagraph"/>
                          <w:spacing w:before="88"/>
                          <w:ind w:left="16"/>
                          <w:rPr>
                            <w:sz w:val="16"/>
                          </w:rPr>
                        </w:pPr>
                        <w:r>
                          <w:rPr>
                            <w:w w:val="98"/>
                            <w:sz w:val="16"/>
                          </w:rPr>
                          <w:t>3</w:t>
                        </w:r>
                      </w:p>
                    </w:tc>
                    <w:tc>
                      <w:tcPr>
                        <w:tcW w:w="555" w:type="dxa"/>
                      </w:tcPr>
                      <w:p>
                        <w:pPr>
                          <w:pStyle w:val="TableParagraph"/>
                          <w:spacing w:before="88"/>
                          <w:ind w:left="2"/>
                          <w:rPr>
                            <w:sz w:val="16"/>
                          </w:rPr>
                        </w:pPr>
                        <w:r>
                          <w:rPr>
                            <w:w w:val="98"/>
                            <w:sz w:val="16"/>
                          </w:rPr>
                          <w:t>3</w:t>
                        </w:r>
                      </w:p>
                    </w:tc>
                    <w:tc>
                      <w:tcPr>
                        <w:tcW w:w="552" w:type="dxa"/>
                      </w:tcPr>
                      <w:p>
                        <w:pPr>
                          <w:pStyle w:val="TableParagraph"/>
                          <w:spacing w:before="88"/>
                          <w:rPr>
                            <w:sz w:val="16"/>
                          </w:rPr>
                        </w:pPr>
                        <w:r>
                          <w:rPr>
                            <w:w w:val="98"/>
                            <w:sz w:val="16"/>
                          </w:rPr>
                          <w:t>3</w:t>
                        </w:r>
                      </w:p>
                    </w:tc>
                    <w:tc>
                      <w:tcPr>
                        <w:tcW w:w="554" w:type="dxa"/>
                      </w:tcPr>
                      <w:p>
                        <w:pPr>
                          <w:pStyle w:val="TableParagraph"/>
                          <w:spacing w:before="88"/>
                          <w:rPr>
                            <w:sz w:val="16"/>
                          </w:rPr>
                        </w:pPr>
                        <w:r>
                          <w:rPr>
                            <w:w w:val="98"/>
                            <w:sz w:val="16"/>
                          </w:rPr>
                          <w:t>3</w:t>
                        </w:r>
                      </w:p>
                    </w:tc>
                    <w:tc>
                      <w:tcPr>
                        <w:tcW w:w="555" w:type="dxa"/>
                      </w:tcPr>
                      <w:p>
                        <w:pPr>
                          <w:pStyle w:val="TableParagraph"/>
                          <w:spacing w:before="88"/>
                          <w:ind w:left="2"/>
                          <w:rPr>
                            <w:sz w:val="16"/>
                          </w:rPr>
                        </w:pPr>
                        <w:r>
                          <w:rPr>
                            <w:w w:val="98"/>
                            <w:sz w:val="16"/>
                          </w:rPr>
                          <w:t>2</w:t>
                        </w:r>
                      </w:p>
                    </w:tc>
                    <w:tc>
                      <w:tcPr>
                        <w:tcW w:w="555" w:type="dxa"/>
                      </w:tcPr>
                      <w:p>
                        <w:pPr>
                          <w:pStyle w:val="TableParagraph"/>
                          <w:spacing w:before="88"/>
                          <w:rPr>
                            <w:sz w:val="16"/>
                          </w:rPr>
                        </w:pPr>
                        <w:r>
                          <w:rPr>
                            <w:w w:val="98"/>
                            <w:sz w:val="16"/>
                          </w:rPr>
                          <w:t>2</w:t>
                        </w:r>
                      </w:p>
                    </w:tc>
                    <w:tc>
                      <w:tcPr>
                        <w:tcW w:w="413" w:type="dxa"/>
                      </w:tcPr>
                      <w:p>
                        <w:pPr>
                          <w:pStyle w:val="TableParagraph"/>
                          <w:spacing w:before="88"/>
                          <w:ind w:left="143"/>
                          <w:rPr>
                            <w:sz w:val="16"/>
                          </w:rPr>
                        </w:pPr>
                        <w:r>
                          <w:rPr>
                            <w:w w:val="98"/>
                            <w:sz w:val="16"/>
                          </w:rPr>
                          <w:t>2</w:t>
                        </w:r>
                      </w:p>
                    </w:tc>
                    <w:tc>
                      <w:tcPr>
                        <w:tcW w:w="686" w:type="dxa"/>
                      </w:tcPr>
                      <w:p>
                        <w:pPr>
                          <w:pStyle w:val="TableParagraph"/>
                          <w:spacing w:before="88"/>
                          <w:ind w:left="139"/>
                          <w:rPr>
                            <w:sz w:val="16"/>
                          </w:rPr>
                        </w:pPr>
                        <w:r>
                          <w:rPr>
                            <w:w w:val="98"/>
                            <w:sz w:val="16"/>
                          </w:rPr>
                          <w:t>2</w:t>
                        </w:r>
                      </w:p>
                    </w:tc>
                  </w:tr>
                  <w:tr>
                    <w:trPr>
                      <w:trHeight w:val="461" w:hRule="exact"/>
                    </w:trPr>
                    <w:tc>
                      <w:tcPr>
                        <w:tcW w:w="4277" w:type="dxa"/>
                        <w:tcBorders>
                          <w:bottom w:val="single" w:sz="4" w:space="0" w:color="000000"/>
                        </w:tcBorders>
                      </w:tcPr>
                      <w:p>
                        <w:pPr>
                          <w:pStyle w:val="TableParagraph"/>
                          <w:tabs>
                            <w:tab w:pos="719" w:val="left" w:leader="none"/>
                            <w:tab w:pos="1310" w:val="left" w:leader="none"/>
                          </w:tabs>
                          <w:spacing w:before="81"/>
                          <w:ind w:right="114"/>
                          <w:jc w:val="right"/>
                          <w:rPr>
                            <w:sz w:val="16"/>
                          </w:rPr>
                        </w:pPr>
                        <w:r>
                          <w:rPr>
                            <w:sz w:val="16"/>
                          </w:rPr>
                          <w:t>(0-1)</w:t>
                          <w:tab/>
                          <w:t>(3-9)</w:t>
                          <w:tab/>
                        </w:r>
                        <w:r>
                          <w:rPr>
                            <w:w w:val="95"/>
                            <w:sz w:val="16"/>
                          </w:rPr>
                          <w:t>(4-8)</w:t>
                        </w:r>
                      </w:p>
                    </w:tc>
                    <w:tc>
                      <w:tcPr>
                        <w:tcW w:w="555" w:type="dxa"/>
                        <w:tcBorders>
                          <w:bottom w:val="single" w:sz="4" w:space="0" w:color="000000"/>
                        </w:tcBorders>
                      </w:tcPr>
                      <w:p>
                        <w:pPr>
                          <w:pStyle w:val="TableParagraph"/>
                          <w:spacing w:before="81"/>
                          <w:ind w:left="96" w:right="96"/>
                          <w:rPr>
                            <w:sz w:val="16"/>
                          </w:rPr>
                        </w:pPr>
                        <w:r>
                          <w:rPr>
                            <w:sz w:val="16"/>
                          </w:rPr>
                          <w:t>(3-9)</w:t>
                        </w:r>
                      </w:p>
                    </w:tc>
                    <w:tc>
                      <w:tcPr>
                        <w:tcW w:w="554" w:type="dxa"/>
                        <w:tcBorders>
                          <w:bottom w:val="single" w:sz="4" w:space="0" w:color="000000"/>
                        </w:tcBorders>
                      </w:tcPr>
                      <w:p>
                        <w:pPr>
                          <w:pStyle w:val="TableParagraph"/>
                          <w:spacing w:before="81"/>
                          <w:ind w:left="97" w:right="95"/>
                          <w:rPr>
                            <w:sz w:val="16"/>
                          </w:rPr>
                        </w:pPr>
                        <w:r>
                          <w:rPr>
                            <w:sz w:val="16"/>
                          </w:rPr>
                          <w:t>(4-4)</w:t>
                        </w:r>
                      </w:p>
                    </w:tc>
                    <w:tc>
                      <w:tcPr>
                        <w:tcW w:w="555" w:type="dxa"/>
                        <w:tcBorders>
                          <w:bottom w:val="single" w:sz="4" w:space="0" w:color="000000"/>
                        </w:tcBorders>
                      </w:tcPr>
                      <w:p>
                        <w:pPr>
                          <w:pStyle w:val="TableParagraph"/>
                          <w:spacing w:before="81"/>
                          <w:ind w:left="96" w:right="96"/>
                          <w:rPr>
                            <w:sz w:val="16"/>
                          </w:rPr>
                        </w:pPr>
                        <w:r>
                          <w:rPr>
                            <w:sz w:val="16"/>
                          </w:rPr>
                          <w:t>(2-2)</w:t>
                        </w:r>
                      </w:p>
                    </w:tc>
                    <w:tc>
                      <w:tcPr>
                        <w:tcW w:w="555" w:type="dxa"/>
                        <w:tcBorders>
                          <w:bottom w:val="single" w:sz="4" w:space="0" w:color="000000"/>
                        </w:tcBorders>
                      </w:tcPr>
                      <w:p>
                        <w:pPr>
                          <w:pStyle w:val="TableParagraph"/>
                          <w:spacing w:before="81"/>
                          <w:ind w:left="97" w:right="95"/>
                          <w:rPr>
                            <w:sz w:val="16"/>
                          </w:rPr>
                        </w:pPr>
                        <w:r>
                          <w:rPr>
                            <w:sz w:val="16"/>
                          </w:rPr>
                          <w:t>(3-3)</w:t>
                        </w:r>
                      </w:p>
                    </w:tc>
                    <w:tc>
                      <w:tcPr>
                        <w:tcW w:w="554" w:type="dxa"/>
                        <w:tcBorders>
                          <w:bottom w:val="single" w:sz="4" w:space="0" w:color="000000"/>
                        </w:tcBorders>
                      </w:tcPr>
                      <w:p>
                        <w:pPr>
                          <w:pStyle w:val="TableParagraph"/>
                          <w:spacing w:before="81"/>
                          <w:ind w:left="116"/>
                          <w:jc w:val="left"/>
                          <w:rPr>
                            <w:sz w:val="16"/>
                          </w:rPr>
                        </w:pPr>
                        <w:r>
                          <w:rPr>
                            <w:sz w:val="16"/>
                          </w:rPr>
                          <w:t>(3-3)</w:t>
                        </w:r>
                      </w:p>
                    </w:tc>
                    <w:tc>
                      <w:tcPr>
                        <w:tcW w:w="576" w:type="dxa"/>
                        <w:tcBorders>
                          <w:bottom w:val="single" w:sz="4" w:space="0" w:color="000000"/>
                        </w:tcBorders>
                      </w:tcPr>
                      <w:p>
                        <w:pPr>
                          <w:pStyle w:val="TableParagraph"/>
                          <w:spacing w:before="81"/>
                          <w:ind w:left="99" w:right="116"/>
                          <w:rPr>
                            <w:sz w:val="16"/>
                          </w:rPr>
                        </w:pPr>
                        <w:r>
                          <w:rPr>
                            <w:sz w:val="16"/>
                          </w:rPr>
                          <w:t>(3-3)</w:t>
                        </w:r>
                      </w:p>
                    </w:tc>
                    <w:tc>
                      <w:tcPr>
                        <w:tcW w:w="593" w:type="dxa"/>
                        <w:tcBorders>
                          <w:bottom w:val="single" w:sz="4" w:space="0" w:color="000000"/>
                        </w:tcBorders>
                      </w:tcPr>
                      <w:p>
                        <w:pPr>
                          <w:pStyle w:val="TableParagraph"/>
                          <w:spacing w:before="81"/>
                          <w:ind w:left="117" w:right="115"/>
                          <w:rPr>
                            <w:sz w:val="16"/>
                          </w:rPr>
                        </w:pPr>
                        <w:r>
                          <w:rPr>
                            <w:sz w:val="16"/>
                          </w:rPr>
                          <w:t>(3-3)</w:t>
                        </w:r>
                      </w:p>
                    </w:tc>
                    <w:tc>
                      <w:tcPr>
                        <w:tcW w:w="574" w:type="dxa"/>
                        <w:tcBorders>
                          <w:bottom w:val="single" w:sz="4" w:space="0" w:color="000000"/>
                        </w:tcBorders>
                      </w:tcPr>
                      <w:p>
                        <w:pPr>
                          <w:pStyle w:val="TableParagraph"/>
                          <w:spacing w:before="81"/>
                          <w:ind w:left="114" w:right="98"/>
                          <w:rPr>
                            <w:sz w:val="16"/>
                          </w:rPr>
                        </w:pPr>
                        <w:r>
                          <w:rPr>
                            <w:sz w:val="16"/>
                          </w:rPr>
                          <w:t>(3-3)</w:t>
                        </w:r>
                      </w:p>
                    </w:tc>
                    <w:tc>
                      <w:tcPr>
                        <w:tcW w:w="555" w:type="dxa"/>
                        <w:tcBorders>
                          <w:bottom w:val="single" w:sz="4" w:space="0" w:color="000000"/>
                        </w:tcBorders>
                      </w:tcPr>
                      <w:p>
                        <w:pPr>
                          <w:pStyle w:val="TableParagraph"/>
                          <w:spacing w:before="81"/>
                          <w:ind w:left="97" w:right="95"/>
                          <w:rPr>
                            <w:sz w:val="16"/>
                          </w:rPr>
                        </w:pPr>
                        <w:r>
                          <w:rPr>
                            <w:sz w:val="16"/>
                          </w:rPr>
                          <w:t>(3-3)</w:t>
                        </w:r>
                      </w:p>
                    </w:tc>
                    <w:tc>
                      <w:tcPr>
                        <w:tcW w:w="552" w:type="dxa"/>
                        <w:tcBorders>
                          <w:bottom w:val="single" w:sz="4" w:space="0" w:color="000000"/>
                        </w:tcBorders>
                      </w:tcPr>
                      <w:p>
                        <w:pPr>
                          <w:pStyle w:val="TableParagraph"/>
                          <w:spacing w:before="81"/>
                          <w:ind w:left="96" w:right="96"/>
                          <w:rPr>
                            <w:sz w:val="16"/>
                          </w:rPr>
                        </w:pPr>
                        <w:r>
                          <w:rPr>
                            <w:sz w:val="16"/>
                          </w:rPr>
                          <w:t>(3-3)</w:t>
                        </w:r>
                      </w:p>
                    </w:tc>
                    <w:tc>
                      <w:tcPr>
                        <w:tcW w:w="554" w:type="dxa"/>
                        <w:tcBorders>
                          <w:bottom w:val="single" w:sz="4" w:space="0" w:color="000000"/>
                        </w:tcBorders>
                      </w:tcPr>
                      <w:p>
                        <w:pPr>
                          <w:pStyle w:val="TableParagraph"/>
                          <w:spacing w:before="81"/>
                          <w:ind w:left="96" w:right="96"/>
                          <w:rPr>
                            <w:sz w:val="16"/>
                          </w:rPr>
                        </w:pPr>
                        <w:r>
                          <w:rPr>
                            <w:sz w:val="16"/>
                          </w:rPr>
                          <w:t>(3-3)</w:t>
                        </w:r>
                      </w:p>
                    </w:tc>
                    <w:tc>
                      <w:tcPr>
                        <w:tcW w:w="555" w:type="dxa"/>
                        <w:tcBorders>
                          <w:bottom w:val="single" w:sz="4" w:space="0" w:color="000000"/>
                        </w:tcBorders>
                      </w:tcPr>
                      <w:p>
                        <w:pPr>
                          <w:pStyle w:val="TableParagraph"/>
                          <w:spacing w:before="81"/>
                          <w:ind w:left="97" w:right="95"/>
                          <w:rPr>
                            <w:sz w:val="16"/>
                          </w:rPr>
                        </w:pPr>
                        <w:r>
                          <w:rPr>
                            <w:sz w:val="16"/>
                          </w:rPr>
                          <w:t>(2-2)</w:t>
                        </w:r>
                      </w:p>
                    </w:tc>
                    <w:tc>
                      <w:tcPr>
                        <w:tcW w:w="555" w:type="dxa"/>
                        <w:tcBorders>
                          <w:bottom w:val="single" w:sz="4" w:space="0" w:color="000000"/>
                        </w:tcBorders>
                      </w:tcPr>
                      <w:p>
                        <w:pPr>
                          <w:pStyle w:val="TableParagraph"/>
                          <w:spacing w:before="81"/>
                          <w:ind w:left="96" w:right="96"/>
                          <w:rPr>
                            <w:sz w:val="16"/>
                          </w:rPr>
                        </w:pPr>
                        <w:r>
                          <w:rPr>
                            <w:sz w:val="16"/>
                          </w:rPr>
                          <w:t>(2-2)</w:t>
                        </w:r>
                      </w:p>
                    </w:tc>
                    <w:tc>
                      <w:tcPr>
                        <w:tcW w:w="413" w:type="dxa"/>
                        <w:tcBorders>
                          <w:bottom w:val="single" w:sz="4" w:space="0" w:color="000000"/>
                        </w:tcBorders>
                      </w:tcPr>
                      <w:p>
                        <w:pPr>
                          <w:pStyle w:val="TableParagraph"/>
                          <w:spacing w:before="81"/>
                          <w:ind w:left="118" w:right="-25"/>
                          <w:rPr>
                            <w:sz w:val="16"/>
                          </w:rPr>
                        </w:pPr>
                        <w:r>
                          <w:rPr>
                            <w:w w:val="95"/>
                            <w:sz w:val="16"/>
                          </w:rPr>
                          <w:t>(2-2)</w:t>
                        </w:r>
                      </w:p>
                    </w:tc>
                    <w:tc>
                      <w:tcPr>
                        <w:tcW w:w="686" w:type="dxa"/>
                        <w:tcBorders>
                          <w:bottom w:val="single" w:sz="4" w:space="0" w:color="000000"/>
                        </w:tcBorders>
                      </w:tcPr>
                      <w:p>
                        <w:pPr>
                          <w:pStyle w:val="TableParagraph"/>
                          <w:spacing w:before="81"/>
                          <w:ind w:left="232" w:right="93"/>
                          <w:rPr>
                            <w:sz w:val="16"/>
                          </w:rPr>
                        </w:pPr>
                        <w:r>
                          <w:rPr>
                            <w:sz w:val="16"/>
                          </w:rPr>
                          <w:t>(2-2)</w:t>
                        </w:r>
                      </w:p>
                    </w:tc>
                  </w:tr>
                </w:tbl>
                <w:p>
                  <w:pPr>
                    <w:pStyle w:val="BodyText"/>
                  </w:pPr>
                </w:p>
              </w:txbxContent>
            </v:textbox>
            <w10:wrap type="none"/>
          </v:shape>
        </w:pict>
      </w:r>
      <w:r>
        <w:rPr>
          <w:sz w:val="16"/>
        </w:rPr>
        <w:t>CONTROL/BUT</w:t>
      </w:r>
    </w:p>
    <w:p>
      <w:pPr>
        <w:pStyle w:val="BodyText"/>
        <w:spacing w:before="9"/>
        <w:rPr>
          <w:sz w:val="23"/>
        </w:rPr>
      </w:pPr>
    </w:p>
    <w:p>
      <w:pPr>
        <w:spacing w:after="0"/>
        <w:rPr>
          <w:sz w:val="23"/>
        </w:rPr>
        <w:sectPr>
          <w:type w:val="continuous"/>
          <w:pgSz w:w="15840" w:h="12240" w:orient="landscape"/>
          <w:pgMar w:top="1460" w:bottom="280" w:left="1640" w:right="1280"/>
        </w:sectPr>
      </w:pPr>
    </w:p>
    <w:p>
      <w:pPr>
        <w:pStyle w:val="BodyText"/>
        <w:rPr>
          <w:sz w:val="16"/>
        </w:rPr>
      </w:pPr>
    </w:p>
    <w:p>
      <w:pPr>
        <w:tabs>
          <w:tab w:pos="1528" w:val="left" w:leader="none"/>
        </w:tabs>
        <w:spacing w:before="102"/>
        <w:ind w:left="361" w:right="0" w:firstLine="0"/>
        <w:jc w:val="left"/>
        <w:rPr>
          <w:sz w:val="16"/>
        </w:rPr>
      </w:pPr>
      <w:r>
        <w:rPr>
          <w:sz w:val="16"/>
        </w:rPr>
        <w:t>UMPS</w:t>
        <w:tab/>
      </w:r>
      <w:r>
        <w:rPr>
          <w:spacing w:val="-1"/>
          <w:w w:val="95"/>
          <w:sz w:val="16"/>
        </w:rPr>
        <w:t>FENT</w:t>
      </w:r>
    </w:p>
    <w:p>
      <w:pPr>
        <w:spacing w:before="104"/>
        <w:ind w:left="0" w:right="117" w:firstLine="0"/>
        <w:jc w:val="right"/>
        <w:rPr>
          <w:sz w:val="16"/>
        </w:rPr>
      </w:pPr>
      <w:r>
        <w:rPr/>
        <w:br w:type="column"/>
      </w:r>
      <w:r>
        <w:rPr>
          <w:w w:val="95"/>
          <w:sz w:val="16"/>
        </w:rPr>
        <w:t>2</w:t>
      </w:r>
    </w:p>
    <w:p>
      <w:pPr>
        <w:pStyle w:val="BodyText"/>
        <w:spacing w:before="1"/>
        <w:rPr>
          <w:sz w:val="16"/>
        </w:rPr>
      </w:pPr>
    </w:p>
    <w:p>
      <w:pPr>
        <w:spacing w:before="0"/>
        <w:ind w:left="361" w:right="0" w:firstLine="0"/>
        <w:jc w:val="center"/>
        <w:rPr>
          <w:sz w:val="16"/>
        </w:rPr>
      </w:pPr>
      <w:r>
        <w:rPr>
          <w:w w:val="95"/>
          <w:sz w:val="16"/>
        </w:rPr>
        <w:t>(2-5)</w:t>
      </w:r>
    </w:p>
    <w:p>
      <w:pPr>
        <w:spacing w:before="104"/>
        <w:ind w:left="0" w:right="117" w:firstLine="0"/>
        <w:jc w:val="right"/>
        <w:rPr>
          <w:sz w:val="16"/>
        </w:rPr>
      </w:pPr>
      <w:r>
        <w:rPr/>
        <w:br w:type="column"/>
      </w:r>
      <w:r>
        <w:rPr>
          <w:w w:val="95"/>
          <w:sz w:val="16"/>
        </w:rPr>
        <w:t>3</w:t>
      </w:r>
    </w:p>
    <w:p>
      <w:pPr>
        <w:pStyle w:val="BodyText"/>
        <w:spacing w:before="1"/>
        <w:rPr>
          <w:sz w:val="16"/>
        </w:rPr>
      </w:pPr>
    </w:p>
    <w:p>
      <w:pPr>
        <w:spacing w:before="0"/>
        <w:ind w:left="360" w:right="0" w:firstLine="0"/>
        <w:jc w:val="center"/>
        <w:rPr>
          <w:sz w:val="16"/>
        </w:rPr>
      </w:pPr>
      <w:r>
        <w:rPr>
          <w:w w:val="95"/>
          <w:sz w:val="16"/>
        </w:rPr>
        <w:t>(1-9)</w:t>
      </w:r>
    </w:p>
    <w:p>
      <w:pPr>
        <w:spacing w:before="104"/>
        <w:ind w:left="231" w:right="0" w:firstLine="0"/>
        <w:jc w:val="center"/>
        <w:rPr>
          <w:sz w:val="16"/>
        </w:rPr>
      </w:pPr>
      <w:r>
        <w:rPr/>
        <w:br w:type="column"/>
      </w:r>
      <w:r>
        <w:rPr>
          <w:sz w:val="16"/>
        </w:rPr>
        <w:t>2</w:t>
      </w:r>
    </w:p>
    <w:p>
      <w:pPr>
        <w:pStyle w:val="BodyText"/>
        <w:spacing w:before="1"/>
        <w:rPr>
          <w:sz w:val="16"/>
        </w:rPr>
      </w:pPr>
    </w:p>
    <w:p>
      <w:pPr>
        <w:spacing w:before="0"/>
        <w:ind w:left="231" w:right="0" w:firstLine="0"/>
        <w:jc w:val="center"/>
        <w:rPr>
          <w:sz w:val="16"/>
        </w:rPr>
      </w:pPr>
      <w:r>
        <w:rPr>
          <w:w w:val="95"/>
          <w:sz w:val="16"/>
        </w:rPr>
        <w:t>(1-8)</w:t>
      </w:r>
    </w:p>
    <w:p>
      <w:pPr>
        <w:spacing w:before="104"/>
        <w:ind w:left="193" w:right="0" w:firstLine="0"/>
        <w:jc w:val="center"/>
        <w:rPr>
          <w:sz w:val="16"/>
        </w:rPr>
      </w:pPr>
      <w:r>
        <w:rPr/>
        <w:br w:type="column"/>
      </w:r>
      <w:r>
        <w:rPr>
          <w:sz w:val="16"/>
        </w:rPr>
        <w:t>2</w:t>
      </w:r>
    </w:p>
    <w:p>
      <w:pPr>
        <w:pStyle w:val="BodyText"/>
        <w:spacing w:before="1"/>
        <w:rPr>
          <w:sz w:val="16"/>
        </w:rPr>
      </w:pPr>
    </w:p>
    <w:p>
      <w:pPr>
        <w:spacing w:before="0"/>
        <w:ind w:left="193" w:right="0" w:firstLine="0"/>
        <w:jc w:val="center"/>
        <w:rPr>
          <w:sz w:val="16"/>
        </w:rPr>
      </w:pPr>
      <w:r>
        <w:rPr>
          <w:w w:val="95"/>
          <w:sz w:val="16"/>
        </w:rPr>
        <w:t>(0-8)</w:t>
      </w:r>
    </w:p>
    <w:p>
      <w:pPr>
        <w:spacing w:before="104"/>
        <w:ind w:left="260" w:right="-4" w:firstLine="0"/>
        <w:jc w:val="left"/>
        <w:rPr>
          <w:sz w:val="16"/>
        </w:rPr>
      </w:pPr>
      <w:r>
        <w:rPr/>
        <w:br w:type="column"/>
      </w:r>
      <w:r>
        <w:rPr>
          <w:sz w:val="16"/>
        </w:rPr>
        <w:t>3.5</w:t>
      </w:r>
    </w:p>
    <w:p>
      <w:pPr>
        <w:pStyle w:val="BodyText"/>
        <w:spacing w:before="1"/>
        <w:rPr>
          <w:sz w:val="16"/>
        </w:rPr>
      </w:pPr>
    </w:p>
    <w:p>
      <w:pPr>
        <w:spacing w:before="0"/>
        <w:ind w:left="197" w:right="-4" w:firstLine="0"/>
        <w:jc w:val="left"/>
        <w:rPr>
          <w:sz w:val="16"/>
        </w:rPr>
      </w:pPr>
      <w:r>
        <w:rPr>
          <w:w w:val="95"/>
          <w:sz w:val="16"/>
        </w:rPr>
        <w:t>(1-5)</w:t>
      </w:r>
    </w:p>
    <w:p>
      <w:pPr>
        <w:spacing w:before="104"/>
        <w:ind w:left="192" w:right="0" w:firstLine="0"/>
        <w:jc w:val="center"/>
        <w:rPr>
          <w:sz w:val="16"/>
        </w:rPr>
      </w:pPr>
      <w:r>
        <w:rPr/>
        <w:br w:type="column"/>
      </w:r>
      <w:r>
        <w:rPr>
          <w:sz w:val="16"/>
        </w:rPr>
        <w:t>5</w:t>
      </w:r>
    </w:p>
    <w:p>
      <w:pPr>
        <w:pStyle w:val="BodyText"/>
        <w:spacing w:before="1"/>
        <w:rPr>
          <w:sz w:val="16"/>
        </w:rPr>
      </w:pPr>
    </w:p>
    <w:p>
      <w:pPr>
        <w:spacing w:before="0"/>
        <w:ind w:left="192" w:right="0" w:firstLine="0"/>
        <w:jc w:val="center"/>
        <w:rPr>
          <w:sz w:val="16"/>
        </w:rPr>
      </w:pPr>
      <w:r>
        <w:rPr>
          <w:w w:val="95"/>
          <w:sz w:val="16"/>
        </w:rPr>
        <w:t>(2-6)</w:t>
      </w:r>
    </w:p>
    <w:p>
      <w:pPr>
        <w:spacing w:line="484" w:lineRule="auto" w:before="88"/>
        <w:ind w:left="198" w:right="0" w:firstLine="96"/>
        <w:jc w:val="left"/>
        <w:rPr>
          <w:sz w:val="16"/>
        </w:rPr>
      </w:pPr>
      <w:r>
        <w:rPr/>
        <w:br w:type="column"/>
      </w:r>
      <w:r>
        <w:rPr>
          <w:position w:val="-6"/>
          <w:sz w:val="16"/>
        </w:rPr>
        <w:t>4</w:t>
      </w:r>
      <w:r>
        <w:rPr>
          <w:sz w:val="10"/>
        </w:rPr>
        <w:t>b </w:t>
      </w:r>
      <w:r>
        <w:rPr>
          <w:w w:val="95"/>
          <w:sz w:val="16"/>
        </w:rPr>
        <w:t>(1-9)</w:t>
      </w:r>
    </w:p>
    <w:p>
      <w:pPr>
        <w:spacing w:line="484" w:lineRule="auto" w:before="88"/>
        <w:ind w:left="192" w:right="0" w:firstLine="72"/>
        <w:jc w:val="left"/>
        <w:rPr>
          <w:sz w:val="16"/>
        </w:rPr>
      </w:pPr>
      <w:r>
        <w:rPr/>
        <w:br w:type="column"/>
      </w:r>
      <w:r>
        <w:rPr>
          <w:position w:val="-6"/>
          <w:sz w:val="16"/>
        </w:rPr>
        <w:t>6</w:t>
      </w:r>
      <w:r>
        <w:rPr>
          <w:sz w:val="10"/>
        </w:rPr>
        <w:t>b* </w:t>
      </w:r>
      <w:r>
        <w:rPr>
          <w:sz w:val="16"/>
        </w:rPr>
        <w:t>(2-7)</w:t>
      </w:r>
    </w:p>
    <w:p>
      <w:pPr>
        <w:spacing w:before="104"/>
        <w:ind w:left="197" w:right="0" w:firstLine="0"/>
        <w:jc w:val="center"/>
        <w:rPr>
          <w:sz w:val="16"/>
        </w:rPr>
      </w:pPr>
      <w:r>
        <w:rPr/>
        <w:br w:type="column"/>
      </w:r>
      <w:r>
        <w:rPr>
          <w:sz w:val="16"/>
        </w:rPr>
        <w:t>3</w:t>
      </w:r>
    </w:p>
    <w:p>
      <w:pPr>
        <w:pStyle w:val="BodyText"/>
        <w:spacing w:before="1"/>
        <w:rPr>
          <w:sz w:val="16"/>
        </w:rPr>
      </w:pPr>
    </w:p>
    <w:p>
      <w:pPr>
        <w:spacing w:before="0"/>
        <w:ind w:left="197" w:right="0" w:firstLine="0"/>
        <w:jc w:val="center"/>
        <w:rPr>
          <w:sz w:val="16"/>
        </w:rPr>
      </w:pPr>
      <w:r>
        <w:rPr>
          <w:w w:val="95"/>
          <w:sz w:val="16"/>
        </w:rPr>
        <w:t>(0-5)</w:t>
      </w:r>
    </w:p>
    <w:p>
      <w:pPr>
        <w:spacing w:before="104"/>
        <w:ind w:left="294" w:right="-19" w:firstLine="0"/>
        <w:jc w:val="left"/>
        <w:rPr>
          <w:sz w:val="16"/>
        </w:rPr>
      </w:pPr>
      <w:r>
        <w:rPr/>
        <w:br w:type="column"/>
      </w:r>
      <w:r>
        <w:rPr>
          <w:sz w:val="16"/>
        </w:rPr>
        <w:t>3.5</w:t>
      </w:r>
    </w:p>
    <w:p>
      <w:pPr>
        <w:pStyle w:val="BodyText"/>
        <w:spacing w:before="1"/>
        <w:rPr>
          <w:sz w:val="16"/>
        </w:rPr>
      </w:pPr>
    </w:p>
    <w:p>
      <w:pPr>
        <w:spacing w:before="0"/>
        <w:ind w:left="198" w:right="-19" w:firstLine="0"/>
        <w:jc w:val="left"/>
        <w:rPr>
          <w:sz w:val="16"/>
        </w:rPr>
      </w:pPr>
      <w:r>
        <w:rPr>
          <w:sz w:val="16"/>
        </w:rPr>
        <w:t>(1-13)</w:t>
      </w:r>
    </w:p>
    <w:p>
      <w:pPr>
        <w:spacing w:line="482" w:lineRule="auto" w:before="90"/>
        <w:ind w:left="188" w:right="0" w:firstLine="38"/>
        <w:jc w:val="left"/>
        <w:rPr>
          <w:sz w:val="16"/>
        </w:rPr>
      </w:pPr>
      <w:r>
        <w:rPr/>
        <w:br w:type="column"/>
      </w:r>
      <w:r>
        <w:rPr>
          <w:sz w:val="16"/>
        </w:rPr>
        <w:t>4.5</w:t>
      </w:r>
      <w:r>
        <w:rPr>
          <w:position w:val="7"/>
          <w:sz w:val="10"/>
        </w:rPr>
        <w:t>b </w:t>
      </w:r>
      <w:r>
        <w:rPr>
          <w:w w:val="95"/>
          <w:sz w:val="16"/>
        </w:rPr>
        <w:t>(1-7)</w:t>
      </w:r>
    </w:p>
    <w:p>
      <w:pPr>
        <w:spacing w:line="482" w:lineRule="auto" w:before="90"/>
        <w:ind w:left="197" w:right="0" w:firstLine="38"/>
        <w:jc w:val="left"/>
        <w:rPr>
          <w:sz w:val="16"/>
        </w:rPr>
      </w:pPr>
      <w:r>
        <w:rPr/>
        <w:br w:type="column"/>
      </w:r>
      <w:r>
        <w:rPr>
          <w:sz w:val="16"/>
        </w:rPr>
        <w:t>4.5</w:t>
      </w:r>
      <w:r>
        <w:rPr>
          <w:position w:val="7"/>
          <w:sz w:val="10"/>
        </w:rPr>
        <w:t>b </w:t>
      </w:r>
      <w:r>
        <w:rPr>
          <w:w w:val="95"/>
          <w:sz w:val="16"/>
        </w:rPr>
        <w:t>(0-9)</w:t>
      </w:r>
    </w:p>
    <w:p>
      <w:pPr>
        <w:spacing w:before="104"/>
        <w:ind w:left="193" w:right="0" w:firstLine="0"/>
        <w:jc w:val="center"/>
        <w:rPr>
          <w:sz w:val="16"/>
        </w:rPr>
      </w:pPr>
      <w:r>
        <w:rPr/>
        <w:br w:type="column"/>
      </w:r>
      <w:r>
        <w:rPr>
          <w:sz w:val="16"/>
        </w:rPr>
        <w:t>3</w:t>
      </w:r>
    </w:p>
    <w:p>
      <w:pPr>
        <w:pStyle w:val="BodyText"/>
        <w:spacing w:before="1"/>
        <w:rPr>
          <w:sz w:val="16"/>
        </w:rPr>
      </w:pPr>
    </w:p>
    <w:p>
      <w:pPr>
        <w:spacing w:before="0"/>
        <w:ind w:left="193" w:right="0" w:firstLine="0"/>
        <w:jc w:val="center"/>
        <w:rPr>
          <w:sz w:val="16"/>
        </w:rPr>
      </w:pPr>
      <w:r>
        <w:rPr>
          <w:w w:val="95"/>
          <w:sz w:val="16"/>
        </w:rPr>
        <w:t>(2-6)</w:t>
      </w:r>
    </w:p>
    <w:p>
      <w:pPr>
        <w:spacing w:line="482" w:lineRule="auto" w:before="90"/>
        <w:ind w:left="192" w:right="0" w:firstLine="38"/>
        <w:jc w:val="left"/>
        <w:rPr>
          <w:sz w:val="16"/>
        </w:rPr>
      </w:pPr>
      <w:r>
        <w:rPr/>
        <w:br w:type="column"/>
      </w:r>
      <w:r>
        <w:rPr>
          <w:sz w:val="16"/>
        </w:rPr>
        <w:t>3.5</w:t>
      </w:r>
      <w:r>
        <w:rPr>
          <w:position w:val="7"/>
          <w:sz w:val="10"/>
        </w:rPr>
        <w:t>b </w:t>
      </w:r>
      <w:r>
        <w:rPr>
          <w:sz w:val="16"/>
        </w:rPr>
        <w:t>(2-5)</w:t>
      </w:r>
    </w:p>
    <w:p>
      <w:pPr>
        <w:pStyle w:val="ListParagraph"/>
        <w:numPr>
          <w:ilvl w:val="1"/>
          <w:numId w:val="34"/>
        </w:numPr>
        <w:tabs>
          <w:tab w:pos="438" w:val="left" w:leader="none"/>
        </w:tabs>
        <w:spacing w:line="482" w:lineRule="auto" w:before="90" w:after="0"/>
        <w:ind w:left="197" w:right="0" w:firstLine="39"/>
        <w:jc w:val="left"/>
        <w:rPr>
          <w:sz w:val="16"/>
        </w:rPr>
      </w:pPr>
      <w:r>
        <w:rPr>
          <w:w w:val="100"/>
          <w:position w:val="7"/>
          <w:sz w:val="10"/>
        </w:rPr>
        <w:br w:type="column"/>
      </w:r>
      <w:r>
        <w:rPr>
          <w:position w:val="7"/>
          <w:sz w:val="10"/>
        </w:rPr>
        <w:t>b </w:t>
      </w:r>
      <w:r>
        <w:rPr>
          <w:w w:val="95"/>
          <w:sz w:val="16"/>
        </w:rPr>
        <w:t>(2-6)</w:t>
      </w:r>
    </w:p>
    <w:p>
      <w:pPr>
        <w:spacing w:before="104"/>
        <w:ind w:left="193" w:right="0" w:firstLine="0"/>
        <w:jc w:val="center"/>
        <w:rPr>
          <w:sz w:val="16"/>
        </w:rPr>
      </w:pPr>
      <w:r>
        <w:rPr/>
        <w:br w:type="column"/>
      </w:r>
      <w:r>
        <w:rPr>
          <w:sz w:val="16"/>
        </w:rPr>
        <w:t>3</w:t>
      </w:r>
    </w:p>
    <w:p>
      <w:pPr>
        <w:pStyle w:val="BodyText"/>
        <w:spacing w:before="1"/>
        <w:rPr>
          <w:sz w:val="16"/>
        </w:rPr>
      </w:pPr>
    </w:p>
    <w:p>
      <w:pPr>
        <w:spacing w:before="0"/>
        <w:ind w:left="193" w:right="0" w:firstLine="0"/>
        <w:jc w:val="center"/>
        <w:rPr>
          <w:sz w:val="16"/>
        </w:rPr>
      </w:pPr>
      <w:r>
        <w:rPr>
          <w:w w:val="95"/>
          <w:sz w:val="16"/>
        </w:rPr>
        <w:t>(0-7)</w:t>
      </w:r>
    </w:p>
    <w:p>
      <w:pPr>
        <w:spacing w:line="484" w:lineRule="auto" w:before="88"/>
        <w:ind w:left="197" w:right="0" w:firstLine="96"/>
        <w:jc w:val="left"/>
        <w:rPr>
          <w:sz w:val="16"/>
        </w:rPr>
      </w:pPr>
      <w:r>
        <w:rPr/>
        <w:br w:type="column"/>
      </w:r>
      <w:r>
        <w:rPr>
          <w:position w:val="-6"/>
          <w:sz w:val="16"/>
        </w:rPr>
        <w:t>3</w:t>
      </w:r>
      <w:r>
        <w:rPr>
          <w:sz w:val="10"/>
        </w:rPr>
        <w:t>b </w:t>
      </w:r>
      <w:r>
        <w:rPr>
          <w:w w:val="95"/>
          <w:sz w:val="16"/>
        </w:rPr>
        <w:t>(1-7)</w:t>
      </w:r>
    </w:p>
    <w:p>
      <w:pPr>
        <w:spacing w:before="104"/>
        <w:ind w:left="245" w:right="247" w:firstLine="0"/>
        <w:jc w:val="left"/>
        <w:rPr>
          <w:sz w:val="16"/>
        </w:rPr>
      </w:pPr>
      <w:r>
        <w:rPr/>
        <w:br w:type="column"/>
      </w:r>
      <w:r>
        <w:rPr>
          <w:sz w:val="16"/>
        </w:rPr>
        <w:t>2.5</w:t>
      </w:r>
    </w:p>
    <w:p>
      <w:pPr>
        <w:pStyle w:val="BodyText"/>
        <w:spacing w:before="1"/>
        <w:rPr>
          <w:sz w:val="16"/>
        </w:rPr>
      </w:pPr>
    </w:p>
    <w:p>
      <w:pPr>
        <w:spacing w:before="0"/>
        <w:ind w:left="188" w:right="0" w:firstLine="0"/>
        <w:jc w:val="left"/>
        <w:rPr>
          <w:sz w:val="16"/>
        </w:rPr>
      </w:pPr>
      <w:r>
        <w:rPr>
          <w:sz w:val="16"/>
        </w:rPr>
        <w:t>(1-6)</w:t>
      </w:r>
    </w:p>
    <w:p>
      <w:pPr>
        <w:spacing w:after="0"/>
        <w:jc w:val="left"/>
        <w:rPr>
          <w:sz w:val="16"/>
        </w:rPr>
        <w:sectPr>
          <w:type w:val="continuous"/>
          <w:pgSz w:w="15840" w:h="12240" w:orient="landscape"/>
          <w:pgMar w:top="1460" w:bottom="280" w:left="1640" w:right="1280"/>
          <w:cols w:num="19" w:equalWidth="0">
            <w:col w:w="1924" w:space="367"/>
            <w:col w:w="682" w:space="40"/>
            <w:col w:w="681" w:space="40"/>
            <w:col w:w="551" w:space="40"/>
            <w:col w:w="513" w:space="40"/>
            <w:col w:w="517" w:space="40"/>
            <w:col w:w="512" w:space="40"/>
            <w:col w:w="518" w:space="40"/>
            <w:col w:w="513" w:space="40"/>
            <w:col w:w="517" w:space="40"/>
            <w:col w:w="599" w:space="40"/>
            <w:col w:w="508" w:space="40"/>
            <w:col w:w="517" w:space="40"/>
            <w:col w:w="513" w:space="40"/>
            <w:col w:w="513" w:space="40"/>
            <w:col w:w="517" w:space="40"/>
            <w:col w:w="513" w:space="40"/>
            <w:col w:w="517" w:space="40"/>
            <w:col w:w="748"/>
          </w:cols>
        </w:sectPr>
      </w:pPr>
    </w:p>
    <w:p>
      <w:pPr>
        <w:pStyle w:val="BodyText"/>
        <w:spacing w:line="20" w:lineRule="exact"/>
        <w:ind w:left="117"/>
        <w:rPr>
          <w:sz w:val="2"/>
        </w:rPr>
      </w:pPr>
      <w:r>
        <w:rPr>
          <w:sz w:val="2"/>
        </w:rPr>
        <w:pict>
          <v:group style="width:633.6pt;height:.5pt;mso-position-horizontal-relative:char;mso-position-vertical-relative:line" coordorigin="0,0" coordsize="12672,10">
            <v:line style="position:absolute" from="5,5" to="927,5" stroked="true" strokeweight=".47998pt" strokecolor="#000000"/>
            <v:line style="position:absolute" from="927,5" to="937,5" stroked="true" strokeweight=".47998pt" strokecolor="#000000"/>
            <v:line style="position:absolute" from="937,5" to="2305,5" stroked="true" strokeweight=".47998pt" strokecolor="#000000"/>
            <v:line style="position:absolute" from="2305,5" to="2314,5" stroked="true" strokeweight=".47998pt" strokecolor="#000000"/>
            <v:line style="position:absolute" from="2314,5" to="3097,5" stroked="true" strokeweight=".47998pt" strokecolor="#000000"/>
            <v:line style="position:absolute" from="3097,5" to="3107,5" stroked="true" strokeweight=".47998pt" strokecolor="#000000"/>
            <v:line style="position:absolute" from="3107,5" to="3736,5" stroked="true" strokeweight=".47998pt" strokecolor="#000000"/>
            <v:line style="position:absolute" from="3736,5" to="3745,5" stroked="true" strokeweight=".47998pt" strokecolor="#000000"/>
            <v:line style="position:absolute" from="3745,5" to="4288,5" stroked="true" strokeweight=".47998pt" strokecolor="#000000"/>
            <v:line style="position:absolute" from="4288,5" to="4298,5" stroked="true" strokeweight=".47998pt" strokecolor="#000000"/>
            <v:line style="position:absolute" from="4298,5" to="4845,5" stroked="true" strokeweight=".47998pt" strokecolor="#000000"/>
            <v:line style="position:absolute" from="4845,5" to="4855,5" stroked="true" strokeweight=".47998pt" strokecolor="#000000"/>
            <v:line style="position:absolute" from="4855,5" to="5397,5" stroked="true" strokeweight=".47998pt" strokecolor="#000000"/>
            <v:line style="position:absolute" from="5397,5" to="5407,5" stroked="true" strokeweight=".47998pt" strokecolor="#000000"/>
            <v:line style="position:absolute" from="5407,5" to="5949,5" stroked="true" strokeweight=".47998pt" strokecolor="#000000"/>
            <v:line style="position:absolute" from="5949,5" to="5959,5" stroked="true" strokeweight=".47998pt" strokecolor="#000000"/>
            <v:line style="position:absolute" from="5959,5" to="6506,5" stroked="true" strokeweight=".47998pt" strokecolor="#000000"/>
            <v:line style="position:absolute" from="6506,5" to="6516,5" stroked="true" strokeweight=".47998pt" strokecolor="#000000"/>
            <v:line style="position:absolute" from="6516,5" to="7058,5" stroked="true" strokeweight=".47998pt" strokecolor="#000000"/>
            <v:line style="position:absolute" from="7058,5" to="7068,5" stroked="true" strokeweight=".47998pt" strokecolor="#000000"/>
            <v:line style="position:absolute" from="7068,5" to="7615,5" stroked="true" strokeweight=".47998pt" strokecolor="#000000"/>
            <v:line style="position:absolute" from="7615,5" to="7625,5" stroked="true" strokeweight=".47998pt" strokecolor="#000000"/>
            <v:line style="position:absolute" from="7625,5" to="8249,5" stroked="true" strokeweight=".47998pt" strokecolor="#000000"/>
            <v:line style="position:absolute" from="8249,5" to="8259,5" stroked="true" strokeweight=".47998pt" strokecolor="#000000"/>
            <v:line style="position:absolute" from="8259,5" to="8801,5" stroked="true" strokeweight=".47998pt" strokecolor="#000000"/>
            <v:line style="position:absolute" from="8801,5" to="8811,5" stroked="true" strokeweight=".47998pt" strokecolor="#000000"/>
            <v:line style="position:absolute" from="8811,5" to="9358,5" stroked="true" strokeweight=".47998pt" strokecolor="#000000"/>
            <v:line style="position:absolute" from="9358,5" to="9368,5" stroked="true" strokeweight=".47998pt" strokecolor="#000000"/>
            <v:line style="position:absolute" from="9368,5" to="9910,5" stroked="true" strokeweight=".47998pt" strokecolor="#000000"/>
            <v:line style="position:absolute" from="9910,5" to="9920,5" stroked="true" strokeweight=".47998pt" strokecolor="#000000"/>
            <v:line style="position:absolute" from="9920,5" to="10467,5" stroked="true" strokeweight=".47998pt" strokecolor="#000000"/>
            <v:line style="position:absolute" from="10467,5" to="10477,5" stroked="true" strokeweight=".47998pt" strokecolor="#000000"/>
            <v:line style="position:absolute" from="10477,5" to="11020,5" stroked="true" strokeweight=".47998pt" strokecolor="#000000"/>
            <v:line style="position:absolute" from="11020,5" to="11029,5" stroked="true" strokeweight=".47998pt" strokecolor="#000000"/>
            <v:line style="position:absolute" from="11029,5" to="11572,5" stroked="true" strokeweight=".47998pt" strokecolor="#000000"/>
            <v:line style="position:absolute" from="11572,5" to="11581,5" stroked="true" strokeweight=".47998pt" strokecolor="#000000"/>
            <v:line style="position:absolute" from="11581,5" to="12128,5" stroked="true" strokeweight=".47998pt" strokecolor="#000000"/>
            <v:line style="position:absolute" from="12128,5" to="12138,5" stroked="true" strokeweight=".47998pt" strokecolor="#000000"/>
            <v:line style="position:absolute" from="12138,5" to="12666,5" stroked="true" strokeweight=".47998pt" strokecolor="#000000"/>
          </v:group>
        </w:pict>
      </w:r>
      <w:r>
        <w:rPr>
          <w:sz w:val="2"/>
        </w:rPr>
      </w:r>
    </w:p>
    <w:p>
      <w:pPr>
        <w:spacing w:after="0" w:line="20" w:lineRule="exact"/>
        <w:rPr>
          <w:sz w:val="2"/>
        </w:rPr>
        <w:sectPr>
          <w:type w:val="continuous"/>
          <w:pgSz w:w="15840" w:h="12240" w:orient="landscape"/>
          <w:pgMar w:top="1460" w:bottom="280" w:left="1640" w:right="1280"/>
        </w:sectPr>
      </w:pPr>
    </w:p>
    <w:p>
      <w:pPr>
        <w:pStyle w:val="BodyText"/>
        <w:rPr>
          <w:sz w:val="20"/>
        </w:rPr>
      </w:pPr>
    </w:p>
    <w:p>
      <w:pPr>
        <w:pStyle w:val="BodyText"/>
        <w:rPr>
          <w:sz w:val="20"/>
        </w:rPr>
      </w:pPr>
    </w:p>
    <w:p>
      <w:pPr>
        <w:pStyle w:val="BodyText"/>
        <w:spacing w:before="8"/>
        <w:rPr>
          <w:sz w:val="1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45"/>
        <w:gridCol w:w="685"/>
        <w:gridCol w:w="696"/>
        <w:gridCol w:w="550"/>
        <w:gridCol w:w="555"/>
        <w:gridCol w:w="554"/>
        <w:gridCol w:w="555"/>
        <w:gridCol w:w="555"/>
        <w:gridCol w:w="554"/>
        <w:gridCol w:w="576"/>
        <w:gridCol w:w="593"/>
        <w:gridCol w:w="574"/>
        <w:gridCol w:w="555"/>
        <w:gridCol w:w="552"/>
        <w:gridCol w:w="554"/>
        <w:gridCol w:w="555"/>
        <w:gridCol w:w="555"/>
        <w:gridCol w:w="552"/>
        <w:gridCol w:w="547"/>
      </w:tblGrid>
      <w:tr>
        <w:trPr>
          <w:trHeight w:val="657" w:hRule="exact"/>
        </w:trPr>
        <w:tc>
          <w:tcPr>
            <w:tcW w:w="2345" w:type="dxa"/>
            <w:tcBorders>
              <w:left w:val="nil"/>
              <w:bottom w:val="nil"/>
              <w:right w:val="nil"/>
            </w:tcBorders>
          </w:tcPr>
          <w:p>
            <w:pPr>
              <w:pStyle w:val="TableParagraph"/>
              <w:spacing w:before="4"/>
              <w:jc w:val="left"/>
              <w:rPr>
                <w:sz w:val="15"/>
              </w:rPr>
            </w:pPr>
          </w:p>
          <w:p>
            <w:pPr>
              <w:pStyle w:val="TableParagraph"/>
              <w:ind w:left="1450"/>
              <w:jc w:val="left"/>
              <w:rPr>
                <w:sz w:val="16"/>
              </w:rPr>
            </w:pPr>
            <w:r>
              <w:rPr>
                <w:sz w:val="16"/>
              </w:rPr>
              <w:t>KET</w:t>
            </w:r>
          </w:p>
        </w:tc>
        <w:tc>
          <w:tcPr>
            <w:tcW w:w="685" w:type="dxa"/>
            <w:tcBorders>
              <w:left w:val="nil"/>
              <w:bottom w:val="nil"/>
              <w:right w:val="nil"/>
            </w:tcBorders>
          </w:tcPr>
          <w:p>
            <w:pPr>
              <w:pStyle w:val="TableParagraph"/>
              <w:spacing w:line="179" w:lineRule="exact"/>
              <w:ind w:left="3"/>
              <w:rPr>
                <w:sz w:val="16"/>
              </w:rPr>
            </w:pPr>
            <w:r>
              <w:rPr>
                <w:w w:val="99"/>
                <w:sz w:val="16"/>
              </w:rPr>
              <w:t>3</w:t>
            </w:r>
          </w:p>
          <w:p>
            <w:pPr>
              <w:pStyle w:val="TableParagraph"/>
              <w:spacing w:before="1"/>
              <w:jc w:val="left"/>
              <w:rPr>
                <w:sz w:val="16"/>
              </w:rPr>
            </w:pPr>
          </w:p>
          <w:p>
            <w:pPr>
              <w:pStyle w:val="TableParagraph"/>
              <w:ind w:left="164" w:right="161"/>
              <w:rPr>
                <w:sz w:val="16"/>
              </w:rPr>
            </w:pPr>
            <w:r>
              <w:rPr>
                <w:sz w:val="16"/>
              </w:rPr>
              <w:t>(1-6)</w:t>
            </w:r>
          </w:p>
        </w:tc>
        <w:tc>
          <w:tcPr>
            <w:tcW w:w="696" w:type="dxa"/>
            <w:tcBorders>
              <w:left w:val="nil"/>
              <w:bottom w:val="nil"/>
              <w:right w:val="nil"/>
            </w:tcBorders>
          </w:tcPr>
          <w:p>
            <w:pPr>
              <w:pStyle w:val="TableParagraph"/>
              <w:spacing w:line="179" w:lineRule="exact"/>
              <w:ind w:left="62"/>
              <w:rPr>
                <w:sz w:val="16"/>
              </w:rPr>
            </w:pPr>
            <w:r>
              <w:rPr>
                <w:w w:val="99"/>
                <w:sz w:val="16"/>
              </w:rPr>
              <w:t>4</w:t>
            </w:r>
          </w:p>
          <w:p>
            <w:pPr>
              <w:pStyle w:val="TableParagraph"/>
              <w:spacing w:before="1"/>
              <w:jc w:val="left"/>
              <w:rPr>
                <w:sz w:val="16"/>
              </w:rPr>
            </w:pPr>
          </w:p>
          <w:p>
            <w:pPr>
              <w:pStyle w:val="TableParagraph"/>
              <w:ind w:left="161" w:right="94"/>
              <w:rPr>
                <w:sz w:val="16"/>
              </w:rPr>
            </w:pPr>
            <w:r>
              <w:rPr>
                <w:sz w:val="16"/>
              </w:rPr>
              <w:t>(1-12)</w:t>
            </w:r>
          </w:p>
        </w:tc>
        <w:tc>
          <w:tcPr>
            <w:tcW w:w="550" w:type="dxa"/>
            <w:tcBorders>
              <w:left w:val="nil"/>
              <w:bottom w:val="nil"/>
              <w:right w:val="nil"/>
            </w:tcBorders>
          </w:tcPr>
          <w:p>
            <w:pPr>
              <w:pStyle w:val="TableParagraph"/>
              <w:spacing w:line="179" w:lineRule="exact"/>
              <w:ind w:left="114" w:firstLine="38"/>
              <w:jc w:val="left"/>
              <w:rPr>
                <w:sz w:val="10"/>
              </w:rPr>
            </w:pPr>
            <w:r>
              <w:rPr>
                <w:sz w:val="16"/>
              </w:rPr>
              <w:t>4.5</w:t>
            </w:r>
            <w:r>
              <w:rPr>
                <w:position w:val="7"/>
                <w:sz w:val="10"/>
              </w:rPr>
              <w:t>b</w:t>
            </w:r>
          </w:p>
          <w:p>
            <w:pPr>
              <w:pStyle w:val="TableParagraph"/>
              <w:spacing w:before="1"/>
              <w:jc w:val="left"/>
              <w:rPr>
                <w:sz w:val="16"/>
              </w:rPr>
            </w:pPr>
          </w:p>
          <w:p>
            <w:pPr>
              <w:pStyle w:val="TableParagraph"/>
              <w:ind w:left="114"/>
              <w:jc w:val="left"/>
              <w:rPr>
                <w:sz w:val="16"/>
              </w:rPr>
            </w:pPr>
            <w:r>
              <w:rPr>
                <w:sz w:val="16"/>
              </w:rPr>
              <w:t>(2-6)</w:t>
            </w:r>
          </w:p>
        </w:tc>
        <w:tc>
          <w:tcPr>
            <w:tcW w:w="555" w:type="dxa"/>
            <w:tcBorders>
              <w:left w:val="nil"/>
              <w:bottom w:val="nil"/>
              <w:right w:val="nil"/>
            </w:tcBorders>
          </w:tcPr>
          <w:p>
            <w:pPr>
              <w:pStyle w:val="TableParagraph"/>
              <w:spacing w:line="177" w:lineRule="exact"/>
              <w:ind w:left="212"/>
              <w:jc w:val="left"/>
              <w:rPr>
                <w:sz w:val="10"/>
              </w:rPr>
            </w:pPr>
            <w:r>
              <w:rPr>
                <w:position w:val="-6"/>
                <w:sz w:val="16"/>
              </w:rPr>
              <w:t>4</w:t>
            </w:r>
            <w:r>
              <w:rPr>
                <w:sz w:val="10"/>
              </w:rPr>
              <w:t>b</w:t>
            </w:r>
          </w:p>
          <w:p>
            <w:pPr>
              <w:pStyle w:val="TableParagraph"/>
              <w:spacing w:before="3"/>
              <w:jc w:val="left"/>
              <w:rPr>
                <w:sz w:val="16"/>
              </w:rPr>
            </w:pPr>
          </w:p>
          <w:p>
            <w:pPr>
              <w:pStyle w:val="TableParagraph"/>
              <w:ind w:left="116"/>
              <w:jc w:val="left"/>
              <w:rPr>
                <w:sz w:val="16"/>
              </w:rPr>
            </w:pPr>
            <w:r>
              <w:rPr>
                <w:sz w:val="16"/>
              </w:rPr>
              <w:t>(2-8)</w:t>
            </w:r>
          </w:p>
        </w:tc>
        <w:tc>
          <w:tcPr>
            <w:tcW w:w="554" w:type="dxa"/>
            <w:tcBorders>
              <w:left w:val="nil"/>
              <w:bottom w:val="nil"/>
              <w:right w:val="nil"/>
            </w:tcBorders>
          </w:tcPr>
          <w:p>
            <w:pPr>
              <w:pStyle w:val="TableParagraph"/>
              <w:spacing w:line="179" w:lineRule="exact"/>
              <w:ind w:left="181"/>
              <w:jc w:val="left"/>
              <w:rPr>
                <w:sz w:val="16"/>
              </w:rPr>
            </w:pPr>
            <w:r>
              <w:rPr>
                <w:sz w:val="16"/>
              </w:rPr>
              <w:t>4.5</w:t>
            </w:r>
          </w:p>
          <w:p>
            <w:pPr>
              <w:pStyle w:val="TableParagraph"/>
              <w:spacing w:before="1"/>
              <w:jc w:val="left"/>
              <w:rPr>
                <w:sz w:val="16"/>
              </w:rPr>
            </w:pPr>
          </w:p>
          <w:p>
            <w:pPr>
              <w:pStyle w:val="TableParagraph"/>
              <w:ind w:left="118"/>
              <w:jc w:val="left"/>
              <w:rPr>
                <w:sz w:val="16"/>
              </w:rPr>
            </w:pPr>
            <w:r>
              <w:rPr>
                <w:sz w:val="16"/>
              </w:rPr>
              <w:t>(2-7)</w:t>
            </w:r>
          </w:p>
        </w:tc>
        <w:tc>
          <w:tcPr>
            <w:tcW w:w="555" w:type="dxa"/>
            <w:tcBorders>
              <w:left w:val="nil"/>
              <w:bottom w:val="nil"/>
              <w:right w:val="nil"/>
            </w:tcBorders>
          </w:tcPr>
          <w:p>
            <w:pPr>
              <w:pStyle w:val="TableParagraph"/>
              <w:spacing w:line="179" w:lineRule="exact"/>
              <w:ind w:left="178"/>
              <w:jc w:val="left"/>
              <w:rPr>
                <w:sz w:val="16"/>
              </w:rPr>
            </w:pPr>
            <w:r>
              <w:rPr>
                <w:sz w:val="16"/>
              </w:rPr>
              <w:t>3.5</w:t>
            </w:r>
          </w:p>
          <w:p>
            <w:pPr>
              <w:pStyle w:val="TableParagraph"/>
              <w:spacing w:before="1"/>
              <w:jc w:val="left"/>
              <w:rPr>
                <w:sz w:val="16"/>
              </w:rPr>
            </w:pPr>
          </w:p>
          <w:p>
            <w:pPr>
              <w:pStyle w:val="TableParagraph"/>
              <w:ind w:left="116"/>
              <w:jc w:val="left"/>
              <w:rPr>
                <w:sz w:val="16"/>
              </w:rPr>
            </w:pPr>
            <w:r>
              <w:rPr>
                <w:sz w:val="16"/>
              </w:rPr>
              <w:t>(0-8)</w:t>
            </w:r>
          </w:p>
        </w:tc>
        <w:tc>
          <w:tcPr>
            <w:tcW w:w="555" w:type="dxa"/>
            <w:tcBorders>
              <w:left w:val="nil"/>
              <w:bottom w:val="nil"/>
              <w:right w:val="nil"/>
            </w:tcBorders>
          </w:tcPr>
          <w:p>
            <w:pPr>
              <w:pStyle w:val="TableParagraph"/>
              <w:spacing w:line="179" w:lineRule="exact"/>
              <w:ind w:left="2"/>
              <w:rPr>
                <w:sz w:val="16"/>
              </w:rPr>
            </w:pPr>
            <w:r>
              <w:rPr>
                <w:w w:val="99"/>
                <w:sz w:val="16"/>
              </w:rPr>
              <w:t>3</w:t>
            </w:r>
          </w:p>
          <w:p>
            <w:pPr>
              <w:pStyle w:val="TableParagraph"/>
              <w:spacing w:before="1"/>
              <w:jc w:val="left"/>
              <w:rPr>
                <w:sz w:val="16"/>
              </w:rPr>
            </w:pPr>
          </w:p>
          <w:p>
            <w:pPr>
              <w:pStyle w:val="TableParagraph"/>
              <w:ind w:left="97" w:right="95"/>
              <w:rPr>
                <w:sz w:val="16"/>
              </w:rPr>
            </w:pPr>
            <w:r>
              <w:rPr>
                <w:sz w:val="16"/>
              </w:rPr>
              <w:t>(1-6)</w:t>
            </w:r>
          </w:p>
        </w:tc>
        <w:tc>
          <w:tcPr>
            <w:tcW w:w="554" w:type="dxa"/>
            <w:tcBorders>
              <w:left w:val="nil"/>
              <w:bottom w:val="nil"/>
              <w:right w:val="nil"/>
            </w:tcBorders>
          </w:tcPr>
          <w:p>
            <w:pPr>
              <w:pStyle w:val="TableParagraph"/>
              <w:spacing w:line="179" w:lineRule="exact"/>
              <w:rPr>
                <w:sz w:val="16"/>
              </w:rPr>
            </w:pPr>
            <w:r>
              <w:rPr>
                <w:w w:val="99"/>
                <w:sz w:val="16"/>
              </w:rPr>
              <w:t>2</w:t>
            </w:r>
          </w:p>
          <w:p>
            <w:pPr>
              <w:pStyle w:val="TableParagraph"/>
              <w:spacing w:before="1"/>
              <w:jc w:val="left"/>
              <w:rPr>
                <w:sz w:val="16"/>
              </w:rPr>
            </w:pPr>
          </w:p>
          <w:p>
            <w:pPr>
              <w:pStyle w:val="TableParagraph"/>
              <w:ind w:left="96" w:right="96"/>
              <w:rPr>
                <w:sz w:val="16"/>
              </w:rPr>
            </w:pPr>
            <w:r>
              <w:rPr>
                <w:sz w:val="16"/>
              </w:rPr>
              <w:t>(0-3)</w:t>
            </w:r>
          </w:p>
        </w:tc>
        <w:tc>
          <w:tcPr>
            <w:tcW w:w="576" w:type="dxa"/>
            <w:tcBorders>
              <w:left w:val="nil"/>
              <w:bottom w:val="nil"/>
              <w:right w:val="nil"/>
            </w:tcBorders>
          </w:tcPr>
          <w:p>
            <w:pPr>
              <w:pStyle w:val="TableParagraph"/>
              <w:spacing w:line="179" w:lineRule="exact"/>
              <w:ind w:right="17"/>
              <w:rPr>
                <w:sz w:val="16"/>
              </w:rPr>
            </w:pPr>
            <w:r>
              <w:rPr>
                <w:w w:val="99"/>
                <w:sz w:val="16"/>
              </w:rPr>
              <w:t>2</w:t>
            </w:r>
          </w:p>
          <w:p>
            <w:pPr>
              <w:pStyle w:val="TableParagraph"/>
              <w:spacing w:before="1"/>
              <w:jc w:val="left"/>
              <w:rPr>
                <w:sz w:val="16"/>
              </w:rPr>
            </w:pPr>
          </w:p>
          <w:p>
            <w:pPr>
              <w:pStyle w:val="TableParagraph"/>
              <w:ind w:left="99" w:right="116"/>
              <w:rPr>
                <w:sz w:val="16"/>
              </w:rPr>
            </w:pPr>
            <w:r>
              <w:rPr>
                <w:sz w:val="16"/>
              </w:rPr>
              <w:t>(2-3)</w:t>
            </w:r>
          </w:p>
        </w:tc>
        <w:tc>
          <w:tcPr>
            <w:tcW w:w="593" w:type="dxa"/>
            <w:tcBorders>
              <w:left w:val="nil"/>
              <w:bottom w:val="nil"/>
              <w:right w:val="nil"/>
            </w:tcBorders>
          </w:tcPr>
          <w:p>
            <w:pPr>
              <w:pStyle w:val="TableParagraph"/>
              <w:spacing w:line="179" w:lineRule="exact"/>
              <w:ind w:left="2"/>
              <w:rPr>
                <w:sz w:val="16"/>
              </w:rPr>
            </w:pPr>
            <w:r>
              <w:rPr>
                <w:w w:val="99"/>
                <w:sz w:val="16"/>
              </w:rPr>
              <w:t>2</w:t>
            </w:r>
          </w:p>
          <w:p>
            <w:pPr>
              <w:pStyle w:val="TableParagraph"/>
              <w:spacing w:before="1"/>
              <w:jc w:val="left"/>
              <w:rPr>
                <w:sz w:val="16"/>
              </w:rPr>
            </w:pPr>
          </w:p>
          <w:p>
            <w:pPr>
              <w:pStyle w:val="TableParagraph"/>
              <w:ind w:left="117" w:right="115"/>
              <w:rPr>
                <w:sz w:val="16"/>
              </w:rPr>
            </w:pPr>
            <w:r>
              <w:rPr>
                <w:sz w:val="16"/>
              </w:rPr>
              <w:t>(2-4)</w:t>
            </w:r>
          </w:p>
        </w:tc>
        <w:tc>
          <w:tcPr>
            <w:tcW w:w="574" w:type="dxa"/>
            <w:tcBorders>
              <w:left w:val="nil"/>
              <w:bottom w:val="nil"/>
              <w:right w:val="nil"/>
            </w:tcBorders>
          </w:tcPr>
          <w:p>
            <w:pPr>
              <w:pStyle w:val="TableParagraph"/>
              <w:spacing w:line="179" w:lineRule="exact"/>
              <w:ind w:left="16"/>
              <w:rPr>
                <w:sz w:val="16"/>
              </w:rPr>
            </w:pPr>
            <w:r>
              <w:rPr>
                <w:w w:val="99"/>
                <w:sz w:val="16"/>
              </w:rPr>
              <w:t>3</w:t>
            </w:r>
          </w:p>
          <w:p>
            <w:pPr>
              <w:pStyle w:val="TableParagraph"/>
              <w:spacing w:before="1"/>
              <w:jc w:val="left"/>
              <w:rPr>
                <w:sz w:val="16"/>
              </w:rPr>
            </w:pPr>
          </w:p>
          <w:p>
            <w:pPr>
              <w:pStyle w:val="TableParagraph"/>
              <w:ind w:left="114" w:right="98"/>
              <w:rPr>
                <w:sz w:val="16"/>
              </w:rPr>
            </w:pPr>
            <w:r>
              <w:rPr>
                <w:sz w:val="16"/>
              </w:rPr>
              <w:t>(2-4)</w:t>
            </w:r>
          </w:p>
        </w:tc>
        <w:tc>
          <w:tcPr>
            <w:tcW w:w="555" w:type="dxa"/>
            <w:tcBorders>
              <w:left w:val="nil"/>
              <w:bottom w:val="nil"/>
              <w:right w:val="nil"/>
            </w:tcBorders>
          </w:tcPr>
          <w:p>
            <w:pPr>
              <w:pStyle w:val="TableParagraph"/>
              <w:spacing w:line="179" w:lineRule="exact"/>
              <w:ind w:left="2"/>
              <w:rPr>
                <w:sz w:val="16"/>
              </w:rPr>
            </w:pPr>
            <w:r>
              <w:rPr>
                <w:w w:val="99"/>
                <w:sz w:val="16"/>
              </w:rPr>
              <w:t>1</w:t>
            </w:r>
          </w:p>
          <w:p>
            <w:pPr>
              <w:pStyle w:val="TableParagraph"/>
              <w:spacing w:before="1"/>
              <w:jc w:val="left"/>
              <w:rPr>
                <w:sz w:val="16"/>
              </w:rPr>
            </w:pPr>
          </w:p>
          <w:p>
            <w:pPr>
              <w:pStyle w:val="TableParagraph"/>
              <w:ind w:left="97" w:right="95"/>
              <w:rPr>
                <w:sz w:val="16"/>
              </w:rPr>
            </w:pPr>
            <w:r>
              <w:rPr>
                <w:sz w:val="16"/>
              </w:rPr>
              <w:t>(1-4)</w:t>
            </w:r>
          </w:p>
        </w:tc>
        <w:tc>
          <w:tcPr>
            <w:tcW w:w="552" w:type="dxa"/>
            <w:tcBorders>
              <w:left w:val="nil"/>
              <w:bottom w:val="nil"/>
              <w:right w:val="nil"/>
            </w:tcBorders>
          </w:tcPr>
          <w:p>
            <w:pPr>
              <w:pStyle w:val="TableParagraph"/>
              <w:spacing w:line="179" w:lineRule="exact"/>
              <w:rPr>
                <w:sz w:val="16"/>
              </w:rPr>
            </w:pPr>
            <w:r>
              <w:rPr>
                <w:w w:val="99"/>
                <w:sz w:val="16"/>
              </w:rPr>
              <w:t>2</w:t>
            </w:r>
          </w:p>
          <w:p>
            <w:pPr>
              <w:pStyle w:val="TableParagraph"/>
              <w:spacing w:before="1"/>
              <w:jc w:val="left"/>
              <w:rPr>
                <w:sz w:val="16"/>
              </w:rPr>
            </w:pPr>
          </w:p>
          <w:p>
            <w:pPr>
              <w:pStyle w:val="TableParagraph"/>
              <w:ind w:left="96" w:right="96"/>
              <w:rPr>
                <w:sz w:val="16"/>
              </w:rPr>
            </w:pPr>
            <w:r>
              <w:rPr>
                <w:sz w:val="16"/>
              </w:rPr>
              <w:t>(1-5)</w:t>
            </w:r>
          </w:p>
        </w:tc>
        <w:tc>
          <w:tcPr>
            <w:tcW w:w="554" w:type="dxa"/>
            <w:tcBorders>
              <w:left w:val="nil"/>
              <w:bottom w:val="nil"/>
              <w:right w:val="nil"/>
            </w:tcBorders>
          </w:tcPr>
          <w:p>
            <w:pPr>
              <w:pStyle w:val="TableParagraph"/>
              <w:spacing w:line="179" w:lineRule="exact"/>
              <w:rPr>
                <w:sz w:val="16"/>
              </w:rPr>
            </w:pPr>
            <w:r>
              <w:rPr>
                <w:w w:val="99"/>
                <w:sz w:val="16"/>
              </w:rPr>
              <w:t>2</w:t>
            </w:r>
          </w:p>
          <w:p>
            <w:pPr>
              <w:pStyle w:val="TableParagraph"/>
              <w:spacing w:before="1"/>
              <w:jc w:val="left"/>
              <w:rPr>
                <w:sz w:val="16"/>
              </w:rPr>
            </w:pPr>
          </w:p>
          <w:p>
            <w:pPr>
              <w:pStyle w:val="TableParagraph"/>
              <w:ind w:left="96" w:right="96"/>
              <w:rPr>
                <w:sz w:val="16"/>
              </w:rPr>
            </w:pPr>
            <w:r>
              <w:rPr>
                <w:sz w:val="16"/>
              </w:rPr>
              <w:t>(1-3)</w:t>
            </w:r>
          </w:p>
        </w:tc>
        <w:tc>
          <w:tcPr>
            <w:tcW w:w="555" w:type="dxa"/>
            <w:tcBorders>
              <w:left w:val="nil"/>
              <w:bottom w:val="nil"/>
              <w:right w:val="nil"/>
            </w:tcBorders>
          </w:tcPr>
          <w:p>
            <w:pPr>
              <w:pStyle w:val="TableParagraph"/>
              <w:spacing w:line="177" w:lineRule="exact"/>
              <w:ind w:left="118" w:firstLine="76"/>
              <w:jc w:val="left"/>
              <w:rPr>
                <w:sz w:val="10"/>
              </w:rPr>
            </w:pPr>
            <w:r>
              <w:rPr>
                <w:position w:val="-6"/>
                <w:sz w:val="16"/>
              </w:rPr>
              <w:t>1</w:t>
            </w:r>
            <w:r>
              <w:rPr>
                <w:sz w:val="10"/>
              </w:rPr>
              <w:t>ac</w:t>
            </w:r>
          </w:p>
          <w:p>
            <w:pPr>
              <w:pStyle w:val="TableParagraph"/>
              <w:spacing w:before="3"/>
              <w:jc w:val="left"/>
              <w:rPr>
                <w:sz w:val="16"/>
              </w:rPr>
            </w:pPr>
          </w:p>
          <w:p>
            <w:pPr>
              <w:pStyle w:val="TableParagraph"/>
              <w:ind w:left="118"/>
              <w:jc w:val="left"/>
              <w:rPr>
                <w:sz w:val="16"/>
              </w:rPr>
            </w:pPr>
            <w:r>
              <w:rPr>
                <w:sz w:val="16"/>
              </w:rPr>
              <w:t>(0-2)</w:t>
            </w:r>
          </w:p>
        </w:tc>
        <w:tc>
          <w:tcPr>
            <w:tcW w:w="555" w:type="dxa"/>
            <w:tcBorders>
              <w:left w:val="nil"/>
              <w:bottom w:val="nil"/>
              <w:right w:val="nil"/>
            </w:tcBorders>
          </w:tcPr>
          <w:p>
            <w:pPr>
              <w:pStyle w:val="TableParagraph"/>
              <w:spacing w:line="179" w:lineRule="exact"/>
              <w:rPr>
                <w:sz w:val="16"/>
              </w:rPr>
            </w:pPr>
            <w:r>
              <w:rPr>
                <w:w w:val="99"/>
                <w:sz w:val="16"/>
              </w:rPr>
              <w:t>1</w:t>
            </w:r>
          </w:p>
          <w:p>
            <w:pPr>
              <w:pStyle w:val="TableParagraph"/>
              <w:spacing w:before="1"/>
              <w:jc w:val="left"/>
              <w:rPr>
                <w:sz w:val="16"/>
              </w:rPr>
            </w:pPr>
          </w:p>
          <w:p>
            <w:pPr>
              <w:pStyle w:val="TableParagraph"/>
              <w:ind w:left="96" w:right="96"/>
              <w:rPr>
                <w:sz w:val="16"/>
              </w:rPr>
            </w:pPr>
            <w:r>
              <w:rPr>
                <w:sz w:val="16"/>
              </w:rPr>
              <w:t>(0-2)</w:t>
            </w:r>
          </w:p>
        </w:tc>
        <w:tc>
          <w:tcPr>
            <w:tcW w:w="552" w:type="dxa"/>
            <w:tcBorders>
              <w:left w:val="nil"/>
              <w:bottom w:val="nil"/>
              <w:right w:val="nil"/>
            </w:tcBorders>
          </w:tcPr>
          <w:p>
            <w:pPr>
              <w:pStyle w:val="TableParagraph"/>
              <w:spacing w:line="177" w:lineRule="exact"/>
              <w:ind w:left="118" w:firstLine="76"/>
              <w:jc w:val="left"/>
              <w:rPr>
                <w:sz w:val="10"/>
              </w:rPr>
            </w:pPr>
            <w:r>
              <w:rPr>
                <w:position w:val="-6"/>
                <w:sz w:val="16"/>
              </w:rPr>
              <w:t>1</w:t>
            </w:r>
            <w:r>
              <w:rPr>
                <w:sz w:val="10"/>
              </w:rPr>
              <w:t>ac</w:t>
            </w:r>
          </w:p>
          <w:p>
            <w:pPr>
              <w:pStyle w:val="TableParagraph"/>
              <w:spacing w:before="3"/>
              <w:jc w:val="left"/>
              <w:rPr>
                <w:sz w:val="16"/>
              </w:rPr>
            </w:pPr>
          </w:p>
          <w:p>
            <w:pPr>
              <w:pStyle w:val="TableParagraph"/>
              <w:ind w:left="118"/>
              <w:jc w:val="left"/>
              <w:rPr>
                <w:sz w:val="16"/>
              </w:rPr>
            </w:pPr>
            <w:r>
              <w:rPr>
                <w:sz w:val="16"/>
              </w:rPr>
              <w:t>(0-2)</w:t>
            </w:r>
          </w:p>
        </w:tc>
        <w:tc>
          <w:tcPr>
            <w:tcW w:w="547" w:type="dxa"/>
            <w:tcBorders>
              <w:left w:val="nil"/>
              <w:bottom w:val="nil"/>
              <w:right w:val="nil"/>
            </w:tcBorders>
          </w:tcPr>
          <w:p>
            <w:pPr>
              <w:pStyle w:val="TableParagraph"/>
              <w:spacing w:line="179" w:lineRule="exact"/>
              <w:rPr>
                <w:sz w:val="16"/>
              </w:rPr>
            </w:pPr>
            <w:r>
              <w:rPr>
                <w:w w:val="99"/>
                <w:sz w:val="16"/>
              </w:rPr>
              <w:t>1</w:t>
            </w:r>
          </w:p>
          <w:p>
            <w:pPr>
              <w:pStyle w:val="TableParagraph"/>
              <w:spacing w:before="1"/>
              <w:jc w:val="left"/>
              <w:rPr>
                <w:sz w:val="16"/>
              </w:rPr>
            </w:pPr>
          </w:p>
          <w:p>
            <w:pPr>
              <w:pStyle w:val="TableParagraph"/>
              <w:ind w:left="92" w:right="92"/>
              <w:rPr>
                <w:sz w:val="16"/>
              </w:rPr>
            </w:pPr>
            <w:r>
              <w:rPr>
                <w:sz w:val="16"/>
              </w:rPr>
              <w:t>(0-3)</w:t>
            </w:r>
          </w:p>
        </w:tc>
      </w:tr>
      <w:tr>
        <w:trPr>
          <w:trHeight w:val="747" w:hRule="exact"/>
        </w:trPr>
        <w:tc>
          <w:tcPr>
            <w:tcW w:w="2345" w:type="dxa"/>
            <w:tcBorders>
              <w:top w:val="nil"/>
              <w:left w:val="nil"/>
              <w:bottom w:val="nil"/>
              <w:right w:val="nil"/>
            </w:tcBorders>
          </w:tcPr>
          <w:p>
            <w:pPr>
              <w:pStyle w:val="TableParagraph"/>
              <w:spacing w:before="8"/>
              <w:jc w:val="left"/>
              <w:rPr>
                <w:sz w:val="23"/>
              </w:rPr>
            </w:pPr>
          </w:p>
          <w:p>
            <w:pPr>
              <w:pStyle w:val="TableParagraph"/>
              <w:spacing w:before="1"/>
              <w:ind w:left="1474"/>
              <w:jc w:val="left"/>
              <w:rPr>
                <w:sz w:val="16"/>
              </w:rPr>
            </w:pPr>
            <w:r>
              <w:rPr>
                <w:sz w:val="16"/>
              </w:rPr>
              <w:t>LID</w:t>
            </w:r>
          </w:p>
        </w:tc>
        <w:tc>
          <w:tcPr>
            <w:tcW w:w="685" w:type="dxa"/>
            <w:tcBorders>
              <w:top w:val="nil"/>
              <w:left w:val="nil"/>
              <w:bottom w:val="nil"/>
              <w:right w:val="nil"/>
            </w:tcBorders>
          </w:tcPr>
          <w:p>
            <w:pPr>
              <w:pStyle w:val="TableParagraph"/>
              <w:spacing w:before="86"/>
              <w:ind w:left="3"/>
              <w:rPr>
                <w:sz w:val="16"/>
              </w:rPr>
            </w:pPr>
            <w:r>
              <w:rPr>
                <w:w w:val="98"/>
                <w:sz w:val="16"/>
              </w:rPr>
              <w:t>2</w:t>
            </w:r>
          </w:p>
          <w:p>
            <w:pPr>
              <w:pStyle w:val="TableParagraph"/>
              <w:spacing w:before="2"/>
              <w:jc w:val="left"/>
              <w:rPr>
                <w:sz w:val="16"/>
              </w:rPr>
            </w:pPr>
          </w:p>
          <w:p>
            <w:pPr>
              <w:pStyle w:val="TableParagraph"/>
              <w:ind w:left="164" w:right="161"/>
              <w:rPr>
                <w:sz w:val="16"/>
              </w:rPr>
            </w:pPr>
            <w:r>
              <w:rPr>
                <w:sz w:val="16"/>
              </w:rPr>
              <w:t>(2-4)</w:t>
            </w:r>
          </w:p>
        </w:tc>
        <w:tc>
          <w:tcPr>
            <w:tcW w:w="696" w:type="dxa"/>
            <w:tcBorders>
              <w:top w:val="nil"/>
              <w:left w:val="nil"/>
              <w:bottom w:val="nil"/>
              <w:right w:val="nil"/>
            </w:tcBorders>
          </w:tcPr>
          <w:p>
            <w:pPr>
              <w:pStyle w:val="TableParagraph"/>
              <w:spacing w:before="86"/>
              <w:ind w:left="62"/>
              <w:rPr>
                <w:sz w:val="16"/>
              </w:rPr>
            </w:pPr>
            <w:r>
              <w:rPr>
                <w:w w:val="98"/>
                <w:sz w:val="16"/>
              </w:rPr>
              <w:t>3</w:t>
            </w:r>
          </w:p>
          <w:p>
            <w:pPr>
              <w:pStyle w:val="TableParagraph"/>
              <w:spacing w:before="2"/>
              <w:jc w:val="left"/>
              <w:rPr>
                <w:sz w:val="16"/>
              </w:rPr>
            </w:pPr>
          </w:p>
          <w:p>
            <w:pPr>
              <w:pStyle w:val="TableParagraph"/>
              <w:ind w:left="156" w:right="94"/>
              <w:rPr>
                <w:sz w:val="16"/>
              </w:rPr>
            </w:pPr>
            <w:r>
              <w:rPr>
                <w:sz w:val="16"/>
              </w:rPr>
              <w:t>(1-5)</w:t>
            </w:r>
          </w:p>
        </w:tc>
        <w:tc>
          <w:tcPr>
            <w:tcW w:w="550" w:type="dxa"/>
            <w:tcBorders>
              <w:top w:val="nil"/>
              <w:left w:val="nil"/>
              <w:bottom w:val="nil"/>
              <w:right w:val="nil"/>
            </w:tcBorders>
          </w:tcPr>
          <w:p>
            <w:pPr>
              <w:pStyle w:val="TableParagraph"/>
              <w:spacing w:before="86"/>
              <w:rPr>
                <w:sz w:val="16"/>
              </w:rPr>
            </w:pPr>
            <w:r>
              <w:rPr>
                <w:w w:val="98"/>
                <w:sz w:val="16"/>
              </w:rPr>
              <w:t>3</w:t>
            </w:r>
          </w:p>
          <w:p>
            <w:pPr>
              <w:pStyle w:val="TableParagraph"/>
              <w:spacing w:before="2"/>
              <w:jc w:val="left"/>
              <w:rPr>
                <w:sz w:val="16"/>
              </w:rPr>
            </w:pPr>
          </w:p>
          <w:p>
            <w:pPr>
              <w:pStyle w:val="TableParagraph"/>
              <w:ind w:left="95" w:right="95"/>
              <w:rPr>
                <w:sz w:val="16"/>
              </w:rPr>
            </w:pPr>
            <w:r>
              <w:rPr>
                <w:sz w:val="16"/>
              </w:rPr>
              <w:t>(2-4)</w:t>
            </w:r>
          </w:p>
        </w:tc>
        <w:tc>
          <w:tcPr>
            <w:tcW w:w="555" w:type="dxa"/>
            <w:tcBorders>
              <w:top w:val="nil"/>
              <w:left w:val="nil"/>
              <w:bottom w:val="nil"/>
              <w:right w:val="nil"/>
            </w:tcBorders>
          </w:tcPr>
          <w:p>
            <w:pPr>
              <w:pStyle w:val="TableParagraph"/>
              <w:spacing w:before="86"/>
              <w:ind w:left="150"/>
              <w:jc w:val="left"/>
              <w:rPr>
                <w:sz w:val="16"/>
              </w:rPr>
            </w:pPr>
            <w:r>
              <w:rPr>
                <w:sz w:val="16"/>
              </w:rPr>
              <w:t>2.5</w:t>
            </w:r>
          </w:p>
          <w:p>
            <w:pPr>
              <w:pStyle w:val="TableParagraph"/>
              <w:spacing w:before="2"/>
              <w:jc w:val="left"/>
              <w:rPr>
                <w:sz w:val="16"/>
              </w:rPr>
            </w:pPr>
          </w:p>
          <w:p>
            <w:pPr>
              <w:pStyle w:val="TableParagraph"/>
              <w:ind w:left="116"/>
              <w:jc w:val="left"/>
              <w:rPr>
                <w:sz w:val="16"/>
              </w:rPr>
            </w:pPr>
            <w:r>
              <w:rPr>
                <w:sz w:val="16"/>
              </w:rPr>
              <w:t>(2-5)</w:t>
            </w:r>
          </w:p>
        </w:tc>
        <w:tc>
          <w:tcPr>
            <w:tcW w:w="554" w:type="dxa"/>
            <w:tcBorders>
              <w:top w:val="nil"/>
              <w:left w:val="nil"/>
              <w:bottom w:val="nil"/>
              <w:right w:val="nil"/>
            </w:tcBorders>
          </w:tcPr>
          <w:p>
            <w:pPr>
              <w:pStyle w:val="TableParagraph"/>
              <w:spacing w:before="86"/>
              <w:ind w:left="2"/>
              <w:rPr>
                <w:sz w:val="16"/>
              </w:rPr>
            </w:pPr>
            <w:r>
              <w:rPr>
                <w:w w:val="98"/>
                <w:sz w:val="16"/>
              </w:rPr>
              <w:t>2</w:t>
            </w:r>
          </w:p>
          <w:p>
            <w:pPr>
              <w:pStyle w:val="TableParagraph"/>
              <w:spacing w:before="2"/>
              <w:jc w:val="left"/>
              <w:rPr>
                <w:sz w:val="16"/>
              </w:rPr>
            </w:pPr>
          </w:p>
          <w:p>
            <w:pPr>
              <w:pStyle w:val="TableParagraph"/>
              <w:ind w:left="97" w:right="95"/>
              <w:rPr>
                <w:sz w:val="16"/>
              </w:rPr>
            </w:pPr>
            <w:r>
              <w:rPr>
                <w:sz w:val="16"/>
              </w:rPr>
              <w:t>(2-9)</w:t>
            </w:r>
          </w:p>
        </w:tc>
        <w:tc>
          <w:tcPr>
            <w:tcW w:w="555" w:type="dxa"/>
            <w:tcBorders>
              <w:top w:val="nil"/>
              <w:left w:val="nil"/>
              <w:bottom w:val="nil"/>
              <w:right w:val="nil"/>
            </w:tcBorders>
          </w:tcPr>
          <w:p>
            <w:pPr>
              <w:pStyle w:val="TableParagraph"/>
              <w:spacing w:before="86"/>
              <w:rPr>
                <w:sz w:val="16"/>
              </w:rPr>
            </w:pPr>
            <w:r>
              <w:rPr>
                <w:w w:val="98"/>
                <w:sz w:val="16"/>
              </w:rPr>
              <w:t>3</w:t>
            </w:r>
          </w:p>
          <w:p>
            <w:pPr>
              <w:pStyle w:val="TableParagraph"/>
              <w:spacing w:before="2"/>
              <w:jc w:val="left"/>
              <w:rPr>
                <w:sz w:val="16"/>
              </w:rPr>
            </w:pPr>
          </w:p>
          <w:p>
            <w:pPr>
              <w:pStyle w:val="TableParagraph"/>
              <w:ind w:left="96" w:right="96"/>
              <w:rPr>
                <w:sz w:val="16"/>
              </w:rPr>
            </w:pPr>
            <w:r>
              <w:rPr>
                <w:sz w:val="16"/>
              </w:rPr>
              <w:t>(1-4)</w:t>
            </w:r>
          </w:p>
        </w:tc>
        <w:tc>
          <w:tcPr>
            <w:tcW w:w="555" w:type="dxa"/>
            <w:tcBorders>
              <w:top w:val="nil"/>
              <w:left w:val="nil"/>
              <w:bottom w:val="nil"/>
              <w:right w:val="nil"/>
            </w:tcBorders>
          </w:tcPr>
          <w:p>
            <w:pPr>
              <w:pStyle w:val="TableParagraph"/>
              <w:spacing w:before="86"/>
              <w:ind w:left="2"/>
              <w:rPr>
                <w:sz w:val="16"/>
              </w:rPr>
            </w:pPr>
            <w:r>
              <w:rPr>
                <w:w w:val="98"/>
                <w:sz w:val="16"/>
              </w:rPr>
              <w:t>3</w:t>
            </w:r>
          </w:p>
          <w:p>
            <w:pPr>
              <w:pStyle w:val="TableParagraph"/>
              <w:spacing w:before="2"/>
              <w:jc w:val="left"/>
              <w:rPr>
                <w:sz w:val="16"/>
              </w:rPr>
            </w:pPr>
          </w:p>
          <w:p>
            <w:pPr>
              <w:pStyle w:val="TableParagraph"/>
              <w:ind w:left="97" w:right="95"/>
              <w:rPr>
                <w:sz w:val="16"/>
              </w:rPr>
            </w:pPr>
            <w:r>
              <w:rPr>
                <w:sz w:val="16"/>
              </w:rPr>
              <w:t>(2-6)</w:t>
            </w:r>
          </w:p>
        </w:tc>
        <w:tc>
          <w:tcPr>
            <w:tcW w:w="554" w:type="dxa"/>
            <w:tcBorders>
              <w:top w:val="nil"/>
              <w:left w:val="nil"/>
              <w:bottom w:val="nil"/>
              <w:right w:val="nil"/>
            </w:tcBorders>
          </w:tcPr>
          <w:p>
            <w:pPr>
              <w:pStyle w:val="TableParagraph"/>
              <w:spacing w:before="86"/>
              <w:rPr>
                <w:sz w:val="16"/>
              </w:rPr>
            </w:pPr>
            <w:r>
              <w:rPr>
                <w:w w:val="98"/>
                <w:sz w:val="16"/>
              </w:rPr>
              <w:t>2</w:t>
            </w:r>
          </w:p>
          <w:p>
            <w:pPr>
              <w:pStyle w:val="TableParagraph"/>
              <w:spacing w:before="2"/>
              <w:jc w:val="left"/>
              <w:rPr>
                <w:sz w:val="16"/>
              </w:rPr>
            </w:pPr>
          </w:p>
          <w:p>
            <w:pPr>
              <w:pStyle w:val="TableParagraph"/>
              <w:ind w:left="96" w:right="96"/>
              <w:rPr>
                <w:sz w:val="16"/>
              </w:rPr>
            </w:pPr>
            <w:r>
              <w:rPr>
                <w:sz w:val="16"/>
              </w:rPr>
              <w:t>(0-6)</w:t>
            </w:r>
          </w:p>
        </w:tc>
        <w:tc>
          <w:tcPr>
            <w:tcW w:w="576" w:type="dxa"/>
            <w:tcBorders>
              <w:top w:val="nil"/>
              <w:left w:val="nil"/>
              <w:bottom w:val="nil"/>
              <w:right w:val="nil"/>
            </w:tcBorders>
          </w:tcPr>
          <w:p>
            <w:pPr>
              <w:pStyle w:val="TableParagraph"/>
              <w:spacing w:before="86"/>
              <w:ind w:right="17"/>
              <w:rPr>
                <w:sz w:val="16"/>
              </w:rPr>
            </w:pPr>
            <w:r>
              <w:rPr>
                <w:w w:val="98"/>
                <w:sz w:val="16"/>
              </w:rPr>
              <w:t>4</w:t>
            </w:r>
          </w:p>
          <w:p>
            <w:pPr>
              <w:pStyle w:val="TableParagraph"/>
              <w:spacing w:before="2"/>
              <w:jc w:val="left"/>
              <w:rPr>
                <w:sz w:val="16"/>
              </w:rPr>
            </w:pPr>
          </w:p>
          <w:p>
            <w:pPr>
              <w:pStyle w:val="TableParagraph"/>
              <w:ind w:left="99" w:right="116"/>
              <w:rPr>
                <w:sz w:val="16"/>
              </w:rPr>
            </w:pPr>
            <w:r>
              <w:rPr>
                <w:sz w:val="16"/>
              </w:rPr>
              <w:t>(1-5)</w:t>
            </w:r>
          </w:p>
        </w:tc>
        <w:tc>
          <w:tcPr>
            <w:tcW w:w="593" w:type="dxa"/>
            <w:tcBorders>
              <w:top w:val="nil"/>
              <w:left w:val="nil"/>
              <w:bottom w:val="nil"/>
              <w:right w:val="nil"/>
            </w:tcBorders>
          </w:tcPr>
          <w:p>
            <w:pPr>
              <w:pStyle w:val="TableParagraph"/>
              <w:spacing w:before="86"/>
              <w:ind w:left="2"/>
              <w:rPr>
                <w:sz w:val="16"/>
              </w:rPr>
            </w:pPr>
            <w:r>
              <w:rPr>
                <w:w w:val="98"/>
                <w:sz w:val="16"/>
              </w:rPr>
              <w:t>4</w:t>
            </w:r>
          </w:p>
          <w:p>
            <w:pPr>
              <w:pStyle w:val="TableParagraph"/>
              <w:spacing w:before="2"/>
              <w:jc w:val="left"/>
              <w:rPr>
                <w:sz w:val="16"/>
              </w:rPr>
            </w:pPr>
          </w:p>
          <w:p>
            <w:pPr>
              <w:pStyle w:val="TableParagraph"/>
              <w:ind w:left="117" w:right="115"/>
              <w:rPr>
                <w:sz w:val="16"/>
              </w:rPr>
            </w:pPr>
            <w:r>
              <w:rPr>
                <w:sz w:val="16"/>
              </w:rPr>
              <w:t>(0-5)</w:t>
            </w:r>
          </w:p>
        </w:tc>
        <w:tc>
          <w:tcPr>
            <w:tcW w:w="574" w:type="dxa"/>
            <w:tcBorders>
              <w:top w:val="nil"/>
              <w:left w:val="nil"/>
              <w:bottom w:val="nil"/>
              <w:right w:val="nil"/>
            </w:tcBorders>
          </w:tcPr>
          <w:p>
            <w:pPr>
              <w:pStyle w:val="TableParagraph"/>
              <w:spacing w:before="86"/>
              <w:ind w:left="16"/>
              <w:rPr>
                <w:sz w:val="16"/>
              </w:rPr>
            </w:pPr>
            <w:r>
              <w:rPr>
                <w:w w:val="98"/>
                <w:sz w:val="16"/>
              </w:rPr>
              <w:t>2</w:t>
            </w:r>
          </w:p>
          <w:p>
            <w:pPr>
              <w:pStyle w:val="TableParagraph"/>
              <w:spacing w:before="2"/>
              <w:jc w:val="left"/>
              <w:rPr>
                <w:sz w:val="16"/>
              </w:rPr>
            </w:pPr>
          </w:p>
          <w:p>
            <w:pPr>
              <w:pStyle w:val="TableParagraph"/>
              <w:ind w:left="114" w:right="98"/>
              <w:rPr>
                <w:sz w:val="16"/>
              </w:rPr>
            </w:pPr>
            <w:r>
              <w:rPr>
                <w:sz w:val="16"/>
              </w:rPr>
              <w:t>(0-5)</w:t>
            </w:r>
          </w:p>
        </w:tc>
        <w:tc>
          <w:tcPr>
            <w:tcW w:w="555" w:type="dxa"/>
            <w:tcBorders>
              <w:top w:val="nil"/>
              <w:left w:val="nil"/>
              <w:bottom w:val="nil"/>
              <w:right w:val="nil"/>
            </w:tcBorders>
          </w:tcPr>
          <w:p>
            <w:pPr>
              <w:pStyle w:val="TableParagraph"/>
              <w:spacing w:before="86"/>
              <w:ind w:left="2"/>
              <w:rPr>
                <w:sz w:val="16"/>
              </w:rPr>
            </w:pPr>
            <w:r>
              <w:rPr>
                <w:w w:val="98"/>
                <w:sz w:val="16"/>
              </w:rPr>
              <w:t>3</w:t>
            </w:r>
          </w:p>
          <w:p>
            <w:pPr>
              <w:pStyle w:val="TableParagraph"/>
              <w:spacing w:before="2"/>
              <w:jc w:val="left"/>
              <w:rPr>
                <w:sz w:val="16"/>
              </w:rPr>
            </w:pPr>
          </w:p>
          <w:p>
            <w:pPr>
              <w:pStyle w:val="TableParagraph"/>
              <w:ind w:left="97" w:right="95"/>
              <w:rPr>
                <w:sz w:val="16"/>
              </w:rPr>
            </w:pPr>
            <w:r>
              <w:rPr>
                <w:sz w:val="16"/>
              </w:rPr>
              <w:t>(0-5)</w:t>
            </w:r>
          </w:p>
        </w:tc>
        <w:tc>
          <w:tcPr>
            <w:tcW w:w="552" w:type="dxa"/>
            <w:tcBorders>
              <w:top w:val="nil"/>
              <w:left w:val="nil"/>
              <w:bottom w:val="nil"/>
              <w:right w:val="nil"/>
            </w:tcBorders>
          </w:tcPr>
          <w:p>
            <w:pPr>
              <w:pStyle w:val="TableParagraph"/>
              <w:spacing w:before="86"/>
              <w:rPr>
                <w:sz w:val="16"/>
              </w:rPr>
            </w:pPr>
            <w:r>
              <w:rPr>
                <w:w w:val="98"/>
                <w:sz w:val="16"/>
              </w:rPr>
              <w:t>2</w:t>
            </w:r>
          </w:p>
          <w:p>
            <w:pPr>
              <w:pStyle w:val="TableParagraph"/>
              <w:spacing w:before="2"/>
              <w:jc w:val="left"/>
              <w:rPr>
                <w:sz w:val="16"/>
              </w:rPr>
            </w:pPr>
          </w:p>
          <w:p>
            <w:pPr>
              <w:pStyle w:val="TableParagraph"/>
              <w:ind w:left="96" w:right="96"/>
              <w:rPr>
                <w:sz w:val="16"/>
              </w:rPr>
            </w:pPr>
            <w:r>
              <w:rPr>
                <w:sz w:val="16"/>
              </w:rPr>
              <w:t>(0-5)</w:t>
            </w:r>
          </w:p>
        </w:tc>
        <w:tc>
          <w:tcPr>
            <w:tcW w:w="554" w:type="dxa"/>
            <w:tcBorders>
              <w:top w:val="nil"/>
              <w:left w:val="nil"/>
              <w:bottom w:val="nil"/>
              <w:right w:val="nil"/>
            </w:tcBorders>
          </w:tcPr>
          <w:p>
            <w:pPr>
              <w:pStyle w:val="TableParagraph"/>
              <w:spacing w:before="86"/>
              <w:rPr>
                <w:sz w:val="16"/>
              </w:rPr>
            </w:pPr>
            <w:r>
              <w:rPr>
                <w:w w:val="98"/>
                <w:sz w:val="16"/>
              </w:rPr>
              <w:t>2</w:t>
            </w:r>
          </w:p>
          <w:p>
            <w:pPr>
              <w:pStyle w:val="TableParagraph"/>
              <w:spacing w:before="2"/>
              <w:jc w:val="left"/>
              <w:rPr>
                <w:sz w:val="16"/>
              </w:rPr>
            </w:pPr>
          </w:p>
          <w:p>
            <w:pPr>
              <w:pStyle w:val="TableParagraph"/>
              <w:ind w:left="96" w:right="96"/>
              <w:rPr>
                <w:sz w:val="16"/>
              </w:rPr>
            </w:pPr>
            <w:r>
              <w:rPr>
                <w:sz w:val="16"/>
              </w:rPr>
              <w:t>(2-5)</w:t>
            </w:r>
          </w:p>
        </w:tc>
        <w:tc>
          <w:tcPr>
            <w:tcW w:w="555" w:type="dxa"/>
            <w:tcBorders>
              <w:top w:val="nil"/>
              <w:left w:val="nil"/>
              <w:bottom w:val="nil"/>
              <w:right w:val="nil"/>
            </w:tcBorders>
          </w:tcPr>
          <w:p>
            <w:pPr>
              <w:pStyle w:val="TableParagraph"/>
              <w:spacing w:before="86"/>
              <w:ind w:left="2"/>
              <w:rPr>
                <w:sz w:val="16"/>
              </w:rPr>
            </w:pPr>
            <w:r>
              <w:rPr>
                <w:w w:val="98"/>
                <w:sz w:val="16"/>
              </w:rPr>
              <w:t>2</w:t>
            </w:r>
          </w:p>
          <w:p>
            <w:pPr>
              <w:pStyle w:val="TableParagraph"/>
              <w:spacing w:before="2"/>
              <w:jc w:val="left"/>
              <w:rPr>
                <w:sz w:val="16"/>
              </w:rPr>
            </w:pPr>
          </w:p>
          <w:p>
            <w:pPr>
              <w:pStyle w:val="TableParagraph"/>
              <w:ind w:left="97" w:right="95"/>
              <w:rPr>
                <w:sz w:val="16"/>
              </w:rPr>
            </w:pPr>
            <w:r>
              <w:rPr>
                <w:sz w:val="16"/>
              </w:rPr>
              <w:t>(0-4)</w:t>
            </w:r>
          </w:p>
        </w:tc>
        <w:tc>
          <w:tcPr>
            <w:tcW w:w="555" w:type="dxa"/>
            <w:tcBorders>
              <w:top w:val="nil"/>
              <w:left w:val="nil"/>
              <w:bottom w:val="nil"/>
              <w:right w:val="nil"/>
            </w:tcBorders>
          </w:tcPr>
          <w:p>
            <w:pPr>
              <w:pStyle w:val="TableParagraph"/>
              <w:spacing w:before="86"/>
              <w:rPr>
                <w:sz w:val="16"/>
              </w:rPr>
            </w:pPr>
            <w:r>
              <w:rPr>
                <w:w w:val="98"/>
                <w:sz w:val="16"/>
              </w:rPr>
              <w:t>2</w:t>
            </w:r>
          </w:p>
          <w:p>
            <w:pPr>
              <w:pStyle w:val="TableParagraph"/>
              <w:spacing w:before="2"/>
              <w:jc w:val="left"/>
              <w:rPr>
                <w:sz w:val="16"/>
              </w:rPr>
            </w:pPr>
          </w:p>
          <w:p>
            <w:pPr>
              <w:pStyle w:val="TableParagraph"/>
              <w:ind w:left="96" w:right="96"/>
              <w:rPr>
                <w:sz w:val="16"/>
              </w:rPr>
            </w:pPr>
            <w:r>
              <w:rPr>
                <w:sz w:val="16"/>
              </w:rPr>
              <w:t>(0-4)</w:t>
            </w:r>
          </w:p>
        </w:tc>
        <w:tc>
          <w:tcPr>
            <w:tcW w:w="552" w:type="dxa"/>
            <w:tcBorders>
              <w:top w:val="nil"/>
              <w:left w:val="nil"/>
              <w:bottom w:val="nil"/>
              <w:right w:val="nil"/>
            </w:tcBorders>
          </w:tcPr>
          <w:p>
            <w:pPr>
              <w:pStyle w:val="TableParagraph"/>
              <w:spacing w:before="86"/>
              <w:ind w:left="4"/>
              <w:rPr>
                <w:sz w:val="16"/>
              </w:rPr>
            </w:pPr>
            <w:r>
              <w:rPr>
                <w:w w:val="98"/>
                <w:sz w:val="16"/>
              </w:rPr>
              <w:t>2</w:t>
            </w:r>
          </w:p>
          <w:p>
            <w:pPr>
              <w:pStyle w:val="TableParagraph"/>
              <w:spacing w:before="2"/>
              <w:jc w:val="left"/>
              <w:rPr>
                <w:sz w:val="16"/>
              </w:rPr>
            </w:pPr>
          </w:p>
          <w:p>
            <w:pPr>
              <w:pStyle w:val="TableParagraph"/>
              <w:ind w:left="98" w:right="94"/>
              <w:rPr>
                <w:sz w:val="16"/>
              </w:rPr>
            </w:pPr>
            <w:r>
              <w:rPr>
                <w:sz w:val="16"/>
              </w:rPr>
              <w:t>(0-4)</w:t>
            </w:r>
          </w:p>
        </w:tc>
        <w:tc>
          <w:tcPr>
            <w:tcW w:w="547" w:type="dxa"/>
            <w:tcBorders>
              <w:top w:val="nil"/>
              <w:left w:val="nil"/>
              <w:bottom w:val="nil"/>
              <w:right w:val="nil"/>
            </w:tcBorders>
          </w:tcPr>
          <w:p>
            <w:pPr>
              <w:pStyle w:val="TableParagraph"/>
              <w:spacing w:before="86"/>
              <w:rPr>
                <w:sz w:val="16"/>
              </w:rPr>
            </w:pPr>
            <w:r>
              <w:rPr>
                <w:w w:val="98"/>
                <w:sz w:val="16"/>
              </w:rPr>
              <w:t>2</w:t>
            </w:r>
          </w:p>
          <w:p>
            <w:pPr>
              <w:pStyle w:val="TableParagraph"/>
              <w:spacing w:before="2"/>
              <w:jc w:val="left"/>
              <w:rPr>
                <w:sz w:val="16"/>
              </w:rPr>
            </w:pPr>
          </w:p>
          <w:p>
            <w:pPr>
              <w:pStyle w:val="TableParagraph"/>
              <w:ind w:left="92" w:right="92"/>
              <w:rPr>
                <w:sz w:val="16"/>
              </w:rPr>
            </w:pPr>
            <w:r>
              <w:rPr>
                <w:sz w:val="16"/>
              </w:rPr>
              <w:t>(0-4)</w:t>
            </w:r>
          </w:p>
        </w:tc>
      </w:tr>
      <w:tr>
        <w:trPr>
          <w:trHeight w:val="731" w:hRule="exact"/>
        </w:trPr>
        <w:tc>
          <w:tcPr>
            <w:tcW w:w="2345" w:type="dxa"/>
            <w:tcBorders>
              <w:top w:val="nil"/>
              <w:left w:val="nil"/>
              <w:bottom w:val="nil"/>
              <w:right w:val="nil"/>
            </w:tcBorders>
          </w:tcPr>
          <w:p>
            <w:pPr>
              <w:pStyle w:val="TableParagraph"/>
              <w:spacing w:before="6"/>
              <w:jc w:val="left"/>
              <w:rPr>
                <w:sz w:val="23"/>
              </w:rPr>
            </w:pPr>
          </w:p>
          <w:p>
            <w:pPr>
              <w:pStyle w:val="TableParagraph"/>
              <w:ind w:left="1445"/>
              <w:jc w:val="left"/>
              <w:rPr>
                <w:sz w:val="16"/>
              </w:rPr>
            </w:pPr>
            <w:r>
              <w:rPr>
                <w:sz w:val="16"/>
              </w:rPr>
              <w:t>DEX</w:t>
            </w:r>
          </w:p>
        </w:tc>
        <w:tc>
          <w:tcPr>
            <w:tcW w:w="685" w:type="dxa"/>
            <w:tcBorders>
              <w:top w:val="nil"/>
              <w:left w:val="nil"/>
              <w:bottom w:val="nil"/>
              <w:right w:val="nil"/>
            </w:tcBorders>
          </w:tcPr>
          <w:p>
            <w:pPr>
              <w:pStyle w:val="TableParagraph"/>
              <w:spacing w:before="88"/>
              <w:ind w:left="3"/>
              <w:rPr>
                <w:sz w:val="16"/>
              </w:rPr>
            </w:pPr>
            <w:r>
              <w:rPr>
                <w:w w:val="98"/>
                <w:sz w:val="16"/>
              </w:rPr>
              <w:t>1</w:t>
            </w:r>
          </w:p>
          <w:p>
            <w:pPr>
              <w:pStyle w:val="TableParagraph"/>
              <w:spacing w:before="8"/>
              <w:jc w:val="left"/>
              <w:rPr>
                <w:sz w:val="15"/>
              </w:rPr>
            </w:pPr>
          </w:p>
          <w:p>
            <w:pPr>
              <w:pStyle w:val="TableParagraph"/>
              <w:ind w:left="164" w:right="161"/>
              <w:rPr>
                <w:sz w:val="16"/>
              </w:rPr>
            </w:pPr>
            <w:r>
              <w:rPr>
                <w:sz w:val="16"/>
              </w:rPr>
              <w:t>(1-4)</w:t>
            </w:r>
          </w:p>
        </w:tc>
        <w:tc>
          <w:tcPr>
            <w:tcW w:w="696" w:type="dxa"/>
            <w:tcBorders>
              <w:top w:val="nil"/>
              <w:left w:val="nil"/>
              <w:bottom w:val="nil"/>
              <w:right w:val="nil"/>
            </w:tcBorders>
          </w:tcPr>
          <w:p>
            <w:pPr>
              <w:pStyle w:val="TableParagraph"/>
              <w:spacing w:before="88"/>
              <w:ind w:left="282"/>
              <w:jc w:val="left"/>
              <w:rPr>
                <w:sz w:val="16"/>
              </w:rPr>
            </w:pPr>
            <w:r>
              <w:rPr>
                <w:sz w:val="16"/>
              </w:rPr>
              <w:t>3.5</w:t>
            </w:r>
          </w:p>
          <w:p>
            <w:pPr>
              <w:pStyle w:val="TableParagraph"/>
              <w:spacing w:before="8"/>
              <w:jc w:val="left"/>
              <w:rPr>
                <w:sz w:val="15"/>
              </w:rPr>
            </w:pPr>
          </w:p>
          <w:p>
            <w:pPr>
              <w:pStyle w:val="TableParagraph"/>
              <w:ind w:left="219"/>
              <w:jc w:val="left"/>
              <w:rPr>
                <w:sz w:val="16"/>
              </w:rPr>
            </w:pPr>
            <w:r>
              <w:rPr>
                <w:sz w:val="16"/>
              </w:rPr>
              <w:t>(0-7)</w:t>
            </w:r>
          </w:p>
        </w:tc>
        <w:tc>
          <w:tcPr>
            <w:tcW w:w="550" w:type="dxa"/>
            <w:tcBorders>
              <w:top w:val="nil"/>
              <w:left w:val="nil"/>
              <w:bottom w:val="nil"/>
              <w:right w:val="nil"/>
            </w:tcBorders>
          </w:tcPr>
          <w:p>
            <w:pPr>
              <w:pStyle w:val="TableParagraph"/>
              <w:spacing w:before="88"/>
              <w:rPr>
                <w:sz w:val="16"/>
              </w:rPr>
            </w:pPr>
            <w:r>
              <w:rPr>
                <w:w w:val="98"/>
                <w:sz w:val="16"/>
              </w:rPr>
              <w:t>3</w:t>
            </w:r>
          </w:p>
          <w:p>
            <w:pPr>
              <w:pStyle w:val="TableParagraph"/>
              <w:spacing w:before="8"/>
              <w:jc w:val="left"/>
              <w:rPr>
                <w:sz w:val="15"/>
              </w:rPr>
            </w:pPr>
          </w:p>
          <w:p>
            <w:pPr>
              <w:pStyle w:val="TableParagraph"/>
              <w:ind w:left="95" w:right="95"/>
              <w:rPr>
                <w:sz w:val="16"/>
              </w:rPr>
            </w:pPr>
            <w:r>
              <w:rPr>
                <w:sz w:val="16"/>
              </w:rPr>
              <w:t>(0-8)</w:t>
            </w:r>
          </w:p>
        </w:tc>
        <w:tc>
          <w:tcPr>
            <w:tcW w:w="555" w:type="dxa"/>
            <w:tcBorders>
              <w:top w:val="nil"/>
              <w:left w:val="nil"/>
              <w:bottom w:val="nil"/>
              <w:right w:val="nil"/>
            </w:tcBorders>
          </w:tcPr>
          <w:p>
            <w:pPr>
              <w:pStyle w:val="TableParagraph"/>
              <w:spacing w:before="88"/>
              <w:rPr>
                <w:sz w:val="16"/>
              </w:rPr>
            </w:pPr>
            <w:r>
              <w:rPr>
                <w:w w:val="98"/>
                <w:sz w:val="16"/>
              </w:rPr>
              <w:t>3</w:t>
            </w:r>
          </w:p>
          <w:p>
            <w:pPr>
              <w:pStyle w:val="TableParagraph"/>
              <w:spacing w:before="8"/>
              <w:jc w:val="left"/>
              <w:rPr>
                <w:sz w:val="15"/>
              </w:rPr>
            </w:pPr>
          </w:p>
          <w:p>
            <w:pPr>
              <w:pStyle w:val="TableParagraph"/>
              <w:ind w:left="96" w:right="96"/>
              <w:rPr>
                <w:sz w:val="16"/>
              </w:rPr>
            </w:pPr>
            <w:r>
              <w:rPr>
                <w:sz w:val="16"/>
              </w:rPr>
              <w:t>(0-7)</w:t>
            </w:r>
          </w:p>
        </w:tc>
        <w:tc>
          <w:tcPr>
            <w:tcW w:w="554" w:type="dxa"/>
            <w:tcBorders>
              <w:top w:val="nil"/>
              <w:left w:val="nil"/>
              <w:bottom w:val="nil"/>
              <w:right w:val="nil"/>
            </w:tcBorders>
          </w:tcPr>
          <w:p>
            <w:pPr>
              <w:pStyle w:val="TableParagraph"/>
              <w:spacing w:before="88"/>
              <w:ind w:left="2"/>
              <w:rPr>
                <w:sz w:val="16"/>
              </w:rPr>
            </w:pPr>
            <w:r>
              <w:rPr>
                <w:w w:val="98"/>
                <w:sz w:val="16"/>
              </w:rPr>
              <w:t>3</w:t>
            </w:r>
          </w:p>
          <w:p>
            <w:pPr>
              <w:pStyle w:val="TableParagraph"/>
              <w:spacing w:before="8"/>
              <w:jc w:val="left"/>
              <w:rPr>
                <w:sz w:val="15"/>
              </w:rPr>
            </w:pPr>
          </w:p>
          <w:p>
            <w:pPr>
              <w:pStyle w:val="TableParagraph"/>
              <w:ind w:left="97" w:right="95"/>
              <w:rPr>
                <w:sz w:val="16"/>
              </w:rPr>
            </w:pPr>
            <w:r>
              <w:rPr>
                <w:sz w:val="16"/>
              </w:rPr>
              <w:t>(1-6)</w:t>
            </w:r>
          </w:p>
        </w:tc>
        <w:tc>
          <w:tcPr>
            <w:tcW w:w="555" w:type="dxa"/>
            <w:tcBorders>
              <w:top w:val="nil"/>
              <w:left w:val="nil"/>
              <w:bottom w:val="nil"/>
              <w:right w:val="nil"/>
            </w:tcBorders>
          </w:tcPr>
          <w:p>
            <w:pPr>
              <w:pStyle w:val="TableParagraph"/>
              <w:spacing w:before="88"/>
              <w:rPr>
                <w:sz w:val="16"/>
              </w:rPr>
            </w:pPr>
            <w:r>
              <w:rPr>
                <w:w w:val="98"/>
                <w:sz w:val="16"/>
              </w:rPr>
              <w:t>3</w:t>
            </w:r>
          </w:p>
          <w:p>
            <w:pPr>
              <w:pStyle w:val="TableParagraph"/>
              <w:spacing w:before="8"/>
              <w:jc w:val="left"/>
              <w:rPr>
                <w:sz w:val="15"/>
              </w:rPr>
            </w:pPr>
          </w:p>
          <w:p>
            <w:pPr>
              <w:pStyle w:val="TableParagraph"/>
              <w:ind w:left="96" w:right="96"/>
              <w:rPr>
                <w:sz w:val="16"/>
              </w:rPr>
            </w:pPr>
            <w:r>
              <w:rPr>
                <w:sz w:val="16"/>
              </w:rPr>
              <w:t>(1-5)</w:t>
            </w:r>
          </w:p>
        </w:tc>
        <w:tc>
          <w:tcPr>
            <w:tcW w:w="555" w:type="dxa"/>
            <w:tcBorders>
              <w:top w:val="nil"/>
              <w:left w:val="nil"/>
              <w:bottom w:val="nil"/>
              <w:right w:val="nil"/>
            </w:tcBorders>
          </w:tcPr>
          <w:p>
            <w:pPr>
              <w:pStyle w:val="TableParagraph"/>
              <w:spacing w:before="88"/>
              <w:ind w:left="2"/>
              <w:rPr>
                <w:sz w:val="16"/>
              </w:rPr>
            </w:pPr>
            <w:r>
              <w:rPr>
                <w:w w:val="98"/>
                <w:sz w:val="16"/>
              </w:rPr>
              <w:t>6</w:t>
            </w:r>
          </w:p>
          <w:p>
            <w:pPr>
              <w:pStyle w:val="TableParagraph"/>
              <w:spacing w:before="8"/>
              <w:jc w:val="left"/>
              <w:rPr>
                <w:sz w:val="15"/>
              </w:rPr>
            </w:pPr>
          </w:p>
          <w:p>
            <w:pPr>
              <w:pStyle w:val="TableParagraph"/>
              <w:ind w:left="97" w:right="95"/>
              <w:rPr>
                <w:sz w:val="16"/>
              </w:rPr>
            </w:pPr>
            <w:r>
              <w:rPr>
                <w:sz w:val="16"/>
              </w:rPr>
              <w:t>(2-7)</w:t>
            </w:r>
          </w:p>
        </w:tc>
        <w:tc>
          <w:tcPr>
            <w:tcW w:w="554" w:type="dxa"/>
            <w:tcBorders>
              <w:top w:val="nil"/>
              <w:left w:val="nil"/>
              <w:bottom w:val="nil"/>
              <w:right w:val="nil"/>
            </w:tcBorders>
          </w:tcPr>
          <w:p>
            <w:pPr>
              <w:pStyle w:val="TableParagraph"/>
              <w:spacing w:before="88"/>
              <w:rPr>
                <w:sz w:val="16"/>
              </w:rPr>
            </w:pPr>
            <w:r>
              <w:rPr>
                <w:w w:val="98"/>
                <w:sz w:val="16"/>
              </w:rPr>
              <w:t>4</w:t>
            </w:r>
          </w:p>
          <w:p>
            <w:pPr>
              <w:pStyle w:val="TableParagraph"/>
              <w:spacing w:before="8"/>
              <w:jc w:val="left"/>
              <w:rPr>
                <w:sz w:val="15"/>
              </w:rPr>
            </w:pPr>
          </w:p>
          <w:p>
            <w:pPr>
              <w:pStyle w:val="TableParagraph"/>
              <w:ind w:left="96" w:right="96"/>
              <w:rPr>
                <w:sz w:val="16"/>
              </w:rPr>
            </w:pPr>
            <w:r>
              <w:rPr>
                <w:sz w:val="16"/>
              </w:rPr>
              <w:t>(2-6)</w:t>
            </w:r>
          </w:p>
        </w:tc>
        <w:tc>
          <w:tcPr>
            <w:tcW w:w="576" w:type="dxa"/>
            <w:tcBorders>
              <w:top w:val="nil"/>
              <w:left w:val="nil"/>
              <w:bottom w:val="nil"/>
              <w:right w:val="nil"/>
            </w:tcBorders>
          </w:tcPr>
          <w:p>
            <w:pPr>
              <w:pStyle w:val="TableParagraph"/>
              <w:spacing w:before="88"/>
              <w:ind w:right="17"/>
              <w:rPr>
                <w:sz w:val="16"/>
              </w:rPr>
            </w:pPr>
            <w:r>
              <w:rPr>
                <w:w w:val="98"/>
                <w:sz w:val="16"/>
              </w:rPr>
              <w:t>4</w:t>
            </w:r>
          </w:p>
          <w:p>
            <w:pPr>
              <w:pStyle w:val="TableParagraph"/>
              <w:spacing w:before="8"/>
              <w:jc w:val="left"/>
              <w:rPr>
                <w:sz w:val="15"/>
              </w:rPr>
            </w:pPr>
          </w:p>
          <w:p>
            <w:pPr>
              <w:pStyle w:val="TableParagraph"/>
              <w:ind w:left="99" w:right="116"/>
              <w:rPr>
                <w:sz w:val="16"/>
              </w:rPr>
            </w:pPr>
            <w:r>
              <w:rPr>
                <w:sz w:val="16"/>
              </w:rPr>
              <w:t>(2-9)</w:t>
            </w:r>
          </w:p>
        </w:tc>
        <w:tc>
          <w:tcPr>
            <w:tcW w:w="593" w:type="dxa"/>
            <w:tcBorders>
              <w:top w:val="nil"/>
              <w:left w:val="nil"/>
              <w:bottom w:val="nil"/>
              <w:right w:val="nil"/>
            </w:tcBorders>
          </w:tcPr>
          <w:p>
            <w:pPr>
              <w:pStyle w:val="TableParagraph"/>
              <w:spacing w:before="88"/>
              <w:ind w:left="2"/>
              <w:rPr>
                <w:sz w:val="16"/>
              </w:rPr>
            </w:pPr>
            <w:r>
              <w:rPr>
                <w:w w:val="98"/>
                <w:sz w:val="16"/>
              </w:rPr>
              <w:t>4</w:t>
            </w:r>
          </w:p>
          <w:p>
            <w:pPr>
              <w:pStyle w:val="TableParagraph"/>
              <w:spacing w:before="8"/>
              <w:jc w:val="left"/>
              <w:rPr>
                <w:sz w:val="15"/>
              </w:rPr>
            </w:pPr>
          </w:p>
          <w:p>
            <w:pPr>
              <w:pStyle w:val="TableParagraph"/>
              <w:ind w:left="117" w:right="115"/>
              <w:rPr>
                <w:sz w:val="16"/>
              </w:rPr>
            </w:pPr>
            <w:r>
              <w:rPr>
                <w:sz w:val="16"/>
              </w:rPr>
              <w:t>(2-6)</w:t>
            </w:r>
          </w:p>
        </w:tc>
        <w:tc>
          <w:tcPr>
            <w:tcW w:w="574" w:type="dxa"/>
            <w:tcBorders>
              <w:top w:val="nil"/>
              <w:left w:val="nil"/>
              <w:bottom w:val="nil"/>
              <w:right w:val="nil"/>
            </w:tcBorders>
          </w:tcPr>
          <w:p>
            <w:pPr>
              <w:pStyle w:val="TableParagraph"/>
              <w:spacing w:before="88"/>
              <w:ind w:left="16"/>
              <w:rPr>
                <w:sz w:val="16"/>
              </w:rPr>
            </w:pPr>
            <w:r>
              <w:rPr>
                <w:w w:val="98"/>
                <w:sz w:val="16"/>
              </w:rPr>
              <w:t>4</w:t>
            </w:r>
          </w:p>
          <w:p>
            <w:pPr>
              <w:pStyle w:val="TableParagraph"/>
              <w:spacing w:before="8"/>
              <w:jc w:val="left"/>
              <w:rPr>
                <w:sz w:val="15"/>
              </w:rPr>
            </w:pPr>
          </w:p>
          <w:p>
            <w:pPr>
              <w:pStyle w:val="TableParagraph"/>
              <w:ind w:left="114" w:right="98"/>
              <w:rPr>
                <w:sz w:val="16"/>
              </w:rPr>
            </w:pPr>
            <w:r>
              <w:rPr>
                <w:sz w:val="16"/>
              </w:rPr>
              <w:t>(2-8)</w:t>
            </w:r>
          </w:p>
        </w:tc>
        <w:tc>
          <w:tcPr>
            <w:tcW w:w="555" w:type="dxa"/>
            <w:tcBorders>
              <w:top w:val="nil"/>
              <w:left w:val="nil"/>
              <w:bottom w:val="nil"/>
              <w:right w:val="nil"/>
            </w:tcBorders>
          </w:tcPr>
          <w:p>
            <w:pPr>
              <w:pStyle w:val="TableParagraph"/>
              <w:spacing w:before="88"/>
              <w:ind w:left="2"/>
              <w:rPr>
                <w:sz w:val="16"/>
              </w:rPr>
            </w:pPr>
            <w:r>
              <w:rPr>
                <w:w w:val="98"/>
                <w:sz w:val="16"/>
              </w:rPr>
              <w:t>4</w:t>
            </w:r>
          </w:p>
          <w:p>
            <w:pPr>
              <w:pStyle w:val="TableParagraph"/>
              <w:spacing w:before="8"/>
              <w:jc w:val="left"/>
              <w:rPr>
                <w:sz w:val="15"/>
              </w:rPr>
            </w:pPr>
          </w:p>
          <w:p>
            <w:pPr>
              <w:pStyle w:val="TableParagraph"/>
              <w:ind w:left="97" w:right="95"/>
              <w:rPr>
                <w:sz w:val="16"/>
              </w:rPr>
            </w:pPr>
            <w:r>
              <w:rPr>
                <w:sz w:val="16"/>
              </w:rPr>
              <w:t>(2-5)</w:t>
            </w:r>
          </w:p>
        </w:tc>
        <w:tc>
          <w:tcPr>
            <w:tcW w:w="552" w:type="dxa"/>
            <w:tcBorders>
              <w:top w:val="nil"/>
              <w:left w:val="nil"/>
              <w:bottom w:val="nil"/>
              <w:right w:val="nil"/>
            </w:tcBorders>
          </w:tcPr>
          <w:p>
            <w:pPr>
              <w:pStyle w:val="TableParagraph"/>
              <w:spacing w:before="88"/>
              <w:rPr>
                <w:sz w:val="16"/>
              </w:rPr>
            </w:pPr>
            <w:r>
              <w:rPr>
                <w:w w:val="98"/>
                <w:sz w:val="16"/>
              </w:rPr>
              <w:t>4</w:t>
            </w:r>
          </w:p>
          <w:p>
            <w:pPr>
              <w:pStyle w:val="TableParagraph"/>
              <w:spacing w:before="8"/>
              <w:jc w:val="left"/>
              <w:rPr>
                <w:sz w:val="15"/>
              </w:rPr>
            </w:pPr>
          </w:p>
          <w:p>
            <w:pPr>
              <w:pStyle w:val="TableParagraph"/>
              <w:ind w:left="96" w:right="96"/>
              <w:rPr>
                <w:sz w:val="16"/>
              </w:rPr>
            </w:pPr>
            <w:r>
              <w:rPr>
                <w:sz w:val="16"/>
              </w:rPr>
              <w:t>(2-4)</w:t>
            </w:r>
          </w:p>
        </w:tc>
        <w:tc>
          <w:tcPr>
            <w:tcW w:w="554" w:type="dxa"/>
            <w:tcBorders>
              <w:top w:val="nil"/>
              <w:left w:val="nil"/>
              <w:bottom w:val="nil"/>
              <w:right w:val="nil"/>
            </w:tcBorders>
          </w:tcPr>
          <w:p>
            <w:pPr>
              <w:pStyle w:val="TableParagraph"/>
              <w:spacing w:before="88"/>
              <w:rPr>
                <w:sz w:val="16"/>
              </w:rPr>
            </w:pPr>
            <w:r>
              <w:rPr>
                <w:w w:val="98"/>
                <w:sz w:val="16"/>
              </w:rPr>
              <w:t>3</w:t>
            </w:r>
          </w:p>
          <w:p>
            <w:pPr>
              <w:pStyle w:val="TableParagraph"/>
              <w:spacing w:before="8"/>
              <w:jc w:val="left"/>
              <w:rPr>
                <w:sz w:val="15"/>
              </w:rPr>
            </w:pPr>
          </w:p>
          <w:p>
            <w:pPr>
              <w:pStyle w:val="TableParagraph"/>
              <w:ind w:left="96" w:right="96"/>
              <w:rPr>
                <w:sz w:val="16"/>
              </w:rPr>
            </w:pPr>
            <w:r>
              <w:rPr>
                <w:sz w:val="16"/>
              </w:rPr>
              <w:t>(2-4)</w:t>
            </w:r>
          </w:p>
        </w:tc>
        <w:tc>
          <w:tcPr>
            <w:tcW w:w="555" w:type="dxa"/>
            <w:tcBorders>
              <w:top w:val="nil"/>
              <w:left w:val="nil"/>
              <w:bottom w:val="nil"/>
              <w:right w:val="nil"/>
            </w:tcBorders>
          </w:tcPr>
          <w:p>
            <w:pPr>
              <w:pStyle w:val="TableParagraph"/>
              <w:spacing w:before="88"/>
              <w:ind w:left="2"/>
              <w:rPr>
                <w:sz w:val="16"/>
              </w:rPr>
            </w:pPr>
            <w:r>
              <w:rPr>
                <w:w w:val="98"/>
                <w:sz w:val="16"/>
              </w:rPr>
              <w:t>3</w:t>
            </w:r>
          </w:p>
          <w:p>
            <w:pPr>
              <w:pStyle w:val="TableParagraph"/>
              <w:spacing w:before="8"/>
              <w:jc w:val="left"/>
              <w:rPr>
                <w:sz w:val="15"/>
              </w:rPr>
            </w:pPr>
          </w:p>
          <w:p>
            <w:pPr>
              <w:pStyle w:val="TableParagraph"/>
              <w:ind w:left="97" w:right="95"/>
              <w:rPr>
                <w:sz w:val="16"/>
              </w:rPr>
            </w:pPr>
            <w:r>
              <w:rPr>
                <w:sz w:val="16"/>
              </w:rPr>
              <w:t>(2-5)</w:t>
            </w:r>
          </w:p>
        </w:tc>
        <w:tc>
          <w:tcPr>
            <w:tcW w:w="555" w:type="dxa"/>
            <w:tcBorders>
              <w:top w:val="nil"/>
              <w:left w:val="nil"/>
              <w:bottom w:val="nil"/>
              <w:right w:val="nil"/>
            </w:tcBorders>
          </w:tcPr>
          <w:p>
            <w:pPr>
              <w:pStyle w:val="TableParagraph"/>
              <w:spacing w:before="88"/>
              <w:rPr>
                <w:sz w:val="16"/>
              </w:rPr>
            </w:pPr>
            <w:r>
              <w:rPr>
                <w:w w:val="98"/>
                <w:sz w:val="16"/>
              </w:rPr>
              <w:t>2</w:t>
            </w:r>
          </w:p>
          <w:p>
            <w:pPr>
              <w:pStyle w:val="TableParagraph"/>
              <w:spacing w:before="8"/>
              <w:jc w:val="left"/>
              <w:rPr>
                <w:sz w:val="15"/>
              </w:rPr>
            </w:pPr>
          </w:p>
          <w:p>
            <w:pPr>
              <w:pStyle w:val="TableParagraph"/>
              <w:ind w:left="96" w:right="96"/>
              <w:rPr>
                <w:sz w:val="16"/>
              </w:rPr>
            </w:pPr>
            <w:r>
              <w:rPr>
                <w:sz w:val="16"/>
              </w:rPr>
              <w:t>(2-4)</w:t>
            </w:r>
          </w:p>
        </w:tc>
        <w:tc>
          <w:tcPr>
            <w:tcW w:w="552" w:type="dxa"/>
            <w:tcBorders>
              <w:top w:val="nil"/>
              <w:left w:val="nil"/>
              <w:bottom w:val="nil"/>
              <w:right w:val="nil"/>
            </w:tcBorders>
          </w:tcPr>
          <w:p>
            <w:pPr>
              <w:pStyle w:val="TableParagraph"/>
              <w:spacing w:before="88"/>
              <w:ind w:left="4"/>
              <w:rPr>
                <w:sz w:val="16"/>
              </w:rPr>
            </w:pPr>
            <w:r>
              <w:rPr>
                <w:w w:val="98"/>
                <w:sz w:val="16"/>
              </w:rPr>
              <w:t>3</w:t>
            </w:r>
          </w:p>
          <w:p>
            <w:pPr>
              <w:pStyle w:val="TableParagraph"/>
              <w:spacing w:before="8"/>
              <w:jc w:val="left"/>
              <w:rPr>
                <w:sz w:val="15"/>
              </w:rPr>
            </w:pPr>
          </w:p>
          <w:p>
            <w:pPr>
              <w:pStyle w:val="TableParagraph"/>
              <w:ind w:left="98" w:right="94"/>
              <w:rPr>
                <w:sz w:val="16"/>
              </w:rPr>
            </w:pPr>
            <w:r>
              <w:rPr>
                <w:sz w:val="16"/>
              </w:rPr>
              <w:t>(1-4)</w:t>
            </w:r>
          </w:p>
        </w:tc>
        <w:tc>
          <w:tcPr>
            <w:tcW w:w="547" w:type="dxa"/>
            <w:tcBorders>
              <w:top w:val="nil"/>
              <w:left w:val="nil"/>
              <w:bottom w:val="nil"/>
              <w:right w:val="nil"/>
            </w:tcBorders>
          </w:tcPr>
          <w:p>
            <w:pPr>
              <w:pStyle w:val="TableParagraph"/>
              <w:spacing w:before="88"/>
              <w:rPr>
                <w:sz w:val="16"/>
              </w:rPr>
            </w:pPr>
            <w:r>
              <w:rPr>
                <w:w w:val="98"/>
                <w:sz w:val="16"/>
              </w:rPr>
              <w:t>3</w:t>
            </w:r>
          </w:p>
          <w:p>
            <w:pPr>
              <w:pStyle w:val="TableParagraph"/>
              <w:spacing w:before="8"/>
              <w:jc w:val="left"/>
              <w:rPr>
                <w:sz w:val="15"/>
              </w:rPr>
            </w:pPr>
          </w:p>
          <w:p>
            <w:pPr>
              <w:pStyle w:val="TableParagraph"/>
              <w:ind w:left="92" w:right="92"/>
              <w:rPr>
                <w:sz w:val="16"/>
              </w:rPr>
            </w:pPr>
            <w:r>
              <w:rPr>
                <w:sz w:val="16"/>
              </w:rPr>
              <w:t>(1-5)</w:t>
            </w:r>
          </w:p>
        </w:tc>
      </w:tr>
      <w:tr>
        <w:trPr>
          <w:trHeight w:val="749" w:hRule="exact"/>
        </w:trPr>
        <w:tc>
          <w:tcPr>
            <w:tcW w:w="2345" w:type="dxa"/>
            <w:tcBorders>
              <w:top w:val="nil"/>
              <w:left w:val="nil"/>
              <w:bottom w:val="nil"/>
              <w:right w:val="nil"/>
            </w:tcBorders>
          </w:tcPr>
          <w:p>
            <w:pPr>
              <w:pStyle w:val="TableParagraph"/>
              <w:jc w:val="left"/>
              <w:rPr>
                <w:sz w:val="16"/>
              </w:rPr>
            </w:pPr>
          </w:p>
          <w:p>
            <w:pPr>
              <w:pStyle w:val="TableParagraph"/>
              <w:spacing w:before="105"/>
              <w:ind w:left="1445"/>
              <w:jc w:val="left"/>
              <w:rPr>
                <w:sz w:val="16"/>
              </w:rPr>
            </w:pPr>
            <w:r>
              <w:rPr>
                <w:sz w:val="16"/>
              </w:rPr>
              <w:t>LKD</w:t>
            </w:r>
          </w:p>
        </w:tc>
        <w:tc>
          <w:tcPr>
            <w:tcW w:w="685" w:type="dxa"/>
            <w:tcBorders>
              <w:top w:val="nil"/>
              <w:left w:val="nil"/>
              <w:bottom w:val="nil"/>
              <w:right w:val="nil"/>
            </w:tcBorders>
          </w:tcPr>
          <w:p>
            <w:pPr>
              <w:pStyle w:val="TableParagraph"/>
              <w:spacing w:before="102"/>
              <w:ind w:left="164" w:right="156"/>
              <w:rPr>
                <w:sz w:val="16"/>
              </w:rPr>
            </w:pPr>
            <w:r>
              <w:rPr>
                <w:sz w:val="16"/>
              </w:rPr>
              <w:t>2.5</w:t>
            </w:r>
          </w:p>
          <w:p>
            <w:pPr>
              <w:pStyle w:val="TableParagraph"/>
              <w:spacing w:before="1"/>
              <w:jc w:val="left"/>
              <w:rPr>
                <w:sz w:val="16"/>
              </w:rPr>
            </w:pPr>
          </w:p>
          <w:p>
            <w:pPr>
              <w:pStyle w:val="TableParagraph"/>
              <w:ind w:left="164" w:right="161"/>
              <w:rPr>
                <w:sz w:val="16"/>
              </w:rPr>
            </w:pPr>
            <w:r>
              <w:rPr>
                <w:sz w:val="16"/>
              </w:rPr>
              <w:t>(1-3)</w:t>
            </w:r>
          </w:p>
        </w:tc>
        <w:tc>
          <w:tcPr>
            <w:tcW w:w="696" w:type="dxa"/>
            <w:tcBorders>
              <w:top w:val="nil"/>
              <w:left w:val="nil"/>
              <w:bottom w:val="nil"/>
              <w:right w:val="nil"/>
            </w:tcBorders>
          </w:tcPr>
          <w:p>
            <w:pPr>
              <w:pStyle w:val="TableParagraph"/>
              <w:spacing w:before="85"/>
              <w:ind w:left="320"/>
              <w:jc w:val="left"/>
              <w:rPr>
                <w:sz w:val="10"/>
              </w:rPr>
            </w:pPr>
            <w:r>
              <w:rPr>
                <w:position w:val="-6"/>
                <w:sz w:val="16"/>
              </w:rPr>
              <w:t>2</w:t>
            </w:r>
            <w:r>
              <w:rPr>
                <w:sz w:val="10"/>
              </w:rPr>
              <w:t>a</w:t>
            </w:r>
          </w:p>
          <w:p>
            <w:pPr>
              <w:pStyle w:val="TableParagraph"/>
              <w:spacing w:before="4"/>
              <w:jc w:val="left"/>
              <w:rPr>
                <w:sz w:val="16"/>
              </w:rPr>
            </w:pPr>
          </w:p>
          <w:p>
            <w:pPr>
              <w:pStyle w:val="TableParagraph"/>
              <w:ind w:left="219"/>
              <w:jc w:val="left"/>
              <w:rPr>
                <w:sz w:val="16"/>
              </w:rPr>
            </w:pPr>
            <w:r>
              <w:rPr>
                <w:sz w:val="16"/>
              </w:rPr>
              <w:t>(1-4)</w:t>
            </w:r>
          </w:p>
        </w:tc>
        <w:tc>
          <w:tcPr>
            <w:tcW w:w="550" w:type="dxa"/>
            <w:tcBorders>
              <w:top w:val="nil"/>
              <w:left w:val="nil"/>
              <w:bottom w:val="nil"/>
              <w:right w:val="nil"/>
            </w:tcBorders>
          </w:tcPr>
          <w:p>
            <w:pPr>
              <w:pStyle w:val="TableParagraph"/>
              <w:spacing w:before="85"/>
              <w:ind w:left="214"/>
              <w:jc w:val="left"/>
              <w:rPr>
                <w:sz w:val="10"/>
              </w:rPr>
            </w:pPr>
            <w:r>
              <w:rPr>
                <w:position w:val="-6"/>
                <w:sz w:val="16"/>
              </w:rPr>
              <w:t>2</w:t>
            </w:r>
            <w:r>
              <w:rPr>
                <w:sz w:val="10"/>
              </w:rPr>
              <w:t>a</w:t>
            </w:r>
          </w:p>
          <w:p>
            <w:pPr>
              <w:pStyle w:val="TableParagraph"/>
              <w:spacing w:before="4"/>
              <w:jc w:val="left"/>
              <w:rPr>
                <w:sz w:val="16"/>
              </w:rPr>
            </w:pPr>
          </w:p>
          <w:p>
            <w:pPr>
              <w:pStyle w:val="TableParagraph"/>
              <w:ind w:left="114"/>
              <w:jc w:val="left"/>
              <w:rPr>
                <w:sz w:val="16"/>
              </w:rPr>
            </w:pPr>
            <w:r>
              <w:rPr>
                <w:sz w:val="16"/>
              </w:rPr>
              <w:t>(1-3)</w:t>
            </w:r>
          </w:p>
        </w:tc>
        <w:tc>
          <w:tcPr>
            <w:tcW w:w="555" w:type="dxa"/>
            <w:tcBorders>
              <w:top w:val="nil"/>
              <w:left w:val="nil"/>
              <w:bottom w:val="nil"/>
              <w:right w:val="nil"/>
            </w:tcBorders>
          </w:tcPr>
          <w:p>
            <w:pPr>
              <w:pStyle w:val="TableParagraph"/>
              <w:spacing w:before="85"/>
              <w:ind w:left="217"/>
              <w:jc w:val="left"/>
              <w:rPr>
                <w:sz w:val="10"/>
              </w:rPr>
            </w:pPr>
            <w:r>
              <w:rPr>
                <w:position w:val="-6"/>
                <w:sz w:val="16"/>
              </w:rPr>
              <w:t>2</w:t>
            </w:r>
            <w:r>
              <w:rPr>
                <w:sz w:val="10"/>
              </w:rPr>
              <w:t>a</w:t>
            </w:r>
          </w:p>
          <w:p>
            <w:pPr>
              <w:pStyle w:val="TableParagraph"/>
              <w:spacing w:before="4"/>
              <w:jc w:val="left"/>
              <w:rPr>
                <w:sz w:val="16"/>
              </w:rPr>
            </w:pPr>
          </w:p>
          <w:p>
            <w:pPr>
              <w:pStyle w:val="TableParagraph"/>
              <w:ind w:left="116"/>
              <w:jc w:val="left"/>
              <w:rPr>
                <w:sz w:val="16"/>
              </w:rPr>
            </w:pPr>
            <w:r>
              <w:rPr>
                <w:sz w:val="16"/>
              </w:rPr>
              <w:t>(1-2)</w:t>
            </w:r>
          </w:p>
        </w:tc>
        <w:tc>
          <w:tcPr>
            <w:tcW w:w="554" w:type="dxa"/>
            <w:tcBorders>
              <w:top w:val="nil"/>
              <w:left w:val="nil"/>
              <w:bottom w:val="nil"/>
              <w:right w:val="nil"/>
            </w:tcBorders>
          </w:tcPr>
          <w:p>
            <w:pPr>
              <w:pStyle w:val="TableParagraph"/>
              <w:spacing w:before="102"/>
              <w:ind w:left="2"/>
              <w:rPr>
                <w:sz w:val="16"/>
              </w:rPr>
            </w:pPr>
            <w:r>
              <w:rPr>
                <w:w w:val="98"/>
                <w:sz w:val="16"/>
              </w:rPr>
              <w:t>2</w:t>
            </w:r>
          </w:p>
          <w:p>
            <w:pPr>
              <w:pStyle w:val="TableParagraph"/>
              <w:spacing w:before="1"/>
              <w:jc w:val="left"/>
              <w:rPr>
                <w:sz w:val="16"/>
              </w:rPr>
            </w:pPr>
          </w:p>
          <w:p>
            <w:pPr>
              <w:pStyle w:val="TableParagraph"/>
              <w:ind w:left="97" w:right="95"/>
              <w:rPr>
                <w:sz w:val="16"/>
              </w:rPr>
            </w:pPr>
            <w:r>
              <w:rPr>
                <w:sz w:val="16"/>
              </w:rPr>
              <w:t>(0-3)</w:t>
            </w:r>
          </w:p>
        </w:tc>
        <w:tc>
          <w:tcPr>
            <w:tcW w:w="555" w:type="dxa"/>
            <w:tcBorders>
              <w:top w:val="nil"/>
              <w:left w:val="nil"/>
              <w:bottom w:val="nil"/>
              <w:right w:val="nil"/>
            </w:tcBorders>
          </w:tcPr>
          <w:p>
            <w:pPr>
              <w:pStyle w:val="TableParagraph"/>
              <w:spacing w:before="102"/>
              <w:ind w:left="178"/>
              <w:jc w:val="left"/>
              <w:rPr>
                <w:sz w:val="16"/>
              </w:rPr>
            </w:pPr>
            <w:r>
              <w:rPr>
                <w:sz w:val="16"/>
              </w:rPr>
              <w:t>2.5</w:t>
            </w:r>
          </w:p>
          <w:p>
            <w:pPr>
              <w:pStyle w:val="TableParagraph"/>
              <w:spacing w:before="1"/>
              <w:jc w:val="left"/>
              <w:rPr>
                <w:sz w:val="16"/>
              </w:rPr>
            </w:pPr>
          </w:p>
          <w:p>
            <w:pPr>
              <w:pStyle w:val="TableParagraph"/>
              <w:ind w:left="116"/>
              <w:jc w:val="left"/>
              <w:rPr>
                <w:sz w:val="16"/>
              </w:rPr>
            </w:pPr>
            <w:r>
              <w:rPr>
                <w:sz w:val="16"/>
              </w:rPr>
              <w:t>(0-4)</w:t>
            </w:r>
          </w:p>
        </w:tc>
        <w:tc>
          <w:tcPr>
            <w:tcW w:w="555" w:type="dxa"/>
            <w:tcBorders>
              <w:top w:val="nil"/>
              <w:left w:val="nil"/>
              <w:bottom w:val="nil"/>
              <w:right w:val="nil"/>
            </w:tcBorders>
          </w:tcPr>
          <w:p>
            <w:pPr>
              <w:pStyle w:val="TableParagraph"/>
              <w:spacing w:before="85"/>
              <w:ind w:left="219"/>
              <w:jc w:val="left"/>
              <w:rPr>
                <w:sz w:val="10"/>
              </w:rPr>
            </w:pPr>
            <w:r>
              <w:rPr>
                <w:position w:val="-6"/>
                <w:sz w:val="16"/>
              </w:rPr>
              <w:t>2</w:t>
            </w:r>
            <w:r>
              <w:rPr>
                <w:sz w:val="10"/>
              </w:rPr>
              <w:t>a</w:t>
            </w:r>
          </w:p>
          <w:p>
            <w:pPr>
              <w:pStyle w:val="TableParagraph"/>
              <w:spacing w:before="4"/>
              <w:jc w:val="left"/>
              <w:rPr>
                <w:sz w:val="16"/>
              </w:rPr>
            </w:pPr>
          </w:p>
          <w:p>
            <w:pPr>
              <w:pStyle w:val="TableParagraph"/>
              <w:ind w:left="119"/>
              <w:jc w:val="left"/>
              <w:rPr>
                <w:sz w:val="16"/>
              </w:rPr>
            </w:pPr>
            <w:r>
              <w:rPr>
                <w:sz w:val="16"/>
              </w:rPr>
              <w:t>(0-4)</w:t>
            </w:r>
          </w:p>
        </w:tc>
        <w:tc>
          <w:tcPr>
            <w:tcW w:w="554" w:type="dxa"/>
            <w:tcBorders>
              <w:top w:val="nil"/>
              <w:left w:val="nil"/>
              <w:bottom w:val="nil"/>
              <w:right w:val="nil"/>
            </w:tcBorders>
          </w:tcPr>
          <w:p>
            <w:pPr>
              <w:pStyle w:val="TableParagraph"/>
              <w:spacing w:before="85"/>
              <w:ind w:left="217"/>
              <w:jc w:val="left"/>
              <w:rPr>
                <w:sz w:val="10"/>
              </w:rPr>
            </w:pPr>
            <w:r>
              <w:rPr>
                <w:position w:val="-6"/>
                <w:sz w:val="16"/>
              </w:rPr>
              <w:t>2</w:t>
            </w:r>
            <w:r>
              <w:rPr>
                <w:sz w:val="10"/>
              </w:rPr>
              <w:t>a</w:t>
            </w:r>
          </w:p>
          <w:p>
            <w:pPr>
              <w:pStyle w:val="TableParagraph"/>
              <w:spacing w:before="4"/>
              <w:jc w:val="left"/>
              <w:rPr>
                <w:sz w:val="16"/>
              </w:rPr>
            </w:pPr>
          </w:p>
          <w:p>
            <w:pPr>
              <w:pStyle w:val="TableParagraph"/>
              <w:ind w:left="116"/>
              <w:jc w:val="left"/>
              <w:rPr>
                <w:sz w:val="16"/>
              </w:rPr>
            </w:pPr>
            <w:r>
              <w:rPr>
                <w:sz w:val="16"/>
              </w:rPr>
              <w:t>(0-4)</w:t>
            </w:r>
          </w:p>
        </w:tc>
        <w:tc>
          <w:tcPr>
            <w:tcW w:w="576" w:type="dxa"/>
            <w:tcBorders>
              <w:top w:val="nil"/>
              <w:left w:val="nil"/>
              <w:bottom w:val="nil"/>
              <w:right w:val="nil"/>
            </w:tcBorders>
          </w:tcPr>
          <w:p>
            <w:pPr>
              <w:pStyle w:val="TableParagraph"/>
              <w:spacing w:before="102"/>
              <w:ind w:right="17"/>
              <w:rPr>
                <w:sz w:val="16"/>
              </w:rPr>
            </w:pPr>
            <w:r>
              <w:rPr>
                <w:w w:val="98"/>
                <w:sz w:val="16"/>
              </w:rPr>
              <w:t>3</w:t>
            </w:r>
          </w:p>
          <w:p>
            <w:pPr>
              <w:pStyle w:val="TableParagraph"/>
              <w:spacing w:before="1"/>
              <w:jc w:val="left"/>
              <w:rPr>
                <w:sz w:val="16"/>
              </w:rPr>
            </w:pPr>
          </w:p>
          <w:p>
            <w:pPr>
              <w:pStyle w:val="TableParagraph"/>
              <w:ind w:left="99" w:right="116"/>
              <w:rPr>
                <w:sz w:val="16"/>
              </w:rPr>
            </w:pPr>
            <w:r>
              <w:rPr>
                <w:sz w:val="16"/>
              </w:rPr>
              <w:t>(0-4)</w:t>
            </w:r>
          </w:p>
        </w:tc>
        <w:tc>
          <w:tcPr>
            <w:tcW w:w="593" w:type="dxa"/>
            <w:tcBorders>
              <w:top w:val="nil"/>
              <w:left w:val="nil"/>
              <w:bottom w:val="nil"/>
              <w:right w:val="nil"/>
            </w:tcBorders>
          </w:tcPr>
          <w:p>
            <w:pPr>
              <w:pStyle w:val="TableParagraph"/>
              <w:spacing w:before="102"/>
              <w:ind w:left="2"/>
              <w:rPr>
                <w:sz w:val="16"/>
              </w:rPr>
            </w:pPr>
            <w:r>
              <w:rPr>
                <w:w w:val="98"/>
                <w:sz w:val="16"/>
              </w:rPr>
              <w:t>2</w:t>
            </w:r>
          </w:p>
          <w:p>
            <w:pPr>
              <w:pStyle w:val="TableParagraph"/>
              <w:spacing w:before="1"/>
              <w:jc w:val="left"/>
              <w:rPr>
                <w:sz w:val="16"/>
              </w:rPr>
            </w:pPr>
          </w:p>
          <w:p>
            <w:pPr>
              <w:pStyle w:val="TableParagraph"/>
              <w:ind w:left="117" w:right="115"/>
              <w:rPr>
                <w:sz w:val="16"/>
              </w:rPr>
            </w:pPr>
            <w:r>
              <w:rPr>
                <w:sz w:val="16"/>
              </w:rPr>
              <w:t>(0-4)</w:t>
            </w:r>
          </w:p>
        </w:tc>
        <w:tc>
          <w:tcPr>
            <w:tcW w:w="574" w:type="dxa"/>
            <w:tcBorders>
              <w:top w:val="nil"/>
              <w:left w:val="nil"/>
              <w:bottom w:val="nil"/>
              <w:right w:val="nil"/>
            </w:tcBorders>
          </w:tcPr>
          <w:p>
            <w:pPr>
              <w:pStyle w:val="TableParagraph"/>
              <w:spacing w:before="85"/>
              <w:ind w:left="114" w:right="94"/>
              <w:rPr>
                <w:sz w:val="10"/>
              </w:rPr>
            </w:pPr>
            <w:r>
              <w:rPr>
                <w:position w:val="-6"/>
                <w:sz w:val="16"/>
              </w:rPr>
              <w:t>2 </w:t>
            </w:r>
            <w:r>
              <w:rPr>
                <w:sz w:val="10"/>
              </w:rPr>
              <w:t>a</w:t>
            </w:r>
          </w:p>
          <w:p>
            <w:pPr>
              <w:pStyle w:val="TableParagraph"/>
              <w:spacing w:before="4"/>
              <w:jc w:val="left"/>
              <w:rPr>
                <w:sz w:val="16"/>
              </w:rPr>
            </w:pPr>
          </w:p>
          <w:p>
            <w:pPr>
              <w:pStyle w:val="TableParagraph"/>
              <w:ind w:left="114" w:right="98"/>
              <w:rPr>
                <w:sz w:val="16"/>
              </w:rPr>
            </w:pPr>
            <w:r>
              <w:rPr>
                <w:sz w:val="16"/>
              </w:rPr>
              <w:t>(0-4)</w:t>
            </w:r>
          </w:p>
        </w:tc>
        <w:tc>
          <w:tcPr>
            <w:tcW w:w="555" w:type="dxa"/>
            <w:tcBorders>
              <w:top w:val="nil"/>
              <w:left w:val="nil"/>
              <w:bottom w:val="nil"/>
              <w:right w:val="nil"/>
            </w:tcBorders>
          </w:tcPr>
          <w:p>
            <w:pPr>
              <w:pStyle w:val="TableParagraph"/>
              <w:spacing w:before="88"/>
              <w:ind w:left="118" w:firstLine="28"/>
              <w:jc w:val="left"/>
              <w:rPr>
                <w:sz w:val="10"/>
              </w:rPr>
            </w:pPr>
            <w:r>
              <w:rPr>
                <w:sz w:val="16"/>
              </w:rPr>
              <w:t>1.5 </w:t>
            </w:r>
            <w:r>
              <w:rPr>
                <w:position w:val="7"/>
                <w:sz w:val="10"/>
              </w:rPr>
              <w:t>a</w:t>
            </w:r>
          </w:p>
          <w:p>
            <w:pPr>
              <w:pStyle w:val="TableParagraph"/>
              <w:spacing w:before="1"/>
              <w:jc w:val="left"/>
              <w:rPr>
                <w:sz w:val="16"/>
              </w:rPr>
            </w:pPr>
          </w:p>
          <w:p>
            <w:pPr>
              <w:pStyle w:val="TableParagraph"/>
              <w:ind w:left="118"/>
              <w:jc w:val="left"/>
              <w:rPr>
                <w:sz w:val="16"/>
              </w:rPr>
            </w:pPr>
            <w:r>
              <w:rPr>
                <w:sz w:val="16"/>
              </w:rPr>
              <w:t>(0-3)</w:t>
            </w:r>
          </w:p>
        </w:tc>
        <w:tc>
          <w:tcPr>
            <w:tcW w:w="552" w:type="dxa"/>
            <w:tcBorders>
              <w:top w:val="nil"/>
              <w:left w:val="nil"/>
              <w:bottom w:val="nil"/>
              <w:right w:val="nil"/>
            </w:tcBorders>
          </w:tcPr>
          <w:p>
            <w:pPr>
              <w:pStyle w:val="TableParagraph"/>
              <w:spacing w:before="102"/>
              <w:rPr>
                <w:sz w:val="16"/>
              </w:rPr>
            </w:pPr>
            <w:r>
              <w:rPr>
                <w:w w:val="98"/>
                <w:sz w:val="16"/>
              </w:rPr>
              <w:t>2</w:t>
            </w:r>
          </w:p>
          <w:p>
            <w:pPr>
              <w:pStyle w:val="TableParagraph"/>
              <w:spacing w:before="1"/>
              <w:jc w:val="left"/>
              <w:rPr>
                <w:sz w:val="16"/>
              </w:rPr>
            </w:pPr>
          </w:p>
          <w:p>
            <w:pPr>
              <w:pStyle w:val="TableParagraph"/>
              <w:ind w:left="96" w:right="96"/>
              <w:rPr>
                <w:sz w:val="16"/>
              </w:rPr>
            </w:pPr>
            <w:r>
              <w:rPr>
                <w:sz w:val="16"/>
              </w:rPr>
              <w:t>(0-4)</w:t>
            </w:r>
          </w:p>
        </w:tc>
        <w:tc>
          <w:tcPr>
            <w:tcW w:w="554" w:type="dxa"/>
            <w:tcBorders>
              <w:top w:val="nil"/>
              <w:left w:val="nil"/>
              <w:bottom w:val="nil"/>
              <w:right w:val="nil"/>
            </w:tcBorders>
          </w:tcPr>
          <w:p>
            <w:pPr>
              <w:pStyle w:val="TableParagraph"/>
              <w:spacing w:before="88"/>
              <w:ind w:left="116" w:firstLine="38"/>
              <w:jc w:val="left"/>
              <w:rPr>
                <w:sz w:val="10"/>
              </w:rPr>
            </w:pPr>
            <w:r>
              <w:rPr>
                <w:sz w:val="16"/>
              </w:rPr>
              <w:t>1.5</w:t>
            </w:r>
            <w:r>
              <w:rPr>
                <w:position w:val="7"/>
                <w:sz w:val="10"/>
              </w:rPr>
              <w:t>a</w:t>
            </w:r>
          </w:p>
          <w:p>
            <w:pPr>
              <w:pStyle w:val="TableParagraph"/>
              <w:spacing w:before="1"/>
              <w:jc w:val="left"/>
              <w:rPr>
                <w:sz w:val="16"/>
              </w:rPr>
            </w:pPr>
          </w:p>
          <w:p>
            <w:pPr>
              <w:pStyle w:val="TableParagraph"/>
              <w:ind w:left="116"/>
              <w:jc w:val="left"/>
              <w:rPr>
                <w:sz w:val="16"/>
              </w:rPr>
            </w:pPr>
            <w:r>
              <w:rPr>
                <w:sz w:val="16"/>
              </w:rPr>
              <w:t>(0-4)</w:t>
            </w:r>
          </w:p>
        </w:tc>
        <w:tc>
          <w:tcPr>
            <w:tcW w:w="555" w:type="dxa"/>
            <w:tcBorders>
              <w:top w:val="nil"/>
              <w:left w:val="nil"/>
              <w:bottom w:val="nil"/>
              <w:right w:val="nil"/>
            </w:tcBorders>
          </w:tcPr>
          <w:p>
            <w:pPr>
              <w:pStyle w:val="TableParagraph"/>
              <w:spacing w:before="85"/>
              <w:ind w:left="219"/>
              <w:jc w:val="left"/>
              <w:rPr>
                <w:sz w:val="10"/>
              </w:rPr>
            </w:pPr>
            <w:r>
              <w:rPr>
                <w:position w:val="-6"/>
                <w:sz w:val="16"/>
              </w:rPr>
              <w:t>1</w:t>
            </w:r>
            <w:r>
              <w:rPr>
                <w:sz w:val="10"/>
              </w:rPr>
              <w:t>a</w:t>
            </w:r>
          </w:p>
          <w:p>
            <w:pPr>
              <w:pStyle w:val="TableParagraph"/>
              <w:spacing w:before="4"/>
              <w:jc w:val="left"/>
              <w:rPr>
                <w:sz w:val="16"/>
              </w:rPr>
            </w:pPr>
          </w:p>
          <w:p>
            <w:pPr>
              <w:pStyle w:val="TableParagraph"/>
              <w:ind w:left="118"/>
              <w:jc w:val="left"/>
              <w:rPr>
                <w:sz w:val="16"/>
              </w:rPr>
            </w:pPr>
            <w:r>
              <w:rPr>
                <w:sz w:val="16"/>
              </w:rPr>
              <w:t>(0-4)</w:t>
            </w:r>
          </w:p>
        </w:tc>
        <w:tc>
          <w:tcPr>
            <w:tcW w:w="555" w:type="dxa"/>
            <w:tcBorders>
              <w:top w:val="nil"/>
              <w:left w:val="nil"/>
              <w:bottom w:val="nil"/>
              <w:right w:val="nil"/>
            </w:tcBorders>
          </w:tcPr>
          <w:p>
            <w:pPr>
              <w:pStyle w:val="TableParagraph"/>
              <w:spacing w:before="102"/>
              <w:ind w:left="179"/>
              <w:jc w:val="left"/>
              <w:rPr>
                <w:sz w:val="16"/>
              </w:rPr>
            </w:pPr>
            <w:r>
              <w:rPr>
                <w:sz w:val="16"/>
              </w:rPr>
              <w:t>1.5</w:t>
            </w:r>
          </w:p>
          <w:p>
            <w:pPr>
              <w:pStyle w:val="TableParagraph"/>
              <w:spacing w:before="1"/>
              <w:jc w:val="left"/>
              <w:rPr>
                <w:sz w:val="16"/>
              </w:rPr>
            </w:pPr>
          </w:p>
          <w:p>
            <w:pPr>
              <w:pStyle w:val="TableParagraph"/>
              <w:ind w:left="116"/>
              <w:jc w:val="left"/>
              <w:rPr>
                <w:sz w:val="16"/>
              </w:rPr>
            </w:pPr>
            <w:r>
              <w:rPr>
                <w:sz w:val="16"/>
              </w:rPr>
              <w:t>(1-4)</w:t>
            </w:r>
          </w:p>
        </w:tc>
        <w:tc>
          <w:tcPr>
            <w:tcW w:w="552" w:type="dxa"/>
            <w:tcBorders>
              <w:top w:val="nil"/>
              <w:left w:val="nil"/>
              <w:bottom w:val="nil"/>
              <w:right w:val="nil"/>
            </w:tcBorders>
          </w:tcPr>
          <w:p>
            <w:pPr>
              <w:pStyle w:val="TableParagraph"/>
              <w:spacing w:before="102"/>
              <w:ind w:left="4"/>
              <w:rPr>
                <w:sz w:val="16"/>
              </w:rPr>
            </w:pPr>
            <w:r>
              <w:rPr>
                <w:w w:val="98"/>
                <w:sz w:val="16"/>
              </w:rPr>
              <w:t>2</w:t>
            </w:r>
          </w:p>
          <w:p>
            <w:pPr>
              <w:pStyle w:val="TableParagraph"/>
              <w:spacing w:before="1"/>
              <w:jc w:val="left"/>
              <w:rPr>
                <w:sz w:val="16"/>
              </w:rPr>
            </w:pPr>
          </w:p>
          <w:p>
            <w:pPr>
              <w:pStyle w:val="TableParagraph"/>
              <w:ind w:left="98" w:right="94"/>
              <w:rPr>
                <w:sz w:val="16"/>
              </w:rPr>
            </w:pPr>
            <w:r>
              <w:rPr>
                <w:sz w:val="16"/>
              </w:rPr>
              <w:t>(1-4)</w:t>
            </w:r>
          </w:p>
        </w:tc>
        <w:tc>
          <w:tcPr>
            <w:tcW w:w="547" w:type="dxa"/>
            <w:tcBorders>
              <w:top w:val="nil"/>
              <w:left w:val="nil"/>
              <w:bottom w:val="nil"/>
              <w:right w:val="nil"/>
            </w:tcBorders>
          </w:tcPr>
          <w:p>
            <w:pPr>
              <w:pStyle w:val="TableParagraph"/>
              <w:spacing w:before="102"/>
              <w:rPr>
                <w:sz w:val="16"/>
              </w:rPr>
            </w:pPr>
            <w:r>
              <w:rPr>
                <w:w w:val="98"/>
                <w:sz w:val="16"/>
              </w:rPr>
              <w:t>2</w:t>
            </w:r>
          </w:p>
          <w:p>
            <w:pPr>
              <w:pStyle w:val="TableParagraph"/>
              <w:spacing w:before="1"/>
              <w:jc w:val="left"/>
              <w:rPr>
                <w:sz w:val="16"/>
              </w:rPr>
            </w:pPr>
          </w:p>
          <w:p>
            <w:pPr>
              <w:pStyle w:val="TableParagraph"/>
              <w:ind w:left="92" w:right="92"/>
              <w:rPr>
                <w:sz w:val="16"/>
              </w:rPr>
            </w:pPr>
            <w:r>
              <w:rPr>
                <w:sz w:val="16"/>
              </w:rPr>
              <w:t>(1-5)</w:t>
            </w:r>
          </w:p>
        </w:tc>
      </w:tr>
      <w:tr>
        <w:trPr>
          <w:trHeight w:val="842" w:hRule="exact"/>
        </w:trPr>
        <w:tc>
          <w:tcPr>
            <w:tcW w:w="2345" w:type="dxa"/>
            <w:tcBorders>
              <w:top w:val="nil"/>
              <w:left w:val="nil"/>
              <w:right w:val="nil"/>
            </w:tcBorders>
          </w:tcPr>
          <w:p>
            <w:pPr>
              <w:pStyle w:val="TableParagraph"/>
              <w:jc w:val="left"/>
              <w:rPr>
                <w:sz w:val="16"/>
              </w:rPr>
            </w:pPr>
          </w:p>
          <w:p>
            <w:pPr>
              <w:pStyle w:val="TableParagraph"/>
              <w:spacing w:before="99"/>
              <w:ind w:right="183"/>
              <w:jc w:val="right"/>
              <w:rPr>
                <w:sz w:val="16"/>
              </w:rPr>
            </w:pPr>
            <w:r>
              <w:rPr>
                <w:w w:val="95"/>
                <w:sz w:val="16"/>
              </w:rPr>
              <w:t>CONTROL/BUT</w:t>
            </w:r>
          </w:p>
        </w:tc>
        <w:tc>
          <w:tcPr>
            <w:tcW w:w="685" w:type="dxa"/>
            <w:tcBorders>
              <w:top w:val="nil"/>
              <w:left w:val="nil"/>
              <w:right w:val="nil"/>
            </w:tcBorders>
          </w:tcPr>
          <w:p>
            <w:pPr>
              <w:pStyle w:val="TableParagraph"/>
              <w:spacing w:before="101"/>
              <w:ind w:left="3"/>
              <w:rPr>
                <w:sz w:val="16"/>
              </w:rPr>
            </w:pPr>
            <w:r>
              <w:rPr>
                <w:w w:val="98"/>
                <w:sz w:val="16"/>
              </w:rPr>
              <w:t>2</w:t>
            </w:r>
          </w:p>
          <w:p>
            <w:pPr>
              <w:pStyle w:val="TableParagraph"/>
              <w:spacing w:before="8"/>
              <w:jc w:val="left"/>
              <w:rPr>
                <w:sz w:val="15"/>
              </w:rPr>
            </w:pPr>
          </w:p>
          <w:p>
            <w:pPr>
              <w:pStyle w:val="TableParagraph"/>
              <w:ind w:left="164" w:right="161"/>
              <w:rPr>
                <w:sz w:val="16"/>
              </w:rPr>
            </w:pPr>
            <w:r>
              <w:rPr>
                <w:sz w:val="16"/>
              </w:rPr>
              <w:t>(1-2)</w:t>
            </w:r>
          </w:p>
        </w:tc>
        <w:tc>
          <w:tcPr>
            <w:tcW w:w="696" w:type="dxa"/>
            <w:tcBorders>
              <w:top w:val="nil"/>
              <w:left w:val="nil"/>
              <w:right w:val="nil"/>
            </w:tcBorders>
          </w:tcPr>
          <w:p>
            <w:pPr>
              <w:pStyle w:val="TableParagraph"/>
              <w:spacing w:line="477" w:lineRule="auto" w:before="85"/>
              <w:ind w:left="219" w:right="155" w:firstLine="72"/>
              <w:jc w:val="left"/>
              <w:rPr>
                <w:sz w:val="16"/>
              </w:rPr>
            </w:pPr>
            <w:r>
              <w:rPr>
                <w:position w:val="-6"/>
                <w:sz w:val="16"/>
              </w:rPr>
              <w:t>8</w:t>
            </w:r>
            <w:r>
              <w:rPr>
                <w:sz w:val="10"/>
              </w:rPr>
              <w:t>b* </w:t>
            </w:r>
            <w:r>
              <w:rPr>
                <w:sz w:val="16"/>
              </w:rPr>
              <w:t>(3-9)</w:t>
            </w:r>
          </w:p>
        </w:tc>
        <w:tc>
          <w:tcPr>
            <w:tcW w:w="550" w:type="dxa"/>
            <w:tcBorders>
              <w:top w:val="nil"/>
              <w:left w:val="nil"/>
              <w:right w:val="nil"/>
            </w:tcBorders>
          </w:tcPr>
          <w:p>
            <w:pPr>
              <w:pStyle w:val="TableParagraph"/>
              <w:spacing w:before="101"/>
              <w:rPr>
                <w:sz w:val="16"/>
              </w:rPr>
            </w:pPr>
            <w:r>
              <w:rPr>
                <w:w w:val="98"/>
                <w:sz w:val="16"/>
              </w:rPr>
              <w:t>6</w:t>
            </w:r>
          </w:p>
          <w:p>
            <w:pPr>
              <w:pStyle w:val="TableParagraph"/>
              <w:spacing w:before="8"/>
              <w:jc w:val="left"/>
              <w:rPr>
                <w:sz w:val="15"/>
              </w:rPr>
            </w:pPr>
          </w:p>
          <w:p>
            <w:pPr>
              <w:pStyle w:val="TableParagraph"/>
              <w:ind w:left="95" w:right="95"/>
              <w:rPr>
                <w:sz w:val="16"/>
              </w:rPr>
            </w:pPr>
            <w:r>
              <w:rPr>
                <w:sz w:val="16"/>
              </w:rPr>
              <w:t>(6-6)</w:t>
            </w:r>
          </w:p>
        </w:tc>
        <w:tc>
          <w:tcPr>
            <w:tcW w:w="555" w:type="dxa"/>
            <w:tcBorders>
              <w:top w:val="nil"/>
              <w:left w:val="nil"/>
              <w:right w:val="nil"/>
            </w:tcBorders>
          </w:tcPr>
          <w:p>
            <w:pPr>
              <w:pStyle w:val="TableParagraph"/>
              <w:spacing w:before="101"/>
              <w:rPr>
                <w:sz w:val="16"/>
              </w:rPr>
            </w:pPr>
            <w:r>
              <w:rPr>
                <w:w w:val="98"/>
                <w:sz w:val="16"/>
              </w:rPr>
              <w:t>4</w:t>
            </w:r>
          </w:p>
          <w:p>
            <w:pPr>
              <w:pStyle w:val="TableParagraph"/>
              <w:spacing w:before="8"/>
              <w:jc w:val="left"/>
              <w:rPr>
                <w:sz w:val="15"/>
              </w:rPr>
            </w:pPr>
          </w:p>
          <w:p>
            <w:pPr>
              <w:pStyle w:val="TableParagraph"/>
              <w:ind w:left="96" w:right="96"/>
              <w:rPr>
                <w:sz w:val="16"/>
              </w:rPr>
            </w:pPr>
            <w:r>
              <w:rPr>
                <w:sz w:val="16"/>
              </w:rPr>
              <w:t>(4-4)</w:t>
            </w:r>
          </w:p>
        </w:tc>
        <w:tc>
          <w:tcPr>
            <w:tcW w:w="554" w:type="dxa"/>
            <w:tcBorders>
              <w:top w:val="nil"/>
              <w:left w:val="nil"/>
              <w:right w:val="nil"/>
            </w:tcBorders>
          </w:tcPr>
          <w:p>
            <w:pPr>
              <w:pStyle w:val="TableParagraph"/>
              <w:spacing w:before="101"/>
              <w:ind w:left="2"/>
              <w:rPr>
                <w:sz w:val="16"/>
              </w:rPr>
            </w:pPr>
            <w:r>
              <w:rPr>
                <w:w w:val="98"/>
                <w:sz w:val="16"/>
              </w:rPr>
              <w:t>4</w:t>
            </w:r>
          </w:p>
          <w:p>
            <w:pPr>
              <w:pStyle w:val="TableParagraph"/>
              <w:spacing w:before="8"/>
              <w:jc w:val="left"/>
              <w:rPr>
                <w:sz w:val="15"/>
              </w:rPr>
            </w:pPr>
          </w:p>
          <w:p>
            <w:pPr>
              <w:pStyle w:val="TableParagraph"/>
              <w:ind w:left="97" w:right="95"/>
              <w:rPr>
                <w:sz w:val="16"/>
              </w:rPr>
            </w:pPr>
            <w:r>
              <w:rPr>
                <w:sz w:val="16"/>
              </w:rPr>
              <w:t>(4-4)</w:t>
            </w:r>
          </w:p>
        </w:tc>
        <w:tc>
          <w:tcPr>
            <w:tcW w:w="555" w:type="dxa"/>
            <w:tcBorders>
              <w:top w:val="nil"/>
              <w:left w:val="nil"/>
              <w:right w:val="nil"/>
            </w:tcBorders>
          </w:tcPr>
          <w:p>
            <w:pPr>
              <w:pStyle w:val="TableParagraph"/>
              <w:spacing w:before="101"/>
              <w:rPr>
                <w:sz w:val="16"/>
              </w:rPr>
            </w:pPr>
            <w:r>
              <w:rPr>
                <w:w w:val="98"/>
                <w:sz w:val="16"/>
              </w:rPr>
              <w:t>3</w:t>
            </w:r>
          </w:p>
          <w:p>
            <w:pPr>
              <w:pStyle w:val="TableParagraph"/>
              <w:spacing w:before="8"/>
              <w:jc w:val="left"/>
              <w:rPr>
                <w:sz w:val="15"/>
              </w:rPr>
            </w:pPr>
          </w:p>
          <w:p>
            <w:pPr>
              <w:pStyle w:val="TableParagraph"/>
              <w:ind w:left="96" w:right="96"/>
              <w:rPr>
                <w:sz w:val="16"/>
              </w:rPr>
            </w:pPr>
            <w:r>
              <w:rPr>
                <w:sz w:val="16"/>
              </w:rPr>
              <w:t>(3-3)</w:t>
            </w:r>
          </w:p>
        </w:tc>
        <w:tc>
          <w:tcPr>
            <w:tcW w:w="555" w:type="dxa"/>
            <w:tcBorders>
              <w:top w:val="nil"/>
              <w:left w:val="nil"/>
              <w:right w:val="nil"/>
            </w:tcBorders>
          </w:tcPr>
          <w:p>
            <w:pPr>
              <w:pStyle w:val="TableParagraph"/>
              <w:spacing w:before="101"/>
              <w:ind w:left="2"/>
              <w:rPr>
                <w:sz w:val="16"/>
              </w:rPr>
            </w:pPr>
            <w:r>
              <w:rPr>
                <w:w w:val="98"/>
                <w:sz w:val="16"/>
              </w:rPr>
              <w:t>3</w:t>
            </w:r>
          </w:p>
          <w:p>
            <w:pPr>
              <w:pStyle w:val="TableParagraph"/>
              <w:spacing w:before="8"/>
              <w:jc w:val="left"/>
              <w:rPr>
                <w:sz w:val="15"/>
              </w:rPr>
            </w:pPr>
          </w:p>
          <w:p>
            <w:pPr>
              <w:pStyle w:val="TableParagraph"/>
              <w:ind w:left="97" w:right="95"/>
              <w:rPr>
                <w:sz w:val="16"/>
              </w:rPr>
            </w:pPr>
            <w:r>
              <w:rPr>
                <w:sz w:val="16"/>
              </w:rPr>
              <w:t>(3-3)</w:t>
            </w:r>
          </w:p>
        </w:tc>
        <w:tc>
          <w:tcPr>
            <w:tcW w:w="554" w:type="dxa"/>
            <w:tcBorders>
              <w:top w:val="nil"/>
              <w:left w:val="nil"/>
              <w:right w:val="nil"/>
            </w:tcBorders>
          </w:tcPr>
          <w:p>
            <w:pPr>
              <w:pStyle w:val="TableParagraph"/>
              <w:spacing w:before="101"/>
              <w:rPr>
                <w:sz w:val="16"/>
              </w:rPr>
            </w:pPr>
            <w:r>
              <w:rPr>
                <w:w w:val="98"/>
                <w:sz w:val="16"/>
              </w:rPr>
              <w:t>4</w:t>
            </w:r>
          </w:p>
          <w:p>
            <w:pPr>
              <w:pStyle w:val="TableParagraph"/>
              <w:spacing w:before="8"/>
              <w:jc w:val="left"/>
              <w:rPr>
                <w:sz w:val="15"/>
              </w:rPr>
            </w:pPr>
          </w:p>
          <w:p>
            <w:pPr>
              <w:pStyle w:val="TableParagraph"/>
              <w:ind w:left="96" w:right="96"/>
              <w:rPr>
                <w:sz w:val="16"/>
              </w:rPr>
            </w:pPr>
            <w:r>
              <w:rPr>
                <w:sz w:val="16"/>
              </w:rPr>
              <w:t>(4-4)</w:t>
            </w:r>
          </w:p>
        </w:tc>
        <w:tc>
          <w:tcPr>
            <w:tcW w:w="576" w:type="dxa"/>
            <w:tcBorders>
              <w:top w:val="nil"/>
              <w:left w:val="nil"/>
              <w:right w:val="nil"/>
            </w:tcBorders>
          </w:tcPr>
          <w:p>
            <w:pPr>
              <w:pStyle w:val="TableParagraph"/>
              <w:spacing w:before="101"/>
              <w:ind w:right="17"/>
              <w:rPr>
                <w:sz w:val="16"/>
              </w:rPr>
            </w:pPr>
            <w:r>
              <w:rPr>
                <w:w w:val="98"/>
                <w:sz w:val="16"/>
              </w:rPr>
              <w:t>1</w:t>
            </w:r>
          </w:p>
          <w:p>
            <w:pPr>
              <w:pStyle w:val="TableParagraph"/>
              <w:spacing w:before="8"/>
              <w:jc w:val="left"/>
              <w:rPr>
                <w:sz w:val="15"/>
              </w:rPr>
            </w:pPr>
          </w:p>
          <w:p>
            <w:pPr>
              <w:pStyle w:val="TableParagraph"/>
              <w:ind w:left="99" w:right="116"/>
              <w:rPr>
                <w:sz w:val="16"/>
              </w:rPr>
            </w:pPr>
            <w:r>
              <w:rPr>
                <w:sz w:val="16"/>
              </w:rPr>
              <w:t>(1-1)</w:t>
            </w:r>
          </w:p>
        </w:tc>
        <w:tc>
          <w:tcPr>
            <w:tcW w:w="593" w:type="dxa"/>
            <w:tcBorders>
              <w:top w:val="nil"/>
              <w:left w:val="nil"/>
              <w:right w:val="nil"/>
            </w:tcBorders>
          </w:tcPr>
          <w:p>
            <w:pPr>
              <w:pStyle w:val="TableParagraph"/>
              <w:spacing w:before="101"/>
              <w:ind w:left="2"/>
              <w:rPr>
                <w:sz w:val="16"/>
              </w:rPr>
            </w:pPr>
            <w:r>
              <w:rPr>
                <w:w w:val="98"/>
                <w:sz w:val="16"/>
              </w:rPr>
              <w:t>1</w:t>
            </w:r>
          </w:p>
          <w:p>
            <w:pPr>
              <w:pStyle w:val="TableParagraph"/>
              <w:spacing w:before="8"/>
              <w:jc w:val="left"/>
              <w:rPr>
                <w:sz w:val="15"/>
              </w:rPr>
            </w:pPr>
          </w:p>
          <w:p>
            <w:pPr>
              <w:pStyle w:val="TableParagraph"/>
              <w:ind w:left="117" w:right="115"/>
              <w:rPr>
                <w:sz w:val="16"/>
              </w:rPr>
            </w:pPr>
            <w:r>
              <w:rPr>
                <w:sz w:val="16"/>
              </w:rPr>
              <w:t>(1-1)</w:t>
            </w:r>
          </w:p>
        </w:tc>
        <w:tc>
          <w:tcPr>
            <w:tcW w:w="574" w:type="dxa"/>
            <w:tcBorders>
              <w:top w:val="nil"/>
              <w:left w:val="nil"/>
              <w:right w:val="nil"/>
            </w:tcBorders>
          </w:tcPr>
          <w:p>
            <w:pPr>
              <w:pStyle w:val="TableParagraph"/>
              <w:spacing w:before="101"/>
              <w:ind w:left="16"/>
              <w:rPr>
                <w:sz w:val="16"/>
              </w:rPr>
            </w:pPr>
            <w:r>
              <w:rPr>
                <w:w w:val="98"/>
                <w:sz w:val="16"/>
              </w:rPr>
              <w:t>5</w:t>
            </w:r>
          </w:p>
          <w:p>
            <w:pPr>
              <w:pStyle w:val="TableParagraph"/>
              <w:spacing w:before="8"/>
              <w:jc w:val="left"/>
              <w:rPr>
                <w:sz w:val="15"/>
              </w:rPr>
            </w:pPr>
          </w:p>
          <w:p>
            <w:pPr>
              <w:pStyle w:val="TableParagraph"/>
              <w:ind w:left="114" w:right="98"/>
              <w:rPr>
                <w:sz w:val="16"/>
              </w:rPr>
            </w:pPr>
            <w:r>
              <w:rPr>
                <w:sz w:val="16"/>
              </w:rPr>
              <w:t>(5-5)</w:t>
            </w:r>
          </w:p>
        </w:tc>
        <w:tc>
          <w:tcPr>
            <w:tcW w:w="555" w:type="dxa"/>
            <w:tcBorders>
              <w:top w:val="nil"/>
              <w:left w:val="nil"/>
              <w:right w:val="nil"/>
            </w:tcBorders>
          </w:tcPr>
          <w:p>
            <w:pPr>
              <w:pStyle w:val="TableParagraph"/>
              <w:spacing w:before="101"/>
              <w:ind w:left="2"/>
              <w:rPr>
                <w:sz w:val="16"/>
              </w:rPr>
            </w:pPr>
            <w:r>
              <w:rPr>
                <w:w w:val="98"/>
                <w:sz w:val="16"/>
              </w:rPr>
              <w:t>1</w:t>
            </w:r>
          </w:p>
          <w:p>
            <w:pPr>
              <w:pStyle w:val="TableParagraph"/>
              <w:spacing w:before="8"/>
              <w:jc w:val="left"/>
              <w:rPr>
                <w:sz w:val="15"/>
              </w:rPr>
            </w:pPr>
          </w:p>
          <w:p>
            <w:pPr>
              <w:pStyle w:val="TableParagraph"/>
              <w:ind w:left="97" w:right="95"/>
              <w:rPr>
                <w:sz w:val="16"/>
              </w:rPr>
            </w:pPr>
            <w:r>
              <w:rPr>
                <w:sz w:val="16"/>
              </w:rPr>
              <w:t>(1-1)</w:t>
            </w:r>
          </w:p>
        </w:tc>
        <w:tc>
          <w:tcPr>
            <w:tcW w:w="552" w:type="dxa"/>
            <w:tcBorders>
              <w:top w:val="nil"/>
              <w:left w:val="nil"/>
              <w:right w:val="nil"/>
            </w:tcBorders>
          </w:tcPr>
          <w:p>
            <w:pPr>
              <w:pStyle w:val="TableParagraph"/>
              <w:spacing w:before="101"/>
              <w:rPr>
                <w:sz w:val="16"/>
              </w:rPr>
            </w:pPr>
            <w:r>
              <w:rPr>
                <w:w w:val="98"/>
                <w:sz w:val="16"/>
              </w:rPr>
              <w:t>1</w:t>
            </w:r>
          </w:p>
          <w:p>
            <w:pPr>
              <w:pStyle w:val="TableParagraph"/>
              <w:spacing w:before="8"/>
              <w:jc w:val="left"/>
              <w:rPr>
                <w:sz w:val="15"/>
              </w:rPr>
            </w:pPr>
          </w:p>
          <w:p>
            <w:pPr>
              <w:pStyle w:val="TableParagraph"/>
              <w:ind w:left="96" w:right="96"/>
              <w:rPr>
                <w:sz w:val="16"/>
              </w:rPr>
            </w:pPr>
            <w:r>
              <w:rPr>
                <w:sz w:val="16"/>
              </w:rPr>
              <w:t>(1-1)</w:t>
            </w:r>
          </w:p>
        </w:tc>
        <w:tc>
          <w:tcPr>
            <w:tcW w:w="554" w:type="dxa"/>
            <w:tcBorders>
              <w:top w:val="nil"/>
              <w:left w:val="nil"/>
              <w:right w:val="nil"/>
            </w:tcBorders>
          </w:tcPr>
          <w:p>
            <w:pPr>
              <w:pStyle w:val="TableParagraph"/>
              <w:spacing w:before="101"/>
              <w:rPr>
                <w:sz w:val="16"/>
              </w:rPr>
            </w:pPr>
            <w:r>
              <w:rPr>
                <w:w w:val="98"/>
                <w:sz w:val="16"/>
              </w:rPr>
              <w:t>2</w:t>
            </w:r>
          </w:p>
          <w:p>
            <w:pPr>
              <w:pStyle w:val="TableParagraph"/>
              <w:spacing w:before="8"/>
              <w:jc w:val="left"/>
              <w:rPr>
                <w:sz w:val="15"/>
              </w:rPr>
            </w:pPr>
          </w:p>
          <w:p>
            <w:pPr>
              <w:pStyle w:val="TableParagraph"/>
              <w:ind w:left="96" w:right="96"/>
              <w:rPr>
                <w:sz w:val="16"/>
              </w:rPr>
            </w:pPr>
            <w:r>
              <w:rPr>
                <w:sz w:val="16"/>
              </w:rPr>
              <w:t>(2-2)</w:t>
            </w:r>
          </w:p>
        </w:tc>
        <w:tc>
          <w:tcPr>
            <w:tcW w:w="555" w:type="dxa"/>
            <w:tcBorders>
              <w:top w:val="nil"/>
              <w:left w:val="nil"/>
              <w:right w:val="nil"/>
            </w:tcBorders>
          </w:tcPr>
          <w:p>
            <w:pPr>
              <w:pStyle w:val="TableParagraph"/>
              <w:spacing w:before="101"/>
              <w:ind w:left="2"/>
              <w:rPr>
                <w:sz w:val="16"/>
              </w:rPr>
            </w:pPr>
            <w:r>
              <w:rPr>
                <w:w w:val="98"/>
                <w:sz w:val="16"/>
              </w:rPr>
              <w:t>2</w:t>
            </w:r>
          </w:p>
          <w:p>
            <w:pPr>
              <w:pStyle w:val="TableParagraph"/>
              <w:spacing w:before="8"/>
              <w:jc w:val="left"/>
              <w:rPr>
                <w:sz w:val="15"/>
              </w:rPr>
            </w:pPr>
          </w:p>
          <w:p>
            <w:pPr>
              <w:pStyle w:val="TableParagraph"/>
              <w:ind w:left="97" w:right="95"/>
              <w:rPr>
                <w:sz w:val="16"/>
              </w:rPr>
            </w:pPr>
            <w:r>
              <w:rPr>
                <w:sz w:val="16"/>
              </w:rPr>
              <w:t>(2-2)</w:t>
            </w:r>
          </w:p>
        </w:tc>
        <w:tc>
          <w:tcPr>
            <w:tcW w:w="555" w:type="dxa"/>
            <w:tcBorders>
              <w:top w:val="nil"/>
              <w:left w:val="nil"/>
              <w:right w:val="nil"/>
            </w:tcBorders>
          </w:tcPr>
          <w:p>
            <w:pPr>
              <w:pStyle w:val="TableParagraph"/>
              <w:spacing w:before="101"/>
              <w:rPr>
                <w:sz w:val="16"/>
              </w:rPr>
            </w:pPr>
            <w:r>
              <w:rPr>
                <w:w w:val="98"/>
                <w:sz w:val="16"/>
              </w:rPr>
              <w:t>2</w:t>
            </w:r>
          </w:p>
          <w:p>
            <w:pPr>
              <w:pStyle w:val="TableParagraph"/>
              <w:spacing w:before="8"/>
              <w:jc w:val="left"/>
              <w:rPr>
                <w:sz w:val="15"/>
              </w:rPr>
            </w:pPr>
          </w:p>
          <w:p>
            <w:pPr>
              <w:pStyle w:val="TableParagraph"/>
              <w:ind w:left="96" w:right="96"/>
              <w:rPr>
                <w:sz w:val="16"/>
              </w:rPr>
            </w:pPr>
            <w:r>
              <w:rPr>
                <w:sz w:val="16"/>
              </w:rPr>
              <w:t>(2-2)</w:t>
            </w:r>
          </w:p>
        </w:tc>
        <w:tc>
          <w:tcPr>
            <w:tcW w:w="552" w:type="dxa"/>
            <w:tcBorders>
              <w:top w:val="nil"/>
              <w:left w:val="nil"/>
              <w:right w:val="nil"/>
            </w:tcBorders>
          </w:tcPr>
          <w:p>
            <w:pPr>
              <w:pStyle w:val="TableParagraph"/>
              <w:spacing w:before="101"/>
              <w:ind w:left="4"/>
              <w:rPr>
                <w:sz w:val="16"/>
              </w:rPr>
            </w:pPr>
            <w:r>
              <w:rPr>
                <w:w w:val="98"/>
                <w:sz w:val="16"/>
              </w:rPr>
              <w:t>1</w:t>
            </w:r>
          </w:p>
          <w:p>
            <w:pPr>
              <w:pStyle w:val="TableParagraph"/>
              <w:spacing w:before="8"/>
              <w:jc w:val="left"/>
              <w:rPr>
                <w:sz w:val="15"/>
              </w:rPr>
            </w:pPr>
          </w:p>
          <w:p>
            <w:pPr>
              <w:pStyle w:val="TableParagraph"/>
              <w:ind w:left="98" w:right="94"/>
              <w:rPr>
                <w:sz w:val="16"/>
              </w:rPr>
            </w:pPr>
            <w:r>
              <w:rPr>
                <w:sz w:val="16"/>
              </w:rPr>
              <w:t>(1-1)</w:t>
            </w:r>
          </w:p>
        </w:tc>
        <w:tc>
          <w:tcPr>
            <w:tcW w:w="547" w:type="dxa"/>
            <w:tcBorders>
              <w:top w:val="nil"/>
              <w:left w:val="nil"/>
              <w:right w:val="nil"/>
            </w:tcBorders>
          </w:tcPr>
          <w:p>
            <w:pPr>
              <w:pStyle w:val="TableParagraph"/>
              <w:spacing w:before="101"/>
              <w:rPr>
                <w:sz w:val="16"/>
              </w:rPr>
            </w:pPr>
            <w:r>
              <w:rPr>
                <w:w w:val="98"/>
                <w:sz w:val="16"/>
              </w:rPr>
              <w:t>2</w:t>
            </w:r>
          </w:p>
          <w:p>
            <w:pPr>
              <w:pStyle w:val="TableParagraph"/>
              <w:spacing w:before="8"/>
              <w:jc w:val="left"/>
              <w:rPr>
                <w:sz w:val="15"/>
              </w:rPr>
            </w:pPr>
          </w:p>
          <w:p>
            <w:pPr>
              <w:pStyle w:val="TableParagraph"/>
              <w:ind w:left="92" w:right="92"/>
              <w:rPr>
                <w:sz w:val="16"/>
              </w:rPr>
            </w:pPr>
            <w:r>
              <w:rPr>
                <w:sz w:val="16"/>
              </w:rPr>
              <w:t>(2-2)</w:t>
            </w:r>
          </w:p>
        </w:tc>
      </w:tr>
      <w:tr>
        <w:trPr>
          <w:trHeight w:val="649" w:hRule="exact"/>
        </w:trPr>
        <w:tc>
          <w:tcPr>
            <w:tcW w:w="2345" w:type="dxa"/>
            <w:tcBorders>
              <w:left w:val="nil"/>
              <w:bottom w:val="nil"/>
              <w:right w:val="nil"/>
            </w:tcBorders>
          </w:tcPr>
          <w:p>
            <w:pPr>
              <w:pStyle w:val="TableParagraph"/>
              <w:spacing w:before="4"/>
              <w:jc w:val="left"/>
              <w:rPr>
                <w:sz w:val="15"/>
              </w:rPr>
            </w:pPr>
          </w:p>
          <w:p>
            <w:pPr>
              <w:pStyle w:val="TableParagraph"/>
              <w:ind w:left="1406"/>
              <w:jc w:val="left"/>
              <w:rPr>
                <w:sz w:val="16"/>
              </w:rPr>
            </w:pPr>
            <w:r>
              <w:rPr>
                <w:sz w:val="16"/>
              </w:rPr>
              <w:t>FENT</w:t>
            </w:r>
          </w:p>
        </w:tc>
        <w:tc>
          <w:tcPr>
            <w:tcW w:w="685" w:type="dxa"/>
            <w:tcBorders>
              <w:left w:val="nil"/>
              <w:bottom w:val="nil"/>
              <w:right w:val="nil"/>
            </w:tcBorders>
          </w:tcPr>
          <w:p>
            <w:pPr>
              <w:pStyle w:val="TableParagraph"/>
              <w:spacing w:line="179" w:lineRule="exact"/>
              <w:ind w:left="3"/>
              <w:rPr>
                <w:sz w:val="16"/>
              </w:rPr>
            </w:pPr>
            <w:r>
              <w:rPr>
                <w:w w:val="99"/>
                <w:sz w:val="16"/>
              </w:rPr>
              <w:t>0</w:t>
            </w:r>
          </w:p>
          <w:p>
            <w:pPr>
              <w:pStyle w:val="TableParagraph"/>
              <w:spacing w:before="1"/>
              <w:jc w:val="left"/>
              <w:rPr>
                <w:sz w:val="16"/>
              </w:rPr>
            </w:pPr>
          </w:p>
          <w:p>
            <w:pPr>
              <w:pStyle w:val="TableParagraph"/>
              <w:ind w:left="164" w:right="161"/>
              <w:rPr>
                <w:sz w:val="16"/>
              </w:rPr>
            </w:pPr>
            <w:r>
              <w:rPr>
                <w:sz w:val="16"/>
              </w:rPr>
              <w:t>(0-0)</w:t>
            </w:r>
          </w:p>
        </w:tc>
        <w:tc>
          <w:tcPr>
            <w:tcW w:w="696" w:type="dxa"/>
            <w:tcBorders>
              <w:left w:val="nil"/>
              <w:bottom w:val="nil"/>
              <w:right w:val="nil"/>
            </w:tcBorders>
          </w:tcPr>
          <w:p>
            <w:pPr>
              <w:pStyle w:val="TableParagraph"/>
              <w:spacing w:line="177" w:lineRule="exact"/>
              <w:ind w:left="219" w:firstLine="52"/>
              <w:jc w:val="left"/>
              <w:rPr>
                <w:sz w:val="10"/>
              </w:rPr>
            </w:pPr>
            <w:r>
              <w:rPr>
                <w:position w:val="-6"/>
                <w:sz w:val="16"/>
              </w:rPr>
              <w:t>1</w:t>
            </w:r>
            <w:r>
              <w:rPr>
                <w:sz w:val="10"/>
              </w:rPr>
              <w:t>acd</w:t>
            </w:r>
          </w:p>
          <w:p>
            <w:pPr>
              <w:pStyle w:val="TableParagraph"/>
              <w:spacing w:before="3"/>
              <w:jc w:val="left"/>
              <w:rPr>
                <w:sz w:val="16"/>
              </w:rPr>
            </w:pPr>
          </w:p>
          <w:p>
            <w:pPr>
              <w:pStyle w:val="TableParagraph"/>
              <w:ind w:left="219"/>
              <w:jc w:val="left"/>
              <w:rPr>
                <w:sz w:val="16"/>
              </w:rPr>
            </w:pPr>
            <w:r>
              <w:rPr>
                <w:sz w:val="16"/>
              </w:rPr>
              <w:t>(1-4)</w:t>
            </w:r>
          </w:p>
        </w:tc>
        <w:tc>
          <w:tcPr>
            <w:tcW w:w="550" w:type="dxa"/>
            <w:tcBorders>
              <w:left w:val="nil"/>
              <w:bottom w:val="nil"/>
              <w:right w:val="nil"/>
            </w:tcBorders>
          </w:tcPr>
          <w:p>
            <w:pPr>
              <w:pStyle w:val="TableParagraph"/>
              <w:spacing w:line="179" w:lineRule="exact"/>
              <w:rPr>
                <w:sz w:val="16"/>
              </w:rPr>
            </w:pPr>
            <w:r>
              <w:rPr>
                <w:w w:val="99"/>
                <w:sz w:val="16"/>
              </w:rPr>
              <w:t>1</w:t>
            </w:r>
          </w:p>
          <w:p>
            <w:pPr>
              <w:pStyle w:val="TableParagraph"/>
              <w:spacing w:before="1"/>
              <w:jc w:val="left"/>
              <w:rPr>
                <w:sz w:val="16"/>
              </w:rPr>
            </w:pPr>
          </w:p>
          <w:p>
            <w:pPr>
              <w:pStyle w:val="TableParagraph"/>
              <w:ind w:left="95" w:right="95"/>
              <w:rPr>
                <w:sz w:val="16"/>
              </w:rPr>
            </w:pPr>
            <w:r>
              <w:rPr>
                <w:sz w:val="16"/>
              </w:rPr>
              <w:t>(0-3)</w:t>
            </w:r>
          </w:p>
        </w:tc>
        <w:tc>
          <w:tcPr>
            <w:tcW w:w="555" w:type="dxa"/>
            <w:tcBorders>
              <w:left w:val="nil"/>
              <w:bottom w:val="nil"/>
              <w:right w:val="nil"/>
            </w:tcBorders>
          </w:tcPr>
          <w:p>
            <w:pPr>
              <w:pStyle w:val="TableParagraph"/>
              <w:spacing w:line="179" w:lineRule="exact"/>
              <w:rPr>
                <w:sz w:val="16"/>
              </w:rPr>
            </w:pPr>
            <w:r>
              <w:rPr>
                <w:w w:val="99"/>
                <w:sz w:val="16"/>
              </w:rPr>
              <w:t>1</w:t>
            </w:r>
          </w:p>
          <w:p>
            <w:pPr>
              <w:pStyle w:val="TableParagraph"/>
              <w:spacing w:before="1"/>
              <w:jc w:val="left"/>
              <w:rPr>
                <w:sz w:val="16"/>
              </w:rPr>
            </w:pPr>
          </w:p>
          <w:p>
            <w:pPr>
              <w:pStyle w:val="TableParagraph"/>
              <w:ind w:left="96" w:right="96"/>
              <w:rPr>
                <w:sz w:val="16"/>
              </w:rPr>
            </w:pPr>
            <w:r>
              <w:rPr>
                <w:sz w:val="16"/>
              </w:rPr>
              <w:t>(0-4)</w:t>
            </w:r>
          </w:p>
        </w:tc>
        <w:tc>
          <w:tcPr>
            <w:tcW w:w="554" w:type="dxa"/>
            <w:tcBorders>
              <w:left w:val="nil"/>
              <w:bottom w:val="nil"/>
              <w:right w:val="nil"/>
            </w:tcBorders>
          </w:tcPr>
          <w:p>
            <w:pPr>
              <w:pStyle w:val="TableParagraph"/>
              <w:spacing w:line="179" w:lineRule="exact"/>
              <w:ind w:left="2"/>
              <w:rPr>
                <w:sz w:val="16"/>
              </w:rPr>
            </w:pPr>
            <w:r>
              <w:rPr>
                <w:w w:val="99"/>
                <w:sz w:val="16"/>
              </w:rPr>
              <w:t>2</w:t>
            </w:r>
          </w:p>
          <w:p>
            <w:pPr>
              <w:pStyle w:val="TableParagraph"/>
              <w:spacing w:before="1"/>
              <w:jc w:val="left"/>
              <w:rPr>
                <w:sz w:val="16"/>
              </w:rPr>
            </w:pPr>
          </w:p>
          <w:p>
            <w:pPr>
              <w:pStyle w:val="TableParagraph"/>
              <w:ind w:left="97" w:right="95"/>
              <w:rPr>
                <w:sz w:val="16"/>
              </w:rPr>
            </w:pPr>
            <w:r>
              <w:rPr>
                <w:sz w:val="16"/>
              </w:rPr>
              <w:t>(0-3)</w:t>
            </w:r>
          </w:p>
        </w:tc>
        <w:tc>
          <w:tcPr>
            <w:tcW w:w="555" w:type="dxa"/>
            <w:tcBorders>
              <w:left w:val="nil"/>
              <w:bottom w:val="nil"/>
              <w:right w:val="nil"/>
            </w:tcBorders>
          </w:tcPr>
          <w:p>
            <w:pPr>
              <w:pStyle w:val="TableParagraph"/>
              <w:spacing w:line="179" w:lineRule="exact"/>
              <w:ind w:left="116" w:firstLine="14"/>
              <w:jc w:val="left"/>
              <w:rPr>
                <w:sz w:val="10"/>
              </w:rPr>
            </w:pPr>
            <w:r>
              <w:rPr>
                <w:sz w:val="16"/>
              </w:rPr>
              <w:t>2.5</w:t>
            </w:r>
            <w:r>
              <w:rPr>
                <w:position w:val="7"/>
                <w:sz w:val="10"/>
              </w:rPr>
              <w:t>b*</w:t>
            </w:r>
          </w:p>
          <w:p>
            <w:pPr>
              <w:pStyle w:val="TableParagraph"/>
              <w:spacing w:before="1"/>
              <w:jc w:val="left"/>
              <w:rPr>
                <w:sz w:val="16"/>
              </w:rPr>
            </w:pPr>
          </w:p>
          <w:p>
            <w:pPr>
              <w:pStyle w:val="TableParagraph"/>
              <w:ind w:left="116"/>
              <w:jc w:val="left"/>
              <w:rPr>
                <w:sz w:val="16"/>
              </w:rPr>
            </w:pPr>
            <w:r>
              <w:rPr>
                <w:sz w:val="16"/>
              </w:rPr>
              <w:t>(1-3)</w:t>
            </w:r>
          </w:p>
        </w:tc>
        <w:tc>
          <w:tcPr>
            <w:tcW w:w="555" w:type="dxa"/>
            <w:tcBorders>
              <w:left w:val="nil"/>
              <w:bottom w:val="nil"/>
              <w:right w:val="nil"/>
            </w:tcBorders>
          </w:tcPr>
          <w:p>
            <w:pPr>
              <w:pStyle w:val="TableParagraph"/>
              <w:spacing w:line="177" w:lineRule="exact"/>
              <w:ind w:left="119" w:firstLine="48"/>
              <w:jc w:val="left"/>
              <w:rPr>
                <w:sz w:val="10"/>
              </w:rPr>
            </w:pPr>
            <w:r>
              <w:rPr>
                <w:position w:val="-6"/>
                <w:sz w:val="16"/>
              </w:rPr>
              <w:t>2</w:t>
            </w:r>
            <w:r>
              <w:rPr>
                <w:sz w:val="10"/>
              </w:rPr>
              <w:t>bc*</w:t>
            </w:r>
          </w:p>
          <w:p>
            <w:pPr>
              <w:pStyle w:val="TableParagraph"/>
              <w:spacing w:before="3"/>
              <w:jc w:val="left"/>
              <w:rPr>
                <w:sz w:val="16"/>
              </w:rPr>
            </w:pPr>
          </w:p>
          <w:p>
            <w:pPr>
              <w:pStyle w:val="TableParagraph"/>
              <w:ind w:left="119"/>
              <w:jc w:val="left"/>
              <w:rPr>
                <w:sz w:val="16"/>
              </w:rPr>
            </w:pPr>
            <w:r>
              <w:rPr>
                <w:sz w:val="16"/>
              </w:rPr>
              <w:t>(1-3)</w:t>
            </w:r>
          </w:p>
        </w:tc>
        <w:tc>
          <w:tcPr>
            <w:tcW w:w="554" w:type="dxa"/>
            <w:tcBorders>
              <w:left w:val="nil"/>
              <w:bottom w:val="nil"/>
              <w:right w:val="nil"/>
            </w:tcBorders>
          </w:tcPr>
          <w:p>
            <w:pPr>
              <w:pStyle w:val="TableParagraph"/>
              <w:spacing w:line="179" w:lineRule="exact"/>
              <w:ind w:left="116" w:firstLine="14"/>
              <w:jc w:val="left"/>
              <w:rPr>
                <w:sz w:val="10"/>
              </w:rPr>
            </w:pPr>
            <w:r>
              <w:rPr>
                <w:sz w:val="16"/>
              </w:rPr>
              <w:t>2.5</w:t>
            </w:r>
            <w:r>
              <w:rPr>
                <w:position w:val="7"/>
                <w:sz w:val="10"/>
              </w:rPr>
              <w:t>b*</w:t>
            </w:r>
          </w:p>
          <w:p>
            <w:pPr>
              <w:pStyle w:val="TableParagraph"/>
              <w:spacing w:before="1"/>
              <w:jc w:val="left"/>
              <w:rPr>
                <w:sz w:val="16"/>
              </w:rPr>
            </w:pPr>
          </w:p>
          <w:p>
            <w:pPr>
              <w:pStyle w:val="TableParagraph"/>
              <w:ind w:left="116"/>
              <w:jc w:val="left"/>
              <w:rPr>
                <w:sz w:val="16"/>
              </w:rPr>
            </w:pPr>
            <w:r>
              <w:rPr>
                <w:sz w:val="16"/>
              </w:rPr>
              <w:t>(1-4)</w:t>
            </w:r>
          </w:p>
        </w:tc>
        <w:tc>
          <w:tcPr>
            <w:tcW w:w="576" w:type="dxa"/>
            <w:tcBorders>
              <w:left w:val="nil"/>
              <w:bottom w:val="nil"/>
              <w:right w:val="nil"/>
            </w:tcBorders>
          </w:tcPr>
          <w:p>
            <w:pPr>
              <w:pStyle w:val="TableParagraph"/>
              <w:spacing w:line="177" w:lineRule="exact"/>
              <w:ind w:left="214"/>
              <w:jc w:val="left"/>
              <w:rPr>
                <w:sz w:val="10"/>
              </w:rPr>
            </w:pPr>
            <w:r>
              <w:rPr>
                <w:position w:val="-6"/>
                <w:sz w:val="16"/>
              </w:rPr>
              <w:t>2</w:t>
            </w:r>
            <w:r>
              <w:rPr>
                <w:sz w:val="10"/>
              </w:rPr>
              <w:t>*</w:t>
            </w:r>
          </w:p>
          <w:p>
            <w:pPr>
              <w:pStyle w:val="TableParagraph"/>
              <w:spacing w:before="3"/>
              <w:jc w:val="left"/>
              <w:rPr>
                <w:sz w:val="16"/>
              </w:rPr>
            </w:pPr>
          </w:p>
          <w:p>
            <w:pPr>
              <w:pStyle w:val="TableParagraph"/>
              <w:ind w:left="118"/>
              <w:jc w:val="left"/>
              <w:rPr>
                <w:sz w:val="16"/>
              </w:rPr>
            </w:pPr>
            <w:r>
              <w:rPr>
                <w:sz w:val="16"/>
              </w:rPr>
              <w:t>(0-3)</w:t>
            </w:r>
          </w:p>
        </w:tc>
        <w:tc>
          <w:tcPr>
            <w:tcW w:w="593" w:type="dxa"/>
            <w:tcBorders>
              <w:left w:val="nil"/>
              <w:bottom w:val="nil"/>
              <w:right w:val="nil"/>
            </w:tcBorders>
          </w:tcPr>
          <w:p>
            <w:pPr>
              <w:pStyle w:val="TableParagraph"/>
              <w:spacing w:line="177" w:lineRule="exact"/>
              <w:ind w:left="234"/>
              <w:jc w:val="left"/>
              <w:rPr>
                <w:sz w:val="10"/>
              </w:rPr>
            </w:pPr>
            <w:r>
              <w:rPr>
                <w:position w:val="-6"/>
                <w:sz w:val="16"/>
              </w:rPr>
              <w:t>2</w:t>
            </w:r>
            <w:r>
              <w:rPr>
                <w:sz w:val="10"/>
              </w:rPr>
              <w:t>*</w:t>
            </w:r>
          </w:p>
          <w:p>
            <w:pPr>
              <w:pStyle w:val="TableParagraph"/>
              <w:spacing w:before="3"/>
              <w:jc w:val="left"/>
              <w:rPr>
                <w:sz w:val="16"/>
              </w:rPr>
            </w:pPr>
          </w:p>
          <w:p>
            <w:pPr>
              <w:pStyle w:val="TableParagraph"/>
              <w:ind w:left="138"/>
              <w:jc w:val="left"/>
              <w:rPr>
                <w:sz w:val="16"/>
              </w:rPr>
            </w:pPr>
            <w:r>
              <w:rPr>
                <w:sz w:val="16"/>
              </w:rPr>
              <w:t>(0-4)</w:t>
            </w:r>
          </w:p>
        </w:tc>
        <w:tc>
          <w:tcPr>
            <w:tcW w:w="574" w:type="dxa"/>
            <w:tcBorders>
              <w:left w:val="nil"/>
              <w:bottom w:val="nil"/>
              <w:right w:val="nil"/>
            </w:tcBorders>
          </w:tcPr>
          <w:p>
            <w:pPr>
              <w:pStyle w:val="TableParagraph"/>
              <w:spacing w:line="177" w:lineRule="exact"/>
              <w:ind w:left="231"/>
              <w:jc w:val="left"/>
              <w:rPr>
                <w:sz w:val="10"/>
              </w:rPr>
            </w:pPr>
            <w:r>
              <w:rPr>
                <w:position w:val="-6"/>
                <w:sz w:val="16"/>
              </w:rPr>
              <w:t>2</w:t>
            </w:r>
            <w:r>
              <w:rPr>
                <w:sz w:val="10"/>
              </w:rPr>
              <w:t>*</w:t>
            </w:r>
          </w:p>
          <w:p>
            <w:pPr>
              <w:pStyle w:val="TableParagraph"/>
              <w:spacing w:before="3"/>
              <w:jc w:val="left"/>
              <w:rPr>
                <w:sz w:val="16"/>
              </w:rPr>
            </w:pPr>
          </w:p>
          <w:p>
            <w:pPr>
              <w:pStyle w:val="TableParagraph"/>
              <w:ind w:left="135"/>
              <w:jc w:val="left"/>
              <w:rPr>
                <w:sz w:val="16"/>
              </w:rPr>
            </w:pPr>
            <w:r>
              <w:rPr>
                <w:sz w:val="16"/>
              </w:rPr>
              <w:t>(0-4)</w:t>
            </w:r>
          </w:p>
        </w:tc>
        <w:tc>
          <w:tcPr>
            <w:tcW w:w="555" w:type="dxa"/>
            <w:tcBorders>
              <w:left w:val="nil"/>
              <w:bottom w:val="nil"/>
              <w:right w:val="nil"/>
            </w:tcBorders>
          </w:tcPr>
          <w:p>
            <w:pPr>
              <w:pStyle w:val="TableParagraph"/>
              <w:spacing w:line="177" w:lineRule="exact"/>
              <w:ind w:left="214"/>
              <w:jc w:val="left"/>
              <w:rPr>
                <w:sz w:val="10"/>
              </w:rPr>
            </w:pPr>
            <w:r>
              <w:rPr>
                <w:position w:val="-6"/>
                <w:sz w:val="16"/>
              </w:rPr>
              <w:t>2</w:t>
            </w:r>
            <w:r>
              <w:rPr>
                <w:sz w:val="10"/>
              </w:rPr>
              <w:t>*</w:t>
            </w:r>
          </w:p>
          <w:p>
            <w:pPr>
              <w:pStyle w:val="TableParagraph"/>
              <w:spacing w:before="3"/>
              <w:jc w:val="left"/>
              <w:rPr>
                <w:sz w:val="16"/>
              </w:rPr>
            </w:pPr>
          </w:p>
          <w:p>
            <w:pPr>
              <w:pStyle w:val="TableParagraph"/>
              <w:ind w:left="118"/>
              <w:jc w:val="left"/>
              <w:rPr>
                <w:sz w:val="16"/>
              </w:rPr>
            </w:pPr>
            <w:r>
              <w:rPr>
                <w:sz w:val="16"/>
              </w:rPr>
              <w:t>(1-3)</w:t>
            </w:r>
          </w:p>
        </w:tc>
        <w:tc>
          <w:tcPr>
            <w:tcW w:w="552" w:type="dxa"/>
            <w:tcBorders>
              <w:left w:val="nil"/>
              <w:bottom w:val="nil"/>
              <w:right w:val="nil"/>
            </w:tcBorders>
          </w:tcPr>
          <w:p>
            <w:pPr>
              <w:pStyle w:val="TableParagraph"/>
              <w:spacing w:line="179" w:lineRule="exact"/>
              <w:ind w:left="116" w:firstLine="38"/>
              <w:jc w:val="left"/>
              <w:rPr>
                <w:sz w:val="10"/>
              </w:rPr>
            </w:pPr>
            <w:r>
              <w:rPr>
                <w:sz w:val="16"/>
              </w:rPr>
              <w:t>2.5</w:t>
            </w:r>
            <w:r>
              <w:rPr>
                <w:position w:val="7"/>
                <w:sz w:val="10"/>
              </w:rPr>
              <w:t>*</w:t>
            </w:r>
          </w:p>
          <w:p>
            <w:pPr>
              <w:pStyle w:val="TableParagraph"/>
              <w:spacing w:before="1"/>
              <w:jc w:val="left"/>
              <w:rPr>
                <w:sz w:val="16"/>
              </w:rPr>
            </w:pPr>
          </w:p>
          <w:p>
            <w:pPr>
              <w:pStyle w:val="TableParagraph"/>
              <w:ind w:left="116"/>
              <w:jc w:val="left"/>
              <w:rPr>
                <w:sz w:val="16"/>
              </w:rPr>
            </w:pPr>
            <w:r>
              <w:rPr>
                <w:sz w:val="16"/>
              </w:rPr>
              <w:t>(1-4)</w:t>
            </w:r>
          </w:p>
        </w:tc>
        <w:tc>
          <w:tcPr>
            <w:tcW w:w="554" w:type="dxa"/>
            <w:tcBorders>
              <w:left w:val="nil"/>
              <w:bottom w:val="nil"/>
              <w:right w:val="nil"/>
            </w:tcBorders>
          </w:tcPr>
          <w:p>
            <w:pPr>
              <w:pStyle w:val="TableParagraph"/>
              <w:spacing w:line="177" w:lineRule="exact"/>
              <w:ind w:left="212"/>
              <w:jc w:val="left"/>
              <w:rPr>
                <w:sz w:val="10"/>
              </w:rPr>
            </w:pPr>
            <w:r>
              <w:rPr>
                <w:position w:val="-6"/>
                <w:sz w:val="16"/>
              </w:rPr>
              <w:t>2</w:t>
            </w:r>
            <w:r>
              <w:rPr>
                <w:sz w:val="10"/>
              </w:rPr>
              <w:t>*</w:t>
            </w:r>
          </w:p>
          <w:p>
            <w:pPr>
              <w:pStyle w:val="TableParagraph"/>
              <w:spacing w:before="3"/>
              <w:jc w:val="left"/>
              <w:rPr>
                <w:sz w:val="16"/>
              </w:rPr>
            </w:pPr>
          </w:p>
          <w:p>
            <w:pPr>
              <w:pStyle w:val="TableParagraph"/>
              <w:ind w:left="116"/>
              <w:jc w:val="left"/>
              <w:rPr>
                <w:sz w:val="16"/>
              </w:rPr>
            </w:pPr>
            <w:r>
              <w:rPr>
                <w:sz w:val="16"/>
              </w:rPr>
              <w:t>(1-4)</w:t>
            </w:r>
          </w:p>
        </w:tc>
        <w:tc>
          <w:tcPr>
            <w:tcW w:w="555" w:type="dxa"/>
            <w:tcBorders>
              <w:left w:val="nil"/>
              <w:bottom w:val="nil"/>
              <w:right w:val="nil"/>
            </w:tcBorders>
          </w:tcPr>
          <w:p>
            <w:pPr>
              <w:pStyle w:val="TableParagraph"/>
              <w:spacing w:line="177" w:lineRule="exact"/>
              <w:ind w:left="214"/>
              <w:jc w:val="left"/>
              <w:rPr>
                <w:sz w:val="10"/>
              </w:rPr>
            </w:pPr>
            <w:r>
              <w:rPr>
                <w:position w:val="-6"/>
                <w:sz w:val="16"/>
              </w:rPr>
              <w:t>2</w:t>
            </w:r>
            <w:r>
              <w:rPr>
                <w:sz w:val="10"/>
              </w:rPr>
              <w:t>*</w:t>
            </w:r>
          </w:p>
          <w:p>
            <w:pPr>
              <w:pStyle w:val="TableParagraph"/>
              <w:spacing w:before="3"/>
              <w:jc w:val="left"/>
              <w:rPr>
                <w:sz w:val="16"/>
              </w:rPr>
            </w:pPr>
          </w:p>
          <w:p>
            <w:pPr>
              <w:pStyle w:val="TableParagraph"/>
              <w:ind w:left="118"/>
              <w:jc w:val="left"/>
              <w:rPr>
                <w:sz w:val="16"/>
              </w:rPr>
            </w:pPr>
            <w:r>
              <w:rPr>
                <w:sz w:val="16"/>
              </w:rPr>
              <w:t>(1-4)</w:t>
            </w:r>
          </w:p>
        </w:tc>
        <w:tc>
          <w:tcPr>
            <w:tcW w:w="555" w:type="dxa"/>
            <w:tcBorders>
              <w:left w:val="nil"/>
              <w:bottom w:val="nil"/>
              <w:right w:val="nil"/>
            </w:tcBorders>
          </w:tcPr>
          <w:p>
            <w:pPr>
              <w:pStyle w:val="TableParagraph"/>
              <w:spacing w:line="179" w:lineRule="exact"/>
              <w:rPr>
                <w:sz w:val="16"/>
              </w:rPr>
            </w:pPr>
            <w:r>
              <w:rPr>
                <w:w w:val="99"/>
                <w:sz w:val="16"/>
              </w:rPr>
              <w:t>2</w:t>
            </w:r>
          </w:p>
          <w:p>
            <w:pPr>
              <w:pStyle w:val="TableParagraph"/>
              <w:spacing w:before="1"/>
              <w:jc w:val="left"/>
              <w:rPr>
                <w:sz w:val="16"/>
              </w:rPr>
            </w:pPr>
          </w:p>
          <w:p>
            <w:pPr>
              <w:pStyle w:val="TableParagraph"/>
              <w:ind w:left="96" w:right="96"/>
              <w:rPr>
                <w:sz w:val="16"/>
              </w:rPr>
            </w:pPr>
            <w:r>
              <w:rPr>
                <w:sz w:val="16"/>
              </w:rPr>
              <w:t>(1-4)</w:t>
            </w:r>
          </w:p>
        </w:tc>
        <w:tc>
          <w:tcPr>
            <w:tcW w:w="552" w:type="dxa"/>
            <w:tcBorders>
              <w:left w:val="nil"/>
              <w:bottom w:val="nil"/>
              <w:right w:val="nil"/>
            </w:tcBorders>
          </w:tcPr>
          <w:p>
            <w:pPr>
              <w:pStyle w:val="TableParagraph"/>
              <w:spacing w:line="177" w:lineRule="exact"/>
              <w:ind w:left="118" w:firstLine="72"/>
              <w:jc w:val="left"/>
              <w:rPr>
                <w:sz w:val="10"/>
              </w:rPr>
            </w:pPr>
            <w:r>
              <w:rPr>
                <w:position w:val="-6"/>
                <w:sz w:val="16"/>
              </w:rPr>
              <w:t>2</w:t>
            </w:r>
            <w:r>
              <w:rPr>
                <w:sz w:val="10"/>
              </w:rPr>
              <w:t>b*</w:t>
            </w:r>
          </w:p>
          <w:p>
            <w:pPr>
              <w:pStyle w:val="TableParagraph"/>
              <w:spacing w:before="3"/>
              <w:jc w:val="left"/>
              <w:rPr>
                <w:sz w:val="16"/>
              </w:rPr>
            </w:pPr>
          </w:p>
          <w:p>
            <w:pPr>
              <w:pStyle w:val="TableParagraph"/>
              <w:ind w:left="118"/>
              <w:jc w:val="left"/>
              <w:rPr>
                <w:sz w:val="16"/>
              </w:rPr>
            </w:pPr>
            <w:r>
              <w:rPr>
                <w:sz w:val="16"/>
              </w:rPr>
              <w:t>(1-5)</w:t>
            </w:r>
          </w:p>
        </w:tc>
        <w:tc>
          <w:tcPr>
            <w:tcW w:w="547" w:type="dxa"/>
            <w:tcBorders>
              <w:left w:val="nil"/>
              <w:bottom w:val="nil"/>
              <w:right w:val="nil"/>
            </w:tcBorders>
          </w:tcPr>
          <w:p>
            <w:pPr>
              <w:pStyle w:val="TableParagraph"/>
              <w:spacing w:line="179" w:lineRule="exact"/>
              <w:ind w:left="114" w:firstLine="24"/>
              <w:jc w:val="left"/>
              <w:rPr>
                <w:sz w:val="10"/>
              </w:rPr>
            </w:pPr>
            <w:r>
              <w:rPr>
                <w:sz w:val="16"/>
              </w:rPr>
              <w:t>1.5 </w:t>
            </w:r>
            <w:r>
              <w:rPr>
                <w:position w:val="7"/>
                <w:sz w:val="10"/>
              </w:rPr>
              <w:t>b</w:t>
            </w:r>
          </w:p>
          <w:p>
            <w:pPr>
              <w:pStyle w:val="TableParagraph"/>
              <w:spacing w:before="1"/>
              <w:jc w:val="left"/>
              <w:rPr>
                <w:sz w:val="16"/>
              </w:rPr>
            </w:pPr>
          </w:p>
          <w:p>
            <w:pPr>
              <w:pStyle w:val="TableParagraph"/>
              <w:ind w:left="114"/>
              <w:jc w:val="left"/>
              <w:rPr>
                <w:sz w:val="16"/>
              </w:rPr>
            </w:pPr>
            <w:r>
              <w:rPr>
                <w:sz w:val="16"/>
              </w:rPr>
              <w:t>(1-5)</w:t>
            </w:r>
          </w:p>
        </w:tc>
      </w:tr>
      <w:tr>
        <w:trPr>
          <w:trHeight w:val="747" w:hRule="exact"/>
        </w:trPr>
        <w:tc>
          <w:tcPr>
            <w:tcW w:w="2345" w:type="dxa"/>
            <w:tcBorders>
              <w:top w:val="nil"/>
              <w:left w:val="nil"/>
              <w:bottom w:val="nil"/>
              <w:right w:val="nil"/>
            </w:tcBorders>
          </w:tcPr>
          <w:p>
            <w:pPr>
              <w:pStyle w:val="TableParagraph"/>
              <w:jc w:val="left"/>
              <w:rPr>
                <w:sz w:val="16"/>
              </w:rPr>
            </w:pPr>
          </w:p>
          <w:p>
            <w:pPr>
              <w:pStyle w:val="TableParagraph"/>
              <w:spacing w:before="102"/>
              <w:ind w:left="1450"/>
              <w:jc w:val="left"/>
              <w:rPr>
                <w:sz w:val="16"/>
              </w:rPr>
            </w:pPr>
            <w:r>
              <w:rPr>
                <w:sz w:val="16"/>
              </w:rPr>
              <w:t>KET</w:t>
            </w:r>
          </w:p>
        </w:tc>
        <w:tc>
          <w:tcPr>
            <w:tcW w:w="685" w:type="dxa"/>
            <w:tcBorders>
              <w:top w:val="nil"/>
              <w:left w:val="nil"/>
              <w:bottom w:val="nil"/>
              <w:right w:val="nil"/>
            </w:tcBorders>
          </w:tcPr>
          <w:p>
            <w:pPr>
              <w:pStyle w:val="TableParagraph"/>
              <w:spacing w:before="99"/>
              <w:ind w:left="3"/>
              <w:rPr>
                <w:sz w:val="16"/>
              </w:rPr>
            </w:pPr>
            <w:r>
              <w:rPr>
                <w:w w:val="99"/>
                <w:sz w:val="16"/>
              </w:rPr>
              <w:t>0</w:t>
            </w:r>
          </w:p>
          <w:p>
            <w:pPr>
              <w:pStyle w:val="TableParagraph"/>
              <w:spacing w:before="2"/>
              <w:jc w:val="left"/>
              <w:rPr>
                <w:sz w:val="16"/>
              </w:rPr>
            </w:pPr>
          </w:p>
          <w:p>
            <w:pPr>
              <w:pStyle w:val="TableParagraph"/>
              <w:ind w:left="164" w:right="161"/>
              <w:rPr>
                <w:sz w:val="16"/>
              </w:rPr>
            </w:pPr>
            <w:r>
              <w:rPr>
                <w:sz w:val="16"/>
              </w:rPr>
              <w:t>(0-0)</w:t>
            </w:r>
          </w:p>
        </w:tc>
        <w:tc>
          <w:tcPr>
            <w:tcW w:w="696" w:type="dxa"/>
            <w:tcBorders>
              <w:top w:val="nil"/>
              <w:left w:val="nil"/>
              <w:bottom w:val="nil"/>
              <w:right w:val="nil"/>
            </w:tcBorders>
          </w:tcPr>
          <w:p>
            <w:pPr>
              <w:pStyle w:val="TableParagraph"/>
              <w:spacing w:before="99"/>
              <w:ind w:left="282"/>
              <w:jc w:val="left"/>
              <w:rPr>
                <w:sz w:val="16"/>
              </w:rPr>
            </w:pPr>
            <w:r>
              <w:rPr>
                <w:sz w:val="16"/>
              </w:rPr>
              <w:t>2.5</w:t>
            </w:r>
          </w:p>
          <w:p>
            <w:pPr>
              <w:pStyle w:val="TableParagraph"/>
              <w:spacing w:before="2"/>
              <w:jc w:val="left"/>
              <w:rPr>
                <w:sz w:val="16"/>
              </w:rPr>
            </w:pPr>
          </w:p>
          <w:p>
            <w:pPr>
              <w:pStyle w:val="TableParagraph"/>
              <w:ind w:left="219"/>
              <w:jc w:val="left"/>
              <w:rPr>
                <w:sz w:val="16"/>
              </w:rPr>
            </w:pPr>
            <w:r>
              <w:rPr>
                <w:sz w:val="16"/>
              </w:rPr>
              <w:t>(0-6)</w:t>
            </w:r>
          </w:p>
        </w:tc>
        <w:tc>
          <w:tcPr>
            <w:tcW w:w="550" w:type="dxa"/>
            <w:tcBorders>
              <w:top w:val="nil"/>
              <w:left w:val="nil"/>
              <w:bottom w:val="nil"/>
              <w:right w:val="nil"/>
            </w:tcBorders>
          </w:tcPr>
          <w:p>
            <w:pPr>
              <w:pStyle w:val="TableParagraph"/>
              <w:spacing w:before="99"/>
              <w:ind w:left="176"/>
              <w:jc w:val="left"/>
              <w:rPr>
                <w:sz w:val="16"/>
              </w:rPr>
            </w:pPr>
            <w:r>
              <w:rPr>
                <w:sz w:val="16"/>
              </w:rPr>
              <w:t>2.5</w:t>
            </w:r>
          </w:p>
          <w:p>
            <w:pPr>
              <w:pStyle w:val="TableParagraph"/>
              <w:spacing w:before="2"/>
              <w:jc w:val="left"/>
              <w:rPr>
                <w:sz w:val="16"/>
              </w:rPr>
            </w:pPr>
          </w:p>
          <w:p>
            <w:pPr>
              <w:pStyle w:val="TableParagraph"/>
              <w:ind w:left="114"/>
              <w:jc w:val="left"/>
              <w:rPr>
                <w:sz w:val="16"/>
              </w:rPr>
            </w:pPr>
            <w:r>
              <w:rPr>
                <w:sz w:val="16"/>
              </w:rPr>
              <w:t>(1-3)</w:t>
            </w:r>
          </w:p>
        </w:tc>
        <w:tc>
          <w:tcPr>
            <w:tcW w:w="555" w:type="dxa"/>
            <w:tcBorders>
              <w:top w:val="nil"/>
              <w:left w:val="nil"/>
              <w:bottom w:val="nil"/>
              <w:right w:val="nil"/>
            </w:tcBorders>
          </w:tcPr>
          <w:p>
            <w:pPr>
              <w:pStyle w:val="TableParagraph"/>
              <w:spacing w:before="99"/>
              <w:rPr>
                <w:sz w:val="16"/>
              </w:rPr>
            </w:pPr>
            <w:r>
              <w:rPr>
                <w:w w:val="99"/>
                <w:sz w:val="16"/>
              </w:rPr>
              <w:t>3</w:t>
            </w:r>
          </w:p>
          <w:p>
            <w:pPr>
              <w:pStyle w:val="TableParagraph"/>
              <w:spacing w:before="2"/>
              <w:jc w:val="left"/>
              <w:rPr>
                <w:sz w:val="16"/>
              </w:rPr>
            </w:pPr>
          </w:p>
          <w:p>
            <w:pPr>
              <w:pStyle w:val="TableParagraph"/>
              <w:ind w:left="96" w:right="96"/>
              <w:rPr>
                <w:sz w:val="16"/>
              </w:rPr>
            </w:pPr>
            <w:r>
              <w:rPr>
                <w:sz w:val="16"/>
              </w:rPr>
              <w:t>(1-4)</w:t>
            </w:r>
          </w:p>
        </w:tc>
        <w:tc>
          <w:tcPr>
            <w:tcW w:w="554" w:type="dxa"/>
            <w:tcBorders>
              <w:top w:val="nil"/>
              <w:left w:val="nil"/>
              <w:bottom w:val="nil"/>
              <w:right w:val="nil"/>
            </w:tcBorders>
          </w:tcPr>
          <w:p>
            <w:pPr>
              <w:pStyle w:val="TableParagraph"/>
              <w:spacing w:before="83"/>
              <w:ind w:left="214"/>
              <w:jc w:val="left"/>
              <w:rPr>
                <w:sz w:val="10"/>
              </w:rPr>
            </w:pPr>
            <w:r>
              <w:rPr>
                <w:position w:val="-6"/>
                <w:sz w:val="16"/>
              </w:rPr>
              <w:t>3</w:t>
            </w:r>
            <w:r>
              <w:rPr>
                <w:sz w:val="10"/>
              </w:rPr>
              <w:t>b</w:t>
            </w:r>
          </w:p>
          <w:p>
            <w:pPr>
              <w:pStyle w:val="TableParagraph"/>
              <w:spacing w:before="4"/>
              <w:jc w:val="left"/>
              <w:rPr>
                <w:sz w:val="16"/>
              </w:rPr>
            </w:pPr>
          </w:p>
          <w:p>
            <w:pPr>
              <w:pStyle w:val="TableParagraph"/>
              <w:ind w:left="118"/>
              <w:jc w:val="left"/>
              <w:rPr>
                <w:sz w:val="16"/>
              </w:rPr>
            </w:pPr>
            <w:r>
              <w:rPr>
                <w:sz w:val="16"/>
              </w:rPr>
              <w:t>(1-4)</w:t>
            </w:r>
          </w:p>
        </w:tc>
        <w:tc>
          <w:tcPr>
            <w:tcW w:w="555" w:type="dxa"/>
            <w:tcBorders>
              <w:top w:val="nil"/>
              <w:left w:val="nil"/>
              <w:bottom w:val="nil"/>
              <w:right w:val="nil"/>
            </w:tcBorders>
          </w:tcPr>
          <w:p>
            <w:pPr>
              <w:pStyle w:val="TableParagraph"/>
              <w:spacing w:before="99"/>
              <w:ind w:left="178"/>
              <w:jc w:val="left"/>
              <w:rPr>
                <w:sz w:val="16"/>
              </w:rPr>
            </w:pPr>
            <w:r>
              <w:rPr>
                <w:sz w:val="16"/>
              </w:rPr>
              <w:t>2.5</w:t>
            </w:r>
          </w:p>
          <w:p>
            <w:pPr>
              <w:pStyle w:val="TableParagraph"/>
              <w:spacing w:before="2"/>
              <w:jc w:val="left"/>
              <w:rPr>
                <w:sz w:val="16"/>
              </w:rPr>
            </w:pPr>
          </w:p>
          <w:p>
            <w:pPr>
              <w:pStyle w:val="TableParagraph"/>
              <w:ind w:left="116"/>
              <w:jc w:val="left"/>
              <w:rPr>
                <w:sz w:val="16"/>
              </w:rPr>
            </w:pPr>
            <w:r>
              <w:rPr>
                <w:sz w:val="16"/>
              </w:rPr>
              <w:t>(1-6)</w:t>
            </w:r>
          </w:p>
        </w:tc>
        <w:tc>
          <w:tcPr>
            <w:tcW w:w="555" w:type="dxa"/>
            <w:tcBorders>
              <w:top w:val="nil"/>
              <w:left w:val="nil"/>
              <w:bottom w:val="nil"/>
              <w:right w:val="nil"/>
            </w:tcBorders>
          </w:tcPr>
          <w:p>
            <w:pPr>
              <w:pStyle w:val="TableParagraph"/>
              <w:spacing w:before="85"/>
              <w:ind w:left="119" w:firstLine="38"/>
              <w:jc w:val="left"/>
              <w:rPr>
                <w:sz w:val="10"/>
              </w:rPr>
            </w:pPr>
            <w:r>
              <w:rPr>
                <w:sz w:val="16"/>
              </w:rPr>
              <w:t>2.5</w:t>
            </w:r>
            <w:r>
              <w:rPr>
                <w:position w:val="7"/>
                <w:sz w:val="10"/>
              </w:rPr>
              <w:t>b</w:t>
            </w:r>
          </w:p>
          <w:p>
            <w:pPr>
              <w:pStyle w:val="TableParagraph"/>
              <w:spacing w:before="2"/>
              <w:jc w:val="left"/>
              <w:rPr>
                <w:sz w:val="16"/>
              </w:rPr>
            </w:pPr>
          </w:p>
          <w:p>
            <w:pPr>
              <w:pStyle w:val="TableParagraph"/>
              <w:ind w:left="119"/>
              <w:jc w:val="left"/>
              <w:rPr>
                <w:sz w:val="16"/>
              </w:rPr>
            </w:pPr>
            <w:r>
              <w:rPr>
                <w:sz w:val="16"/>
              </w:rPr>
              <w:t>(1-5)</w:t>
            </w:r>
          </w:p>
        </w:tc>
        <w:tc>
          <w:tcPr>
            <w:tcW w:w="554" w:type="dxa"/>
            <w:tcBorders>
              <w:top w:val="nil"/>
              <w:left w:val="nil"/>
              <w:bottom w:val="nil"/>
              <w:right w:val="nil"/>
            </w:tcBorders>
          </w:tcPr>
          <w:p>
            <w:pPr>
              <w:pStyle w:val="TableParagraph"/>
              <w:spacing w:before="99"/>
              <w:rPr>
                <w:sz w:val="16"/>
              </w:rPr>
            </w:pPr>
            <w:r>
              <w:rPr>
                <w:w w:val="99"/>
                <w:sz w:val="16"/>
              </w:rPr>
              <w:t>1</w:t>
            </w:r>
          </w:p>
          <w:p>
            <w:pPr>
              <w:pStyle w:val="TableParagraph"/>
              <w:spacing w:before="2"/>
              <w:jc w:val="left"/>
              <w:rPr>
                <w:sz w:val="16"/>
              </w:rPr>
            </w:pPr>
          </w:p>
          <w:p>
            <w:pPr>
              <w:pStyle w:val="TableParagraph"/>
              <w:ind w:left="96" w:right="96"/>
              <w:rPr>
                <w:sz w:val="16"/>
              </w:rPr>
            </w:pPr>
            <w:r>
              <w:rPr>
                <w:sz w:val="16"/>
              </w:rPr>
              <w:t>(1-5)</w:t>
            </w:r>
          </w:p>
        </w:tc>
        <w:tc>
          <w:tcPr>
            <w:tcW w:w="576" w:type="dxa"/>
            <w:tcBorders>
              <w:top w:val="nil"/>
              <w:left w:val="nil"/>
              <w:bottom w:val="nil"/>
              <w:right w:val="nil"/>
            </w:tcBorders>
          </w:tcPr>
          <w:p>
            <w:pPr>
              <w:pStyle w:val="TableParagraph"/>
              <w:spacing w:before="99"/>
              <w:ind w:right="17"/>
              <w:rPr>
                <w:sz w:val="16"/>
              </w:rPr>
            </w:pPr>
            <w:r>
              <w:rPr>
                <w:w w:val="99"/>
                <w:sz w:val="16"/>
              </w:rPr>
              <w:t>1</w:t>
            </w:r>
          </w:p>
          <w:p>
            <w:pPr>
              <w:pStyle w:val="TableParagraph"/>
              <w:spacing w:before="2"/>
              <w:jc w:val="left"/>
              <w:rPr>
                <w:sz w:val="16"/>
              </w:rPr>
            </w:pPr>
          </w:p>
          <w:p>
            <w:pPr>
              <w:pStyle w:val="TableParagraph"/>
              <w:ind w:left="99" w:right="116"/>
              <w:rPr>
                <w:sz w:val="16"/>
              </w:rPr>
            </w:pPr>
            <w:r>
              <w:rPr>
                <w:sz w:val="16"/>
              </w:rPr>
              <w:t>(1-4)</w:t>
            </w:r>
          </w:p>
        </w:tc>
        <w:tc>
          <w:tcPr>
            <w:tcW w:w="593" w:type="dxa"/>
            <w:tcBorders>
              <w:top w:val="nil"/>
              <w:left w:val="nil"/>
              <w:bottom w:val="nil"/>
              <w:right w:val="nil"/>
            </w:tcBorders>
          </w:tcPr>
          <w:p>
            <w:pPr>
              <w:pStyle w:val="TableParagraph"/>
              <w:spacing w:before="99"/>
              <w:ind w:left="2"/>
              <w:rPr>
                <w:sz w:val="16"/>
              </w:rPr>
            </w:pPr>
            <w:r>
              <w:rPr>
                <w:w w:val="99"/>
                <w:sz w:val="16"/>
              </w:rPr>
              <w:t>2</w:t>
            </w:r>
          </w:p>
          <w:p>
            <w:pPr>
              <w:pStyle w:val="TableParagraph"/>
              <w:spacing w:before="2"/>
              <w:jc w:val="left"/>
              <w:rPr>
                <w:sz w:val="16"/>
              </w:rPr>
            </w:pPr>
          </w:p>
          <w:p>
            <w:pPr>
              <w:pStyle w:val="TableParagraph"/>
              <w:ind w:left="117" w:right="115"/>
              <w:rPr>
                <w:sz w:val="16"/>
              </w:rPr>
            </w:pPr>
            <w:r>
              <w:rPr>
                <w:sz w:val="16"/>
              </w:rPr>
              <w:t>(1-3)</w:t>
            </w:r>
          </w:p>
        </w:tc>
        <w:tc>
          <w:tcPr>
            <w:tcW w:w="574" w:type="dxa"/>
            <w:tcBorders>
              <w:top w:val="nil"/>
              <w:left w:val="nil"/>
              <w:bottom w:val="nil"/>
              <w:right w:val="nil"/>
            </w:tcBorders>
          </w:tcPr>
          <w:p>
            <w:pPr>
              <w:pStyle w:val="TableParagraph"/>
              <w:spacing w:before="99"/>
              <w:ind w:left="16"/>
              <w:rPr>
                <w:sz w:val="16"/>
              </w:rPr>
            </w:pPr>
            <w:r>
              <w:rPr>
                <w:w w:val="99"/>
                <w:sz w:val="16"/>
              </w:rPr>
              <w:t>1</w:t>
            </w:r>
          </w:p>
          <w:p>
            <w:pPr>
              <w:pStyle w:val="TableParagraph"/>
              <w:spacing w:before="2"/>
              <w:jc w:val="left"/>
              <w:rPr>
                <w:sz w:val="16"/>
              </w:rPr>
            </w:pPr>
          </w:p>
          <w:p>
            <w:pPr>
              <w:pStyle w:val="TableParagraph"/>
              <w:ind w:left="114" w:right="98"/>
              <w:rPr>
                <w:sz w:val="16"/>
              </w:rPr>
            </w:pPr>
            <w:r>
              <w:rPr>
                <w:sz w:val="16"/>
              </w:rPr>
              <w:t>(1-2)</w:t>
            </w:r>
          </w:p>
        </w:tc>
        <w:tc>
          <w:tcPr>
            <w:tcW w:w="555" w:type="dxa"/>
            <w:tcBorders>
              <w:top w:val="nil"/>
              <w:left w:val="nil"/>
              <w:bottom w:val="nil"/>
              <w:right w:val="nil"/>
            </w:tcBorders>
          </w:tcPr>
          <w:p>
            <w:pPr>
              <w:pStyle w:val="TableParagraph"/>
              <w:spacing w:before="99"/>
              <w:ind w:left="2"/>
              <w:rPr>
                <w:sz w:val="16"/>
              </w:rPr>
            </w:pPr>
            <w:r>
              <w:rPr>
                <w:w w:val="99"/>
                <w:sz w:val="16"/>
              </w:rPr>
              <w:t>1</w:t>
            </w:r>
          </w:p>
          <w:p>
            <w:pPr>
              <w:pStyle w:val="TableParagraph"/>
              <w:spacing w:before="2"/>
              <w:jc w:val="left"/>
              <w:rPr>
                <w:sz w:val="16"/>
              </w:rPr>
            </w:pPr>
          </w:p>
          <w:p>
            <w:pPr>
              <w:pStyle w:val="TableParagraph"/>
              <w:ind w:left="97" w:right="95"/>
              <w:rPr>
                <w:sz w:val="16"/>
              </w:rPr>
            </w:pPr>
            <w:r>
              <w:rPr>
                <w:sz w:val="16"/>
              </w:rPr>
              <w:t>(1-2)</w:t>
            </w:r>
          </w:p>
        </w:tc>
        <w:tc>
          <w:tcPr>
            <w:tcW w:w="552" w:type="dxa"/>
            <w:tcBorders>
              <w:top w:val="nil"/>
              <w:left w:val="nil"/>
              <w:bottom w:val="nil"/>
              <w:right w:val="nil"/>
            </w:tcBorders>
          </w:tcPr>
          <w:p>
            <w:pPr>
              <w:pStyle w:val="TableParagraph"/>
              <w:spacing w:before="99"/>
              <w:rPr>
                <w:sz w:val="16"/>
              </w:rPr>
            </w:pPr>
            <w:r>
              <w:rPr>
                <w:w w:val="99"/>
                <w:sz w:val="16"/>
              </w:rPr>
              <w:t>1</w:t>
            </w:r>
          </w:p>
          <w:p>
            <w:pPr>
              <w:pStyle w:val="TableParagraph"/>
              <w:spacing w:before="2"/>
              <w:jc w:val="left"/>
              <w:rPr>
                <w:sz w:val="16"/>
              </w:rPr>
            </w:pPr>
          </w:p>
          <w:p>
            <w:pPr>
              <w:pStyle w:val="TableParagraph"/>
              <w:ind w:left="96" w:right="96"/>
              <w:rPr>
                <w:sz w:val="16"/>
              </w:rPr>
            </w:pPr>
            <w:r>
              <w:rPr>
                <w:sz w:val="16"/>
              </w:rPr>
              <w:t>(1-2)</w:t>
            </w:r>
          </w:p>
        </w:tc>
        <w:tc>
          <w:tcPr>
            <w:tcW w:w="554" w:type="dxa"/>
            <w:tcBorders>
              <w:top w:val="nil"/>
              <w:left w:val="nil"/>
              <w:bottom w:val="nil"/>
              <w:right w:val="nil"/>
            </w:tcBorders>
          </w:tcPr>
          <w:p>
            <w:pPr>
              <w:pStyle w:val="TableParagraph"/>
              <w:spacing w:before="99"/>
              <w:rPr>
                <w:sz w:val="16"/>
              </w:rPr>
            </w:pPr>
            <w:r>
              <w:rPr>
                <w:w w:val="99"/>
                <w:sz w:val="16"/>
              </w:rPr>
              <w:t>1</w:t>
            </w:r>
          </w:p>
          <w:p>
            <w:pPr>
              <w:pStyle w:val="TableParagraph"/>
              <w:spacing w:before="2"/>
              <w:jc w:val="left"/>
              <w:rPr>
                <w:sz w:val="16"/>
              </w:rPr>
            </w:pPr>
          </w:p>
          <w:p>
            <w:pPr>
              <w:pStyle w:val="TableParagraph"/>
              <w:ind w:left="96" w:right="96"/>
              <w:rPr>
                <w:sz w:val="16"/>
              </w:rPr>
            </w:pPr>
            <w:r>
              <w:rPr>
                <w:sz w:val="16"/>
              </w:rPr>
              <w:t>(0-2)</w:t>
            </w:r>
          </w:p>
        </w:tc>
        <w:tc>
          <w:tcPr>
            <w:tcW w:w="555" w:type="dxa"/>
            <w:tcBorders>
              <w:top w:val="nil"/>
              <w:left w:val="nil"/>
              <w:bottom w:val="nil"/>
              <w:right w:val="nil"/>
            </w:tcBorders>
          </w:tcPr>
          <w:p>
            <w:pPr>
              <w:pStyle w:val="TableParagraph"/>
              <w:spacing w:before="99"/>
              <w:ind w:left="2"/>
              <w:rPr>
                <w:sz w:val="16"/>
              </w:rPr>
            </w:pPr>
            <w:r>
              <w:rPr>
                <w:w w:val="99"/>
                <w:sz w:val="16"/>
              </w:rPr>
              <w:t>1</w:t>
            </w:r>
          </w:p>
          <w:p>
            <w:pPr>
              <w:pStyle w:val="TableParagraph"/>
              <w:spacing w:before="2"/>
              <w:jc w:val="left"/>
              <w:rPr>
                <w:sz w:val="16"/>
              </w:rPr>
            </w:pPr>
          </w:p>
          <w:p>
            <w:pPr>
              <w:pStyle w:val="TableParagraph"/>
              <w:ind w:left="97" w:right="95"/>
              <w:rPr>
                <w:sz w:val="16"/>
              </w:rPr>
            </w:pPr>
            <w:r>
              <w:rPr>
                <w:sz w:val="16"/>
              </w:rPr>
              <w:t>(0-1)</w:t>
            </w:r>
          </w:p>
        </w:tc>
        <w:tc>
          <w:tcPr>
            <w:tcW w:w="555" w:type="dxa"/>
            <w:tcBorders>
              <w:top w:val="nil"/>
              <w:left w:val="nil"/>
              <w:bottom w:val="nil"/>
              <w:right w:val="nil"/>
            </w:tcBorders>
          </w:tcPr>
          <w:p>
            <w:pPr>
              <w:pStyle w:val="TableParagraph"/>
              <w:spacing w:before="99"/>
              <w:rPr>
                <w:sz w:val="16"/>
              </w:rPr>
            </w:pPr>
            <w:r>
              <w:rPr>
                <w:w w:val="99"/>
                <w:sz w:val="16"/>
              </w:rPr>
              <w:t>0</w:t>
            </w:r>
          </w:p>
          <w:p>
            <w:pPr>
              <w:pStyle w:val="TableParagraph"/>
              <w:spacing w:before="2"/>
              <w:jc w:val="left"/>
              <w:rPr>
                <w:sz w:val="16"/>
              </w:rPr>
            </w:pPr>
          </w:p>
          <w:p>
            <w:pPr>
              <w:pStyle w:val="TableParagraph"/>
              <w:ind w:left="96" w:right="96"/>
              <w:rPr>
                <w:sz w:val="16"/>
              </w:rPr>
            </w:pPr>
            <w:r>
              <w:rPr>
                <w:sz w:val="16"/>
              </w:rPr>
              <w:t>(0-1)</w:t>
            </w:r>
          </w:p>
        </w:tc>
        <w:tc>
          <w:tcPr>
            <w:tcW w:w="552" w:type="dxa"/>
            <w:tcBorders>
              <w:top w:val="nil"/>
              <w:left w:val="nil"/>
              <w:bottom w:val="nil"/>
              <w:right w:val="nil"/>
            </w:tcBorders>
          </w:tcPr>
          <w:p>
            <w:pPr>
              <w:pStyle w:val="TableParagraph"/>
              <w:spacing w:before="83"/>
              <w:ind w:left="219"/>
              <w:jc w:val="left"/>
              <w:rPr>
                <w:sz w:val="10"/>
              </w:rPr>
            </w:pPr>
            <w:r>
              <w:rPr>
                <w:position w:val="-6"/>
                <w:sz w:val="16"/>
              </w:rPr>
              <w:t>0</w:t>
            </w:r>
            <w:r>
              <w:rPr>
                <w:sz w:val="10"/>
              </w:rPr>
              <w:t>a</w:t>
            </w:r>
          </w:p>
          <w:p>
            <w:pPr>
              <w:pStyle w:val="TableParagraph"/>
              <w:spacing w:before="4"/>
              <w:jc w:val="left"/>
              <w:rPr>
                <w:sz w:val="16"/>
              </w:rPr>
            </w:pPr>
          </w:p>
          <w:p>
            <w:pPr>
              <w:pStyle w:val="TableParagraph"/>
              <w:ind w:left="118"/>
              <w:jc w:val="left"/>
              <w:rPr>
                <w:sz w:val="16"/>
              </w:rPr>
            </w:pPr>
            <w:r>
              <w:rPr>
                <w:sz w:val="16"/>
              </w:rPr>
              <w:t>(0-0)</w:t>
            </w:r>
          </w:p>
        </w:tc>
        <w:tc>
          <w:tcPr>
            <w:tcW w:w="547" w:type="dxa"/>
            <w:tcBorders>
              <w:top w:val="nil"/>
              <w:left w:val="nil"/>
              <w:bottom w:val="nil"/>
              <w:right w:val="nil"/>
            </w:tcBorders>
          </w:tcPr>
          <w:p>
            <w:pPr>
              <w:pStyle w:val="TableParagraph"/>
              <w:spacing w:before="83"/>
              <w:ind w:left="92" w:right="88"/>
              <w:rPr>
                <w:sz w:val="10"/>
              </w:rPr>
            </w:pPr>
            <w:r>
              <w:rPr>
                <w:position w:val="-6"/>
                <w:sz w:val="16"/>
              </w:rPr>
              <w:t>0 </w:t>
            </w:r>
            <w:r>
              <w:rPr>
                <w:sz w:val="10"/>
              </w:rPr>
              <w:t>a</w:t>
            </w:r>
          </w:p>
          <w:p>
            <w:pPr>
              <w:pStyle w:val="TableParagraph"/>
              <w:spacing w:before="4"/>
              <w:jc w:val="left"/>
              <w:rPr>
                <w:sz w:val="16"/>
              </w:rPr>
            </w:pPr>
          </w:p>
          <w:p>
            <w:pPr>
              <w:pStyle w:val="TableParagraph"/>
              <w:ind w:left="92" w:right="92"/>
              <w:rPr>
                <w:sz w:val="16"/>
              </w:rPr>
            </w:pPr>
            <w:r>
              <w:rPr>
                <w:sz w:val="16"/>
              </w:rPr>
              <w:t>(0-0)</w:t>
            </w:r>
          </w:p>
        </w:tc>
      </w:tr>
      <w:tr>
        <w:trPr>
          <w:trHeight w:val="481" w:hRule="exact"/>
        </w:trPr>
        <w:tc>
          <w:tcPr>
            <w:tcW w:w="2345" w:type="dxa"/>
            <w:tcBorders>
              <w:top w:val="nil"/>
              <w:left w:val="nil"/>
              <w:bottom w:val="nil"/>
              <w:right w:val="nil"/>
            </w:tcBorders>
          </w:tcPr>
          <w:p>
            <w:pPr>
              <w:pStyle w:val="TableParagraph"/>
              <w:jc w:val="left"/>
              <w:rPr>
                <w:sz w:val="16"/>
              </w:rPr>
            </w:pPr>
          </w:p>
          <w:p>
            <w:pPr>
              <w:pStyle w:val="TableParagraph"/>
              <w:spacing w:before="99"/>
              <w:ind w:left="1474"/>
              <w:jc w:val="left"/>
              <w:rPr>
                <w:sz w:val="16"/>
              </w:rPr>
            </w:pPr>
            <w:r>
              <w:rPr>
                <w:sz w:val="16"/>
              </w:rPr>
              <w:t>LID</w:t>
            </w:r>
          </w:p>
        </w:tc>
        <w:tc>
          <w:tcPr>
            <w:tcW w:w="685" w:type="dxa"/>
            <w:vMerge w:val="restart"/>
            <w:tcBorders>
              <w:top w:val="nil"/>
              <w:left w:val="nil"/>
              <w:right w:val="nil"/>
            </w:tcBorders>
          </w:tcPr>
          <w:p>
            <w:pPr>
              <w:pStyle w:val="TableParagraph"/>
              <w:spacing w:before="101"/>
              <w:ind w:left="3"/>
              <w:rPr>
                <w:sz w:val="16"/>
              </w:rPr>
            </w:pPr>
            <w:r>
              <w:rPr>
                <w:w w:val="99"/>
                <w:sz w:val="16"/>
              </w:rPr>
              <w:t>0</w:t>
            </w:r>
          </w:p>
          <w:p>
            <w:pPr>
              <w:pStyle w:val="TableParagraph"/>
              <w:spacing w:before="8"/>
              <w:jc w:val="left"/>
              <w:rPr>
                <w:sz w:val="15"/>
              </w:rPr>
            </w:pPr>
          </w:p>
          <w:p>
            <w:pPr>
              <w:pStyle w:val="TableParagraph"/>
              <w:ind w:left="164" w:right="161"/>
              <w:rPr>
                <w:sz w:val="16"/>
              </w:rPr>
            </w:pPr>
            <w:r>
              <w:rPr>
                <w:sz w:val="16"/>
              </w:rPr>
              <w:t>(0-0)</w:t>
            </w:r>
          </w:p>
        </w:tc>
        <w:tc>
          <w:tcPr>
            <w:tcW w:w="696" w:type="dxa"/>
            <w:vMerge w:val="restart"/>
            <w:tcBorders>
              <w:top w:val="nil"/>
              <w:left w:val="nil"/>
              <w:right w:val="nil"/>
            </w:tcBorders>
          </w:tcPr>
          <w:p>
            <w:pPr>
              <w:pStyle w:val="TableParagraph"/>
              <w:spacing w:before="101"/>
              <w:ind w:left="62"/>
              <w:rPr>
                <w:sz w:val="16"/>
              </w:rPr>
            </w:pPr>
            <w:r>
              <w:rPr>
                <w:w w:val="99"/>
                <w:sz w:val="16"/>
              </w:rPr>
              <w:t>2</w:t>
            </w:r>
          </w:p>
          <w:p>
            <w:pPr>
              <w:pStyle w:val="TableParagraph"/>
              <w:spacing w:before="8"/>
              <w:jc w:val="left"/>
              <w:rPr>
                <w:sz w:val="15"/>
              </w:rPr>
            </w:pPr>
          </w:p>
          <w:p>
            <w:pPr>
              <w:pStyle w:val="TableParagraph"/>
              <w:ind w:left="156" w:right="94"/>
              <w:rPr>
                <w:sz w:val="16"/>
              </w:rPr>
            </w:pPr>
            <w:r>
              <w:rPr>
                <w:sz w:val="16"/>
              </w:rPr>
              <w:t>(1-4)</w:t>
            </w:r>
          </w:p>
        </w:tc>
        <w:tc>
          <w:tcPr>
            <w:tcW w:w="550" w:type="dxa"/>
            <w:vMerge w:val="restart"/>
            <w:tcBorders>
              <w:top w:val="nil"/>
              <w:left w:val="nil"/>
              <w:right w:val="nil"/>
            </w:tcBorders>
          </w:tcPr>
          <w:p>
            <w:pPr>
              <w:pStyle w:val="TableParagraph"/>
              <w:spacing w:before="85"/>
              <w:ind w:left="210"/>
              <w:jc w:val="left"/>
              <w:rPr>
                <w:sz w:val="10"/>
              </w:rPr>
            </w:pPr>
            <w:r>
              <w:rPr>
                <w:position w:val="-6"/>
                <w:sz w:val="16"/>
              </w:rPr>
              <w:t>2</w:t>
            </w:r>
            <w:r>
              <w:rPr>
                <w:sz w:val="10"/>
              </w:rPr>
              <w:t>b</w:t>
            </w:r>
          </w:p>
          <w:p>
            <w:pPr>
              <w:pStyle w:val="TableParagraph"/>
              <w:spacing w:before="10"/>
              <w:jc w:val="left"/>
              <w:rPr>
                <w:sz w:val="15"/>
              </w:rPr>
            </w:pPr>
          </w:p>
          <w:p>
            <w:pPr>
              <w:pStyle w:val="TableParagraph"/>
              <w:ind w:left="114"/>
              <w:jc w:val="left"/>
              <w:rPr>
                <w:sz w:val="16"/>
              </w:rPr>
            </w:pPr>
            <w:r>
              <w:rPr>
                <w:sz w:val="16"/>
              </w:rPr>
              <w:t>(1-5)</w:t>
            </w:r>
          </w:p>
        </w:tc>
        <w:tc>
          <w:tcPr>
            <w:tcW w:w="555" w:type="dxa"/>
            <w:vMerge w:val="restart"/>
            <w:tcBorders>
              <w:top w:val="nil"/>
              <w:left w:val="nil"/>
              <w:right w:val="nil"/>
            </w:tcBorders>
          </w:tcPr>
          <w:p>
            <w:pPr>
              <w:pStyle w:val="TableParagraph"/>
              <w:spacing w:before="85"/>
              <w:ind w:left="212"/>
              <w:jc w:val="left"/>
              <w:rPr>
                <w:sz w:val="10"/>
              </w:rPr>
            </w:pPr>
            <w:r>
              <w:rPr>
                <w:position w:val="-6"/>
                <w:sz w:val="16"/>
              </w:rPr>
              <w:t>2</w:t>
            </w:r>
            <w:r>
              <w:rPr>
                <w:sz w:val="10"/>
              </w:rPr>
              <w:t>*</w:t>
            </w:r>
          </w:p>
          <w:p>
            <w:pPr>
              <w:pStyle w:val="TableParagraph"/>
              <w:spacing w:before="10"/>
              <w:jc w:val="left"/>
              <w:rPr>
                <w:sz w:val="15"/>
              </w:rPr>
            </w:pPr>
          </w:p>
          <w:p>
            <w:pPr>
              <w:pStyle w:val="TableParagraph"/>
              <w:ind w:left="116"/>
              <w:jc w:val="left"/>
              <w:rPr>
                <w:sz w:val="16"/>
              </w:rPr>
            </w:pPr>
            <w:r>
              <w:rPr>
                <w:sz w:val="16"/>
              </w:rPr>
              <w:t>(1-5)</w:t>
            </w:r>
          </w:p>
        </w:tc>
        <w:tc>
          <w:tcPr>
            <w:tcW w:w="554" w:type="dxa"/>
            <w:vMerge w:val="restart"/>
            <w:tcBorders>
              <w:top w:val="nil"/>
              <w:left w:val="nil"/>
              <w:right w:val="nil"/>
            </w:tcBorders>
          </w:tcPr>
          <w:p>
            <w:pPr>
              <w:pStyle w:val="TableParagraph"/>
              <w:spacing w:before="101"/>
              <w:ind w:left="2"/>
              <w:rPr>
                <w:sz w:val="16"/>
              </w:rPr>
            </w:pPr>
            <w:r>
              <w:rPr>
                <w:w w:val="99"/>
                <w:sz w:val="16"/>
              </w:rPr>
              <w:t>2</w:t>
            </w:r>
          </w:p>
          <w:p>
            <w:pPr>
              <w:pStyle w:val="TableParagraph"/>
              <w:spacing w:before="8"/>
              <w:jc w:val="left"/>
              <w:rPr>
                <w:sz w:val="15"/>
              </w:rPr>
            </w:pPr>
          </w:p>
          <w:p>
            <w:pPr>
              <w:pStyle w:val="TableParagraph"/>
              <w:ind w:left="97" w:right="95"/>
              <w:rPr>
                <w:sz w:val="16"/>
              </w:rPr>
            </w:pPr>
            <w:r>
              <w:rPr>
                <w:sz w:val="16"/>
              </w:rPr>
              <w:t>(1-3)</w:t>
            </w:r>
          </w:p>
        </w:tc>
        <w:tc>
          <w:tcPr>
            <w:tcW w:w="555" w:type="dxa"/>
            <w:vMerge w:val="restart"/>
            <w:tcBorders>
              <w:top w:val="nil"/>
              <w:left w:val="nil"/>
              <w:right w:val="nil"/>
            </w:tcBorders>
          </w:tcPr>
          <w:p>
            <w:pPr>
              <w:pStyle w:val="TableParagraph"/>
              <w:spacing w:before="101"/>
              <w:rPr>
                <w:sz w:val="16"/>
              </w:rPr>
            </w:pPr>
            <w:r>
              <w:rPr>
                <w:w w:val="99"/>
                <w:sz w:val="16"/>
              </w:rPr>
              <w:t>1</w:t>
            </w:r>
          </w:p>
          <w:p>
            <w:pPr>
              <w:pStyle w:val="TableParagraph"/>
              <w:spacing w:before="8"/>
              <w:jc w:val="left"/>
              <w:rPr>
                <w:sz w:val="15"/>
              </w:rPr>
            </w:pPr>
          </w:p>
          <w:p>
            <w:pPr>
              <w:pStyle w:val="TableParagraph"/>
              <w:ind w:left="96" w:right="96"/>
              <w:rPr>
                <w:sz w:val="16"/>
              </w:rPr>
            </w:pPr>
            <w:r>
              <w:rPr>
                <w:sz w:val="16"/>
              </w:rPr>
              <w:t>(0-3)</w:t>
            </w:r>
          </w:p>
        </w:tc>
        <w:tc>
          <w:tcPr>
            <w:tcW w:w="555" w:type="dxa"/>
            <w:vMerge w:val="restart"/>
            <w:tcBorders>
              <w:top w:val="nil"/>
              <w:left w:val="nil"/>
              <w:right w:val="nil"/>
            </w:tcBorders>
          </w:tcPr>
          <w:p>
            <w:pPr>
              <w:pStyle w:val="TableParagraph"/>
              <w:spacing w:before="101"/>
              <w:ind w:left="2"/>
              <w:rPr>
                <w:sz w:val="16"/>
              </w:rPr>
            </w:pPr>
            <w:r>
              <w:rPr>
                <w:w w:val="99"/>
                <w:sz w:val="16"/>
              </w:rPr>
              <w:t>2</w:t>
            </w:r>
          </w:p>
          <w:p>
            <w:pPr>
              <w:pStyle w:val="TableParagraph"/>
              <w:spacing w:before="8"/>
              <w:jc w:val="left"/>
              <w:rPr>
                <w:sz w:val="15"/>
              </w:rPr>
            </w:pPr>
          </w:p>
          <w:p>
            <w:pPr>
              <w:pStyle w:val="TableParagraph"/>
              <w:ind w:left="97" w:right="95"/>
              <w:rPr>
                <w:sz w:val="16"/>
              </w:rPr>
            </w:pPr>
            <w:r>
              <w:rPr>
                <w:sz w:val="16"/>
              </w:rPr>
              <w:t>(1-3)</w:t>
            </w:r>
          </w:p>
        </w:tc>
        <w:tc>
          <w:tcPr>
            <w:tcW w:w="554" w:type="dxa"/>
            <w:vMerge w:val="restart"/>
            <w:tcBorders>
              <w:top w:val="nil"/>
              <w:left w:val="nil"/>
              <w:right w:val="nil"/>
            </w:tcBorders>
          </w:tcPr>
          <w:p>
            <w:pPr>
              <w:pStyle w:val="TableParagraph"/>
              <w:spacing w:before="101"/>
              <w:rPr>
                <w:sz w:val="16"/>
              </w:rPr>
            </w:pPr>
            <w:r>
              <w:rPr>
                <w:w w:val="99"/>
                <w:sz w:val="16"/>
              </w:rPr>
              <w:t>2</w:t>
            </w:r>
          </w:p>
          <w:p>
            <w:pPr>
              <w:pStyle w:val="TableParagraph"/>
              <w:spacing w:before="8"/>
              <w:jc w:val="left"/>
              <w:rPr>
                <w:sz w:val="15"/>
              </w:rPr>
            </w:pPr>
          </w:p>
          <w:p>
            <w:pPr>
              <w:pStyle w:val="TableParagraph"/>
              <w:ind w:left="96" w:right="96"/>
              <w:rPr>
                <w:sz w:val="16"/>
              </w:rPr>
            </w:pPr>
            <w:r>
              <w:rPr>
                <w:sz w:val="16"/>
              </w:rPr>
              <w:t>(0-3)</w:t>
            </w:r>
          </w:p>
        </w:tc>
        <w:tc>
          <w:tcPr>
            <w:tcW w:w="576" w:type="dxa"/>
            <w:vMerge w:val="restart"/>
            <w:tcBorders>
              <w:top w:val="nil"/>
              <w:left w:val="nil"/>
              <w:right w:val="nil"/>
            </w:tcBorders>
          </w:tcPr>
          <w:p>
            <w:pPr>
              <w:pStyle w:val="TableParagraph"/>
              <w:spacing w:before="101"/>
              <w:ind w:right="17"/>
              <w:rPr>
                <w:sz w:val="16"/>
              </w:rPr>
            </w:pPr>
            <w:r>
              <w:rPr>
                <w:w w:val="99"/>
                <w:sz w:val="16"/>
              </w:rPr>
              <w:t>2</w:t>
            </w:r>
          </w:p>
          <w:p>
            <w:pPr>
              <w:pStyle w:val="TableParagraph"/>
              <w:spacing w:before="8"/>
              <w:jc w:val="left"/>
              <w:rPr>
                <w:sz w:val="15"/>
              </w:rPr>
            </w:pPr>
          </w:p>
          <w:p>
            <w:pPr>
              <w:pStyle w:val="TableParagraph"/>
              <w:ind w:left="99" w:right="116"/>
              <w:rPr>
                <w:sz w:val="16"/>
              </w:rPr>
            </w:pPr>
            <w:r>
              <w:rPr>
                <w:sz w:val="16"/>
              </w:rPr>
              <w:t>(0-3)</w:t>
            </w:r>
          </w:p>
        </w:tc>
        <w:tc>
          <w:tcPr>
            <w:tcW w:w="593" w:type="dxa"/>
            <w:vMerge w:val="restart"/>
            <w:tcBorders>
              <w:top w:val="nil"/>
              <w:left w:val="nil"/>
              <w:right w:val="nil"/>
            </w:tcBorders>
          </w:tcPr>
          <w:p>
            <w:pPr>
              <w:pStyle w:val="TableParagraph"/>
              <w:spacing w:before="101"/>
              <w:ind w:left="2"/>
              <w:rPr>
                <w:sz w:val="16"/>
              </w:rPr>
            </w:pPr>
            <w:r>
              <w:rPr>
                <w:w w:val="99"/>
                <w:sz w:val="16"/>
              </w:rPr>
              <w:t>1</w:t>
            </w:r>
          </w:p>
          <w:p>
            <w:pPr>
              <w:pStyle w:val="TableParagraph"/>
              <w:spacing w:before="8"/>
              <w:jc w:val="left"/>
              <w:rPr>
                <w:sz w:val="15"/>
              </w:rPr>
            </w:pPr>
          </w:p>
          <w:p>
            <w:pPr>
              <w:pStyle w:val="TableParagraph"/>
              <w:ind w:left="117" w:right="115"/>
              <w:rPr>
                <w:sz w:val="16"/>
              </w:rPr>
            </w:pPr>
            <w:r>
              <w:rPr>
                <w:sz w:val="16"/>
              </w:rPr>
              <w:t>(0-3)</w:t>
            </w:r>
          </w:p>
        </w:tc>
        <w:tc>
          <w:tcPr>
            <w:tcW w:w="574" w:type="dxa"/>
            <w:vMerge w:val="restart"/>
            <w:tcBorders>
              <w:top w:val="nil"/>
              <w:left w:val="nil"/>
              <w:right w:val="nil"/>
            </w:tcBorders>
          </w:tcPr>
          <w:p>
            <w:pPr>
              <w:pStyle w:val="TableParagraph"/>
              <w:spacing w:before="101"/>
              <w:ind w:left="16"/>
              <w:rPr>
                <w:sz w:val="16"/>
              </w:rPr>
            </w:pPr>
            <w:r>
              <w:rPr>
                <w:w w:val="99"/>
                <w:sz w:val="16"/>
              </w:rPr>
              <w:t>1</w:t>
            </w:r>
          </w:p>
          <w:p>
            <w:pPr>
              <w:pStyle w:val="TableParagraph"/>
              <w:spacing w:before="8"/>
              <w:jc w:val="left"/>
              <w:rPr>
                <w:sz w:val="15"/>
              </w:rPr>
            </w:pPr>
          </w:p>
          <w:p>
            <w:pPr>
              <w:pStyle w:val="TableParagraph"/>
              <w:ind w:left="114" w:right="98"/>
              <w:rPr>
                <w:sz w:val="16"/>
              </w:rPr>
            </w:pPr>
            <w:r>
              <w:rPr>
                <w:sz w:val="16"/>
              </w:rPr>
              <w:t>(0-3)</w:t>
            </w:r>
          </w:p>
        </w:tc>
        <w:tc>
          <w:tcPr>
            <w:tcW w:w="555" w:type="dxa"/>
            <w:vMerge w:val="restart"/>
            <w:tcBorders>
              <w:top w:val="nil"/>
              <w:left w:val="nil"/>
              <w:right w:val="nil"/>
            </w:tcBorders>
          </w:tcPr>
          <w:p>
            <w:pPr>
              <w:pStyle w:val="TableParagraph"/>
              <w:spacing w:before="101"/>
              <w:ind w:left="2"/>
              <w:rPr>
                <w:sz w:val="16"/>
              </w:rPr>
            </w:pPr>
            <w:r>
              <w:rPr>
                <w:w w:val="99"/>
                <w:sz w:val="16"/>
              </w:rPr>
              <w:t>1</w:t>
            </w:r>
          </w:p>
          <w:p>
            <w:pPr>
              <w:pStyle w:val="TableParagraph"/>
              <w:spacing w:before="8"/>
              <w:jc w:val="left"/>
              <w:rPr>
                <w:sz w:val="15"/>
              </w:rPr>
            </w:pPr>
          </w:p>
          <w:p>
            <w:pPr>
              <w:pStyle w:val="TableParagraph"/>
              <w:ind w:left="97" w:right="95"/>
              <w:rPr>
                <w:sz w:val="16"/>
              </w:rPr>
            </w:pPr>
            <w:r>
              <w:rPr>
                <w:sz w:val="16"/>
              </w:rPr>
              <w:t>(0-3)</w:t>
            </w:r>
          </w:p>
        </w:tc>
        <w:tc>
          <w:tcPr>
            <w:tcW w:w="552" w:type="dxa"/>
            <w:vMerge w:val="restart"/>
            <w:tcBorders>
              <w:top w:val="nil"/>
              <w:left w:val="nil"/>
              <w:right w:val="nil"/>
            </w:tcBorders>
          </w:tcPr>
          <w:p>
            <w:pPr>
              <w:pStyle w:val="TableParagraph"/>
              <w:spacing w:before="101"/>
              <w:rPr>
                <w:sz w:val="16"/>
              </w:rPr>
            </w:pPr>
            <w:r>
              <w:rPr>
                <w:w w:val="99"/>
                <w:sz w:val="16"/>
              </w:rPr>
              <w:t>1</w:t>
            </w:r>
          </w:p>
          <w:p>
            <w:pPr>
              <w:pStyle w:val="TableParagraph"/>
              <w:spacing w:before="8"/>
              <w:jc w:val="left"/>
              <w:rPr>
                <w:sz w:val="15"/>
              </w:rPr>
            </w:pPr>
          </w:p>
          <w:p>
            <w:pPr>
              <w:pStyle w:val="TableParagraph"/>
              <w:ind w:left="96" w:right="96"/>
              <w:rPr>
                <w:sz w:val="16"/>
              </w:rPr>
            </w:pPr>
            <w:r>
              <w:rPr>
                <w:sz w:val="16"/>
              </w:rPr>
              <w:t>(0-3)</w:t>
            </w:r>
          </w:p>
        </w:tc>
        <w:tc>
          <w:tcPr>
            <w:tcW w:w="554" w:type="dxa"/>
            <w:vMerge w:val="restart"/>
            <w:tcBorders>
              <w:top w:val="nil"/>
              <w:left w:val="nil"/>
              <w:right w:val="nil"/>
            </w:tcBorders>
          </w:tcPr>
          <w:p>
            <w:pPr>
              <w:pStyle w:val="TableParagraph"/>
              <w:spacing w:before="101"/>
              <w:rPr>
                <w:sz w:val="16"/>
              </w:rPr>
            </w:pPr>
            <w:r>
              <w:rPr>
                <w:w w:val="99"/>
                <w:sz w:val="16"/>
              </w:rPr>
              <w:t>1</w:t>
            </w:r>
          </w:p>
          <w:p>
            <w:pPr>
              <w:pStyle w:val="TableParagraph"/>
              <w:spacing w:before="8"/>
              <w:jc w:val="left"/>
              <w:rPr>
                <w:sz w:val="15"/>
              </w:rPr>
            </w:pPr>
          </w:p>
          <w:p>
            <w:pPr>
              <w:pStyle w:val="TableParagraph"/>
              <w:ind w:left="96" w:right="96"/>
              <w:rPr>
                <w:sz w:val="16"/>
              </w:rPr>
            </w:pPr>
            <w:r>
              <w:rPr>
                <w:sz w:val="16"/>
              </w:rPr>
              <w:t>(0-3)</w:t>
            </w:r>
          </w:p>
        </w:tc>
        <w:tc>
          <w:tcPr>
            <w:tcW w:w="555" w:type="dxa"/>
            <w:vMerge w:val="restart"/>
            <w:tcBorders>
              <w:top w:val="nil"/>
              <w:left w:val="nil"/>
              <w:right w:val="nil"/>
            </w:tcBorders>
          </w:tcPr>
          <w:p>
            <w:pPr>
              <w:pStyle w:val="TableParagraph"/>
              <w:spacing w:before="101"/>
              <w:ind w:left="2"/>
              <w:rPr>
                <w:sz w:val="16"/>
              </w:rPr>
            </w:pPr>
            <w:r>
              <w:rPr>
                <w:w w:val="99"/>
                <w:sz w:val="16"/>
              </w:rPr>
              <w:t>2</w:t>
            </w:r>
          </w:p>
          <w:p>
            <w:pPr>
              <w:pStyle w:val="TableParagraph"/>
              <w:spacing w:before="8"/>
              <w:jc w:val="left"/>
              <w:rPr>
                <w:sz w:val="15"/>
              </w:rPr>
            </w:pPr>
          </w:p>
          <w:p>
            <w:pPr>
              <w:pStyle w:val="TableParagraph"/>
              <w:ind w:left="97" w:right="95"/>
              <w:rPr>
                <w:sz w:val="16"/>
              </w:rPr>
            </w:pPr>
            <w:r>
              <w:rPr>
                <w:sz w:val="16"/>
              </w:rPr>
              <w:t>(0-3)</w:t>
            </w:r>
          </w:p>
        </w:tc>
        <w:tc>
          <w:tcPr>
            <w:tcW w:w="555" w:type="dxa"/>
            <w:vMerge w:val="restart"/>
            <w:tcBorders>
              <w:top w:val="nil"/>
              <w:left w:val="nil"/>
              <w:right w:val="nil"/>
            </w:tcBorders>
          </w:tcPr>
          <w:p>
            <w:pPr>
              <w:pStyle w:val="TableParagraph"/>
              <w:spacing w:before="101"/>
              <w:rPr>
                <w:sz w:val="16"/>
              </w:rPr>
            </w:pPr>
            <w:r>
              <w:rPr>
                <w:w w:val="99"/>
                <w:sz w:val="16"/>
              </w:rPr>
              <w:t>1</w:t>
            </w:r>
          </w:p>
          <w:p>
            <w:pPr>
              <w:pStyle w:val="TableParagraph"/>
              <w:spacing w:before="8"/>
              <w:jc w:val="left"/>
              <w:rPr>
                <w:sz w:val="15"/>
              </w:rPr>
            </w:pPr>
          </w:p>
          <w:p>
            <w:pPr>
              <w:pStyle w:val="TableParagraph"/>
              <w:ind w:left="96" w:right="96"/>
              <w:rPr>
                <w:sz w:val="16"/>
              </w:rPr>
            </w:pPr>
            <w:r>
              <w:rPr>
                <w:sz w:val="16"/>
              </w:rPr>
              <w:t>(0-2)</w:t>
            </w:r>
          </w:p>
        </w:tc>
        <w:tc>
          <w:tcPr>
            <w:tcW w:w="552" w:type="dxa"/>
            <w:vMerge w:val="restart"/>
            <w:tcBorders>
              <w:top w:val="nil"/>
              <w:left w:val="nil"/>
              <w:right w:val="nil"/>
            </w:tcBorders>
          </w:tcPr>
          <w:p>
            <w:pPr>
              <w:pStyle w:val="TableParagraph"/>
              <w:spacing w:before="101"/>
              <w:ind w:left="4"/>
              <w:rPr>
                <w:sz w:val="16"/>
              </w:rPr>
            </w:pPr>
            <w:r>
              <w:rPr>
                <w:w w:val="99"/>
                <w:sz w:val="16"/>
              </w:rPr>
              <w:t>0</w:t>
            </w:r>
          </w:p>
          <w:p>
            <w:pPr>
              <w:pStyle w:val="TableParagraph"/>
              <w:spacing w:before="8"/>
              <w:jc w:val="left"/>
              <w:rPr>
                <w:sz w:val="15"/>
              </w:rPr>
            </w:pPr>
          </w:p>
          <w:p>
            <w:pPr>
              <w:pStyle w:val="TableParagraph"/>
              <w:ind w:left="98" w:right="94"/>
              <w:rPr>
                <w:sz w:val="16"/>
              </w:rPr>
            </w:pPr>
            <w:r>
              <w:rPr>
                <w:sz w:val="16"/>
              </w:rPr>
              <w:t>(0-3)</w:t>
            </w:r>
          </w:p>
        </w:tc>
        <w:tc>
          <w:tcPr>
            <w:tcW w:w="547" w:type="dxa"/>
            <w:vMerge w:val="restart"/>
            <w:tcBorders>
              <w:top w:val="nil"/>
              <w:left w:val="nil"/>
              <w:right w:val="nil"/>
            </w:tcBorders>
          </w:tcPr>
          <w:p>
            <w:pPr>
              <w:pStyle w:val="TableParagraph"/>
              <w:spacing w:before="101"/>
              <w:rPr>
                <w:sz w:val="16"/>
              </w:rPr>
            </w:pPr>
            <w:r>
              <w:rPr>
                <w:w w:val="99"/>
                <w:sz w:val="16"/>
              </w:rPr>
              <w:t>0</w:t>
            </w:r>
          </w:p>
          <w:p>
            <w:pPr>
              <w:pStyle w:val="TableParagraph"/>
              <w:spacing w:before="8"/>
              <w:jc w:val="left"/>
              <w:rPr>
                <w:sz w:val="15"/>
              </w:rPr>
            </w:pPr>
          </w:p>
          <w:p>
            <w:pPr>
              <w:pStyle w:val="TableParagraph"/>
              <w:ind w:left="92" w:right="92"/>
              <w:rPr>
                <w:sz w:val="16"/>
              </w:rPr>
            </w:pPr>
            <w:r>
              <w:rPr>
                <w:sz w:val="16"/>
              </w:rPr>
              <w:t>(0-3)</w:t>
            </w:r>
          </w:p>
        </w:tc>
      </w:tr>
      <w:tr>
        <w:trPr>
          <w:trHeight w:val="268" w:hRule="exact"/>
        </w:trPr>
        <w:tc>
          <w:tcPr>
            <w:tcW w:w="2345" w:type="dxa"/>
            <w:tcBorders>
              <w:top w:val="nil"/>
              <w:left w:val="nil"/>
              <w:bottom w:val="nil"/>
              <w:right w:val="nil"/>
            </w:tcBorders>
          </w:tcPr>
          <w:p>
            <w:pPr>
              <w:pStyle w:val="TableParagraph"/>
              <w:spacing w:line="179" w:lineRule="exact"/>
              <w:ind w:left="302"/>
              <w:jc w:val="left"/>
              <w:rPr>
                <w:sz w:val="16"/>
              </w:rPr>
            </w:pPr>
            <w:r>
              <w:rPr>
                <w:sz w:val="16"/>
              </w:rPr>
              <w:t>NRS</w:t>
            </w:r>
          </w:p>
        </w:tc>
        <w:tc>
          <w:tcPr>
            <w:tcW w:w="685" w:type="dxa"/>
            <w:vMerge/>
            <w:tcBorders>
              <w:left w:val="nil"/>
              <w:bottom w:val="nil"/>
              <w:right w:val="nil"/>
            </w:tcBorders>
          </w:tcPr>
          <w:p>
            <w:pPr/>
          </w:p>
        </w:tc>
        <w:tc>
          <w:tcPr>
            <w:tcW w:w="696" w:type="dxa"/>
            <w:vMerge/>
            <w:tcBorders>
              <w:left w:val="nil"/>
              <w:bottom w:val="nil"/>
              <w:right w:val="nil"/>
            </w:tcBorders>
          </w:tcPr>
          <w:p>
            <w:pPr/>
          </w:p>
        </w:tc>
        <w:tc>
          <w:tcPr>
            <w:tcW w:w="550" w:type="dxa"/>
            <w:vMerge/>
            <w:tcBorders>
              <w:left w:val="nil"/>
              <w:bottom w:val="nil"/>
              <w:right w:val="nil"/>
            </w:tcBorders>
          </w:tcPr>
          <w:p>
            <w:pPr/>
          </w:p>
        </w:tc>
        <w:tc>
          <w:tcPr>
            <w:tcW w:w="555" w:type="dxa"/>
            <w:vMerge/>
            <w:tcBorders>
              <w:left w:val="nil"/>
              <w:bottom w:val="nil"/>
              <w:right w:val="nil"/>
            </w:tcBorders>
          </w:tcPr>
          <w:p>
            <w:pPr/>
          </w:p>
        </w:tc>
        <w:tc>
          <w:tcPr>
            <w:tcW w:w="554" w:type="dxa"/>
            <w:vMerge/>
            <w:tcBorders>
              <w:left w:val="nil"/>
              <w:bottom w:val="nil"/>
              <w:right w:val="nil"/>
            </w:tcBorders>
          </w:tcPr>
          <w:p>
            <w:pPr/>
          </w:p>
        </w:tc>
        <w:tc>
          <w:tcPr>
            <w:tcW w:w="555" w:type="dxa"/>
            <w:vMerge/>
            <w:tcBorders>
              <w:left w:val="nil"/>
              <w:bottom w:val="nil"/>
              <w:right w:val="nil"/>
            </w:tcBorders>
          </w:tcPr>
          <w:p>
            <w:pPr/>
          </w:p>
        </w:tc>
        <w:tc>
          <w:tcPr>
            <w:tcW w:w="555" w:type="dxa"/>
            <w:vMerge/>
            <w:tcBorders>
              <w:left w:val="nil"/>
              <w:bottom w:val="nil"/>
              <w:right w:val="nil"/>
            </w:tcBorders>
          </w:tcPr>
          <w:p>
            <w:pPr/>
          </w:p>
        </w:tc>
        <w:tc>
          <w:tcPr>
            <w:tcW w:w="554" w:type="dxa"/>
            <w:vMerge/>
            <w:tcBorders>
              <w:left w:val="nil"/>
              <w:bottom w:val="nil"/>
              <w:right w:val="nil"/>
            </w:tcBorders>
          </w:tcPr>
          <w:p>
            <w:pPr/>
          </w:p>
        </w:tc>
        <w:tc>
          <w:tcPr>
            <w:tcW w:w="576" w:type="dxa"/>
            <w:vMerge/>
            <w:tcBorders>
              <w:left w:val="nil"/>
              <w:bottom w:val="nil"/>
              <w:right w:val="nil"/>
            </w:tcBorders>
          </w:tcPr>
          <w:p>
            <w:pPr/>
          </w:p>
        </w:tc>
        <w:tc>
          <w:tcPr>
            <w:tcW w:w="593" w:type="dxa"/>
            <w:vMerge/>
            <w:tcBorders>
              <w:left w:val="nil"/>
              <w:bottom w:val="nil"/>
              <w:right w:val="nil"/>
            </w:tcBorders>
          </w:tcPr>
          <w:p>
            <w:pPr/>
          </w:p>
        </w:tc>
        <w:tc>
          <w:tcPr>
            <w:tcW w:w="574" w:type="dxa"/>
            <w:vMerge/>
            <w:tcBorders>
              <w:left w:val="nil"/>
              <w:bottom w:val="nil"/>
              <w:right w:val="nil"/>
            </w:tcBorders>
          </w:tcPr>
          <w:p>
            <w:pPr/>
          </w:p>
        </w:tc>
        <w:tc>
          <w:tcPr>
            <w:tcW w:w="555" w:type="dxa"/>
            <w:vMerge/>
            <w:tcBorders>
              <w:left w:val="nil"/>
              <w:bottom w:val="nil"/>
              <w:right w:val="nil"/>
            </w:tcBorders>
          </w:tcPr>
          <w:p>
            <w:pPr/>
          </w:p>
        </w:tc>
        <w:tc>
          <w:tcPr>
            <w:tcW w:w="552" w:type="dxa"/>
            <w:vMerge/>
            <w:tcBorders>
              <w:left w:val="nil"/>
              <w:bottom w:val="nil"/>
              <w:right w:val="nil"/>
            </w:tcBorders>
          </w:tcPr>
          <w:p>
            <w:pPr/>
          </w:p>
        </w:tc>
        <w:tc>
          <w:tcPr>
            <w:tcW w:w="554" w:type="dxa"/>
            <w:vMerge/>
            <w:tcBorders>
              <w:left w:val="nil"/>
              <w:bottom w:val="nil"/>
              <w:right w:val="nil"/>
            </w:tcBorders>
          </w:tcPr>
          <w:p>
            <w:pPr/>
          </w:p>
        </w:tc>
        <w:tc>
          <w:tcPr>
            <w:tcW w:w="555" w:type="dxa"/>
            <w:vMerge/>
            <w:tcBorders>
              <w:left w:val="nil"/>
              <w:bottom w:val="nil"/>
              <w:right w:val="nil"/>
            </w:tcBorders>
          </w:tcPr>
          <w:p>
            <w:pPr/>
          </w:p>
        </w:tc>
        <w:tc>
          <w:tcPr>
            <w:tcW w:w="555" w:type="dxa"/>
            <w:vMerge/>
            <w:tcBorders>
              <w:left w:val="nil"/>
              <w:bottom w:val="nil"/>
              <w:right w:val="nil"/>
            </w:tcBorders>
          </w:tcPr>
          <w:p>
            <w:pPr/>
          </w:p>
        </w:tc>
        <w:tc>
          <w:tcPr>
            <w:tcW w:w="552" w:type="dxa"/>
            <w:vMerge/>
            <w:tcBorders>
              <w:left w:val="nil"/>
              <w:bottom w:val="nil"/>
              <w:right w:val="nil"/>
            </w:tcBorders>
          </w:tcPr>
          <w:p>
            <w:pPr/>
          </w:p>
        </w:tc>
        <w:tc>
          <w:tcPr>
            <w:tcW w:w="547" w:type="dxa"/>
            <w:vMerge/>
            <w:tcBorders>
              <w:left w:val="nil"/>
              <w:bottom w:val="nil"/>
              <w:right w:val="nil"/>
            </w:tcBorders>
          </w:tcPr>
          <w:p>
            <w:pPr/>
          </w:p>
        </w:tc>
      </w:tr>
      <w:tr>
        <w:trPr>
          <w:trHeight w:val="744" w:hRule="exact"/>
        </w:trPr>
        <w:tc>
          <w:tcPr>
            <w:tcW w:w="2345" w:type="dxa"/>
            <w:tcBorders>
              <w:top w:val="nil"/>
              <w:left w:val="nil"/>
              <w:bottom w:val="nil"/>
              <w:right w:val="nil"/>
            </w:tcBorders>
          </w:tcPr>
          <w:p>
            <w:pPr>
              <w:pStyle w:val="TableParagraph"/>
              <w:jc w:val="left"/>
              <w:rPr>
                <w:sz w:val="16"/>
              </w:rPr>
            </w:pPr>
          </w:p>
          <w:p>
            <w:pPr>
              <w:pStyle w:val="TableParagraph"/>
              <w:spacing w:before="100"/>
              <w:ind w:left="1445"/>
              <w:jc w:val="left"/>
              <w:rPr>
                <w:sz w:val="16"/>
              </w:rPr>
            </w:pPr>
            <w:r>
              <w:rPr>
                <w:sz w:val="16"/>
              </w:rPr>
              <w:t>DEX</w:t>
            </w:r>
          </w:p>
        </w:tc>
        <w:tc>
          <w:tcPr>
            <w:tcW w:w="685" w:type="dxa"/>
            <w:tcBorders>
              <w:top w:val="nil"/>
              <w:left w:val="nil"/>
              <w:bottom w:val="nil"/>
              <w:right w:val="nil"/>
            </w:tcBorders>
          </w:tcPr>
          <w:p>
            <w:pPr>
              <w:pStyle w:val="TableParagraph"/>
              <w:spacing w:before="97"/>
              <w:ind w:left="3"/>
              <w:rPr>
                <w:sz w:val="16"/>
              </w:rPr>
            </w:pPr>
            <w:r>
              <w:rPr>
                <w:w w:val="98"/>
                <w:sz w:val="16"/>
              </w:rPr>
              <w:t>0</w:t>
            </w:r>
          </w:p>
          <w:p>
            <w:pPr>
              <w:pStyle w:val="TableParagraph"/>
              <w:spacing w:before="1"/>
              <w:jc w:val="left"/>
              <w:rPr>
                <w:sz w:val="16"/>
              </w:rPr>
            </w:pPr>
          </w:p>
          <w:p>
            <w:pPr>
              <w:pStyle w:val="TableParagraph"/>
              <w:ind w:left="164" w:right="161"/>
              <w:rPr>
                <w:sz w:val="16"/>
              </w:rPr>
            </w:pPr>
            <w:r>
              <w:rPr>
                <w:sz w:val="16"/>
              </w:rPr>
              <w:t>(0-0)</w:t>
            </w:r>
          </w:p>
        </w:tc>
        <w:tc>
          <w:tcPr>
            <w:tcW w:w="696" w:type="dxa"/>
            <w:tcBorders>
              <w:top w:val="nil"/>
              <w:left w:val="nil"/>
              <w:bottom w:val="nil"/>
              <w:right w:val="nil"/>
            </w:tcBorders>
          </w:tcPr>
          <w:p>
            <w:pPr>
              <w:pStyle w:val="TableParagraph"/>
              <w:spacing w:before="83"/>
              <w:ind w:left="219" w:firstLine="19"/>
              <w:jc w:val="left"/>
              <w:rPr>
                <w:sz w:val="10"/>
              </w:rPr>
            </w:pPr>
            <w:r>
              <w:rPr>
                <w:sz w:val="16"/>
              </w:rPr>
              <w:t>1.5</w:t>
            </w:r>
            <w:r>
              <w:rPr>
                <w:position w:val="7"/>
                <w:sz w:val="10"/>
              </w:rPr>
              <w:t>ac</w:t>
            </w:r>
          </w:p>
          <w:p>
            <w:pPr>
              <w:pStyle w:val="TableParagraph"/>
              <w:spacing w:before="1"/>
              <w:jc w:val="left"/>
              <w:rPr>
                <w:sz w:val="16"/>
              </w:rPr>
            </w:pPr>
          </w:p>
          <w:p>
            <w:pPr>
              <w:pStyle w:val="TableParagraph"/>
              <w:ind w:left="219"/>
              <w:jc w:val="left"/>
              <w:rPr>
                <w:sz w:val="16"/>
              </w:rPr>
            </w:pPr>
            <w:r>
              <w:rPr>
                <w:sz w:val="16"/>
              </w:rPr>
              <w:t>(1-3)</w:t>
            </w:r>
          </w:p>
        </w:tc>
        <w:tc>
          <w:tcPr>
            <w:tcW w:w="550" w:type="dxa"/>
            <w:tcBorders>
              <w:top w:val="nil"/>
              <w:left w:val="nil"/>
              <w:bottom w:val="nil"/>
              <w:right w:val="nil"/>
            </w:tcBorders>
          </w:tcPr>
          <w:p>
            <w:pPr>
              <w:pStyle w:val="TableParagraph"/>
              <w:spacing w:before="97"/>
              <w:rPr>
                <w:sz w:val="16"/>
              </w:rPr>
            </w:pPr>
            <w:r>
              <w:rPr>
                <w:w w:val="98"/>
                <w:sz w:val="16"/>
              </w:rPr>
              <w:t>2</w:t>
            </w:r>
          </w:p>
          <w:p>
            <w:pPr>
              <w:pStyle w:val="TableParagraph"/>
              <w:spacing w:before="1"/>
              <w:jc w:val="left"/>
              <w:rPr>
                <w:sz w:val="16"/>
              </w:rPr>
            </w:pPr>
          </w:p>
          <w:p>
            <w:pPr>
              <w:pStyle w:val="TableParagraph"/>
              <w:ind w:left="95" w:right="95"/>
              <w:rPr>
                <w:sz w:val="16"/>
              </w:rPr>
            </w:pPr>
            <w:r>
              <w:rPr>
                <w:sz w:val="16"/>
              </w:rPr>
              <w:t>(1-2)</w:t>
            </w:r>
          </w:p>
        </w:tc>
        <w:tc>
          <w:tcPr>
            <w:tcW w:w="555" w:type="dxa"/>
            <w:tcBorders>
              <w:top w:val="nil"/>
              <w:left w:val="nil"/>
              <w:bottom w:val="nil"/>
              <w:right w:val="nil"/>
            </w:tcBorders>
          </w:tcPr>
          <w:p>
            <w:pPr>
              <w:pStyle w:val="TableParagraph"/>
              <w:spacing w:before="97"/>
              <w:rPr>
                <w:sz w:val="16"/>
              </w:rPr>
            </w:pPr>
            <w:r>
              <w:rPr>
                <w:w w:val="98"/>
                <w:sz w:val="16"/>
              </w:rPr>
              <w:t>1</w:t>
            </w:r>
          </w:p>
          <w:p>
            <w:pPr>
              <w:pStyle w:val="TableParagraph"/>
              <w:spacing w:before="1"/>
              <w:jc w:val="left"/>
              <w:rPr>
                <w:sz w:val="16"/>
              </w:rPr>
            </w:pPr>
          </w:p>
          <w:p>
            <w:pPr>
              <w:pStyle w:val="TableParagraph"/>
              <w:ind w:left="96" w:right="96"/>
              <w:rPr>
                <w:sz w:val="16"/>
              </w:rPr>
            </w:pPr>
            <w:r>
              <w:rPr>
                <w:sz w:val="16"/>
              </w:rPr>
              <w:t>(0-2)</w:t>
            </w:r>
          </w:p>
        </w:tc>
        <w:tc>
          <w:tcPr>
            <w:tcW w:w="554" w:type="dxa"/>
            <w:tcBorders>
              <w:top w:val="nil"/>
              <w:left w:val="nil"/>
              <w:bottom w:val="nil"/>
              <w:right w:val="nil"/>
            </w:tcBorders>
          </w:tcPr>
          <w:p>
            <w:pPr>
              <w:pStyle w:val="TableParagraph"/>
              <w:spacing w:before="97"/>
              <w:ind w:left="2"/>
              <w:rPr>
                <w:sz w:val="16"/>
              </w:rPr>
            </w:pPr>
            <w:r>
              <w:rPr>
                <w:w w:val="98"/>
                <w:sz w:val="16"/>
              </w:rPr>
              <w:t>1</w:t>
            </w:r>
          </w:p>
          <w:p>
            <w:pPr>
              <w:pStyle w:val="TableParagraph"/>
              <w:spacing w:before="1"/>
              <w:jc w:val="left"/>
              <w:rPr>
                <w:sz w:val="16"/>
              </w:rPr>
            </w:pPr>
          </w:p>
          <w:p>
            <w:pPr>
              <w:pStyle w:val="TableParagraph"/>
              <w:ind w:left="97" w:right="95"/>
              <w:rPr>
                <w:sz w:val="16"/>
              </w:rPr>
            </w:pPr>
            <w:r>
              <w:rPr>
                <w:sz w:val="16"/>
              </w:rPr>
              <w:t>(1-2)</w:t>
            </w:r>
          </w:p>
        </w:tc>
        <w:tc>
          <w:tcPr>
            <w:tcW w:w="555" w:type="dxa"/>
            <w:tcBorders>
              <w:top w:val="nil"/>
              <w:left w:val="nil"/>
              <w:bottom w:val="nil"/>
              <w:right w:val="nil"/>
            </w:tcBorders>
          </w:tcPr>
          <w:p>
            <w:pPr>
              <w:pStyle w:val="TableParagraph"/>
              <w:spacing w:before="97"/>
              <w:rPr>
                <w:sz w:val="16"/>
              </w:rPr>
            </w:pPr>
            <w:r>
              <w:rPr>
                <w:w w:val="98"/>
                <w:sz w:val="16"/>
              </w:rPr>
              <w:t>2</w:t>
            </w:r>
          </w:p>
          <w:p>
            <w:pPr>
              <w:pStyle w:val="TableParagraph"/>
              <w:spacing w:before="1"/>
              <w:jc w:val="left"/>
              <w:rPr>
                <w:sz w:val="16"/>
              </w:rPr>
            </w:pPr>
          </w:p>
          <w:p>
            <w:pPr>
              <w:pStyle w:val="TableParagraph"/>
              <w:ind w:left="96" w:right="96"/>
              <w:rPr>
                <w:sz w:val="16"/>
              </w:rPr>
            </w:pPr>
            <w:r>
              <w:rPr>
                <w:sz w:val="16"/>
              </w:rPr>
              <w:t>(1-3)</w:t>
            </w:r>
          </w:p>
        </w:tc>
        <w:tc>
          <w:tcPr>
            <w:tcW w:w="555" w:type="dxa"/>
            <w:tcBorders>
              <w:top w:val="nil"/>
              <w:left w:val="nil"/>
              <w:bottom w:val="nil"/>
              <w:right w:val="nil"/>
            </w:tcBorders>
          </w:tcPr>
          <w:p>
            <w:pPr>
              <w:pStyle w:val="TableParagraph"/>
              <w:spacing w:before="97"/>
              <w:ind w:left="2"/>
              <w:rPr>
                <w:sz w:val="16"/>
              </w:rPr>
            </w:pPr>
            <w:r>
              <w:rPr>
                <w:w w:val="98"/>
                <w:sz w:val="16"/>
              </w:rPr>
              <w:t>2</w:t>
            </w:r>
          </w:p>
          <w:p>
            <w:pPr>
              <w:pStyle w:val="TableParagraph"/>
              <w:spacing w:before="1"/>
              <w:jc w:val="left"/>
              <w:rPr>
                <w:sz w:val="16"/>
              </w:rPr>
            </w:pPr>
          </w:p>
          <w:p>
            <w:pPr>
              <w:pStyle w:val="TableParagraph"/>
              <w:ind w:left="97" w:right="95"/>
              <w:rPr>
                <w:sz w:val="16"/>
              </w:rPr>
            </w:pPr>
            <w:r>
              <w:rPr>
                <w:sz w:val="16"/>
              </w:rPr>
              <w:t>(1-3)</w:t>
            </w:r>
          </w:p>
        </w:tc>
        <w:tc>
          <w:tcPr>
            <w:tcW w:w="554" w:type="dxa"/>
            <w:tcBorders>
              <w:top w:val="nil"/>
              <w:left w:val="nil"/>
              <w:bottom w:val="nil"/>
              <w:right w:val="nil"/>
            </w:tcBorders>
          </w:tcPr>
          <w:p>
            <w:pPr>
              <w:pStyle w:val="TableParagraph"/>
              <w:spacing w:before="97"/>
              <w:rPr>
                <w:sz w:val="16"/>
              </w:rPr>
            </w:pPr>
            <w:r>
              <w:rPr>
                <w:w w:val="98"/>
                <w:sz w:val="16"/>
              </w:rPr>
              <w:t>2</w:t>
            </w:r>
          </w:p>
          <w:p>
            <w:pPr>
              <w:pStyle w:val="TableParagraph"/>
              <w:spacing w:before="1"/>
              <w:jc w:val="left"/>
              <w:rPr>
                <w:sz w:val="16"/>
              </w:rPr>
            </w:pPr>
          </w:p>
          <w:p>
            <w:pPr>
              <w:pStyle w:val="TableParagraph"/>
              <w:ind w:left="96" w:right="96"/>
              <w:rPr>
                <w:sz w:val="16"/>
              </w:rPr>
            </w:pPr>
            <w:r>
              <w:rPr>
                <w:sz w:val="16"/>
              </w:rPr>
              <w:t>(1-3)</w:t>
            </w:r>
          </w:p>
        </w:tc>
        <w:tc>
          <w:tcPr>
            <w:tcW w:w="576" w:type="dxa"/>
            <w:tcBorders>
              <w:top w:val="nil"/>
              <w:left w:val="nil"/>
              <w:bottom w:val="nil"/>
              <w:right w:val="nil"/>
            </w:tcBorders>
          </w:tcPr>
          <w:p>
            <w:pPr>
              <w:pStyle w:val="TableParagraph"/>
              <w:spacing w:before="81"/>
              <w:ind w:left="214"/>
              <w:jc w:val="left"/>
              <w:rPr>
                <w:sz w:val="10"/>
              </w:rPr>
            </w:pPr>
            <w:r>
              <w:rPr>
                <w:position w:val="-6"/>
                <w:sz w:val="16"/>
              </w:rPr>
              <w:t>2</w:t>
            </w:r>
            <w:r>
              <w:rPr>
                <w:sz w:val="10"/>
              </w:rPr>
              <w:t>b</w:t>
            </w:r>
          </w:p>
          <w:p>
            <w:pPr>
              <w:pStyle w:val="TableParagraph"/>
              <w:spacing w:before="3"/>
              <w:jc w:val="left"/>
              <w:rPr>
                <w:sz w:val="16"/>
              </w:rPr>
            </w:pPr>
          </w:p>
          <w:p>
            <w:pPr>
              <w:pStyle w:val="TableParagraph"/>
              <w:ind w:left="118"/>
              <w:jc w:val="left"/>
              <w:rPr>
                <w:sz w:val="16"/>
              </w:rPr>
            </w:pPr>
            <w:r>
              <w:rPr>
                <w:sz w:val="16"/>
              </w:rPr>
              <w:t>(1-3)</w:t>
            </w:r>
          </w:p>
        </w:tc>
        <w:tc>
          <w:tcPr>
            <w:tcW w:w="593" w:type="dxa"/>
            <w:tcBorders>
              <w:top w:val="nil"/>
              <w:left w:val="nil"/>
              <w:bottom w:val="nil"/>
              <w:right w:val="nil"/>
            </w:tcBorders>
          </w:tcPr>
          <w:p>
            <w:pPr>
              <w:pStyle w:val="TableParagraph"/>
              <w:spacing w:before="81"/>
              <w:ind w:left="234"/>
              <w:jc w:val="left"/>
              <w:rPr>
                <w:sz w:val="10"/>
              </w:rPr>
            </w:pPr>
            <w:r>
              <w:rPr>
                <w:position w:val="-6"/>
                <w:sz w:val="16"/>
              </w:rPr>
              <w:t>2</w:t>
            </w:r>
            <w:r>
              <w:rPr>
                <w:sz w:val="10"/>
              </w:rPr>
              <w:t>*</w:t>
            </w:r>
          </w:p>
          <w:p>
            <w:pPr>
              <w:pStyle w:val="TableParagraph"/>
              <w:spacing w:before="3"/>
              <w:jc w:val="left"/>
              <w:rPr>
                <w:sz w:val="16"/>
              </w:rPr>
            </w:pPr>
          </w:p>
          <w:p>
            <w:pPr>
              <w:pStyle w:val="TableParagraph"/>
              <w:ind w:left="138"/>
              <w:jc w:val="left"/>
              <w:rPr>
                <w:sz w:val="16"/>
              </w:rPr>
            </w:pPr>
            <w:r>
              <w:rPr>
                <w:sz w:val="16"/>
              </w:rPr>
              <w:t>(1-4)</w:t>
            </w:r>
          </w:p>
        </w:tc>
        <w:tc>
          <w:tcPr>
            <w:tcW w:w="574" w:type="dxa"/>
            <w:tcBorders>
              <w:top w:val="nil"/>
              <w:left w:val="nil"/>
              <w:bottom w:val="nil"/>
              <w:right w:val="nil"/>
            </w:tcBorders>
          </w:tcPr>
          <w:p>
            <w:pPr>
              <w:pStyle w:val="TableParagraph"/>
              <w:spacing w:before="81"/>
              <w:ind w:left="135" w:firstLine="72"/>
              <w:jc w:val="left"/>
              <w:rPr>
                <w:sz w:val="10"/>
              </w:rPr>
            </w:pPr>
            <w:r>
              <w:rPr>
                <w:position w:val="-6"/>
                <w:sz w:val="16"/>
              </w:rPr>
              <w:t>2</w:t>
            </w:r>
            <w:r>
              <w:rPr>
                <w:sz w:val="10"/>
              </w:rPr>
              <w:t>b*</w:t>
            </w:r>
          </w:p>
          <w:p>
            <w:pPr>
              <w:pStyle w:val="TableParagraph"/>
              <w:spacing w:before="3"/>
              <w:jc w:val="left"/>
              <w:rPr>
                <w:sz w:val="16"/>
              </w:rPr>
            </w:pPr>
          </w:p>
          <w:p>
            <w:pPr>
              <w:pStyle w:val="TableParagraph"/>
              <w:ind w:left="135"/>
              <w:jc w:val="left"/>
              <w:rPr>
                <w:sz w:val="16"/>
              </w:rPr>
            </w:pPr>
            <w:r>
              <w:rPr>
                <w:sz w:val="16"/>
              </w:rPr>
              <w:t>(1-5)</w:t>
            </w:r>
          </w:p>
        </w:tc>
        <w:tc>
          <w:tcPr>
            <w:tcW w:w="555" w:type="dxa"/>
            <w:tcBorders>
              <w:top w:val="nil"/>
              <w:left w:val="nil"/>
              <w:bottom w:val="nil"/>
              <w:right w:val="nil"/>
            </w:tcBorders>
          </w:tcPr>
          <w:p>
            <w:pPr>
              <w:pStyle w:val="TableParagraph"/>
              <w:spacing w:before="97"/>
              <w:ind w:left="181"/>
              <w:jc w:val="left"/>
              <w:rPr>
                <w:sz w:val="16"/>
              </w:rPr>
            </w:pPr>
            <w:r>
              <w:rPr>
                <w:sz w:val="16"/>
              </w:rPr>
              <w:t>1.5</w:t>
            </w:r>
          </w:p>
          <w:p>
            <w:pPr>
              <w:pStyle w:val="TableParagraph"/>
              <w:spacing w:before="1"/>
              <w:jc w:val="left"/>
              <w:rPr>
                <w:sz w:val="16"/>
              </w:rPr>
            </w:pPr>
          </w:p>
          <w:p>
            <w:pPr>
              <w:pStyle w:val="TableParagraph"/>
              <w:ind w:left="118"/>
              <w:jc w:val="left"/>
              <w:rPr>
                <w:sz w:val="16"/>
              </w:rPr>
            </w:pPr>
            <w:r>
              <w:rPr>
                <w:sz w:val="16"/>
              </w:rPr>
              <w:t>(1-4)</w:t>
            </w:r>
          </w:p>
        </w:tc>
        <w:tc>
          <w:tcPr>
            <w:tcW w:w="552" w:type="dxa"/>
            <w:tcBorders>
              <w:top w:val="nil"/>
              <w:left w:val="nil"/>
              <w:bottom w:val="nil"/>
              <w:right w:val="nil"/>
            </w:tcBorders>
          </w:tcPr>
          <w:p>
            <w:pPr>
              <w:pStyle w:val="TableParagraph"/>
              <w:spacing w:before="97"/>
              <w:rPr>
                <w:sz w:val="16"/>
              </w:rPr>
            </w:pPr>
            <w:r>
              <w:rPr>
                <w:w w:val="98"/>
                <w:sz w:val="16"/>
              </w:rPr>
              <w:t>2</w:t>
            </w:r>
          </w:p>
          <w:p>
            <w:pPr>
              <w:pStyle w:val="TableParagraph"/>
              <w:spacing w:before="1"/>
              <w:jc w:val="left"/>
              <w:rPr>
                <w:sz w:val="16"/>
              </w:rPr>
            </w:pPr>
          </w:p>
          <w:p>
            <w:pPr>
              <w:pStyle w:val="TableParagraph"/>
              <w:ind w:left="96" w:right="96"/>
              <w:rPr>
                <w:sz w:val="16"/>
              </w:rPr>
            </w:pPr>
            <w:r>
              <w:rPr>
                <w:sz w:val="16"/>
              </w:rPr>
              <w:t>(1-4)</w:t>
            </w:r>
          </w:p>
        </w:tc>
        <w:tc>
          <w:tcPr>
            <w:tcW w:w="554" w:type="dxa"/>
            <w:tcBorders>
              <w:top w:val="nil"/>
              <w:left w:val="nil"/>
              <w:bottom w:val="nil"/>
              <w:right w:val="nil"/>
            </w:tcBorders>
          </w:tcPr>
          <w:p>
            <w:pPr>
              <w:pStyle w:val="TableParagraph"/>
              <w:spacing w:before="97"/>
              <w:rPr>
                <w:sz w:val="16"/>
              </w:rPr>
            </w:pPr>
            <w:r>
              <w:rPr>
                <w:w w:val="98"/>
                <w:sz w:val="16"/>
              </w:rPr>
              <w:t>2</w:t>
            </w:r>
          </w:p>
          <w:p>
            <w:pPr>
              <w:pStyle w:val="TableParagraph"/>
              <w:spacing w:before="1"/>
              <w:jc w:val="left"/>
              <w:rPr>
                <w:sz w:val="16"/>
              </w:rPr>
            </w:pPr>
          </w:p>
          <w:p>
            <w:pPr>
              <w:pStyle w:val="TableParagraph"/>
              <w:ind w:left="96" w:right="96"/>
              <w:rPr>
                <w:sz w:val="16"/>
              </w:rPr>
            </w:pPr>
            <w:r>
              <w:rPr>
                <w:sz w:val="16"/>
              </w:rPr>
              <w:t>(1-4)</w:t>
            </w:r>
          </w:p>
        </w:tc>
        <w:tc>
          <w:tcPr>
            <w:tcW w:w="555" w:type="dxa"/>
            <w:tcBorders>
              <w:top w:val="nil"/>
              <w:left w:val="nil"/>
              <w:bottom w:val="nil"/>
              <w:right w:val="nil"/>
            </w:tcBorders>
          </w:tcPr>
          <w:p>
            <w:pPr>
              <w:pStyle w:val="TableParagraph"/>
              <w:spacing w:before="97"/>
              <w:ind w:left="181"/>
              <w:jc w:val="left"/>
              <w:rPr>
                <w:sz w:val="16"/>
              </w:rPr>
            </w:pPr>
            <w:r>
              <w:rPr>
                <w:sz w:val="16"/>
              </w:rPr>
              <w:t>1.5</w:t>
            </w:r>
          </w:p>
          <w:p>
            <w:pPr>
              <w:pStyle w:val="TableParagraph"/>
              <w:spacing w:before="1"/>
              <w:jc w:val="left"/>
              <w:rPr>
                <w:sz w:val="16"/>
              </w:rPr>
            </w:pPr>
          </w:p>
          <w:p>
            <w:pPr>
              <w:pStyle w:val="TableParagraph"/>
              <w:ind w:left="118"/>
              <w:jc w:val="left"/>
              <w:rPr>
                <w:sz w:val="16"/>
              </w:rPr>
            </w:pPr>
            <w:r>
              <w:rPr>
                <w:sz w:val="16"/>
              </w:rPr>
              <w:t>(0-3)</w:t>
            </w:r>
          </w:p>
        </w:tc>
        <w:tc>
          <w:tcPr>
            <w:tcW w:w="555" w:type="dxa"/>
            <w:tcBorders>
              <w:top w:val="nil"/>
              <w:left w:val="nil"/>
              <w:bottom w:val="nil"/>
              <w:right w:val="nil"/>
            </w:tcBorders>
          </w:tcPr>
          <w:p>
            <w:pPr>
              <w:pStyle w:val="TableParagraph"/>
              <w:spacing w:before="97"/>
              <w:ind w:left="179"/>
              <w:jc w:val="left"/>
              <w:rPr>
                <w:sz w:val="16"/>
              </w:rPr>
            </w:pPr>
            <w:r>
              <w:rPr>
                <w:sz w:val="16"/>
              </w:rPr>
              <w:t>1.5</w:t>
            </w:r>
          </w:p>
          <w:p>
            <w:pPr>
              <w:pStyle w:val="TableParagraph"/>
              <w:spacing w:before="1"/>
              <w:jc w:val="left"/>
              <w:rPr>
                <w:sz w:val="16"/>
              </w:rPr>
            </w:pPr>
          </w:p>
          <w:p>
            <w:pPr>
              <w:pStyle w:val="TableParagraph"/>
              <w:ind w:left="116"/>
              <w:jc w:val="left"/>
              <w:rPr>
                <w:sz w:val="16"/>
              </w:rPr>
            </w:pPr>
            <w:r>
              <w:rPr>
                <w:sz w:val="16"/>
              </w:rPr>
              <w:t>(0-3)</w:t>
            </w:r>
          </w:p>
        </w:tc>
        <w:tc>
          <w:tcPr>
            <w:tcW w:w="552" w:type="dxa"/>
            <w:tcBorders>
              <w:top w:val="nil"/>
              <w:left w:val="nil"/>
              <w:bottom w:val="nil"/>
              <w:right w:val="nil"/>
            </w:tcBorders>
          </w:tcPr>
          <w:p>
            <w:pPr>
              <w:pStyle w:val="TableParagraph"/>
              <w:spacing w:before="97"/>
              <w:ind w:left="4"/>
              <w:rPr>
                <w:sz w:val="16"/>
              </w:rPr>
            </w:pPr>
            <w:r>
              <w:rPr>
                <w:w w:val="98"/>
                <w:sz w:val="16"/>
              </w:rPr>
              <w:t>1</w:t>
            </w:r>
          </w:p>
          <w:p>
            <w:pPr>
              <w:pStyle w:val="TableParagraph"/>
              <w:spacing w:before="1"/>
              <w:jc w:val="left"/>
              <w:rPr>
                <w:sz w:val="16"/>
              </w:rPr>
            </w:pPr>
          </w:p>
          <w:p>
            <w:pPr>
              <w:pStyle w:val="TableParagraph"/>
              <w:ind w:left="98" w:right="94"/>
              <w:rPr>
                <w:sz w:val="16"/>
              </w:rPr>
            </w:pPr>
            <w:r>
              <w:rPr>
                <w:sz w:val="16"/>
              </w:rPr>
              <w:t>(0-3)</w:t>
            </w:r>
          </w:p>
        </w:tc>
        <w:tc>
          <w:tcPr>
            <w:tcW w:w="547" w:type="dxa"/>
            <w:tcBorders>
              <w:top w:val="nil"/>
              <w:left w:val="nil"/>
              <w:bottom w:val="nil"/>
              <w:right w:val="nil"/>
            </w:tcBorders>
          </w:tcPr>
          <w:p>
            <w:pPr>
              <w:pStyle w:val="TableParagraph"/>
              <w:spacing w:before="97"/>
              <w:rPr>
                <w:sz w:val="16"/>
              </w:rPr>
            </w:pPr>
            <w:r>
              <w:rPr>
                <w:w w:val="98"/>
                <w:sz w:val="16"/>
              </w:rPr>
              <w:t>1</w:t>
            </w:r>
          </w:p>
          <w:p>
            <w:pPr>
              <w:pStyle w:val="TableParagraph"/>
              <w:spacing w:before="1"/>
              <w:jc w:val="left"/>
              <w:rPr>
                <w:sz w:val="16"/>
              </w:rPr>
            </w:pPr>
          </w:p>
          <w:p>
            <w:pPr>
              <w:pStyle w:val="TableParagraph"/>
              <w:ind w:left="92" w:right="93"/>
              <w:rPr>
                <w:sz w:val="16"/>
              </w:rPr>
            </w:pPr>
            <w:r>
              <w:rPr>
                <w:sz w:val="16"/>
              </w:rPr>
              <w:t>(0-3)</w:t>
            </w:r>
          </w:p>
        </w:tc>
      </w:tr>
      <w:tr>
        <w:trPr>
          <w:trHeight w:val="744" w:hRule="exact"/>
        </w:trPr>
        <w:tc>
          <w:tcPr>
            <w:tcW w:w="2345" w:type="dxa"/>
            <w:tcBorders>
              <w:top w:val="nil"/>
              <w:left w:val="nil"/>
              <w:bottom w:val="nil"/>
              <w:right w:val="nil"/>
            </w:tcBorders>
          </w:tcPr>
          <w:p>
            <w:pPr>
              <w:pStyle w:val="TableParagraph"/>
              <w:jc w:val="left"/>
              <w:rPr>
                <w:sz w:val="16"/>
              </w:rPr>
            </w:pPr>
          </w:p>
          <w:p>
            <w:pPr>
              <w:pStyle w:val="TableParagraph"/>
              <w:spacing w:before="99"/>
              <w:ind w:left="1445"/>
              <w:jc w:val="left"/>
              <w:rPr>
                <w:sz w:val="16"/>
              </w:rPr>
            </w:pPr>
            <w:r>
              <w:rPr>
                <w:sz w:val="16"/>
              </w:rPr>
              <w:t>LKD</w:t>
            </w:r>
          </w:p>
        </w:tc>
        <w:tc>
          <w:tcPr>
            <w:tcW w:w="685" w:type="dxa"/>
            <w:tcBorders>
              <w:top w:val="nil"/>
              <w:left w:val="nil"/>
              <w:bottom w:val="nil"/>
              <w:right w:val="nil"/>
            </w:tcBorders>
          </w:tcPr>
          <w:p>
            <w:pPr>
              <w:pStyle w:val="TableParagraph"/>
              <w:spacing w:before="101"/>
              <w:ind w:left="3"/>
              <w:rPr>
                <w:sz w:val="16"/>
              </w:rPr>
            </w:pPr>
            <w:r>
              <w:rPr>
                <w:w w:val="99"/>
                <w:sz w:val="16"/>
              </w:rPr>
              <w:t>0</w:t>
            </w:r>
          </w:p>
          <w:p>
            <w:pPr>
              <w:pStyle w:val="TableParagraph"/>
              <w:spacing w:before="8"/>
              <w:jc w:val="left"/>
              <w:rPr>
                <w:sz w:val="15"/>
              </w:rPr>
            </w:pPr>
          </w:p>
          <w:p>
            <w:pPr>
              <w:pStyle w:val="TableParagraph"/>
              <w:ind w:left="164" w:right="161"/>
              <w:rPr>
                <w:sz w:val="16"/>
              </w:rPr>
            </w:pPr>
            <w:r>
              <w:rPr>
                <w:sz w:val="16"/>
              </w:rPr>
              <w:t>(0-0)</w:t>
            </w:r>
          </w:p>
        </w:tc>
        <w:tc>
          <w:tcPr>
            <w:tcW w:w="696" w:type="dxa"/>
            <w:tcBorders>
              <w:top w:val="nil"/>
              <w:left w:val="nil"/>
              <w:bottom w:val="nil"/>
              <w:right w:val="nil"/>
            </w:tcBorders>
          </w:tcPr>
          <w:p>
            <w:pPr>
              <w:pStyle w:val="TableParagraph"/>
              <w:spacing w:before="85"/>
              <w:ind w:left="320"/>
              <w:jc w:val="left"/>
              <w:rPr>
                <w:sz w:val="10"/>
              </w:rPr>
            </w:pPr>
            <w:r>
              <w:rPr>
                <w:position w:val="-6"/>
                <w:sz w:val="16"/>
              </w:rPr>
              <w:t>1</w:t>
            </w:r>
            <w:r>
              <w:rPr>
                <w:sz w:val="10"/>
              </w:rPr>
              <w:t>a</w:t>
            </w:r>
          </w:p>
          <w:p>
            <w:pPr>
              <w:pStyle w:val="TableParagraph"/>
              <w:spacing w:before="10"/>
              <w:jc w:val="left"/>
              <w:rPr>
                <w:sz w:val="15"/>
              </w:rPr>
            </w:pPr>
          </w:p>
          <w:p>
            <w:pPr>
              <w:pStyle w:val="TableParagraph"/>
              <w:ind w:left="219"/>
              <w:jc w:val="left"/>
              <w:rPr>
                <w:sz w:val="16"/>
              </w:rPr>
            </w:pPr>
            <w:r>
              <w:rPr>
                <w:sz w:val="16"/>
              </w:rPr>
              <w:t>(0-1)</w:t>
            </w:r>
          </w:p>
        </w:tc>
        <w:tc>
          <w:tcPr>
            <w:tcW w:w="550" w:type="dxa"/>
            <w:tcBorders>
              <w:top w:val="nil"/>
              <w:left w:val="nil"/>
              <w:bottom w:val="nil"/>
              <w:right w:val="nil"/>
            </w:tcBorders>
          </w:tcPr>
          <w:p>
            <w:pPr>
              <w:pStyle w:val="TableParagraph"/>
              <w:spacing w:before="85"/>
              <w:ind w:left="214"/>
              <w:jc w:val="left"/>
              <w:rPr>
                <w:sz w:val="10"/>
              </w:rPr>
            </w:pPr>
            <w:r>
              <w:rPr>
                <w:position w:val="-6"/>
                <w:sz w:val="16"/>
              </w:rPr>
              <w:t>1</w:t>
            </w:r>
            <w:r>
              <w:rPr>
                <w:sz w:val="10"/>
              </w:rPr>
              <w:t>a</w:t>
            </w:r>
          </w:p>
          <w:p>
            <w:pPr>
              <w:pStyle w:val="TableParagraph"/>
              <w:spacing w:before="10"/>
              <w:jc w:val="left"/>
              <w:rPr>
                <w:sz w:val="15"/>
              </w:rPr>
            </w:pPr>
          </w:p>
          <w:p>
            <w:pPr>
              <w:pStyle w:val="TableParagraph"/>
              <w:ind w:left="114"/>
              <w:jc w:val="left"/>
              <w:rPr>
                <w:sz w:val="16"/>
              </w:rPr>
            </w:pPr>
            <w:r>
              <w:rPr>
                <w:sz w:val="16"/>
              </w:rPr>
              <w:t>(0-1)</w:t>
            </w:r>
          </w:p>
        </w:tc>
        <w:tc>
          <w:tcPr>
            <w:tcW w:w="555" w:type="dxa"/>
            <w:tcBorders>
              <w:top w:val="nil"/>
              <w:left w:val="nil"/>
              <w:bottom w:val="nil"/>
              <w:right w:val="nil"/>
            </w:tcBorders>
          </w:tcPr>
          <w:p>
            <w:pPr>
              <w:pStyle w:val="TableParagraph"/>
              <w:spacing w:before="101"/>
              <w:rPr>
                <w:sz w:val="16"/>
              </w:rPr>
            </w:pPr>
            <w:r>
              <w:rPr>
                <w:w w:val="99"/>
                <w:sz w:val="16"/>
              </w:rPr>
              <w:t>1</w:t>
            </w:r>
          </w:p>
          <w:p>
            <w:pPr>
              <w:pStyle w:val="TableParagraph"/>
              <w:spacing w:before="8"/>
              <w:jc w:val="left"/>
              <w:rPr>
                <w:sz w:val="15"/>
              </w:rPr>
            </w:pPr>
          </w:p>
          <w:p>
            <w:pPr>
              <w:pStyle w:val="TableParagraph"/>
              <w:ind w:left="96" w:right="96"/>
              <w:rPr>
                <w:sz w:val="16"/>
              </w:rPr>
            </w:pPr>
            <w:r>
              <w:rPr>
                <w:sz w:val="16"/>
              </w:rPr>
              <w:t>(0-2)</w:t>
            </w:r>
          </w:p>
        </w:tc>
        <w:tc>
          <w:tcPr>
            <w:tcW w:w="554" w:type="dxa"/>
            <w:tcBorders>
              <w:top w:val="nil"/>
              <w:left w:val="nil"/>
              <w:bottom w:val="nil"/>
              <w:right w:val="nil"/>
            </w:tcBorders>
          </w:tcPr>
          <w:p>
            <w:pPr>
              <w:pStyle w:val="TableParagraph"/>
              <w:spacing w:before="85"/>
              <w:ind w:left="219"/>
              <w:jc w:val="left"/>
              <w:rPr>
                <w:sz w:val="10"/>
              </w:rPr>
            </w:pPr>
            <w:r>
              <w:rPr>
                <w:position w:val="-6"/>
                <w:sz w:val="16"/>
              </w:rPr>
              <w:t>1</w:t>
            </w:r>
            <w:r>
              <w:rPr>
                <w:sz w:val="10"/>
              </w:rPr>
              <w:t>a</w:t>
            </w:r>
          </w:p>
          <w:p>
            <w:pPr>
              <w:pStyle w:val="TableParagraph"/>
              <w:spacing w:before="10"/>
              <w:jc w:val="left"/>
              <w:rPr>
                <w:sz w:val="15"/>
              </w:rPr>
            </w:pPr>
          </w:p>
          <w:p>
            <w:pPr>
              <w:pStyle w:val="TableParagraph"/>
              <w:ind w:left="118"/>
              <w:jc w:val="left"/>
              <w:rPr>
                <w:sz w:val="16"/>
              </w:rPr>
            </w:pPr>
            <w:r>
              <w:rPr>
                <w:sz w:val="16"/>
              </w:rPr>
              <w:t>(0-2)</w:t>
            </w:r>
          </w:p>
        </w:tc>
        <w:tc>
          <w:tcPr>
            <w:tcW w:w="555" w:type="dxa"/>
            <w:tcBorders>
              <w:top w:val="nil"/>
              <w:left w:val="nil"/>
              <w:bottom w:val="nil"/>
              <w:right w:val="nil"/>
            </w:tcBorders>
          </w:tcPr>
          <w:p>
            <w:pPr>
              <w:pStyle w:val="TableParagraph"/>
              <w:spacing w:before="85"/>
              <w:ind w:left="217"/>
              <w:jc w:val="left"/>
              <w:rPr>
                <w:sz w:val="10"/>
              </w:rPr>
            </w:pPr>
            <w:r>
              <w:rPr>
                <w:position w:val="-6"/>
                <w:sz w:val="16"/>
              </w:rPr>
              <w:t>1</w:t>
            </w:r>
            <w:r>
              <w:rPr>
                <w:sz w:val="10"/>
              </w:rPr>
              <w:t>a</w:t>
            </w:r>
          </w:p>
          <w:p>
            <w:pPr>
              <w:pStyle w:val="TableParagraph"/>
              <w:spacing w:before="10"/>
              <w:jc w:val="left"/>
              <w:rPr>
                <w:sz w:val="15"/>
              </w:rPr>
            </w:pPr>
          </w:p>
          <w:p>
            <w:pPr>
              <w:pStyle w:val="TableParagraph"/>
              <w:ind w:left="116"/>
              <w:jc w:val="left"/>
              <w:rPr>
                <w:sz w:val="16"/>
              </w:rPr>
            </w:pPr>
            <w:r>
              <w:rPr>
                <w:sz w:val="16"/>
              </w:rPr>
              <w:t>(0-2)</w:t>
            </w:r>
          </w:p>
        </w:tc>
        <w:tc>
          <w:tcPr>
            <w:tcW w:w="555" w:type="dxa"/>
            <w:tcBorders>
              <w:top w:val="nil"/>
              <w:left w:val="nil"/>
              <w:bottom w:val="nil"/>
              <w:right w:val="nil"/>
            </w:tcBorders>
          </w:tcPr>
          <w:p>
            <w:pPr>
              <w:pStyle w:val="TableParagraph"/>
              <w:spacing w:before="85"/>
              <w:ind w:left="219"/>
              <w:jc w:val="left"/>
              <w:rPr>
                <w:sz w:val="10"/>
              </w:rPr>
            </w:pPr>
            <w:r>
              <w:rPr>
                <w:position w:val="-6"/>
                <w:sz w:val="16"/>
              </w:rPr>
              <w:t>1</w:t>
            </w:r>
            <w:r>
              <w:rPr>
                <w:sz w:val="10"/>
              </w:rPr>
              <w:t>a</w:t>
            </w:r>
          </w:p>
          <w:p>
            <w:pPr>
              <w:pStyle w:val="TableParagraph"/>
              <w:spacing w:before="10"/>
              <w:jc w:val="left"/>
              <w:rPr>
                <w:sz w:val="15"/>
              </w:rPr>
            </w:pPr>
          </w:p>
          <w:p>
            <w:pPr>
              <w:pStyle w:val="TableParagraph"/>
              <w:ind w:left="119"/>
              <w:jc w:val="left"/>
              <w:rPr>
                <w:sz w:val="16"/>
              </w:rPr>
            </w:pPr>
            <w:r>
              <w:rPr>
                <w:sz w:val="16"/>
              </w:rPr>
              <w:t>(0-2)</w:t>
            </w:r>
          </w:p>
        </w:tc>
        <w:tc>
          <w:tcPr>
            <w:tcW w:w="554" w:type="dxa"/>
            <w:tcBorders>
              <w:top w:val="nil"/>
              <w:left w:val="nil"/>
              <w:bottom w:val="nil"/>
              <w:right w:val="nil"/>
            </w:tcBorders>
          </w:tcPr>
          <w:p>
            <w:pPr>
              <w:pStyle w:val="TableParagraph"/>
              <w:spacing w:before="85"/>
              <w:ind w:left="217"/>
              <w:jc w:val="left"/>
              <w:rPr>
                <w:sz w:val="10"/>
              </w:rPr>
            </w:pPr>
            <w:r>
              <w:rPr>
                <w:position w:val="-6"/>
                <w:sz w:val="16"/>
              </w:rPr>
              <w:t>1</w:t>
            </w:r>
            <w:r>
              <w:rPr>
                <w:sz w:val="10"/>
              </w:rPr>
              <w:t>a</w:t>
            </w:r>
          </w:p>
          <w:p>
            <w:pPr>
              <w:pStyle w:val="TableParagraph"/>
              <w:spacing w:before="10"/>
              <w:jc w:val="left"/>
              <w:rPr>
                <w:sz w:val="15"/>
              </w:rPr>
            </w:pPr>
          </w:p>
          <w:p>
            <w:pPr>
              <w:pStyle w:val="TableParagraph"/>
              <w:ind w:left="116"/>
              <w:jc w:val="left"/>
              <w:rPr>
                <w:sz w:val="16"/>
              </w:rPr>
            </w:pPr>
            <w:r>
              <w:rPr>
                <w:sz w:val="16"/>
              </w:rPr>
              <w:t>(0-2)</w:t>
            </w:r>
          </w:p>
        </w:tc>
        <w:tc>
          <w:tcPr>
            <w:tcW w:w="576" w:type="dxa"/>
            <w:tcBorders>
              <w:top w:val="nil"/>
              <w:left w:val="nil"/>
              <w:bottom w:val="nil"/>
              <w:right w:val="nil"/>
            </w:tcBorders>
          </w:tcPr>
          <w:p>
            <w:pPr>
              <w:pStyle w:val="TableParagraph"/>
              <w:spacing w:before="85"/>
              <w:ind w:left="219"/>
              <w:jc w:val="left"/>
              <w:rPr>
                <w:sz w:val="10"/>
              </w:rPr>
            </w:pPr>
            <w:r>
              <w:rPr>
                <w:position w:val="-6"/>
                <w:sz w:val="16"/>
              </w:rPr>
              <w:t>1</w:t>
            </w:r>
            <w:r>
              <w:rPr>
                <w:sz w:val="10"/>
              </w:rPr>
              <w:t>a</w:t>
            </w:r>
          </w:p>
          <w:p>
            <w:pPr>
              <w:pStyle w:val="TableParagraph"/>
              <w:spacing w:before="10"/>
              <w:jc w:val="left"/>
              <w:rPr>
                <w:sz w:val="15"/>
              </w:rPr>
            </w:pPr>
          </w:p>
          <w:p>
            <w:pPr>
              <w:pStyle w:val="TableParagraph"/>
              <w:ind w:left="118"/>
              <w:jc w:val="left"/>
              <w:rPr>
                <w:sz w:val="16"/>
              </w:rPr>
            </w:pPr>
            <w:r>
              <w:rPr>
                <w:sz w:val="16"/>
              </w:rPr>
              <w:t>(0-2)</w:t>
            </w:r>
          </w:p>
        </w:tc>
        <w:tc>
          <w:tcPr>
            <w:tcW w:w="593" w:type="dxa"/>
            <w:tcBorders>
              <w:top w:val="nil"/>
              <w:left w:val="nil"/>
              <w:bottom w:val="nil"/>
              <w:right w:val="nil"/>
            </w:tcBorders>
          </w:tcPr>
          <w:p>
            <w:pPr>
              <w:pStyle w:val="TableParagraph"/>
              <w:spacing w:before="101"/>
              <w:ind w:left="2"/>
              <w:rPr>
                <w:sz w:val="16"/>
              </w:rPr>
            </w:pPr>
            <w:r>
              <w:rPr>
                <w:w w:val="99"/>
                <w:sz w:val="16"/>
              </w:rPr>
              <w:t>1</w:t>
            </w:r>
          </w:p>
          <w:p>
            <w:pPr>
              <w:pStyle w:val="TableParagraph"/>
              <w:spacing w:before="8"/>
              <w:jc w:val="left"/>
              <w:rPr>
                <w:sz w:val="15"/>
              </w:rPr>
            </w:pPr>
          </w:p>
          <w:p>
            <w:pPr>
              <w:pStyle w:val="TableParagraph"/>
              <w:ind w:left="117" w:right="115"/>
              <w:rPr>
                <w:sz w:val="16"/>
              </w:rPr>
            </w:pPr>
            <w:r>
              <w:rPr>
                <w:sz w:val="16"/>
              </w:rPr>
              <w:t>(0-2)</w:t>
            </w:r>
          </w:p>
        </w:tc>
        <w:tc>
          <w:tcPr>
            <w:tcW w:w="574" w:type="dxa"/>
            <w:tcBorders>
              <w:top w:val="nil"/>
              <w:left w:val="nil"/>
              <w:bottom w:val="nil"/>
              <w:right w:val="nil"/>
            </w:tcBorders>
          </w:tcPr>
          <w:p>
            <w:pPr>
              <w:pStyle w:val="TableParagraph"/>
              <w:spacing w:before="85"/>
              <w:ind w:left="236"/>
              <w:jc w:val="left"/>
              <w:rPr>
                <w:sz w:val="10"/>
              </w:rPr>
            </w:pPr>
            <w:r>
              <w:rPr>
                <w:position w:val="-6"/>
                <w:sz w:val="16"/>
              </w:rPr>
              <w:t>1</w:t>
            </w:r>
            <w:r>
              <w:rPr>
                <w:sz w:val="10"/>
              </w:rPr>
              <w:t>a</w:t>
            </w:r>
          </w:p>
          <w:p>
            <w:pPr>
              <w:pStyle w:val="TableParagraph"/>
              <w:spacing w:before="10"/>
              <w:jc w:val="left"/>
              <w:rPr>
                <w:sz w:val="15"/>
              </w:rPr>
            </w:pPr>
          </w:p>
          <w:p>
            <w:pPr>
              <w:pStyle w:val="TableParagraph"/>
              <w:ind w:left="135"/>
              <w:jc w:val="left"/>
              <w:rPr>
                <w:sz w:val="16"/>
              </w:rPr>
            </w:pPr>
            <w:r>
              <w:rPr>
                <w:sz w:val="16"/>
              </w:rPr>
              <w:t>(0-2)</w:t>
            </w:r>
          </w:p>
        </w:tc>
        <w:tc>
          <w:tcPr>
            <w:tcW w:w="555" w:type="dxa"/>
            <w:tcBorders>
              <w:top w:val="nil"/>
              <w:left w:val="nil"/>
              <w:bottom w:val="nil"/>
              <w:right w:val="nil"/>
            </w:tcBorders>
          </w:tcPr>
          <w:p>
            <w:pPr>
              <w:pStyle w:val="TableParagraph"/>
              <w:spacing w:before="101"/>
              <w:ind w:left="2"/>
              <w:rPr>
                <w:sz w:val="16"/>
              </w:rPr>
            </w:pPr>
            <w:r>
              <w:rPr>
                <w:w w:val="99"/>
                <w:sz w:val="16"/>
              </w:rPr>
              <w:t>1</w:t>
            </w:r>
          </w:p>
          <w:p>
            <w:pPr>
              <w:pStyle w:val="TableParagraph"/>
              <w:spacing w:before="8"/>
              <w:jc w:val="left"/>
              <w:rPr>
                <w:sz w:val="15"/>
              </w:rPr>
            </w:pPr>
          </w:p>
          <w:p>
            <w:pPr>
              <w:pStyle w:val="TableParagraph"/>
              <w:ind w:left="97" w:right="95"/>
              <w:rPr>
                <w:sz w:val="16"/>
              </w:rPr>
            </w:pPr>
            <w:r>
              <w:rPr>
                <w:sz w:val="16"/>
              </w:rPr>
              <w:t>(0-2)</w:t>
            </w:r>
          </w:p>
        </w:tc>
        <w:tc>
          <w:tcPr>
            <w:tcW w:w="552" w:type="dxa"/>
            <w:tcBorders>
              <w:top w:val="nil"/>
              <w:left w:val="nil"/>
              <w:bottom w:val="nil"/>
              <w:right w:val="nil"/>
            </w:tcBorders>
          </w:tcPr>
          <w:p>
            <w:pPr>
              <w:pStyle w:val="TableParagraph"/>
              <w:spacing w:before="85"/>
              <w:ind w:left="212"/>
              <w:jc w:val="left"/>
              <w:rPr>
                <w:sz w:val="10"/>
              </w:rPr>
            </w:pPr>
            <w:r>
              <w:rPr>
                <w:position w:val="-6"/>
                <w:sz w:val="16"/>
              </w:rPr>
              <w:t>1</w:t>
            </w:r>
            <w:r>
              <w:rPr>
                <w:sz w:val="10"/>
              </w:rPr>
              <w:t>*</w:t>
            </w:r>
          </w:p>
          <w:p>
            <w:pPr>
              <w:pStyle w:val="TableParagraph"/>
              <w:spacing w:before="10"/>
              <w:jc w:val="left"/>
              <w:rPr>
                <w:sz w:val="15"/>
              </w:rPr>
            </w:pPr>
          </w:p>
          <w:p>
            <w:pPr>
              <w:pStyle w:val="TableParagraph"/>
              <w:ind w:left="116"/>
              <w:jc w:val="left"/>
              <w:rPr>
                <w:sz w:val="16"/>
              </w:rPr>
            </w:pPr>
            <w:r>
              <w:rPr>
                <w:sz w:val="16"/>
              </w:rPr>
              <w:t>(0-2)</w:t>
            </w:r>
          </w:p>
        </w:tc>
        <w:tc>
          <w:tcPr>
            <w:tcW w:w="554" w:type="dxa"/>
            <w:tcBorders>
              <w:top w:val="nil"/>
              <w:left w:val="nil"/>
              <w:bottom w:val="nil"/>
              <w:right w:val="nil"/>
            </w:tcBorders>
          </w:tcPr>
          <w:p>
            <w:pPr>
              <w:pStyle w:val="TableParagraph"/>
              <w:spacing w:before="101"/>
              <w:ind w:left="178"/>
              <w:jc w:val="left"/>
              <w:rPr>
                <w:sz w:val="16"/>
              </w:rPr>
            </w:pPr>
            <w:r>
              <w:rPr>
                <w:sz w:val="16"/>
              </w:rPr>
              <w:t>0.5</w:t>
            </w:r>
          </w:p>
          <w:p>
            <w:pPr>
              <w:pStyle w:val="TableParagraph"/>
              <w:spacing w:before="8"/>
              <w:jc w:val="left"/>
              <w:rPr>
                <w:sz w:val="15"/>
              </w:rPr>
            </w:pPr>
          </w:p>
          <w:p>
            <w:pPr>
              <w:pStyle w:val="TableParagraph"/>
              <w:ind w:left="116"/>
              <w:jc w:val="left"/>
              <w:rPr>
                <w:sz w:val="16"/>
              </w:rPr>
            </w:pPr>
            <w:r>
              <w:rPr>
                <w:sz w:val="16"/>
              </w:rPr>
              <w:t>(0-3)</w:t>
            </w:r>
          </w:p>
        </w:tc>
        <w:tc>
          <w:tcPr>
            <w:tcW w:w="555" w:type="dxa"/>
            <w:tcBorders>
              <w:top w:val="nil"/>
              <w:left w:val="nil"/>
              <w:bottom w:val="nil"/>
              <w:right w:val="nil"/>
            </w:tcBorders>
          </w:tcPr>
          <w:p>
            <w:pPr>
              <w:pStyle w:val="TableParagraph"/>
              <w:spacing w:before="101"/>
              <w:ind w:left="2"/>
              <w:rPr>
                <w:sz w:val="16"/>
              </w:rPr>
            </w:pPr>
            <w:r>
              <w:rPr>
                <w:w w:val="99"/>
                <w:sz w:val="16"/>
              </w:rPr>
              <w:t>1</w:t>
            </w:r>
          </w:p>
          <w:p>
            <w:pPr>
              <w:pStyle w:val="TableParagraph"/>
              <w:spacing w:before="8"/>
              <w:jc w:val="left"/>
              <w:rPr>
                <w:sz w:val="15"/>
              </w:rPr>
            </w:pPr>
          </w:p>
          <w:p>
            <w:pPr>
              <w:pStyle w:val="TableParagraph"/>
              <w:ind w:left="97" w:right="95"/>
              <w:rPr>
                <w:sz w:val="16"/>
              </w:rPr>
            </w:pPr>
            <w:r>
              <w:rPr>
                <w:sz w:val="16"/>
              </w:rPr>
              <w:t>(0-3)</w:t>
            </w:r>
          </w:p>
        </w:tc>
        <w:tc>
          <w:tcPr>
            <w:tcW w:w="555" w:type="dxa"/>
            <w:tcBorders>
              <w:top w:val="nil"/>
              <w:left w:val="nil"/>
              <w:bottom w:val="nil"/>
              <w:right w:val="nil"/>
            </w:tcBorders>
          </w:tcPr>
          <w:p>
            <w:pPr>
              <w:pStyle w:val="TableParagraph"/>
              <w:spacing w:before="101"/>
              <w:rPr>
                <w:sz w:val="16"/>
              </w:rPr>
            </w:pPr>
            <w:r>
              <w:rPr>
                <w:w w:val="99"/>
                <w:sz w:val="16"/>
              </w:rPr>
              <w:t>1</w:t>
            </w:r>
          </w:p>
          <w:p>
            <w:pPr>
              <w:pStyle w:val="TableParagraph"/>
              <w:spacing w:before="8"/>
              <w:jc w:val="left"/>
              <w:rPr>
                <w:sz w:val="15"/>
              </w:rPr>
            </w:pPr>
          </w:p>
          <w:p>
            <w:pPr>
              <w:pStyle w:val="TableParagraph"/>
              <w:ind w:left="96" w:right="96"/>
              <w:rPr>
                <w:sz w:val="16"/>
              </w:rPr>
            </w:pPr>
            <w:r>
              <w:rPr>
                <w:sz w:val="16"/>
              </w:rPr>
              <w:t>(0-3)</w:t>
            </w:r>
          </w:p>
        </w:tc>
        <w:tc>
          <w:tcPr>
            <w:tcW w:w="552" w:type="dxa"/>
            <w:tcBorders>
              <w:top w:val="nil"/>
              <w:left w:val="nil"/>
              <w:bottom w:val="nil"/>
              <w:right w:val="nil"/>
            </w:tcBorders>
          </w:tcPr>
          <w:p>
            <w:pPr>
              <w:pStyle w:val="TableParagraph"/>
              <w:spacing w:before="101"/>
              <w:ind w:left="4"/>
              <w:rPr>
                <w:sz w:val="16"/>
              </w:rPr>
            </w:pPr>
            <w:r>
              <w:rPr>
                <w:w w:val="99"/>
                <w:sz w:val="16"/>
              </w:rPr>
              <w:t>1</w:t>
            </w:r>
          </w:p>
          <w:p>
            <w:pPr>
              <w:pStyle w:val="TableParagraph"/>
              <w:spacing w:before="8"/>
              <w:jc w:val="left"/>
              <w:rPr>
                <w:sz w:val="15"/>
              </w:rPr>
            </w:pPr>
          </w:p>
          <w:p>
            <w:pPr>
              <w:pStyle w:val="TableParagraph"/>
              <w:ind w:left="98" w:right="94"/>
              <w:rPr>
                <w:sz w:val="16"/>
              </w:rPr>
            </w:pPr>
            <w:r>
              <w:rPr>
                <w:sz w:val="16"/>
              </w:rPr>
              <w:t>(0-3)</w:t>
            </w:r>
          </w:p>
        </w:tc>
        <w:tc>
          <w:tcPr>
            <w:tcW w:w="547" w:type="dxa"/>
            <w:tcBorders>
              <w:top w:val="nil"/>
              <w:left w:val="nil"/>
              <w:bottom w:val="nil"/>
              <w:right w:val="nil"/>
            </w:tcBorders>
          </w:tcPr>
          <w:p>
            <w:pPr>
              <w:pStyle w:val="TableParagraph"/>
              <w:spacing w:before="101"/>
              <w:ind w:left="171"/>
              <w:jc w:val="left"/>
              <w:rPr>
                <w:sz w:val="16"/>
              </w:rPr>
            </w:pPr>
            <w:r>
              <w:rPr>
                <w:sz w:val="16"/>
              </w:rPr>
              <w:t>0.5</w:t>
            </w:r>
          </w:p>
          <w:p>
            <w:pPr>
              <w:pStyle w:val="TableParagraph"/>
              <w:spacing w:before="8"/>
              <w:jc w:val="left"/>
              <w:rPr>
                <w:sz w:val="15"/>
              </w:rPr>
            </w:pPr>
          </w:p>
          <w:p>
            <w:pPr>
              <w:pStyle w:val="TableParagraph"/>
              <w:ind w:left="114"/>
              <w:jc w:val="left"/>
              <w:rPr>
                <w:sz w:val="16"/>
              </w:rPr>
            </w:pPr>
            <w:r>
              <w:rPr>
                <w:sz w:val="16"/>
              </w:rPr>
              <w:t>(0-3)</w:t>
            </w:r>
          </w:p>
        </w:tc>
      </w:tr>
      <w:tr>
        <w:trPr>
          <w:trHeight w:val="846" w:hRule="exact"/>
        </w:trPr>
        <w:tc>
          <w:tcPr>
            <w:tcW w:w="2345" w:type="dxa"/>
            <w:tcBorders>
              <w:top w:val="nil"/>
              <w:left w:val="nil"/>
              <w:right w:val="nil"/>
            </w:tcBorders>
          </w:tcPr>
          <w:p>
            <w:pPr>
              <w:pStyle w:val="TableParagraph"/>
              <w:jc w:val="left"/>
              <w:rPr>
                <w:sz w:val="16"/>
              </w:rPr>
            </w:pPr>
          </w:p>
          <w:p>
            <w:pPr>
              <w:pStyle w:val="TableParagraph"/>
              <w:spacing w:before="99"/>
              <w:ind w:right="183"/>
              <w:jc w:val="right"/>
              <w:rPr>
                <w:sz w:val="16"/>
              </w:rPr>
            </w:pPr>
            <w:r>
              <w:rPr>
                <w:w w:val="95"/>
                <w:sz w:val="16"/>
              </w:rPr>
              <w:t>CONTROL/BUT</w:t>
            </w:r>
          </w:p>
        </w:tc>
        <w:tc>
          <w:tcPr>
            <w:tcW w:w="685" w:type="dxa"/>
            <w:tcBorders>
              <w:top w:val="nil"/>
              <w:left w:val="nil"/>
              <w:right w:val="nil"/>
            </w:tcBorders>
          </w:tcPr>
          <w:p>
            <w:pPr>
              <w:pStyle w:val="TableParagraph"/>
              <w:spacing w:before="101"/>
              <w:ind w:left="3"/>
              <w:rPr>
                <w:sz w:val="16"/>
              </w:rPr>
            </w:pPr>
            <w:r>
              <w:rPr>
                <w:w w:val="99"/>
                <w:sz w:val="16"/>
              </w:rPr>
              <w:t>0</w:t>
            </w:r>
          </w:p>
          <w:p>
            <w:pPr>
              <w:pStyle w:val="TableParagraph"/>
              <w:spacing w:before="1"/>
              <w:jc w:val="left"/>
              <w:rPr>
                <w:sz w:val="16"/>
              </w:rPr>
            </w:pPr>
          </w:p>
          <w:p>
            <w:pPr>
              <w:pStyle w:val="TableParagraph"/>
              <w:ind w:left="164" w:right="161"/>
              <w:rPr>
                <w:sz w:val="16"/>
              </w:rPr>
            </w:pPr>
            <w:r>
              <w:rPr>
                <w:sz w:val="16"/>
              </w:rPr>
              <w:t>(0-0)</w:t>
            </w:r>
          </w:p>
        </w:tc>
        <w:tc>
          <w:tcPr>
            <w:tcW w:w="696" w:type="dxa"/>
            <w:tcBorders>
              <w:top w:val="nil"/>
              <w:left w:val="nil"/>
              <w:right w:val="nil"/>
            </w:tcBorders>
          </w:tcPr>
          <w:p>
            <w:pPr>
              <w:pStyle w:val="TableParagraph"/>
              <w:spacing w:line="484" w:lineRule="auto" w:before="85"/>
              <w:ind w:left="219" w:right="155" w:firstLine="72"/>
              <w:jc w:val="left"/>
              <w:rPr>
                <w:sz w:val="16"/>
              </w:rPr>
            </w:pPr>
            <w:r>
              <w:rPr>
                <w:position w:val="-6"/>
                <w:sz w:val="16"/>
              </w:rPr>
              <w:t>6</w:t>
            </w:r>
            <w:r>
              <w:rPr>
                <w:sz w:val="10"/>
              </w:rPr>
              <w:t>b* </w:t>
            </w:r>
            <w:r>
              <w:rPr>
                <w:sz w:val="16"/>
              </w:rPr>
              <w:t>(4-8)</w:t>
            </w:r>
          </w:p>
        </w:tc>
        <w:tc>
          <w:tcPr>
            <w:tcW w:w="550" w:type="dxa"/>
            <w:tcBorders>
              <w:top w:val="nil"/>
              <w:left w:val="nil"/>
              <w:right w:val="nil"/>
            </w:tcBorders>
          </w:tcPr>
          <w:p>
            <w:pPr>
              <w:pStyle w:val="TableParagraph"/>
              <w:spacing w:before="101"/>
              <w:rPr>
                <w:sz w:val="16"/>
              </w:rPr>
            </w:pPr>
            <w:r>
              <w:rPr>
                <w:w w:val="99"/>
                <w:sz w:val="16"/>
              </w:rPr>
              <w:t>4</w:t>
            </w:r>
          </w:p>
          <w:p>
            <w:pPr>
              <w:pStyle w:val="TableParagraph"/>
              <w:spacing w:before="1"/>
              <w:jc w:val="left"/>
              <w:rPr>
                <w:sz w:val="16"/>
              </w:rPr>
            </w:pPr>
          </w:p>
          <w:p>
            <w:pPr>
              <w:pStyle w:val="TableParagraph"/>
              <w:ind w:left="95" w:right="95"/>
              <w:rPr>
                <w:sz w:val="16"/>
              </w:rPr>
            </w:pPr>
            <w:r>
              <w:rPr>
                <w:sz w:val="16"/>
              </w:rPr>
              <w:t>(4-4)</w:t>
            </w:r>
          </w:p>
        </w:tc>
        <w:tc>
          <w:tcPr>
            <w:tcW w:w="555" w:type="dxa"/>
            <w:tcBorders>
              <w:top w:val="nil"/>
              <w:left w:val="nil"/>
              <w:right w:val="nil"/>
            </w:tcBorders>
          </w:tcPr>
          <w:p>
            <w:pPr>
              <w:pStyle w:val="TableParagraph"/>
              <w:spacing w:before="101"/>
              <w:rPr>
                <w:sz w:val="16"/>
              </w:rPr>
            </w:pPr>
            <w:r>
              <w:rPr>
                <w:w w:val="99"/>
                <w:sz w:val="16"/>
              </w:rPr>
              <w:t>4</w:t>
            </w:r>
          </w:p>
          <w:p>
            <w:pPr>
              <w:pStyle w:val="TableParagraph"/>
              <w:spacing w:before="1"/>
              <w:jc w:val="left"/>
              <w:rPr>
                <w:sz w:val="16"/>
              </w:rPr>
            </w:pPr>
          </w:p>
          <w:p>
            <w:pPr>
              <w:pStyle w:val="TableParagraph"/>
              <w:ind w:left="96" w:right="96"/>
              <w:rPr>
                <w:sz w:val="16"/>
              </w:rPr>
            </w:pPr>
            <w:r>
              <w:rPr>
                <w:sz w:val="16"/>
              </w:rPr>
              <w:t>(4-4)</w:t>
            </w:r>
          </w:p>
        </w:tc>
        <w:tc>
          <w:tcPr>
            <w:tcW w:w="554" w:type="dxa"/>
            <w:tcBorders>
              <w:top w:val="nil"/>
              <w:left w:val="nil"/>
              <w:right w:val="nil"/>
            </w:tcBorders>
          </w:tcPr>
          <w:p>
            <w:pPr>
              <w:pStyle w:val="TableParagraph"/>
              <w:spacing w:before="101"/>
              <w:ind w:left="2"/>
              <w:rPr>
                <w:sz w:val="16"/>
              </w:rPr>
            </w:pPr>
            <w:r>
              <w:rPr>
                <w:w w:val="99"/>
                <w:sz w:val="16"/>
              </w:rPr>
              <w:t>3</w:t>
            </w:r>
          </w:p>
          <w:p>
            <w:pPr>
              <w:pStyle w:val="TableParagraph"/>
              <w:spacing w:before="1"/>
              <w:jc w:val="left"/>
              <w:rPr>
                <w:sz w:val="16"/>
              </w:rPr>
            </w:pPr>
          </w:p>
          <w:p>
            <w:pPr>
              <w:pStyle w:val="TableParagraph"/>
              <w:ind w:left="97" w:right="95"/>
              <w:rPr>
                <w:sz w:val="16"/>
              </w:rPr>
            </w:pPr>
            <w:r>
              <w:rPr>
                <w:sz w:val="16"/>
              </w:rPr>
              <w:t>(3-3)</w:t>
            </w:r>
          </w:p>
        </w:tc>
        <w:tc>
          <w:tcPr>
            <w:tcW w:w="555" w:type="dxa"/>
            <w:tcBorders>
              <w:top w:val="nil"/>
              <w:left w:val="nil"/>
              <w:right w:val="nil"/>
            </w:tcBorders>
          </w:tcPr>
          <w:p>
            <w:pPr>
              <w:pStyle w:val="TableParagraph"/>
              <w:spacing w:before="101"/>
              <w:rPr>
                <w:sz w:val="16"/>
              </w:rPr>
            </w:pPr>
            <w:r>
              <w:rPr>
                <w:w w:val="99"/>
                <w:sz w:val="16"/>
              </w:rPr>
              <w:t>2</w:t>
            </w:r>
          </w:p>
          <w:p>
            <w:pPr>
              <w:pStyle w:val="TableParagraph"/>
              <w:spacing w:before="1"/>
              <w:jc w:val="left"/>
              <w:rPr>
                <w:sz w:val="16"/>
              </w:rPr>
            </w:pPr>
          </w:p>
          <w:p>
            <w:pPr>
              <w:pStyle w:val="TableParagraph"/>
              <w:ind w:left="96" w:right="96"/>
              <w:rPr>
                <w:sz w:val="16"/>
              </w:rPr>
            </w:pPr>
            <w:r>
              <w:rPr>
                <w:sz w:val="16"/>
              </w:rPr>
              <w:t>(2-2)</w:t>
            </w:r>
          </w:p>
        </w:tc>
        <w:tc>
          <w:tcPr>
            <w:tcW w:w="555" w:type="dxa"/>
            <w:tcBorders>
              <w:top w:val="nil"/>
              <w:left w:val="nil"/>
              <w:right w:val="nil"/>
            </w:tcBorders>
          </w:tcPr>
          <w:p>
            <w:pPr>
              <w:pStyle w:val="TableParagraph"/>
              <w:spacing w:before="101"/>
              <w:ind w:left="2"/>
              <w:rPr>
                <w:sz w:val="16"/>
              </w:rPr>
            </w:pPr>
            <w:r>
              <w:rPr>
                <w:w w:val="99"/>
                <w:sz w:val="16"/>
              </w:rPr>
              <w:t>3</w:t>
            </w:r>
          </w:p>
          <w:p>
            <w:pPr>
              <w:pStyle w:val="TableParagraph"/>
              <w:spacing w:before="1"/>
              <w:jc w:val="left"/>
              <w:rPr>
                <w:sz w:val="16"/>
              </w:rPr>
            </w:pPr>
          </w:p>
          <w:p>
            <w:pPr>
              <w:pStyle w:val="TableParagraph"/>
              <w:ind w:left="97" w:right="95"/>
              <w:rPr>
                <w:sz w:val="16"/>
              </w:rPr>
            </w:pPr>
            <w:r>
              <w:rPr>
                <w:sz w:val="16"/>
              </w:rPr>
              <w:t>(3-3)</w:t>
            </w:r>
          </w:p>
        </w:tc>
        <w:tc>
          <w:tcPr>
            <w:tcW w:w="554" w:type="dxa"/>
            <w:tcBorders>
              <w:top w:val="nil"/>
              <w:left w:val="nil"/>
              <w:right w:val="nil"/>
            </w:tcBorders>
          </w:tcPr>
          <w:p>
            <w:pPr>
              <w:pStyle w:val="TableParagraph"/>
              <w:spacing w:before="101"/>
              <w:rPr>
                <w:sz w:val="16"/>
              </w:rPr>
            </w:pPr>
            <w:r>
              <w:rPr>
                <w:w w:val="99"/>
                <w:sz w:val="16"/>
              </w:rPr>
              <w:t>3</w:t>
            </w:r>
          </w:p>
          <w:p>
            <w:pPr>
              <w:pStyle w:val="TableParagraph"/>
              <w:spacing w:before="1"/>
              <w:jc w:val="left"/>
              <w:rPr>
                <w:sz w:val="16"/>
              </w:rPr>
            </w:pPr>
          </w:p>
          <w:p>
            <w:pPr>
              <w:pStyle w:val="TableParagraph"/>
              <w:ind w:left="96" w:right="96"/>
              <w:rPr>
                <w:sz w:val="16"/>
              </w:rPr>
            </w:pPr>
            <w:r>
              <w:rPr>
                <w:sz w:val="16"/>
              </w:rPr>
              <w:t>(3-3)</w:t>
            </w:r>
          </w:p>
        </w:tc>
        <w:tc>
          <w:tcPr>
            <w:tcW w:w="576" w:type="dxa"/>
            <w:tcBorders>
              <w:top w:val="nil"/>
              <w:left w:val="nil"/>
              <w:right w:val="nil"/>
            </w:tcBorders>
          </w:tcPr>
          <w:p>
            <w:pPr>
              <w:pStyle w:val="TableParagraph"/>
              <w:spacing w:before="101"/>
              <w:ind w:right="17"/>
              <w:rPr>
                <w:sz w:val="16"/>
              </w:rPr>
            </w:pPr>
            <w:r>
              <w:rPr>
                <w:w w:val="99"/>
                <w:sz w:val="16"/>
              </w:rPr>
              <w:t>3</w:t>
            </w:r>
          </w:p>
          <w:p>
            <w:pPr>
              <w:pStyle w:val="TableParagraph"/>
              <w:spacing w:before="1"/>
              <w:jc w:val="left"/>
              <w:rPr>
                <w:sz w:val="16"/>
              </w:rPr>
            </w:pPr>
          </w:p>
          <w:p>
            <w:pPr>
              <w:pStyle w:val="TableParagraph"/>
              <w:ind w:left="99" w:right="116"/>
              <w:rPr>
                <w:sz w:val="16"/>
              </w:rPr>
            </w:pPr>
            <w:r>
              <w:rPr>
                <w:sz w:val="16"/>
              </w:rPr>
              <w:t>(3-3)</w:t>
            </w:r>
          </w:p>
        </w:tc>
        <w:tc>
          <w:tcPr>
            <w:tcW w:w="593" w:type="dxa"/>
            <w:tcBorders>
              <w:top w:val="nil"/>
              <w:left w:val="nil"/>
              <w:right w:val="nil"/>
            </w:tcBorders>
          </w:tcPr>
          <w:p>
            <w:pPr>
              <w:pStyle w:val="TableParagraph"/>
              <w:spacing w:before="101"/>
              <w:ind w:left="2"/>
              <w:rPr>
                <w:sz w:val="16"/>
              </w:rPr>
            </w:pPr>
            <w:r>
              <w:rPr>
                <w:w w:val="99"/>
                <w:sz w:val="16"/>
              </w:rPr>
              <w:t>3</w:t>
            </w:r>
          </w:p>
          <w:p>
            <w:pPr>
              <w:pStyle w:val="TableParagraph"/>
              <w:spacing w:before="1"/>
              <w:jc w:val="left"/>
              <w:rPr>
                <w:sz w:val="16"/>
              </w:rPr>
            </w:pPr>
          </w:p>
          <w:p>
            <w:pPr>
              <w:pStyle w:val="TableParagraph"/>
              <w:ind w:left="117" w:right="115"/>
              <w:rPr>
                <w:sz w:val="16"/>
              </w:rPr>
            </w:pPr>
            <w:r>
              <w:rPr>
                <w:sz w:val="16"/>
              </w:rPr>
              <w:t>(3-3)</w:t>
            </w:r>
          </w:p>
        </w:tc>
        <w:tc>
          <w:tcPr>
            <w:tcW w:w="574" w:type="dxa"/>
            <w:tcBorders>
              <w:top w:val="nil"/>
              <w:left w:val="nil"/>
              <w:right w:val="nil"/>
            </w:tcBorders>
          </w:tcPr>
          <w:p>
            <w:pPr>
              <w:pStyle w:val="TableParagraph"/>
              <w:spacing w:before="101"/>
              <w:ind w:left="16"/>
              <w:rPr>
                <w:sz w:val="16"/>
              </w:rPr>
            </w:pPr>
            <w:r>
              <w:rPr>
                <w:w w:val="99"/>
                <w:sz w:val="16"/>
              </w:rPr>
              <w:t>2</w:t>
            </w:r>
          </w:p>
          <w:p>
            <w:pPr>
              <w:pStyle w:val="TableParagraph"/>
              <w:spacing w:before="1"/>
              <w:jc w:val="left"/>
              <w:rPr>
                <w:sz w:val="16"/>
              </w:rPr>
            </w:pPr>
          </w:p>
          <w:p>
            <w:pPr>
              <w:pStyle w:val="TableParagraph"/>
              <w:ind w:left="114" w:right="98"/>
              <w:rPr>
                <w:sz w:val="16"/>
              </w:rPr>
            </w:pPr>
            <w:r>
              <w:rPr>
                <w:sz w:val="16"/>
              </w:rPr>
              <w:t>(2-2)</w:t>
            </w:r>
          </w:p>
        </w:tc>
        <w:tc>
          <w:tcPr>
            <w:tcW w:w="555" w:type="dxa"/>
            <w:tcBorders>
              <w:top w:val="nil"/>
              <w:left w:val="nil"/>
              <w:right w:val="nil"/>
            </w:tcBorders>
          </w:tcPr>
          <w:p>
            <w:pPr>
              <w:pStyle w:val="TableParagraph"/>
              <w:spacing w:before="101"/>
              <w:ind w:left="2"/>
              <w:rPr>
                <w:sz w:val="16"/>
              </w:rPr>
            </w:pPr>
            <w:r>
              <w:rPr>
                <w:w w:val="99"/>
                <w:sz w:val="16"/>
              </w:rPr>
              <w:t>2</w:t>
            </w:r>
          </w:p>
          <w:p>
            <w:pPr>
              <w:pStyle w:val="TableParagraph"/>
              <w:spacing w:before="1"/>
              <w:jc w:val="left"/>
              <w:rPr>
                <w:sz w:val="16"/>
              </w:rPr>
            </w:pPr>
          </w:p>
          <w:p>
            <w:pPr>
              <w:pStyle w:val="TableParagraph"/>
              <w:ind w:left="97" w:right="95"/>
              <w:rPr>
                <w:sz w:val="16"/>
              </w:rPr>
            </w:pPr>
            <w:r>
              <w:rPr>
                <w:sz w:val="16"/>
              </w:rPr>
              <w:t>(2-2)</w:t>
            </w:r>
          </w:p>
        </w:tc>
        <w:tc>
          <w:tcPr>
            <w:tcW w:w="552" w:type="dxa"/>
            <w:tcBorders>
              <w:top w:val="nil"/>
              <w:left w:val="nil"/>
              <w:right w:val="nil"/>
            </w:tcBorders>
          </w:tcPr>
          <w:p>
            <w:pPr>
              <w:pStyle w:val="TableParagraph"/>
              <w:spacing w:before="101"/>
              <w:rPr>
                <w:sz w:val="16"/>
              </w:rPr>
            </w:pPr>
            <w:r>
              <w:rPr>
                <w:w w:val="99"/>
                <w:sz w:val="16"/>
              </w:rPr>
              <w:t>2</w:t>
            </w:r>
          </w:p>
          <w:p>
            <w:pPr>
              <w:pStyle w:val="TableParagraph"/>
              <w:spacing w:before="1"/>
              <w:jc w:val="left"/>
              <w:rPr>
                <w:sz w:val="16"/>
              </w:rPr>
            </w:pPr>
          </w:p>
          <w:p>
            <w:pPr>
              <w:pStyle w:val="TableParagraph"/>
              <w:ind w:left="96" w:right="96"/>
              <w:rPr>
                <w:sz w:val="16"/>
              </w:rPr>
            </w:pPr>
            <w:r>
              <w:rPr>
                <w:sz w:val="16"/>
              </w:rPr>
              <w:t>(2-2)</w:t>
            </w:r>
          </w:p>
        </w:tc>
        <w:tc>
          <w:tcPr>
            <w:tcW w:w="554" w:type="dxa"/>
            <w:tcBorders>
              <w:top w:val="nil"/>
              <w:left w:val="nil"/>
              <w:right w:val="nil"/>
            </w:tcBorders>
          </w:tcPr>
          <w:p>
            <w:pPr>
              <w:pStyle w:val="TableParagraph"/>
              <w:spacing w:before="101"/>
              <w:rPr>
                <w:sz w:val="16"/>
              </w:rPr>
            </w:pPr>
            <w:r>
              <w:rPr>
                <w:w w:val="99"/>
                <w:sz w:val="16"/>
              </w:rPr>
              <w:t>2</w:t>
            </w:r>
          </w:p>
          <w:p>
            <w:pPr>
              <w:pStyle w:val="TableParagraph"/>
              <w:spacing w:before="1"/>
              <w:jc w:val="left"/>
              <w:rPr>
                <w:sz w:val="16"/>
              </w:rPr>
            </w:pPr>
          </w:p>
          <w:p>
            <w:pPr>
              <w:pStyle w:val="TableParagraph"/>
              <w:ind w:left="96" w:right="96"/>
              <w:rPr>
                <w:sz w:val="16"/>
              </w:rPr>
            </w:pPr>
            <w:r>
              <w:rPr>
                <w:sz w:val="16"/>
              </w:rPr>
              <w:t>(2-2)</w:t>
            </w:r>
          </w:p>
        </w:tc>
        <w:tc>
          <w:tcPr>
            <w:tcW w:w="555" w:type="dxa"/>
            <w:tcBorders>
              <w:top w:val="nil"/>
              <w:left w:val="nil"/>
              <w:right w:val="nil"/>
            </w:tcBorders>
          </w:tcPr>
          <w:p>
            <w:pPr>
              <w:pStyle w:val="TableParagraph"/>
              <w:spacing w:before="101"/>
              <w:ind w:left="2"/>
              <w:rPr>
                <w:sz w:val="16"/>
              </w:rPr>
            </w:pPr>
            <w:r>
              <w:rPr>
                <w:w w:val="99"/>
                <w:sz w:val="16"/>
              </w:rPr>
              <w:t>1</w:t>
            </w:r>
          </w:p>
          <w:p>
            <w:pPr>
              <w:pStyle w:val="TableParagraph"/>
              <w:spacing w:before="1"/>
              <w:jc w:val="left"/>
              <w:rPr>
                <w:sz w:val="16"/>
              </w:rPr>
            </w:pPr>
          </w:p>
          <w:p>
            <w:pPr>
              <w:pStyle w:val="TableParagraph"/>
              <w:ind w:left="97" w:right="95"/>
              <w:rPr>
                <w:sz w:val="16"/>
              </w:rPr>
            </w:pPr>
            <w:r>
              <w:rPr>
                <w:sz w:val="16"/>
              </w:rPr>
              <w:t>(1-1)</w:t>
            </w:r>
          </w:p>
        </w:tc>
        <w:tc>
          <w:tcPr>
            <w:tcW w:w="555" w:type="dxa"/>
            <w:tcBorders>
              <w:top w:val="nil"/>
              <w:left w:val="nil"/>
              <w:right w:val="nil"/>
            </w:tcBorders>
          </w:tcPr>
          <w:p>
            <w:pPr>
              <w:pStyle w:val="TableParagraph"/>
              <w:spacing w:before="101"/>
              <w:rPr>
                <w:sz w:val="16"/>
              </w:rPr>
            </w:pPr>
            <w:r>
              <w:rPr>
                <w:w w:val="99"/>
                <w:sz w:val="16"/>
              </w:rPr>
              <w:t>1</w:t>
            </w:r>
          </w:p>
          <w:p>
            <w:pPr>
              <w:pStyle w:val="TableParagraph"/>
              <w:spacing w:before="1"/>
              <w:jc w:val="left"/>
              <w:rPr>
                <w:sz w:val="16"/>
              </w:rPr>
            </w:pPr>
          </w:p>
          <w:p>
            <w:pPr>
              <w:pStyle w:val="TableParagraph"/>
              <w:ind w:left="96" w:right="96"/>
              <w:rPr>
                <w:sz w:val="16"/>
              </w:rPr>
            </w:pPr>
            <w:r>
              <w:rPr>
                <w:sz w:val="16"/>
              </w:rPr>
              <w:t>(1-1)</w:t>
            </w:r>
          </w:p>
        </w:tc>
        <w:tc>
          <w:tcPr>
            <w:tcW w:w="552" w:type="dxa"/>
            <w:tcBorders>
              <w:top w:val="nil"/>
              <w:left w:val="nil"/>
              <w:right w:val="nil"/>
            </w:tcBorders>
          </w:tcPr>
          <w:p>
            <w:pPr>
              <w:pStyle w:val="TableParagraph"/>
              <w:spacing w:before="101"/>
              <w:ind w:left="4"/>
              <w:rPr>
                <w:sz w:val="16"/>
              </w:rPr>
            </w:pPr>
            <w:r>
              <w:rPr>
                <w:w w:val="99"/>
                <w:sz w:val="16"/>
              </w:rPr>
              <w:t>1</w:t>
            </w:r>
          </w:p>
          <w:p>
            <w:pPr>
              <w:pStyle w:val="TableParagraph"/>
              <w:spacing w:before="1"/>
              <w:jc w:val="left"/>
              <w:rPr>
                <w:sz w:val="16"/>
              </w:rPr>
            </w:pPr>
          </w:p>
          <w:p>
            <w:pPr>
              <w:pStyle w:val="TableParagraph"/>
              <w:ind w:left="98" w:right="94"/>
              <w:rPr>
                <w:sz w:val="16"/>
              </w:rPr>
            </w:pPr>
            <w:r>
              <w:rPr>
                <w:sz w:val="16"/>
              </w:rPr>
              <w:t>(1-1)</w:t>
            </w:r>
          </w:p>
        </w:tc>
        <w:tc>
          <w:tcPr>
            <w:tcW w:w="547" w:type="dxa"/>
            <w:tcBorders>
              <w:top w:val="nil"/>
              <w:left w:val="nil"/>
              <w:right w:val="nil"/>
            </w:tcBorders>
          </w:tcPr>
          <w:p>
            <w:pPr>
              <w:pStyle w:val="TableParagraph"/>
              <w:spacing w:before="101"/>
              <w:rPr>
                <w:sz w:val="16"/>
              </w:rPr>
            </w:pPr>
            <w:r>
              <w:rPr>
                <w:w w:val="99"/>
                <w:sz w:val="16"/>
              </w:rPr>
              <w:t>1</w:t>
            </w:r>
          </w:p>
          <w:p>
            <w:pPr>
              <w:pStyle w:val="TableParagraph"/>
              <w:spacing w:before="1"/>
              <w:jc w:val="left"/>
              <w:rPr>
                <w:sz w:val="16"/>
              </w:rPr>
            </w:pPr>
          </w:p>
          <w:p>
            <w:pPr>
              <w:pStyle w:val="TableParagraph"/>
              <w:ind w:left="92" w:right="92"/>
              <w:rPr>
                <w:sz w:val="16"/>
              </w:rPr>
            </w:pPr>
            <w:r>
              <w:rPr>
                <w:sz w:val="16"/>
              </w:rPr>
              <w:t>(1-1)</w:t>
            </w:r>
          </w:p>
        </w:tc>
      </w:tr>
    </w:tbl>
    <w:p>
      <w:pPr>
        <w:spacing w:after="0"/>
        <w:rPr>
          <w:sz w:val="16"/>
        </w:rPr>
        <w:sectPr>
          <w:pgSz w:w="15840" w:h="12240" w:orient="landscape"/>
          <w:pgMar w:header="0" w:footer="1628" w:top="1140" w:bottom="1820" w:left="1660" w:right="1300"/>
        </w:sectPr>
      </w:pPr>
    </w:p>
    <w:p>
      <w:pPr>
        <w:pStyle w:val="BodyText"/>
        <w:rPr>
          <w:sz w:val="20"/>
        </w:rPr>
      </w:pPr>
    </w:p>
    <w:p>
      <w:pPr>
        <w:pStyle w:val="BodyText"/>
        <w:rPr>
          <w:sz w:val="20"/>
        </w:rPr>
      </w:pPr>
    </w:p>
    <w:p>
      <w:pPr>
        <w:pStyle w:val="BodyText"/>
        <w:spacing w:before="10"/>
        <w:rPr>
          <w:sz w:val="17"/>
        </w:rPr>
      </w:pPr>
    </w:p>
    <w:p>
      <w:pPr>
        <w:spacing w:line="472" w:lineRule="auto" w:before="1"/>
        <w:ind w:left="232" w:right="242" w:firstLine="0"/>
        <w:jc w:val="both"/>
        <w:rPr>
          <w:sz w:val="20"/>
        </w:rPr>
      </w:pPr>
      <w:r>
        <w:rPr>
          <w:sz w:val="20"/>
        </w:rPr>
        <w:t>Table 3. Median (range) of sedation scores using a numerical rating scaling (NRS) in dogs after ovariohysterectomy. Animals received a constant rate infusion of either fentanyl (FENT), lidocaine (LIDO), ketamine (KET), dexmedetomidine (DEX), a combination of lidocaine-ketamine-dexmedetomidine (LKD), or saline 0.9% with a loading dose of butorphanol after induction of anesthesia (CONTROL/BUT). Baseline values were recorded 90 minutes before induction of anesthesia. Treatments were infused for 4 hours after surgery. *Significantly different from baseline values. </w:t>
      </w:r>
      <w:r>
        <w:rPr>
          <w:position w:val="9"/>
          <w:sz w:val="13"/>
        </w:rPr>
        <w:t>a,b,c, </w:t>
      </w:r>
      <w:r>
        <w:rPr>
          <w:sz w:val="20"/>
        </w:rPr>
        <w:t>significantly different among groups (</w:t>
      </w:r>
      <w:r>
        <w:rPr>
          <w:i/>
          <w:sz w:val="20"/>
        </w:rPr>
        <w:t>p </w:t>
      </w:r>
      <w:r>
        <w:rPr>
          <w:sz w:val="20"/>
        </w:rPr>
        <w:t>&lt; 0.05).</w:t>
      </w:r>
    </w:p>
    <w:p>
      <w:pPr>
        <w:pStyle w:val="BodyText"/>
        <w:spacing w:before="9"/>
        <w:rPr>
          <w:sz w:val="18"/>
        </w:rPr>
      </w:pPr>
      <w:r>
        <w:rPr/>
        <w:pict>
          <v:group style="position:absolute;margin-left:87.853996pt;margin-top:12.794926pt;width:633.6pt;height:.5pt;mso-position-horizontal-relative:page;mso-position-vertical-relative:paragraph;z-index:1600;mso-wrap-distance-left:0;mso-wrap-distance-right:0" coordorigin="1757,256" coordsize="12672,10">
            <v:line style="position:absolute" from="1762,261" to="3337,261" stroked="true" strokeweight=".48pt" strokecolor="#000000"/>
            <v:line style="position:absolute" from="3337,261" to="3347,261" stroked="true" strokeweight=".48pt" strokecolor="#000000"/>
            <v:line style="position:absolute" from="3347,261" to="14424,261" stroked="true" strokeweight=".48pt" strokecolor="#000000"/>
            <w10:wrap type="topAndBottom"/>
          </v:group>
        </w:pict>
      </w:r>
    </w:p>
    <w:p>
      <w:pPr>
        <w:spacing w:line="149" w:lineRule="exact" w:before="0"/>
        <w:ind w:left="6212" w:right="4668" w:firstLine="0"/>
        <w:jc w:val="center"/>
        <w:rPr>
          <w:sz w:val="16"/>
        </w:rPr>
      </w:pPr>
      <w:r>
        <w:rPr>
          <w:sz w:val="16"/>
        </w:rPr>
        <w:t>Time points (hours)</w:t>
      </w:r>
    </w:p>
    <w:p>
      <w:pPr>
        <w:tabs>
          <w:tab w:pos="1696" w:val="left" w:leader="none"/>
          <w:tab w:pos="12818" w:val="left" w:leader="none"/>
        </w:tabs>
        <w:spacing w:before="3" w:after="30"/>
        <w:ind w:left="582" w:right="0" w:firstLine="0"/>
        <w:jc w:val="left"/>
        <w:rPr>
          <w:sz w:val="16"/>
        </w:rPr>
      </w:pPr>
      <w:r>
        <w:rPr>
          <w:sz w:val="16"/>
        </w:rPr>
        <w:t>Treatment</w:t>
        <w:tab/>
      </w:r>
      <w:r>
        <w:rPr>
          <w:w w:val="98"/>
          <w:sz w:val="16"/>
          <w:u w:val="single"/>
        </w:rPr>
        <w:t> </w:t>
      </w:r>
      <w:r>
        <w:rPr>
          <w:sz w:val="16"/>
          <w:u w:val="single"/>
        </w:rPr>
        <w:tab/>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8"/>
        <w:gridCol w:w="807"/>
        <w:gridCol w:w="653"/>
        <w:gridCol w:w="634"/>
        <w:gridCol w:w="629"/>
        <w:gridCol w:w="631"/>
        <w:gridCol w:w="631"/>
        <w:gridCol w:w="629"/>
        <w:gridCol w:w="629"/>
        <w:gridCol w:w="631"/>
        <w:gridCol w:w="631"/>
        <w:gridCol w:w="629"/>
        <w:gridCol w:w="629"/>
        <w:gridCol w:w="632"/>
        <w:gridCol w:w="631"/>
        <w:gridCol w:w="624"/>
        <w:gridCol w:w="452"/>
        <w:gridCol w:w="444"/>
        <w:gridCol w:w="449"/>
      </w:tblGrid>
      <w:tr>
        <w:trPr>
          <w:trHeight w:val="353" w:hRule="exact"/>
        </w:trPr>
        <w:tc>
          <w:tcPr>
            <w:tcW w:w="2486" w:type="dxa"/>
            <w:gridSpan w:val="2"/>
            <w:tcBorders>
              <w:bottom w:val="single" w:sz="4" w:space="0" w:color="000000"/>
            </w:tcBorders>
          </w:tcPr>
          <w:p>
            <w:pPr>
              <w:pStyle w:val="TableParagraph"/>
              <w:spacing w:line="162" w:lineRule="exact"/>
              <w:ind w:right="172"/>
              <w:jc w:val="right"/>
              <w:rPr>
                <w:sz w:val="16"/>
              </w:rPr>
            </w:pPr>
            <w:r>
              <w:rPr>
                <w:w w:val="95"/>
                <w:sz w:val="16"/>
              </w:rPr>
              <w:t>Baseline</w:t>
            </w:r>
          </w:p>
        </w:tc>
        <w:tc>
          <w:tcPr>
            <w:tcW w:w="653" w:type="dxa"/>
            <w:tcBorders>
              <w:bottom w:val="single" w:sz="4" w:space="0" w:color="000000"/>
            </w:tcBorders>
          </w:tcPr>
          <w:p>
            <w:pPr>
              <w:pStyle w:val="TableParagraph"/>
              <w:spacing w:line="162" w:lineRule="exact"/>
              <w:ind w:left="14"/>
              <w:rPr>
                <w:sz w:val="16"/>
              </w:rPr>
            </w:pPr>
            <w:r>
              <w:rPr>
                <w:w w:val="99"/>
                <w:sz w:val="16"/>
              </w:rPr>
              <w:t>1</w:t>
            </w:r>
          </w:p>
        </w:tc>
        <w:tc>
          <w:tcPr>
            <w:tcW w:w="634" w:type="dxa"/>
            <w:tcBorders>
              <w:bottom w:val="single" w:sz="4" w:space="0" w:color="000000"/>
            </w:tcBorders>
          </w:tcPr>
          <w:p>
            <w:pPr>
              <w:pStyle w:val="TableParagraph"/>
              <w:spacing w:line="162" w:lineRule="exact"/>
              <w:ind w:left="4"/>
              <w:rPr>
                <w:sz w:val="16"/>
              </w:rPr>
            </w:pPr>
            <w:r>
              <w:rPr>
                <w:w w:val="99"/>
                <w:sz w:val="16"/>
              </w:rPr>
              <w:t>2</w:t>
            </w:r>
          </w:p>
        </w:tc>
        <w:tc>
          <w:tcPr>
            <w:tcW w:w="629" w:type="dxa"/>
            <w:tcBorders>
              <w:bottom w:val="single" w:sz="4" w:space="0" w:color="000000"/>
            </w:tcBorders>
          </w:tcPr>
          <w:p>
            <w:pPr>
              <w:pStyle w:val="TableParagraph"/>
              <w:spacing w:line="162" w:lineRule="exact"/>
              <w:rPr>
                <w:sz w:val="16"/>
              </w:rPr>
            </w:pPr>
            <w:r>
              <w:rPr>
                <w:w w:val="99"/>
                <w:sz w:val="16"/>
              </w:rPr>
              <w:t>3</w:t>
            </w:r>
          </w:p>
        </w:tc>
        <w:tc>
          <w:tcPr>
            <w:tcW w:w="631" w:type="dxa"/>
            <w:tcBorders>
              <w:bottom w:val="single" w:sz="4" w:space="0" w:color="000000"/>
            </w:tcBorders>
          </w:tcPr>
          <w:p>
            <w:pPr>
              <w:pStyle w:val="TableParagraph"/>
              <w:spacing w:line="162" w:lineRule="exact"/>
              <w:rPr>
                <w:sz w:val="16"/>
              </w:rPr>
            </w:pPr>
            <w:r>
              <w:rPr>
                <w:w w:val="99"/>
                <w:sz w:val="16"/>
              </w:rPr>
              <w:t>4</w:t>
            </w:r>
          </w:p>
        </w:tc>
        <w:tc>
          <w:tcPr>
            <w:tcW w:w="631" w:type="dxa"/>
            <w:tcBorders>
              <w:bottom w:val="single" w:sz="4" w:space="0" w:color="000000"/>
            </w:tcBorders>
          </w:tcPr>
          <w:p>
            <w:pPr>
              <w:pStyle w:val="TableParagraph"/>
              <w:spacing w:line="162" w:lineRule="exact"/>
              <w:ind w:left="2"/>
              <w:rPr>
                <w:sz w:val="16"/>
              </w:rPr>
            </w:pPr>
            <w:r>
              <w:rPr>
                <w:w w:val="99"/>
                <w:sz w:val="16"/>
              </w:rPr>
              <w:t>5</w:t>
            </w:r>
          </w:p>
        </w:tc>
        <w:tc>
          <w:tcPr>
            <w:tcW w:w="629" w:type="dxa"/>
            <w:tcBorders>
              <w:bottom w:val="single" w:sz="4" w:space="0" w:color="000000"/>
            </w:tcBorders>
          </w:tcPr>
          <w:p>
            <w:pPr>
              <w:pStyle w:val="TableParagraph"/>
              <w:spacing w:line="162" w:lineRule="exact"/>
              <w:rPr>
                <w:sz w:val="16"/>
              </w:rPr>
            </w:pPr>
            <w:r>
              <w:rPr>
                <w:w w:val="99"/>
                <w:sz w:val="16"/>
              </w:rPr>
              <w:t>6</w:t>
            </w:r>
          </w:p>
        </w:tc>
        <w:tc>
          <w:tcPr>
            <w:tcW w:w="629" w:type="dxa"/>
            <w:tcBorders>
              <w:bottom w:val="single" w:sz="4" w:space="0" w:color="000000"/>
            </w:tcBorders>
          </w:tcPr>
          <w:p>
            <w:pPr>
              <w:pStyle w:val="TableParagraph"/>
              <w:spacing w:line="162" w:lineRule="exact"/>
              <w:rPr>
                <w:sz w:val="16"/>
              </w:rPr>
            </w:pPr>
            <w:r>
              <w:rPr>
                <w:w w:val="99"/>
                <w:sz w:val="16"/>
              </w:rPr>
              <w:t>7</w:t>
            </w:r>
          </w:p>
        </w:tc>
        <w:tc>
          <w:tcPr>
            <w:tcW w:w="631" w:type="dxa"/>
            <w:tcBorders>
              <w:bottom w:val="single" w:sz="4" w:space="0" w:color="000000"/>
            </w:tcBorders>
          </w:tcPr>
          <w:p>
            <w:pPr>
              <w:pStyle w:val="TableParagraph"/>
              <w:spacing w:line="162" w:lineRule="exact"/>
              <w:rPr>
                <w:sz w:val="16"/>
              </w:rPr>
            </w:pPr>
            <w:r>
              <w:rPr>
                <w:w w:val="99"/>
                <w:sz w:val="16"/>
              </w:rPr>
              <w:t>8</w:t>
            </w:r>
          </w:p>
        </w:tc>
        <w:tc>
          <w:tcPr>
            <w:tcW w:w="631" w:type="dxa"/>
            <w:tcBorders>
              <w:bottom w:val="single" w:sz="4" w:space="0" w:color="000000"/>
            </w:tcBorders>
          </w:tcPr>
          <w:p>
            <w:pPr>
              <w:pStyle w:val="TableParagraph"/>
              <w:spacing w:line="162" w:lineRule="exact"/>
              <w:ind w:left="2"/>
              <w:rPr>
                <w:sz w:val="16"/>
              </w:rPr>
            </w:pPr>
            <w:r>
              <w:rPr>
                <w:w w:val="99"/>
                <w:sz w:val="16"/>
              </w:rPr>
              <w:t>9</w:t>
            </w:r>
          </w:p>
        </w:tc>
        <w:tc>
          <w:tcPr>
            <w:tcW w:w="629" w:type="dxa"/>
            <w:tcBorders>
              <w:bottom w:val="single" w:sz="4" w:space="0" w:color="000000"/>
            </w:tcBorders>
          </w:tcPr>
          <w:p>
            <w:pPr>
              <w:pStyle w:val="TableParagraph"/>
              <w:spacing w:line="162" w:lineRule="exact"/>
              <w:ind w:left="134" w:right="127"/>
              <w:rPr>
                <w:sz w:val="16"/>
              </w:rPr>
            </w:pPr>
            <w:r>
              <w:rPr>
                <w:sz w:val="16"/>
              </w:rPr>
              <w:t>10</w:t>
            </w:r>
          </w:p>
        </w:tc>
        <w:tc>
          <w:tcPr>
            <w:tcW w:w="629" w:type="dxa"/>
            <w:tcBorders>
              <w:bottom w:val="single" w:sz="4" w:space="0" w:color="000000"/>
            </w:tcBorders>
          </w:tcPr>
          <w:p>
            <w:pPr>
              <w:pStyle w:val="TableParagraph"/>
              <w:spacing w:line="162" w:lineRule="exact"/>
              <w:ind w:right="227"/>
              <w:jc w:val="right"/>
              <w:rPr>
                <w:sz w:val="16"/>
              </w:rPr>
            </w:pPr>
            <w:r>
              <w:rPr>
                <w:sz w:val="16"/>
              </w:rPr>
              <w:t>11</w:t>
            </w:r>
          </w:p>
        </w:tc>
        <w:tc>
          <w:tcPr>
            <w:tcW w:w="632" w:type="dxa"/>
            <w:tcBorders>
              <w:bottom w:val="single" w:sz="4" w:space="0" w:color="000000"/>
            </w:tcBorders>
          </w:tcPr>
          <w:p>
            <w:pPr>
              <w:pStyle w:val="TableParagraph"/>
              <w:spacing w:line="162" w:lineRule="exact"/>
              <w:ind w:left="135" w:right="130"/>
              <w:rPr>
                <w:sz w:val="16"/>
              </w:rPr>
            </w:pPr>
            <w:r>
              <w:rPr>
                <w:sz w:val="16"/>
              </w:rPr>
              <w:t>12</w:t>
            </w:r>
          </w:p>
        </w:tc>
        <w:tc>
          <w:tcPr>
            <w:tcW w:w="631" w:type="dxa"/>
            <w:tcBorders>
              <w:bottom w:val="single" w:sz="4" w:space="0" w:color="000000"/>
            </w:tcBorders>
          </w:tcPr>
          <w:p>
            <w:pPr>
              <w:pStyle w:val="TableParagraph"/>
              <w:spacing w:line="162" w:lineRule="exact"/>
              <w:ind w:left="135" w:right="126"/>
              <w:rPr>
                <w:sz w:val="16"/>
              </w:rPr>
            </w:pPr>
            <w:r>
              <w:rPr>
                <w:sz w:val="16"/>
              </w:rPr>
              <w:t>16</w:t>
            </w:r>
          </w:p>
        </w:tc>
        <w:tc>
          <w:tcPr>
            <w:tcW w:w="624" w:type="dxa"/>
            <w:tcBorders>
              <w:bottom w:val="single" w:sz="4" w:space="0" w:color="000000"/>
            </w:tcBorders>
          </w:tcPr>
          <w:p>
            <w:pPr>
              <w:pStyle w:val="TableParagraph"/>
              <w:spacing w:line="162" w:lineRule="exact"/>
              <w:ind w:left="134" w:right="122"/>
              <w:rPr>
                <w:sz w:val="16"/>
              </w:rPr>
            </w:pPr>
            <w:r>
              <w:rPr>
                <w:sz w:val="16"/>
              </w:rPr>
              <w:t>18</w:t>
            </w:r>
          </w:p>
        </w:tc>
        <w:tc>
          <w:tcPr>
            <w:tcW w:w="452" w:type="dxa"/>
            <w:tcBorders>
              <w:bottom w:val="single" w:sz="4" w:space="0" w:color="000000"/>
            </w:tcBorders>
          </w:tcPr>
          <w:p>
            <w:pPr>
              <w:pStyle w:val="TableParagraph"/>
              <w:spacing w:line="162" w:lineRule="exact"/>
              <w:ind w:left="131" w:right="121"/>
              <w:rPr>
                <w:sz w:val="16"/>
              </w:rPr>
            </w:pPr>
            <w:r>
              <w:rPr>
                <w:sz w:val="16"/>
              </w:rPr>
              <w:t>20</w:t>
            </w:r>
          </w:p>
        </w:tc>
        <w:tc>
          <w:tcPr>
            <w:tcW w:w="444" w:type="dxa"/>
            <w:tcBorders>
              <w:bottom w:val="single" w:sz="4" w:space="0" w:color="000000"/>
            </w:tcBorders>
          </w:tcPr>
          <w:p>
            <w:pPr>
              <w:pStyle w:val="TableParagraph"/>
              <w:spacing w:line="162" w:lineRule="exact"/>
              <w:ind w:left="139"/>
              <w:jc w:val="left"/>
              <w:rPr>
                <w:sz w:val="16"/>
              </w:rPr>
            </w:pPr>
            <w:r>
              <w:rPr>
                <w:sz w:val="16"/>
              </w:rPr>
              <w:t>22</w:t>
            </w:r>
          </w:p>
        </w:tc>
        <w:tc>
          <w:tcPr>
            <w:tcW w:w="449" w:type="dxa"/>
            <w:tcBorders>
              <w:bottom w:val="single" w:sz="4" w:space="0" w:color="000000"/>
            </w:tcBorders>
          </w:tcPr>
          <w:p>
            <w:pPr>
              <w:pStyle w:val="TableParagraph"/>
              <w:spacing w:line="162" w:lineRule="exact"/>
              <w:ind w:left="141"/>
              <w:jc w:val="left"/>
              <w:rPr>
                <w:sz w:val="16"/>
              </w:rPr>
            </w:pPr>
            <w:r>
              <w:rPr>
                <w:sz w:val="16"/>
              </w:rPr>
              <w:t>24</w:t>
            </w:r>
          </w:p>
        </w:tc>
      </w:tr>
      <w:tr>
        <w:trPr>
          <w:trHeight w:val="197" w:hRule="exact"/>
        </w:trPr>
        <w:tc>
          <w:tcPr>
            <w:tcW w:w="3772" w:type="dxa"/>
            <w:gridSpan w:val="4"/>
          </w:tcPr>
          <w:p>
            <w:pPr>
              <w:pStyle w:val="TableParagraph"/>
              <w:tabs>
                <w:tab w:pos="686" w:val="left" w:leader="none"/>
              </w:tabs>
              <w:spacing w:line="188" w:lineRule="exact"/>
              <w:ind w:right="181"/>
              <w:jc w:val="right"/>
              <w:rPr>
                <w:sz w:val="10"/>
              </w:rPr>
            </w:pPr>
            <w:r>
              <w:rPr>
                <w:sz w:val="16"/>
              </w:rPr>
              <w:t>8.0</w:t>
            </w:r>
            <w:r>
              <w:rPr>
                <w:position w:val="7"/>
                <w:sz w:val="10"/>
              </w:rPr>
              <w:t>ac*</w:t>
              <w:tab/>
            </w:r>
            <w:r>
              <w:rPr>
                <w:sz w:val="16"/>
              </w:rPr>
              <w:t>6.5</w:t>
            </w:r>
            <w:r>
              <w:rPr>
                <w:position w:val="7"/>
                <w:sz w:val="10"/>
              </w:rPr>
              <w:t>*</w:t>
            </w:r>
          </w:p>
        </w:tc>
        <w:tc>
          <w:tcPr>
            <w:tcW w:w="629" w:type="dxa"/>
          </w:tcPr>
          <w:p>
            <w:pPr>
              <w:pStyle w:val="TableParagraph"/>
              <w:spacing w:line="188" w:lineRule="exact"/>
              <w:ind w:left="134" w:right="125"/>
              <w:rPr>
                <w:sz w:val="10"/>
              </w:rPr>
            </w:pPr>
            <w:r>
              <w:rPr>
                <w:sz w:val="16"/>
              </w:rPr>
              <w:t>6.5</w:t>
            </w:r>
            <w:r>
              <w:rPr>
                <w:position w:val="7"/>
                <w:sz w:val="10"/>
              </w:rPr>
              <w:t>*</w:t>
            </w:r>
          </w:p>
        </w:tc>
        <w:tc>
          <w:tcPr>
            <w:tcW w:w="631" w:type="dxa"/>
          </w:tcPr>
          <w:p>
            <w:pPr>
              <w:pStyle w:val="TableParagraph"/>
              <w:spacing w:line="188" w:lineRule="exact"/>
              <w:ind w:right="183"/>
              <w:jc w:val="right"/>
              <w:rPr>
                <w:sz w:val="10"/>
              </w:rPr>
            </w:pPr>
            <w:r>
              <w:rPr>
                <w:sz w:val="16"/>
              </w:rPr>
              <w:t>6.0</w:t>
            </w:r>
            <w:r>
              <w:rPr>
                <w:position w:val="7"/>
                <w:sz w:val="10"/>
              </w:rPr>
              <w:t>*</w:t>
            </w:r>
          </w:p>
        </w:tc>
        <w:tc>
          <w:tcPr>
            <w:tcW w:w="631" w:type="dxa"/>
          </w:tcPr>
          <w:p>
            <w:pPr>
              <w:pStyle w:val="TableParagraph"/>
              <w:spacing w:before="3"/>
              <w:ind w:left="135" w:right="129"/>
              <w:rPr>
                <w:sz w:val="16"/>
              </w:rPr>
            </w:pPr>
            <w:r>
              <w:rPr>
                <w:sz w:val="16"/>
              </w:rPr>
              <w:t>4.5</w:t>
            </w:r>
          </w:p>
        </w:tc>
        <w:tc>
          <w:tcPr>
            <w:tcW w:w="629" w:type="dxa"/>
          </w:tcPr>
          <w:p>
            <w:pPr>
              <w:pStyle w:val="TableParagraph"/>
              <w:spacing w:before="3"/>
              <w:ind w:left="134" w:right="130"/>
              <w:rPr>
                <w:sz w:val="16"/>
              </w:rPr>
            </w:pPr>
            <w:r>
              <w:rPr>
                <w:sz w:val="16"/>
              </w:rPr>
              <w:t>3.5</w:t>
            </w:r>
          </w:p>
        </w:tc>
        <w:tc>
          <w:tcPr>
            <w:tcW w:w="629" w:type="dxa"/>
          </w:tcPr>
          <w:p>
            <w:pPr>
              <w:pStyle w:val="TableParagraph"/>
              <w:spacing w:before="3"/>
              <w:ind w:right="210"/>
              <w:jc w:val="right"/>
              <w:rPr>
                <w:sz w:val="16"/>
              </w:rPr>
            </w:pPr>
            <w:r>
              <w:rPr>
                <w:w w:val="95"/>
                <w:sz w:val="16"/>
              </w:rPr>
              <w:t>3.0</w:t>
            </w:r>
          </w:p>
        </w:tc>
        <w:tc>
          <w:tcPr>
            <w:tcW w:w="631" w:type="dxa"/>
          </w:tcPr>
          <w:p>
            <w:pPr>
              <w:pStyle w:val="TableParagraph"/>
              <w:spacing w:before="3"/>
              <w:ind w:left="135" w:right="133"/>
              <w:rPr>
                <w:sz w:val="16"/>
              </w:rPr>
            </w:pPr>
            <w:r>
              <w:rPr>
                <w:sz w:val="16"/>
              </w:rPr>
              <w:t>2.0</w:t>
            </w:r>
          </w:p>
        </w:tc>
        <w:tc>
          <w:tcPr>
            <w:tcW w:w="631" w:type="dxa"/>
          </w:tcPr>
          <w:p>
            <w:pPr>
              <w:pStyle w:val="TableParagraph"/>
              <w:spacing w:before="3"/>
              <w:ind w:left="2"/>
              <w:rPr>
                <w:sz w:val="16"/>
              </w:rPr>
            </w:pPr>
            <w:r>
              <w:rPr>
                <w:w w:val="98"/>
                <w:sz w:val="16"/>
              </w:rPr>
              <w:t>0</w:t>
            </w:r>
          </w:p>
        </w:tc>
        <w:tc>
          <w:tcPr>
            <w:tcW w:w="629" w:type="dxa"/>
          </w:tcPr>
          <w:p>
            <w:pPr>
              <w:pStyle w:val="TableParagraph"/>
              <w:spacing w:before="3"/>
              <w:rPr>
                <w:sz w:val="16"/>
              </w:rPr>
            </w:pPr>
            <w:r>
              <w:rPr>
                <w:w w:val="98"/>
                <w:sz w:val="16"/>
              </w:rPr>
              <w:t>0</w:t>
            </w:r>
          </w:p>
        </w:tc>
        <w:tc>
          <w:tcPr>
            <w:tcW w:w="629" w:type="dxa"/>
          </w:tcPr>
          <w:p>
            <w:pPr>
              <w:pStyle w:val="TableParagraph"/>
              <w:spacing w:before="3"/>
              <w:rPr>
                <w:sz w:val="16"/>
              </w:rPr>
            </w:pPr>
            <w:r>
              <w:rPr>
                <w:w w:val="98"/>
                <w:sz w:val="16"/>
              </w:rPr>
              <w:t>0</w:t>
            </w:r>
          </w:p>
        </w:tc>
        <w:tc>
          <w:tcPr>
            <w:tcW w:w="632" w:type="dxa"/>
          </w:tcPr>
          <w:p>
            <w:pPr>
              <w:pStyle w:val="TableParagraph"/>
              <w:spacing w:before="3"/>
              <w:rPr>
                <w:sz w:val="16"/>
              </w:rPr>
            </w:pPr>
            <w:r>
              <w:rPr>
                <w:w w:val="98"/>
                <w:sz w:val="16"/>
              </w:rPr>
              <w:t>0</w:t>
            </w:r>
          </w:p>
        </w:tc>
        <w:tc>
          <w:tcPr>
            <w:tcW w:w="631" w:type="dxa"/>
          </w:tcPr>
          <w:p>
            <w:pPr/>
          </w:p>
        </w:tc>
        <w:tc>
          <w:tcPr>
            <w:tcW w:w="624" w:type="dxa"/>
          </w:tcPr>
          <w:p>
            <w:pPr/>
          </w:p>
        </w:tc>
        <w:tc>
          <w:tcPr>
            <w:tcW w:w="452" w:type="dxa"/>
          </w:tcPr>
          <w:p>
            <w:pPr/>
          </w:p>
        </w:tc>
        <w:tc>
          <w:tcPr>
            <w:tcW w:w="444" w:type="dxa"/>
          </w:tcPr>
          <w:p>
            <w:pPr/>
          </w:p>
        </w:tc>
        <w:tc>
          <w:tcPr>
            <w:tcW w:w="449" w:type="dxa"/>
          </w:tcPr>
          <w:p>
            <w:pPr/>
          </w:p>
        </w:tc>
      </w:tr>
      <w:tr>
        <w:trPr>
          <w:trHeight w:val="446" w:hRule="exact"/>
        </w:trPr>
        <w:tc>
          <w:tcPr>
            <w:tcW w:w="1678" w:type="dxa"/>
          </w:tcPr>
          <w:p>
            <w:pPr>
              <w:pStyle w:val="TableParagraph"/>
              <w:spacing w:line="162" w:lineRule="exact"/>
              <w:ind w:left="223" w:right="295"/>
              <w:rPr>
                <w:sz w:val="16"/>
              </w:rPr>
            </w:pPr>
            <w:r>
              <w:rPr>
                <w:sz w:val="16"/>
              </w:rPr>
              <w:t>FENT</w:t>
            </w:r>
          </w:p>
        </w:tc>
        <w:tc>
          <w:tcPr>
            <w:tcW w:w="807" w:type="dxa"/>
          </w:tcPr>
          <w:p>
            <w:pPr>
              <w:pStyle w:val="TableParagraph"/>
              <w:spacing w:line="162" w:lineRule="exact"/>
              <w:ind w:left="318"/>
              <w:jc w:val="left"/>
              <w:rPr>
                <w:sz w:val="16"/>
              </w:rPr>
            </w:pPr>
            <w:r>
              <w:rPr>
                <w:w w:val="99"/>
                <w:sz w:val="16"/>
              </w:rPr>
              <w:t>0</w:t>
            </w:r>
          </w:p>
        </w:tc>
        <w:tc>
          <w:tcPr>
            <w:tcW w:w="653" w:type="dxa"/>
          </w:tcPr>
          <w:p>
            <w:pPr>
              <w:pStyle w:val="TableParagraph"/>
              <w:spacing w:before="11"/>
              <w:jc w:val="left"/>
              <w:rPr>
                <w:sz w:val="13"/>
              </w:rPr>
            </w:pPr>
          </w:p>
          <w:p>
            <w:pPr>
              <w:pStyle w:val="TableParagraph"/>
              <w:ind w:left="153" w:right="139"/>
              <w:rPr>
                <w:sz w:val="16"/>
              </w:rPr>
            </w:pPr>
            <w:r>
              <w:rPr>
                <w:sz w:val="16"/>
              </w:rPr>
              <w:t>(6-8)</w:t>
            </w:r>
          </w:p>
        </w:tc>
        <w:tc>
          <w:tcPr>
            <w:tcW w:w="634" w:type="dxa"/>
          </w:tcPr>
          <w:p>
            <w:pPr>
              <w:pStyle w:val="TableParagraph"/>
              <w:spacing w:before="11"/>
              <w:jc w:val="left"/>
              <w:rPr>
                <w:sz w:val="13"/>
              </w:rPr>
            </w:pPr>
          </w:p>
          <w:p>
            <w:pPr>
              <w:pStyle w:val="TableParagraph"/>
              <w:ind w:left="138" w:right="134"/>
              <w:rPr>
                <w:sz w:val="16"/>
              </w:rPr>
            </w:pPr>
            <w:r>
              <w:rPr>
                <w:sz w:val="16"/>
              </w:rPr>
              <w:t>(5-8)</w:t>
            </w:r>
          </w:p>
        </w:tc>
        <w:tc>
          <w:tcPr>
            <w:tcW w:w="629" w:type="dxa"/>
          </w:tcPr>
          <w:p>
            <w:pPr>
              <w:pStyle w:val="TableParagraph"/>
              <w:spacing w:before="11"/>
              <w:jc w:val="left"/>
              <w:rPr>
                <w:sz w:val="13"/>
              </w:rPr>
            </w:pPr>
          </w:p>
          <w:p>
            <w:pPr>
              <w:pStyle w:val="TableParagraph"/>
              <w:ind w:left="134" w:right="134"/>
              <w:rPr>
                <w:sz w:val="16"/>
              </w:rPr>
            </w:pPr>
            <w:r>
              <w:rPr>
                <w:sz w:val="16"/>
              </w:rPr>
              <w:t>(4-7)</w:t>
            </w:r>
          </w:p>
        </w:tc>
        <w:tc>
          <w:tcPr>
            <w:tcW w:w="631" w:type="dxa"/>
          </w:tcPr>
          <w:p>
            <w:pPr>
              <w:pStyle w:val="TableParagraph"/>
              <w:spacing w:before="11"/>
              <w:jc w:val="left"/>
              <w:rPr>
                <w:sz w:val="13"/>
              </w:rPr>
            </w:pPr>
          </w:p>
          <w:p>
            <w:pPr>
              <w:pStyle w:val="TableParagraph"/>
              <w:ind w:right="155"/>
              <w:jc w:val="right"/>
              <w:rPr>
                <w:sz w:val="16"/>
              </w:rPr>
            </w:pPr>
            <w:r>
              <w:rPr>
                <w:w w:val="95"/>
                <w:sz w:val="16"/>
              </w:rPr>
              <w:t>(2-7)</w:t>
            </w:r>
          </w:p>
        </w:tc>
        <w:tc>
          <w:tcPr>
            <w:tcW w:w="631" w:type="dxa"/>
          </w:tcPr>
          <w:p>
            <w:pPr>
              <w:pStyle w:val="TableParagraph"/>
              <w:spacing w:before="11"/>
              <w:jc w:val="left"/>
              <w:rPr>
                <w:sz w:val="13"/>
              </w:rPr>
            </w:pPr>
          </w:p>
          <w:p>
            <w:pPr>
              <w:pStyle w:val="TableParagraph"/>
              <w:ind w:left="135" w:right="133"/>
              <w:rPr>
                <w:sz w:val="16"/>
              </w:rPr>
            </w:pPr>
            <w:r>
              <w:rPr>
                <w:sz w:val="16"/>
              </w:rPr>
              <w:t>(2-6)</w:t>
            </w:r>
          </w:p>
        </w:tc>
        <w:tc>
          <w:tcPr>
            <w:tcW w:w="629" w:type="dxa"/>
          </w:tcPr>
          <w:p>
            <w:pPr>
              <w:pStyle w:val="TableParagraph"/>
              <w:spacing w:before="11"/>
              <w:jc w:val="left"/>
              <w:rPr>
                <w:sz w:val="13"/>
              </w:rPr>
            </w:pPr>
          </w:p>
          <w:p>
            <w:pPr>
              <w:pStyle w:val="TableParagraph"/>
              <w:ind w:left="134" w:right="134"/>
              <w:rPr>
                <w:sz w:val="16"/>
              </w:rPr>
            </w:pPr>
            <w:r>
              <w:rPr>
                <w:sz w:val="16"/>
              </w:rPr>
              <w:t>(0-6)</w:t>
            </w:r>
          </w:p>
        </w:tc>
        <w:tc>
          <w:tcPr>
            <w:tcW w:w="629" w:type="dxa"/>
          </w:tcPr>
          <w:p>
            <w:pPr>
              <w:pStyle w:val="TableParagraph"/>
              <w:spacing w:before="11"/>
              <w:jc w:val="left"/>
              <w:rPr>
                <w:sz w:val="13"/>
              </w:rPr>
            </w:pPr>
          </w:p>
          <w:p>
            <w:pPr>
              <w:pStyle w:val="TableParagraph"/>
              <w:ind w:right="152"/>
              <w:jc w:val="right"/>
              <w:rPr>
                <w:sz w:val="16"/>
              </w:rPr>
            </w:pPr>
            <w:r>
              <w:rPr>
                <w:w w:val="95"/>
                <w:sz w:val="16"/>
              </w:rPr>
              <w:t>(0-5)</w:t>
            </w:r>
          </w:p>
        </w:tc>
        <w:tc>
          <w:tcPr>
            <w:tcW w:w="631" w:type="dxa"/>
          </w:tcPr>
          <w:p>
            <w:pPr>
              <w:pStyle w:val="TableParagraph"/>
              <w:spacing w:before="11"/>
              <w:jc w:val="left"/>
              <w:rPr>
                <w:sz w:val="13"/>
              </w:rPr>
            </w:pPr>
          </w:p>
          <w:p>
            <w:pPr>
              <w:pStyle w:val="TableParagraph"/>
              <w:ind w:left="134" w:right="134"/>
              <w:rPr>
                <w:sz w:val="16"/>
              </w:rPr>
            </w:pPr>
            <w:r>
              <w:rPr>
                <w:sz w:val="16"/>
              </w:rPr>
              <w:t>(0-5)</w:t>
            </w:r>
          </w:p>
        </w:tc>
        <w:tc>
          <w:tcPr>
            <w:tcW w:w="631" w:type="dxa"/>
          </w:tcPr>
          <w:p>
            <w:pPr>
              <w:pStyle w:val="TableParagraph"/>
              <w:spacing w:before="11"/>
              <w:jc w:val="left"/>
              <w:rPr>
                <w:sz w:val="13"/>
              </w:rPr>
            </w:pPr>
          </w:p>
          <w:p>
            <w:pPr>
              <w:pStyle w:val="TableParagraph"/>
              <w:ind w:left="135" w:right="133"/>
              <w:rPr>
                <w:sz w:val="16"/>
              </w:rPr>
            </w:pPr>
            <w:r>
              <w:rPr>
                <w:sz w:val="16"/>
              </w:rPr>
              <w:t>(0-5)</w:t>
            </w:r>
          </w:p>
        </w:tc>
        <w:tc>
          <w:tcPr>
            <w:tcW w:w="629" w:type="dxa"/>
          </w:tcPr>
          <w:p>
            <w:pPr>
              <w:pStyle w:val="TableParagraph"/>
              <w:spacing w:before="11"/>
              <w:jc w:val="left"/>
              <w:rPr>
                <w:sz w:val="13"/>
              </w:rPr>
            </w:pPr>
          </w:p>
          <w:p>
            <w:pPr>
              <w:pStyle w:val="TableParagraph"/>
              <w:ind w:left="134" w:right="134"/>
              <w:rPr>
                <w:sz w:val="16"/>
              </w:rPr>
            </w:pPr>
            <w:r>
              <w:rPr>
                <w:sz w:val="16"/>
              </w:rPr>
              <w:t>(0-1)</w:t>
            </w:r>
          </w:p>
        </w:tc>
        <w:tc>
          <w:tcPr>
            <w:tcW w:w="629" w:type="dxa"/>
          </w:tcPr>
          <w:p>
            <w:pPr>
              <w:pStyle w:val="TableParagraph"/>
              <w:spacing w:before="11"/>
              <w:jc w:val="left"/>
              <w:rPr>
                <w:sz w:val="13"/>
              </w:rPr>
            </w:pPr>
          </w:p>
          <w:p>
            <w:pPr>
              <w:pStyle w:val="TableParagraph"/>
              <w:ind w:right="153"/>
              <w:jc w:val="right"/>
              <w:rPr>
                <w:sz w:val="16"/>
              </w:rPr>
            </w:pPr>
            <w:r>
              <w:rPr>
                <w:w w:val="95"/>
                <w:sz w:val="16"/>
              </w:rPr>
              <w:t>(0-3)</w:t>
            </w:r>
          </w:p>
        </w:tc>
        <w:tc>
          <w:tcPr>
            <w:tcW w:w="632" w:type="dxa"/>
          </w:tcPr>
          <w:p>
            <w:pPr>
              <w:pStyle w:val="TableParagraph"/>
              <w:spacing w:before="11"/>
              <w:jc w:val="left"/>
              <w:rPr>
                <w:sz w:val="13"/>
              </w:rPr>
            </w:pPr>
          </w:p>
          <w:p>
            <w:pPr>
              <w:pStyle w:val="TableParagraph"/>
              <w:ind w:left="135" w:right="135"/>
              <w:rPr>
                <w:sz w:val="16"/>
              </w:rPr>
            </w:pPr>
            <w:r>
              <w:rPr>
                <w:sz w:val="16"/>
              </w:rPr>
              <w:t>(0-1)</w:t>
            </w:r>
          </w:p>
        </w:tc>
        <w:tc>
          <w:tcPr>
            <w:tcW w:w="631" w:type="dxa"/>
          </w:tcPr>
          <w:p>
            <w:pPr>
              <w:pStyle w:val="TableParagraph"/>
              <w:spacing w:line="162" w:lineRule="exact"/>
              <w:ind w:left="2"/>
              <w:rPr>
                <w:sz w:val="16"/>
              </w:rPr>
            </w:pPr>
            <w:r>
              <w:rPr>
                <w:w w:val="99"/>
                <w:sz w:val="16"/>
              </w:rPr>
              <w:t>0</w:t>
            </w:r>
          </w:p>
        </w:tc>
        <w:tc>
          <w:tcPr>
            <w:tcW w:w="624" w:type="dxa"/>
          </w:tcPr>
          <w:p>
            <w:pPr>
              <w:pStyle w:val="TableParagraph"/>
              <w:spacing w:line="162" w:lineRule="exact"/>
              <w:ind w:left="5"/>
              <w:rPr>
                <w:sz w:val="16"/>
              </w:rPr>
            </w:pPr>
            <w:r>
              <w:rPr>
                <w:w w:val="99"/>
                <w:sz w:val="16"/>
              </w:rPr>
              <w:t>0</w:t>
            </w:r>
          </w:p>
        </w:tc>
        <w:tc>
          <w:tcPr>
            <w:tcW w:w="452" w:type="dxa"/>
          </w:tcPr>
          <w:p>
            <w:pPr>
              <w:pStyle w:val="TableParagraph"/>
              <w:spacing w:line="162" w:lineRule="exact"/>
              <w:ind w:left="3"/>
              <w:rPr>
                <w:sz w:val="16"/>
              </w:rPr>
            </w:pPr>
            <w:r>
              <w:rPr>
                <w:w w:val="99"/>
                <w:sz w:val="16"/>
              </w:rPr>
              <w:t>0</w:t>
            </w:r>
          </w:p>
        </w:tc>
        <w:tc>
          <w:tcPr>
            <w:tcW w:w="444" w:type="dxa"/>
          </w:tcPr>
          <w:p>
            <w:pPr>
              <w:pStyle w:val="TableParagraph"/>
              <w:spacing w:line="162" w:lineRule="exact"/>
              <w:ind w:left="177"/>
              <w:jc w:val="left"/>
              <w:rPr>
                <w:sz w:val="16"/>
              </w:rPr>
            </w:pPr>
            <w:r>
              <w:rPr>
                <w:w w:val="99"/>
                <w:sz w:val="16"/>
              </w:rPr>
              <w:t>0</w:t>
            </w:r>
          </w:p>
        </w:tc>
        <w:tc>
          <w:tcPr>
            <w:tcW w:w="449" w:type="dxa"/>
          </w:tcPr>
          <w:p>
            <w:pPr>
              <w:pStyle w:val="TableParagraph"/>
              <w:spacing w:line="162" w:lineRule="exact"/>
              <w:ind w:left="179"/>
              <w:jc w:val="left"/>
              <w:rPr>
                <w:sz w:val="16"/>
              </w:rPr>
            </w:pPr>
            <w:r>
              <w:rPr>
                <w:w w:val="99"/>
                <w:sz w:val="16"/>
              </w:rPr>
              <w:t>0</w:t>
            </w:r>
          </w:p>
        </w:tc>
      </w:tr>
      <w:tr>
        <w:trPr>
          <w:trHeight w:val="474" w:hRule="exact"/>
        </w:trPr>
        <w:tc>
          <w:tcPr>
            <w:tcW w:w="1678" w:type="dxa"/>
          </w:tcPr>
          <w:p>
            <w:pPr>
              <w:pStyle w:val="TableParagraph"/>
              <w:jc w:val="left"/>
              <w:rPr>
                <w:sz w:val="16"/>
              </w:rPr>
            </w:pPr>
          </w:p>
          <w:p>
            <w:pPr>
              <w:pStyle w:val="TableParagraph"/>
              <w:spacing w:before="95"/>
              <w:ind w:left="218" w:right="295"/>
              <w:rPr>
                <w:sz w:val="16"/>
              </w:rPr>
            </w:pPr>
            <w:r>
              <w:rPr>
                <w:sz w:val="16"/>
              </w:rPr>
              <w:t>KET</w:t>
            </w:r>
          </w:p>
        </w:tc>
        <w:tc>
          <w:tcPr>
            <w:tcW w:w="807" w:type="dxa"/>
          </w:tcPr>
          <w:p>
            <w:pPr>
              <w:pStyle w:val="TableParagraph"/>
              <w:jc w:val="left"/>
              <w:rPr>
                <w:sz w:val="16"/>
              </w:rPr>
            </w:pPr>
          </w:p>
          <w:p>
            <w:pPr>
              <w:pStyle w:val="TableParagraph"/>
              <w:spacing w:before="95"/>
              <w:ind w:left="318"/>
              <w:jc w:val="left"/>
              <w:rPr>
                <w:sz w:val="16"/>
              </w:rPr>
            </w:pPr>
            <w:r>
              <w:rPr>
                <w:w w:val="99"/>
                <w:sz w:val="16"/>
              </w:rPr>
              <w:t>0</w:t>
            </w:r>
          </w:p>
        </w:tc>
        <w:tc>
          <w:tcPr>
            <w:tcW w:w="653" w:type="dxa"/>
          </w:tcPr>
          <w:p>
            <w:pPr>
              <w:pStyle w:val="TableParagraph"/>
              <w:spacing w:before="82"/>
              <w:ind w:left="153" w:right="139"/>
              <w:rPr>
                <w:sz w:val="10"/>
              </w:rPr>
            </w:pPr>
            <w:r>
              <w:rPr>
                <w:sz w:val="16"/>
              </w:rPr>
              <w:t>6.5</w:t>
            </w:r>
            <w:r>
              <w:rPr>
                <w:position w:val="7"/>
                <w:sz w:val="10"/>
              </w:rPr>
              <w:t>*</w:t>
            </w:r>
          </w:p>
        </w:tc>
        <w:tc>
          <w:tcPr>
            <w:tcW w:w="634" w:type="dxa"/>
          </w:tcPr>
          <w:p>
            <w:pPr>
              <w:pStyle w:val="TableParagraph"/>
              <w:spacing w:before="82"/>
              <w:ind w:left="138" w:right="124"/>
              <w:rPr>
                <w:sz w:val="10"/>
              </w:rPr>
            </w:pPr>
            <w:r>
              <w:rPr>
                <w:sz w:val="16"/>
              </w:rPr>
              <w:t>7.0</w:t>
            </w:r>
            <w:r>
              <w:rPr>
                <w:position w:val="7"/>
                <w:sz w:val="10"/>
              </w:rPr>
              <w:t>*</w:t>
            </w:r>
          </w:p>
        </w:tc>
        <w:tc>
          <w:tcPr>
            <w:tcW w:w="629" w:type="dxa"/>
          </w:tcPr>
          <w:p>
            <w:pPr>
              <w:pStyle w:val="TableParagraph"/>
              <w:spacing w:before="96"/>
              <w:ind w:left="134" w:right="130"/>
              <w:rPr>
                <w:sz w:val="16"/>
              </w:rPr>
            </w:pPr>
            <w:r>
              <w:rPr>
                <w:sz w:val="16"/>
              </w:rPr>
              <w:t>5.5</w:t>
            </w:r>
          </w:p>
        </w:tc>
        <w:tc>
          <w:tcPr>
            <w:tcW w:w="631" w:type="dxa"/>
          </w:tcPr>
          <w:p>
            <w:pPr>
              <w:pStyle w:val="TableParagraph"/>
              <w:spacing w:before="96"/>
              <w:ind w:right="213"/>
              <w:jc w:val="right"/>
              <w:rPr>
                <w:sz w:val="16"/>
              </w:rPr>
            </w:pPr>
            <w:r>
              <w:rPr>
                <w:w w:val="95"/>
                <w:sz w:val="16"/>
              </w:rPr>
              <w:t>5.0</w:t>
            </w:r>
          </w:p>
        </w:tc>
        <w:tc>
          <w:tcPr>
            <w:tcW w:w="631" w:type="dxa"/>
          </w:tcPr>
          <w:p>
            <w:pPr>
              <w:pStyle w:val="TableParagraph"/>
              <w:spacing w:before="96"/>
              <w:ind w:left="135" w:right="129"/>
              <w:rPr>
                <w:sz w:val="16"/>
              </w:rPr>
            </w:pPr>
            <w:r>
              <w:rPr>
                <w:sz w:val="16"/>
              </w:rPr>
              <w:t>4.5</w:t>
            </w:r>
          </w:p>
        </w:tc>
        <w:tc>
          <w:tcPr>
            <w:tcW w:w="629" w:type="dxa"/>
          </w:tcPr>
          <w:p>
            <w:pPr>
              <w:pStyle w:val="TableParagraph"/>
              <w:spacing w:before="96"/>
              <w:ind w:left="134" w:right="130"/>
              <w:rPr>
                <w:sz w:val="16"/>
              </w:rPr>
            </w:pPr>
            <w:r>
              <w:rPr>
                <w:sz w:val="16"/>
              </w:rPr>
              <w:t>3.5</w:t>
            </w:r>
          </w:p>
        </w:tc>
        <w:tc>
          <w:tcPr>
            <w:tcW w:w="629" w:type="dxa"/>
          </w:tcPr>
          <w:p>
            <w:pPr>
              <w:pStyle w:val="TableParagraph"/>
              <w:spacing w:before="96"/>
              <w:ind w:right="210"/>
              <w:jc w:val="right"/>
              <w:rPr>
                <w:sz w:val="16"/>
              </w:rPr>
            </w:pPr>
            <w:r>
              <w:rPr>
                <w:w w:val="95"/>
                <w:sz w:val="16"/>
              </w:rPr>
              <w:t>3.0</w:t>
            </w:r>
          </w:p>
        </w:tc>
        <w:tc>
          <w:tcPr>
            <w:tcW w:w="631" w:type="dxa"/>
          </w:tcPr>
          <w:p>
            <w:pPr>
              <w:pStyle w:val="TableParagraph"/>
              <w:spacing w:before="96"/>
              <w:ind w:left="135" w:right="133"/>
              <w:rPr>
                <w:sz w:val="16"/>
              </w:rPr>
            </w:pPr>
            <w:r>
              <w:rPr>
                <w:sz w:val="16"/>
              </w:rPr>
              <w:t>2.0</w:t>
            </w:r>
          </w:p>
        </w:tc>
        <w:tc>
          <w:tcPr>
            <w:tcW w:w="631" w:type="dxa"/>
          </w:tcPr>
          <w:p>
            <w:pPr>
              <w:pStyle w:val="TableParagraph"/>
              <w:spacing w:before="96"/>
              <w:ind w:left="135" w:right="128"/>
              <w:rPr>
                <w:sz w:val="16"/>
              </w:rPr>
            </w:pPr>
            <w:r>
              <w:rPr>
                <w:sz w:val="16"/>
              </w:rPr>
              <w:t>1.0</w:t>
            </w:r>
          </w:p>
        </w:tc>
        <w:tc>
          <w:tcPr>
            <w:tcW w:w="629" w:type="dxa"/>
          </w:tcPr>
          <w:p>
            <w:pPr>
              <w:pStyle w:val="TableParagraph"/>
              <w:spacing w:before="96"/>
              <w:ind w:left="134" w:right="130"/>
              <w:rPr>
                <w:sz w:val="16"/>
              </w:rPr>
            </w:pPr>
            <w:r>
              <w:rPr>
                <w:sz w:val="16"/>
              </w:rPr>
              <w:t>1.0</w:t>
            </w:r>
          </w:p>
        </w:tc>
        <w:tc>
          <w:tcPr>
            <w:tcW w:w="629" w:type="dxa"/>
          </w:tcPr>
          <w:p>
            <w:pPr>
              <w:pStyle w:val="TableParagraph"/>
              <w:spacing w:before="96"/>
              <w:rPr>
                <w:sz w:val="16"/>
              </w:rPr>
            </w:pPr>
            <w:r>
              <w:rPr>
                <w:w w:val="99"/>
                <w:sz w:val="16"/>
              </w:rPr>
              <w:t>0</w:t>
            </w:r>
          </w:p>
        </w:tc>
        <w:tc>
          <w:tcPr>
            <w:tcW w:w="632" w:type="dxa"/>
          </w:tcPr>
          <w:p>
            <w:pPr>
              <w:pStyle w:val="TableParagraph"/>
              <w:spacing w:before="96"/>
              <w:rPr>
                <w:sz w:val="16"/>
              </w:rPr>
            </w:pPr>
            <w:r>
              <w:rPr>
                <w:w w:val="99"/>
                <w:sz w:val="16"/>
              </w:rPr>
              <w:t>0</w:t>
            </w:r>
          </w:p>
        </w:tc>
        <w:tc>
          <w:tcPr>
            <w:tcW w:w="631" w:type="dxa"/>
          </w:tcPr>
          <w:p>
            <w:pPr>
              <w:pStyle w:val="TableParagraph"/>
              <w:spacing w:before="96"/>
              <w:ind w:left="2"/>
              <w:rPr>
                <w:sz w:val="16"/>
              </w:rPr>
            </w:pPr>
            <w:r>
              <w:rPr>
                <w:w w:val="99"/>
                <w:sz w:val="16"/>
              </w:rPr>
              <w:t>0</w:t>
            </w:r>
          </w:p>
        </w:tc>
        <w:tc>
          <w:tcPr>
            <w:tcW w:w="624" w:type="dxa"/>
          </w:tcPr>
          <w:p>
            <w:pPr>
              <w:pStyle w:val="TableParagraph"/>
              <w:spacing w:before="96"/>
              <w:ind w:left="5"/>
              <w:rPr>
                <w:sz w:val="16"/>
              </w:rPr>
            </w:pPr>
            <w:r>
              <w:rPr>
                <w:w w:val="99"/>
                <w:sz w:val="16"/>
              </w:rPr>
              <w:t>0</w:t>
            </w:r>
          </w:p>
        </w:tc>
        <w:tc>
          <w:tcPr>
            <w:tcW w:w="452" w:type="dxa"/>
          </w:tcPr>
          <w:p>
            <w:pPr>
              <w:pStyle w:val="TableParagraph"/>
              <w:jc w:val="left"/>
              <w:rPr>
                <w:sz w:val="16"/>
              </w:rPr>
            </w:pPr>
          </w:p>
          <w:p>
            <w:pPr>
              <w:pStyle w:val="TableParagraph"/>
              <w:spacing w:before="95"/>
              <w:ind w:left="3"/>
              <w:rPr>
                <w:sz w:val="16"/>
              </w:rPr>
            </w:pPr>
            <w:r>
              <w:rPr>
                <w:w w:val="99"/>
                <w:sz w:val="16"/>
              </w:rPr>
              <w:t>0</w:t>
            </w:r>
          </w:p>
        </w:tc>
        <w:tc>
          <w:tcPr>
            <w:tcW w:w="444" w:type="dxa"/>
          </w:tcPr>
          <w:p>
            <w:pPr>
              <w:pStyle w:val="TableParagraph"/>
              <w:jc w:val="left"/>
              <w:rPr>
                <w:sz w:val="16"/>
              </w:rPr>
            </w:pPr>
          </w:p>
          <w:p>
            <w:pPr>
              <w:pStyle w:val="TableParagraph"/>
              <w:spacing w:before="95"/>
              <w:ind w:left="177"/>
              <w:jc w:val="left"/>
              <w:rPr>
                <w:sz w:val="16"/>
              </w:rPr>
            </w:pPr>
            <w:r>
              <w:rPr>
                <w:w w:val="99"/>
                <w:sz w:val="16"/>
              </w:rPr>
              <w:t>0</w:t>
            </w:r>
          </w:p>
        </w:tc>
        <w:tc>
          <w:tcPr>
            <w:tcW w:w="449" w:type="dxa"/>
          </w:tcPr>
          <w:p>
            <w:pPr>
              <w:pStyle w:val="TableParagraph"/>
              <w:jc w:val="left"/>
              <w:rPr>
                <w:sz w:val="16"/>
              </w:rPr>
            </w:pPr>
          </w:p>
          <w:p>
            <w:pPr>
              <w:pStyle w:val="TableParagraph"/>
              <w:spacing w:before="95"/>
              <w:ind w:left="179"/>
              <w:jc w:val="left"/>
              <w:rPr>
                <w:sz w:val="16"/>
              </w:rPr>
            </w:pPr>
            <w:r>
              <w:rPr>
                <w:w w:val="99"/>
                <w:sz w:val="16"/>
              </w:rPr>
              <w:t>0</w:t>
            </w:r>
          </w:p>
        </w:tc>
      </w:tr>
      <w:tr>
        <w:trPr>
          <w:trHeight w:val="263" w:hRule="exact"/>
        </w:trPr>
        <w:tc>
          <w:tcPr>
            <w:tcW w:w="1678" w:type="dxa"/>
          </w:tcPr>
          <w:p>
            <w:pPr/>
          </w:p>
        </w:tc>
        <w:tc>
          <w:tcPr>
            <w:tcW w:w="807" w:type="dxa"/>
          </w:tcPr>
          <w:p>
            <w:pPr/>
          </w:p>
        </w:tc>
        <w:tc>
          <w:tcPr>
            <w:tcW w:w="653" w:type="dxa"/>
          </w:tcPr>
          <w:p>
            <w:pPr>
              <w:pStyle w:val="TableParagraph"/>
              <w:spacing w:line="176" w:lineRule="exact"/>
              <w:ind w:left="153" w:right="139"/>
              <w:rPr>
                <w:sz w:val="16"/>
              </w:rPr>
            </w:pPr>
            <w:r>
              <w:rPr>
                <w:sz w:val="16"/>
              </w:rPr>
              <w:t>(4-8)</w:t>
            </w:r>
          </w:p>
        </w:tc>
        <w:tc>
          <w:tcPr>
            <w:tcW w:w="634" w:type="dxa"/>
          </w:tcPr>
          <w:p>
            <w:pPr>
              <w:pStyle w:val="TableParagraph"/>
              <w:spacing w:line="176" w:lineRule="exact"/>
              <w:ind w:left="138" w:right="134"/>
              <w:rPr>
                <w:sz w:val="16"/>
              </w:rPr>
            </w:pPr>
            <w:r>
              <w:rPr>
                <w:sz w:val="16"/>
              </w:rPr>
              <w:t>(4-7)</w:t>
            </w:r>
          </w:p>
        </w:tc>
        <w:tc>
          <w:tcPr>
            <w:tcW w:w="629" w:type="dxa"/>
          </w:tcPr>
          <w:p>
            <w:pPr>
              <w:pStyle w:val="TableParagraph"/>
              <w:spacing w:line="176" w:lineRule="exact"/>
              <w:ind w:left="134" w:right="134"/>
              <w:rPr>
                <w:sz w:val="16"/>
              </w:rPr>
            </w:pPr>
            <w:r>
              <w:rPr>
                <w:sz w:val="16"/>
              </w:rPr>
              <w:t>(3-7)</w:t>
            </w:r>
          </w:p>
        </w:tc>
        <w:tc>
          <w:tcPr>
            <w:tcW w:w="631" w:type="dxa"/>
          </w:tcPr>
          <w:p>
            <w:pPr>
              <w:pStyle w:val="TableParagraph"/>
              <w:spacing w:line="176" w:lineRule="exact"/>
              <w:ind w:right="155"/>
              <w:jc w:val="right"/>
              <w:rPr>
                <w:sz w:val="16"/>
              </w:rPr>
            </w:pPr>
            <w:r>
              <w:rPr>
                <w:w w:val="95"/>
                <w:sz w:val="16"/>
              </w:rPr>
              <w:t>(2-6)</w:t>
            </w:r>
          </w:p>
        </w:tc>
        <w:tc>
          <w:tcPr>
            <w:tcW w:w="631" w:type="dxa"/>
          </w:tcPr>
          <w:p>
            <w:pPr>
              <w:pStyle w:val="TableParagraph"/>
              <w:spacing w:line="176" w:lineRule="exact"/>
              <w:ind w:left="135" w:right="133"/>
              <w:rPr>
                <w:sz w:val="16"/>
              </w:rPr>
            </w:pPr>
            <w:r>
              <w:rPr>
                <w:sz w:val="16"/>
              </w:rPr>
              <w:t>(1-5)</w:t>
            </w:r>
          </w:p>
        </w:tc>
        <w:tc>
          <w:tcPr>
            <w:tcW w:w="629" w:type="dxa"/>
          </w:tcPr>
          <w:p>
            <w:pPr>
              <w:pStyle w:val="TableParagraph"/>
              <w:spacing w:line="176" w:lineRule="exact"/>
              <w:ind w:left="134" w:right="134"/>
              <w:rPr>
                <w:sz w:val="16"/>
              </w:rPr>
            </w:pPr>
            <w:r>
              <w:rPr>
                <w:sz w:val="16"/>
              </w:rPr>
              <w:t>(1-5)</w:t>
            </w:r>
          </w:p>
        </w:tc>
        <w:tc>
          <w:tcPr>
            <w:tcW w:w="629" w:type="dxa"/>
          </w:tcPr>
          <w:p>
            <w:pPr>
              <w:pStyle w:val="TableParagraph"/>
              <w:spacing w:line="176" w:lineRule="exact"/>
              <w:ind w:right="152"/>
              <w:jc w:val="right"/>
              <w:rPr>
                <w:sz w:val="16"/>
              </w:rPr>
            </w:pPr>
            <w:r>
              <w:rPr>
                <w:w w:val="95"/>
                <w:sz w:val="16"/>
              </w:rPr>
              <w:t>(0-4)</w:t>
            </w:r>
          </w:p>
        </w:tc>
        <w:tc>
          <w:tcPr>
            <w:tcW w:w="631" w:type="dxa"/>
          </w:tcPr>
          <w:p>
            <w:pPr>
              <w:pStyle w:val="TableParagraph"/>
              <w:spacing w:line="176" w:lineRule="exact"/>
              <w:ind w:left="134" w:right="134"/>
              <w:rPr>
                <w:sz w:val="16"/>
              </w:rPr>
            </w:pPr>
            <w:r>
              <w:rPr>
                <w:sz w:val="16"/>
              </w:rPr>
              <w:t>(0-4)</w:t>
            </w:r>
          </w:p>
        </w:tc>
        <w:tc>
          <w:tcPr>
            <w:tcW w:w="631" w:type="dxa"/>
          </w:tcPr>
          <w:p>
            <w:pPr>
              <w:pStyle w:val="TableParagraph"/>
              <w:spacing w:line="176" w:lineRule="exact"/>
              <w:ind w:left="135" w:right="133"/>
              <w:rPr>
                <w:sz w:val="16"/>
              </w:rPr>
            </w:pPr>
            <w:r>
              <w:rPr>
                <w:sz w:val="16"/>
              </w:rPr>
              <w:t>(0-4)</w:t>
            </w:r>
          </w:p>
        </w:tc>
        <w:tc>
          <w:tcPr>
            <w:tcW w:w="629" w:type="dxa"/>
          </w:tcPr>
          <w:p>
            <w:pPr>
              <w:pStyle w:val="TableParagraph"/>
              <w:spacing w:line="176" w:lineRule="exact"/>
              <w:ind w:left="134" w:right="134"/>
              <w:rPr>
                <w:sz w:val="16"/>
              </w:rPr>
            </w:pPr>
            <w:r>
              <w:rPr>
                <w:sz w:val="16"/>
              </w:rPr>
              <w:t>(0-4)</w:t>
            </w:r>
          </w:p>
        </w:tc>
        <w:tc>
          <w:tcPr>
            <w:tcW w:w="629" w:type="dxa"/>
          </w:tcPr>
          <w:p>
            <w:pPr>
              <w:pStyle w:val="TableParagraph"/>
              <w:spacing w:line="176" w:lineRule="exact"/>
              <w:ind w:right="153"/>
              <w:jc w:val="right"/>
              <w:rPr>
                <w:sz w:val="16"/>
              </w:rPr>
            </w:pPr>
            <w:r>
              <w:rPr>
                <w:w w:val="95"/>
                <w:sz w:val="16"/>
              </w:rPr>
              <w:t>(0-4)</w:t>
            </w:r>
          </w:p>
        </w:tc>
        <w:tc>
          <w:tcPr>
            <w:tcW w:w="632" w:type="dxa"/>
          </w:tcPr>
          <w:p>
            <w:pPr>
              <w:pStyle w:val="TableParagraph"/>
              <w:spacing w:line="176" w:lineRule="exact"/>
              <w:ind w:left="135" w:right="135"/>
              <w:rPr>
                <w:sz w:val="16"/>
              </w:rPr>
            </w:pPr>
            <w:r>
              <w:rPr>
                <w:sz w:val="16"/>
              </w:rPr>
              <w:t>(0-4)</w:t>
            </w:r>
          </w:p>
        </w:tc>
        <w:tc>
          <w:tcPr>
            <w:tcW w:w="631" w:type="dxa"/>
          </w:tcPr>
          <w:p>
            <w:pPr>
              <w:pStyle w:val="TableParagraph"/>
              <w:spacing w:line="176" w:lineRule="exact"/>
              <w:ind w:left="135" w:right="133"/>
              <w:rPr>
                <w:sz w:val="16"/>
              </w:rPr>
            </w:pPr>
            <w:r>
              <w:rPr>
                <w:sz w:val="16"/>
              </w:rPr>
              <w:t>(0-2)</w:t>
            </w:r>
          </w:p>
        </w:tc>
        <w:tc>
          <w:tcPr>
            <w:tcW w:w="624" w:type="dxa"/>
          </w:tcPr>
          <w:p>
            <w:pPr>
              <w:pStyle w:val="TableParagraph"/>
              <w:spacing w:line="176" w:lineRule="exact"/>
              <w:ind w:left="134" w:right="130"/>
              <w:rPr>
                <w:sz w:val="16"/>
              </w:rPr>
            </w:pPr>
            <w:r>
              <w:rPr>
                <w:sz w:val="16"/>
              </w:rPr>
              <w:t>(0-2)</w:t>
            </w:r>
          </w:p>
        </w:tc>
        <w:tc>
          <w:tcPr>
            <w:tcW w:w="452" w:type="dxa"/>
          </w:tcPr>
          <w:p>
            <w:pPr/>
          </w:p>
        </w:tc>
        <w:tc>
          <w:tcPr>
            <w:tcW w:w="444" w:type="dxa"/>
          </w:tcPr>
          <w:p>
            <w:pPr/>
          </w:p>
        </w:tc>
        <w:tc>
          <w:tcPr>
            <w:tcW w:w="449" w:type="dxa"/>
          </w:tcPr>
          <w:p>
            <w:pPr/>
          </w:p>
        </w:tc>
      </w:tr>
      <w:tr>
        <w:trPr>
          <w:trHeight w:val="471" w:hRule="exact"/>
        </w:trPr>
        <w:tc>
          <w:tcPr>
            <w:tcW w:w="1678" w:type="dxa"/>
          </w:tcPr>
          <w:p>
            <w:pPr>
              <w:pStyle w:val="TableParagraph"/>
              <w:jc w:val="left"/>
              <w:rPr>
                <w:sz w:val="16"/>
              </w:rPr>
            </w:pPr>
          </w:p>
          <w:p>
            <w:pPr>
              <w:pStyle w:val="TableParagraph"/>
              <w:spacing w:before="92"/>
              <w:ind w:left="216" w:right="295"/>
              <w:rPr>
                <w:sz w:val="16"/>
              </w:rPr>
            </w:pPr>
            <w:r>
              <w:rPr>
                <w:sz w:val="16"/>
              </w:rPr>
              <w:t>LID</w:t>
            </w:r>
          </w:p>
        </w:tc>
        <w:tc>
          <w:tcPr>
            <w:tcW w:w="807" w:type="dxa"/>
          </w:tcPr>
          <w:p>
            <w:pPr>
              <w:pStyle w:val="TableParagraph"/>
              <w:jc w:val="left"/>
              <w:rPr>
                <w:sz w:val="16"/>
              </w:rPr>
            </w:pPr>
          </w:p>
          <w:p>
            <w:pPr>
              <w:pStyle w:val="TableParagraph"/>
              <w:spacing w:before="92"/>
              <w:ind w:left="318"/>
              <w:jc w:val="left"/>
              <w:rPr>
                <w:sz w:val="16"/>
              </w:rPr>
            </w:pPr>
            <w:r>
              <w:rPr>
                <w:w w:val="99"/>
                <w:sz w:val="16"/>
              </w:rPr>
              <w:t>0</w:t>
            </w:r>
          </w:p>
        </w:tc>
        <w:tc>
          <w:tcPr>
            <w:tcW w:w="653" w:type="dxa"/>
          </w:tcPr>
          <w:p>
            <w:pPr>
              <w:pStyle w:val="TableParagraph"/>
              <w:spacing w:before="80"/>
              <w:ind w:left="153" w:right="139"/>
              <w:rPr>
                <w:sz w:val="10"/>
              </w:rPr>
            </w:pPr>
            <w:r>
              <w:rPr>
                <w:sz w:val="16"/>
              </w:rPr>
              <w:t>7.0</w:t>
            </w:r>
            <w:r>
              <w:rPr>
                <w:position w:val="7"/>
                <w:sz w:val="10"/>
              </w:rPr>
              <w:t>*</w:t>
            </w:r>
          </w:p>
        </w:tc>
        <w:tc>
          <w:tcPr>
            <w:tcW w:w="634" w:type="dxa"/>
          </w:tcPr>
          <w:p>
            <w:pPr>
              <w:pStyle w:val="TableParagraph"/>
              <w:spacing w:before="80"/>
              <w:ind w:left="138" w:right="124"/>
              <w:rPr>
                <w:sz w:val="10"/>
              </w:rPr>
            </w:pPr>
            <w:r>
              <w:rPr>
                <w:sz w:val="16"/>
              </w:rPr>
              <w:t>6.0</w:t>
            </w:r>
            <w:r>
              <w:rPr>
                <w:position w:val="7"/>
                <w:sz w:val="10"/>
              </w:rPr>
              <w:t>*</w:t>
            </w:r>
          </w:p>
        </w:tc>
        <w:tc>
          <w:tcPr>
            <w:tcW w:w="629" w:type="dxa"/>
          </w:tcPr>
          <w:p>
            <w:pPr>
              <w:pStyle w:val="TableParagraph"/>
              <w:spacing w:before="80"/>
              <w:ind w:left="134" w:right="125"/>
              <w:rPr>
                <w:sz w:val="10"/>
              </w:rPr>
            </w:pPr>
            <w:r>
              <w:rPr>
                <w:sz w:val="16"/>
              </w:rPr>
              <w:t>5.0</w:t>
            </w:r>
            <w:r>
              <w:rPr>
                <w:position w:val="7"/>
                <w:sz w:val="10"/>
              </w:rPr>
              <w:t>*</w:t>
            </w:r>
          </w:p>
        </w:tc>
        <w:tc>
          <w:tcPr>
            <w:tcW w:w="631" w:type="dxa"/>
          </w:tcPr>
          <w:p>
            <w:pPr>
              <w:pStyle w:val="TableParagraph"/>
              <w:spacing w:before="94"/>
              <w:ind w:right="213"/>
              <w:jc w:val="right"/>
              <w:rPr>
                <w:sz w:val="16"/>
              </w:rPr>
            </w:pPr>
            <w:r>
              <w:rPr>
                <w:w w:val="95"/>
                <w:sz w:val="16"/>
              </w:rPr>
              <w:t>4.0</w:t>
            </w:r>
          </w:p>
        </w:tc>
        <w:tc>
          <w:tcPr>
            <w:tcW w:w="631" w:type="dxa"/>
          </w:tcPr>
          <w:p>
            <w:pPr>
              <w:pStyle w:val="TableParagraph"/>
              <w:spacing w:before="94"/>
              <w:ind w:left="135" w:right="129"/>
              <w:rPr>
                <w:sz w:val="16"/>
              </w:rPr>
            </w:pPr>
            <w:r>
              <w:rPr>
                <w:sz w:val="16"/>
              </w:rPr>
              <w:t>3.0</w:t>
            </w:r>
          </w:p>
        </w:tc>
        <w:tc>
          <w:tcPr>
            <w:tcW w:w="629" w:type="dxa"/>
          </w:tcPr>
          <w:p>
            <w:pPr>
              <w:pStyle w:val="TableParagraph"/>
              <w:spacing w:before="94"/>
              <w:ind w:left="134" w:right="130"/>
              <w:rPr>
                <w:sz w:val="16"/>
              </w:rPr>
            </w:pPr>
            <w:r>
              <w:rPr>
                <w:sz w:val="16"/>
              </w:rPr>
              <w:t>2.0</w:t>
            </w:r>
          </w:p>
        </w:tc>
        <w:tc>
          <w:tcPr>
            <w:tcW w:w="629" w:type="dxa"/>
          </w:tcPr>
          <w:p>
            <w:pPr>
              <w:pStyle w:val="TableParagraph"/>
              <w:spacing w:before="94"/>
              <w:ind w:right="210"/>
              <w:jc w:val="right"/>
              <w:rPr>
                <w:sz w:val="16"/>
              </w:rPr>
            </w:pPr>
            <w:r>
              <w:rPr>
                <w:w w:val="95"/>
                <w:sz w:val="16"/>
              </w:rPr>
              <w:t>2.0</w:t>
            </w:r>
          </w:p>
        </w:tc>
        <w:tc>
          <w:tcPr>
            <w:tcW w:w="631" w:type="dxa"/>
          </w:tcPr>
          <w:p>
            <w:pPr>
              <w:pStyle w:val="TableParagraph"/>
              <w:spacing w:before="94"/>
              <w:ind w:left="135" w:right="133"/>
              <w:rPr>
                <w:sz w:val="16"/>
              </w:rPr>
            </w:pPr>
            <w:r>
              <w:rPr>
                <w:sz w:val="16"/>
              </w:rPr>
              <w:t>1.0</w:t>
            </w:r>
          </w:p>
        </w:tc>
        <w:tc>
          <w:tcPr>
            <w:tcW w:w="631" w:type="dxa"/>
          </w:tcPr>
          <w:p>
            <w:pPr>
              <w:pStyle w:val="TableParagraph"/>
              <w:spacing w:before="94"/>
              <w:ind w:left="2"/>
              <w:rPr>
                <w:sz w:val="16"/>
              </w:rPr>
            </w:pPr>
            <w:r>
              <w:rPr>
                <w:w w:val="99"/>
                <w:sz w:val="16"/>
              </w:rPr>
              <w:t>0</w:t>
            </w:r>
          </w:p>
        </w:tc>
        <w:tc>
          <w:tcPr>
            <w:tcW w:w="629" w:type="dxa"/>
          </w:tcPr>
          <w:p>
            <w:pPr>
              <w:pStyle w:val="TableParagraph"/>
              <w:spacing w:before="94"/>
              <w:rPr>
                <w:sz w:val="16"/>
              </w:rPr>
            </w:pPr>
            <w:r>
              <w:rPr>
                <w:w w:val="99"/>
                <w:sz w:val="16"/>
              </w:rPr>
              <w:t>0</w:t>
            </w:r>
          </w:p>
        </w:tc>
        <w:tc>
          <w:tcPr>
            <w:tcW w:w="629" w:type="dxa"/>
          </w:tcPr>
          <w:p>
            <w:pPr>
              <w:pStyle w:val="TableParagraph"/>
              <w:spacing w:before="94"/>
              <w:rPr>
                <w:sz w:val="16"/>
              </w:rPr>
            </w:pPr>
            <w:r>
              <w:rPr>
                <w:w w:val="99"/>
                <w:sz w:val="16"/>
              </w:rPr>
              <w:t>0</w:t>
            </w:r>
          </w:p>
        </w:tc>
        <w:tc>
          <w:tcPr>
            <w:tcW w:w="632" w:type="dxa"/>
          </w:tcPr>
          <w:p>
            <w:pPr>
              <w:pStyle w:val="TableParagraph"/>
              <w:jc w:val="left"/>
              <w:rPr>
                <w:sz w:val="16"/>
              </w:rPr>
            </w:pPr>
          </w:p>
          <w:p>
            <w:pPr>
              <w:pStyle w:val="TableParagraph"/>
              <w:spacing w:before="92"/>
              <w:rPr>
                <w:sz w:val="16"/>
              </w:rPr>
            </w:pPr>
            <w:r>
              <w:rPr>
                <w:w w:val="99"/>
                <w:sz w:val="16"/>
              </w:rPr>
              <w:t>0</w:t>
            </w:r>
          </w:p>
        </w:tc>
        <w:tc>
          <w:tcPr>
            <w:tcW w:w="631" w:type="dxa"/>
          </w:tcPr>
          <w:p>
            <w:pPr>
              <w:pStyle w:val="TableParagraph"/>
              <w:jc w:val="left"/>
              <w:rPr>
                <w:sz w:val="16"/>
              </w:rPr>
            </w:pPr>
          </w:p>
          <w:p>
            <w:pPr>
              <w:pStyle w:val="TableParagraph"/>
              <w:spacing w:before="92"/>
              <w:ind w:left="2"/>
              <w:rPr>
                <w:sz w:val="16"/>
              </w:rPr>
            </w:pPr>
            <w:r>
              <w:rPr>
                <w:w w:val="99"/>
                <w:sz w:val="16"/>
              </w:rPr>
              <w:t>0</w:t>
            </w:r>
          </w:p>
        </w:tc>
        <w:tc>
          <w:tcPr>
            <w:tcW w:w="624" w:type="dxa"/>
          </w:tcPr>
          <w:p>
            <w:pPr>
              <w:pStyle w:val="TableParagraph"/>
              <w:jc w:val="left"/>
              <w:rPr>
                <w:sz w:val="16"/>
              </w:rPr>
            </w:pPr>
          </w:p>
          <w:p>
            <w:pPr>
              <w:pStyle w:val="TableParagraph"/>
              <w:spacing w:before="92"/>
              <w:ind w:left="5"/>
              <w:rPr>
                <w:sz w:val="16"/>
              </w:rPr>
            </w:pPr>
            <w:r>
              <w:rPr>
                <w:w w:val="99"/>
                <w:sz w:val="16"/>
              </w:rPr>
              <w:t>0</w:t>
            </w:r>
          </w:p>
        </w:tc>
        <w:tc>
          <w:tcPr>
            <w:tcW w:w="452" w:type="dxa"/>
          </w:tcPr>
          <w:p>
            <w:pPr>
              <w:pStyle w:val="TableParagraph"/>
              <w:jc w:val="left"/>
              <w:rPr>
                <w:sz w:val="16"/>
              </w:rPr>
            </w:pPr>
          </w:p>
          <w:p>
            <w:pPr>
              <w:pStyle w:val="TableParagraph"/>
              <w:spacing w:before="92"/>
              <w:ind w:left="3"/>
              <w:rPr>
                <w:sz w:val="16"/>
              </w:rPr>
            </w:pPr>
            <w:r>
              <w:rPr>
                <w:w w:val="99"/>
                <w:sz w:val="16"/>
              </w:rPr>
              <w:t>0</w:t>
            </w:r>
          </w:p>
        </w:tc>
        <w:tc>
          <w:tcPr>
            <w:tcW w:w="444" w:type="dxa"/>
          </w:tcPr>
          <w:p>
            <w:pPr>
              <w:pStyle w:val="TableParagraph"/>
              <w:jc w:val="left"/>
              <w:rPr>
                <w:sz w:val="16"/>
              </w:rPr>
            </w:pPr>
          </w:p>
          <w:p>
            <w:pPr>
              <w:pStyle w:val="TableParagraph"/>
              <w:spacing w:before="92"/>
              <w:ind w:left="177"/>
              <w:jc w:val="left"/>
              <w:rPr>
                <w:sz w:val="16"/>
              </w:rPr>
            </w:pPr>
            <w:r>
              <w:rPr>
                <w:w w:val="99"/>
                <w:sz w:val="16"/>
              </w:rPr>
              <w:t>0</w:t>
            </w:r>
          </w:p>
        </w:tc>
        <w:tc>
          <w:tcPr>
            <w:tcW w:w="449" w:type="dxa"/>
          </w:tcPr>
          <w:p>
            <w:pPr>
              <w:pStyle w:val="TableParagraph"/>
              <w:jc w:val="left"/>
              <w:rPr>
                <w:sz w:val="16"/>
              </w:rPr>
            </w:pPr>
          </w:p>
          <w:p>
            <w:pPr>
              <w:pStyle w:val="TableParagraph"/>
              <w:spacing w:before="92"/>
              <w:ind w:left="179"/>
              <w:jc w:val="left"/>
              <w:rPr>
                <w:sz w:val="16"/>
              </w:rPr>
            </w:pPr>
            <w:r>
              <w:rPr>
                <w:w w:val="99"/>
                <w:sz w:val="16"/>
              </w:rPr>
              <w:t>0</w:t>
            </w:r>
          </w:p>
        </w:tc>
      </w:tr>
      <w:tr>
        <w:trPr>
          <w:trHeight w:val="263" w:hRule="exact"/>
        </w:trPr>
        <w:tc>
          <w:tcPr>
            <w:tcW w:w="1678" w:type="dxa"/>
          </w:tcPr>
          <w:p>
            <w:pPr/>
          </w:p>
        </w:tc>
        <w:tc>
          <w:tcPr>
            <w:tcW w:w="807" w:type="dxa"/>
          </w:tcPr>
          <w:p>
            <w:pPr/>
          </w:p>
        </w:tc>
        <w:tc>
          <w:tcPr>
            <w:tcW w:w="653" w:type="dxa"/>
          </w:tcPr>
          <w:p>
            <w:pPr>
              <w:pStyle w:val="TableParagraph"/>
              <w:spacing w:line="176" w:lineRule="exact"/>
              <w:ind w:left="153" w:right="139"/>
              <w:rPr>
                <w:sz w:val="16"/>
              </w:rPr>
            </w:pPr>
            <w:r>
              <w:rPr>
                <w:sz w:val="16"/>
              </w:rPr>
              <w:t>(3-8)</w:t>
            </w:r>
          </w:p>
        </w:tc>
        <w:tc>
          <w:tcPr>
            <w:tcW w:w="634" w:type="dxa"/>
          </w:tcPr>
          <w:p>
            <w:pPr>
              <w:pStyle w:val="TableParagraph"/>
              <w:spacing w:line="176" w:lineRule="exact"/>
              <w:ind w:left="138" w:right="134"/>
              <w:rPr>
                <w:sz w:val="16"/>
              </w:rPr>
            </w:pPr>
            <w:r>
              <w:rPr>
                <w:sz w:val="16"/>
              </w:rPr>
              <w:t>(2-7)</w:t>
            </w:r>
          </w:p>
        </w:tc>
        <w:tc>
          <w:tcPr>
            <w:tcW w:w="629" w:type="dxa"/>
          </w:tcPr>
          <w:p>
            <w:pPr>
              <w:pStyle w:val="TableParagraph"/>
              <w:spacing w:line="176" w:lineRule="exact"/>
              <w:ind w:left="134" w:right="134"/>
              <w:rPr>
                <w:sz w:val="16"/>
              </w:rPr>
            </w:pPr>
            <w:r>
              <w:rPr>
                <w:sz w:val="16"/>
              </w:rPr>
              <w:t>(2-6)</w:t>
            </w:r>
          </w:p>
        </w:tc>
        <w:tc>
          <w:tcPr>
            <w:tcW w:w="631" w:type="dxa"/>
          </w:tcPr>
          <w:p>
            <w:pPr>
              <w:pStyle w:val="TableParagraph"/>
              <w:spacing w:line="176" w:lineRule="exact"/>
              <w:ind w:right="155"/>
              <w:jc w:val="right"/>
              <w:rPr>
                <w:sz w:val="16"/>
              </w:rPr>
            </w:pPr>
            <w:r>
              <w:rPr>
                <w:w w:val="95"/>
                <w:sz w:val="16"/>
              </w:rPr>
              <w:t>(0-5)</w:t>
            </w:r>
          </w:p>
        </w:tc>
        <w:tc>
          <w:tcPr>
            <w:tcW w:w="631" w:type="dxa"/>
          </w:tcPr>
          <w:p>
            <w:pPr>
              <w:pStyle w:val="TableParagraph"/>
              <w:spacing w:line="176" w:lineRule="exact"/>
              <w:ind w:left="135" w:right="133"/>
              <w:rPr>
                <w:sz w:val="16"/>
              </w:rPr>
            </w:pPr>
            <w:r>
              <w:rPr>
                <w:sz w:val="16"/>
              </w:rPr>
              <w:t>(0-5)</w:t>
            </w:r>
          </w:p>
        </w:tc>
        <w:tc>
          <w:tcPr>
            <w:tcW w:w="629" w:type="dxa"/>
          </w:tcPr>
          <w:p>
            <w:pPr>
              <w:pStyle w:val="TableParagraph"/>
              <w:spacing w:line="176" w:lineRule="exact"/>
              <w:ind w:left="134" w:right="134"/>
              <w:rPr>
                <w:sz w:val="16"/>
              </w:rPr>
            </w:pPr>
            <w:r>
              <w:rPr>
                <w:sz w:val="16"/>
              </w:rPr>
              <w:t>(0-4)</w:t>
            </w:r>
          </w:p>
        </w:tc>
        <w:tc>
          <w:tcPr>
            <w:tcW w:w="629" w:type="dxa"/>
          </w:tcPr>
          <w:p>
            <w:pPr>
              <w:pStyle w:val="TableParagraph"/>
              <w:spacing w:line="176" w:lineRule="exact"/>
              <w:ind w:right="152"/>
              <w:jc w:val="right"/>
              <w:rPr>
                <w:sz w:val="16"/>
              </w:rPr>
            </w:pPr>
            <w:r>
              <w:rPr>
                <w:w w:val="95"/>
                <w:sz w:val="16"/>
              </w:rPr>
              <w:t>(0-3)</w:t>
            </w:r>
          </w:p>
        </w:tc>
        <w:tc>
          <w:tcPr>
            <w:tcW w:w="631" w:type="dxa"/>
          </w:tcPr>
          <w:p>
            <w:pPr>
              <w:pStyle w:val="TableParagraph"/>
              <w:spacing w:line="176" w:lineRule="exact"/>
              <w:ind w:left="134" w:right="134"/>
              <w:rPr>
                <w:sz w:val="16"/>
              </w:rPr>
            </w:pPr>
            <w:r>
              <w:rPr>
                <w:sz w:val="16"/>
              </w:rPr>
              <w:t>(0-2)</w:t>
            </w:r>
          </w:p>
        </w:tc>
        <w:tc>
          <w:tcPr>
            <w:tcW w:w="631" w:type="dxa"/>
          </w:tcPr>
          <w:p>
            <w:pPr>
              <w:pStyle w:val="TableParagraph"/>
              <w:spacing w:line="176" w:lineRule="exact"/>
              <w:ind w:left="135" w:right="133"/>
              <w:rPr>
                <w:sz w:val="16"/>
              </w:rPr>
            </w:pPr>
            <w:r>
              <w:rPr>
                <w:sz w:val="16"/>
              </w:rPr>
              <w:t>(0-2)</w:t>
            </w:r>
          </w:p>
        </w:tc>
        <w:tc>
          <w:tcPr>
            <w:tcW w:w="629" w:type="dxa"/>
          </w:tcPr>
          <w:p>
            <w:pPr>
              <w:pStyle w:val="TableParagraph"/>
              <w:spacing w:line="176" w:lineRule="exact"/>
              <w:ind w:left="134" w:right="134"/>
              <w:rPr>
                <w:sz w:val="16"/>
              </w:rPr>
            </w:pPr>
            <w:r>
              <w:rPr>
                <w:sz w:val="16"/>
              </w:rPr>
              <w:t>(0-2)</w:t>
            </w:r>
          </w:p>
        </w:tc>
        <w:tc>
          <w:tcPr>
            <w:tcW w:w="629" w:type="dxa"/>
          </w:tcPr>
          <w:p>
            <w:pPr>
              <w:pStyle w:val="TableParagraph"/>
              <w:spacing w:line="176" w:lineRule="exact"/>
              <w:ind w:right="153"/>
              <w:jc w:val="right"/>
              <w:rPr>
                <w:sz w:val="16"/>
              </w:rPr>
            </w:pPr>
            <w:r>
              <w:rPr>
                <w:w w:val="95"/>
                <w:sz w:val="16"/>
              </w:rPr>
              <w:t>(0-2)</w:t>
            </w:r>
          </w:p>
        </w:tc>
        <w:tc>
          <w:tcPr>
            <w:tcW w:w="632" w:type="dxa"/>
          </w:tcPr>
          <w:p>
            <w:pPr/>
          </w:p>
        </w:tc>
        <w:tc>
          <w:tcPr>
            <w:tcW w:w="631" w:type="dxa"/>
          </w:tcPr>
          <w:p>
            <w:pPr/>
          </w:p>
        </w:tc>
        <w:tc>
          <w:tcPr>
            <w:tcW w:w="624" w:type="dxa"/>
          </w:tcPr>
          <w:p>
            <w:pPr/>
          </w:p>
        </w:tc>
        <w:tc>
          <w:tcPr>
            <w:tcW w:w="452" w:type="dxa"/>
          </w:tcPr>
          <w:p>
            <w:pPr/>
          </w:p>
        </w:tc>
        <w:tc>
          <w:tcPr>
            <w:tcW w:w="444" w:type="dxa"/>
          </w:tcPr>
          <w:p>
            <w:pPr/>
          </w:p>
        </w:tc>
        <w:tc>
          <w:tcPr>
            <w:tcW w:w="449" w:type="dxa"/>
          </w:tcPr>
          <w:p>
            <w:pPr/>
          </w:p>
        </w:tc>
      </w:tr>
      <w:tr>
        <w:trPr>
          <w:trHeight w:val="289" w:hRule="exact"/>
        </w:trPr>
        <w:tc>
          <w:tcPr>
            <w:tcW w:w="1678" w:type="dxa"/>
          </w:tcPr>
          <w:p>
            <w:pPr/>
          </w:p>
        </w:tc>
        <w:tc>
          <w:tcPr>
            <w:tcW w:w="807" w:type="dxa"/>
          </w:tcPr>
          <w:p>
            <w:pPr/>
          </w:p>
        </w:tc>
        <w:tc>
          <w:tcPr>
            <w:tcW w:w="653" w:type="dxa"/>
          </w:tcPr>
          <w:p>
            <w:pPr>
              <w:pStyle w:val="TableParagraph"/>
              <w:spacing w:before="80"/>
              <w:ind w:left="153" w:right="139"/>
              <w:rPr>
                <w:sz w:val="10"/>
              </w:rPr>
            </w:pPr>
            <w:r>
              <w:rPr>
                <w:sz w:val="16"/>
              </w:rPr>
              <w:t>6.5</w:t>
            </w:r>
            <w:r>
              <w:rPr>
                <w:position w:val="7"/>
                <w:sz w:val="10"/>
              </w:rPr>
              <w:t>*</w:t>
            </w:r>
          </w:p>
        </w:tc>
        <w:tc>
          <w:tcPr>
            <w:tcW w:w="634" w:type="dxa"/>
          </w:tcPr>
          <w:p>
            <w:pPr>
              <w:pStyle w:val="TableParagraph"/>
              <w:spacing w:before="80"/>
              <w:ind w:left="138" w:right="124"/>
              <w:rPr>
                <w:sz w:val="10"/>
              </w:rPr>
            </w:pPr>
            <w:r>
              <w:rPr>
                <w:sz w:val="16"/>
              </w:rPr>
              <w:t>6.0</w:t>
            </w:r>
            <w:r>
              <w:rPr>
                <w:position w:val="7"/>
                <w:sz w:val="10"/>
              </w:rPr>
              <w:t>*</w:t>
            </w:r>
          </w:p>
        </w:tc>
        <w:tc>
          <w:tcPr>
            <w:tcW w:w="629" w:type="dxa"/>
          </w:tcPr>
          <w:p>
            <w:pPr>
              <w:pStyle w:val="TableParagraph"/>
              <w:spacing w:before="80"/>
              <w:ind w:left="134" w:right="125"/>
              <w:rPr>
                <w:sz w:val="10"/>
              </w:rPr>
            </w:pPr>
            <w:r>
              <w:rPr>
                <w:sz w:val="16"/>
              </w:rPr>
              <w:t>5.0</w:t>
            </w:r>
            <w:r>
              <w:rPr>
                <w:position w:val="7"/>
                <w:sz w:val="10"/>
              </w:rPr>
              <w:t>*</w:t>
            </w:r>
          </w:p>
        </w:tc>
        <w:tc>
          <w:tcPr>
            <w:tcW w:w="631" w:type="dxa"/>
          </w:tcPr>
          <w:p>
            <w:pPr>
              <w:pStyle w:val="TableParagraph"/>
              <w:spacing w:before="94"/>
              <w:ind w:right="213"/>
              <w:jc w:val="right"/>
              <w:rPr>
                <w:sz w:val="16"/>
              </w:rPr>
            </w:pPr>
            <w:r>
              <w:rPr>
                <w:w w:val="95"/>
                <w:sz w:val="16"/>
              </w:rPr>
              <w:t>5.0</w:t>
            </w:r>
          </w:p>
        </w:tc>
        <w:tc>
          <w:tcPr>
            <w:tcW w:w="631" w:type="dxa"/>
          </w:tcPr>
          <w:p>
            <w:pPr>
              <w:pStyle w:val="TableParagraph"/>
              <w:spacing w:before="94"/>
              <w:ind w:left="135" w:right="129"/>
              <w:rPr>
                <w:sz w:val="16"/>
              </w:rPr>
            </w:pPr>
            <w:r>
              <w:rPr>
                <w:sz w:val="16"/>
              </w:rPr>
              <w:t>4.0</w:t>
            </w:r>
          </w:p>
        </w:tc>
        <w:tc>
          <w:tcPr>
            <w:tcW w:w="629" w:type="dxa"/>
          </w:tcPr>
          <w:p>
            <w:pPr>
              <w:pStyle w:val="TableParagraph"/>
              <w:spacing w:before="94"/>
              <w:ind w:left="134" w:right="130"/>
              <w:rPr>
                <w:sz w:val="16"/>
              </w:rPr>
            </w:pPr>
            <w:r>
              <w:rPr>
                <w:sz w:val="16"/>
              </w:rPr>
              <w:t>2.0</w:t>
            </w:r>
          </w:p>
        </w:tc>
        <w:tc>
          <w:tcPr>
            <w:tcW w:w="629" w:type="dxa"/>
          </w:tcPr>
          <w:p>
            <w:pPr>
              <w:pStyle w:val="TableParagraph"/>
              <w:spacing w:before="94"/>
              <w:ind w:right="210"/>
              <w:jc w:val="right"/>
              <w:rPr>
                <w:sz w:val="16"/>
              </w:rPr>
            </w:pPr>
            <w:r>
              <w:rPr>
                <w:w w:val="95"/>
                <w:sz w:val="16"/>
              </w:rPr>
              <w:t>1.0</w:t>
            </w:r>
          </w:p>
        </w:tc>
        <w:tc>
          <w:tcPr>
            <w:tcW w:w="631" w:type="dxa"/>
          </w:tcPr>
          <w:p>
            <w:pPr>
              <w:pStyle w:val="TableParagraph"/>
              <w:spacing w:before="94"/>
              <w:ind w:left="135" w:right="133"/>
              <w:rPr>
                <w:sz w:val="16"/>
              </w:rPr>
            </w:pPr>
            <w:r>
              <w:rPr>
                <w:sz w:val="16"/>
              </w:rPr>
              <w:t>1.0</w:t>
            </w:r>
          </w:p>
        </w:tc>
        <w:tc>
          <w:tcPr>
            <w:tcW w:w="631" w:type="dxa"/>
          </w:tcPr>
          <w:p>
            <w:pPr>
              <w:pStyle w:val="TableParagraph"/>
              <w:spacing w:before="94"/>
              <w:ind w:left="135" w:right="129"/>
              <w:rPr>
                <w:sz w:val="16"/>
              </w:rPr>
            </w:pPr>
            <w:r>
              <w:rPr>
                <w:sz w:val="16"/>
              </w:rPr>
              <w:t>1.0</w:t>
            </w:r>
          </w:p>
        </w:tc>
        <w:tc>
          <w:tcPr>
            <w:tcW w:w="629" w:type="dxa"/>
          </w:tcPr>
          <w:p>
            <w:pPr>
              <w:pStyle w:val="TableParagraph"/>
              <w:spacing w:before="94"/>
              <w:rPr>
                <w:sz w:val="16"/>
              </w:rPr>
            </w:pPr>
            <w:r>
              <w:rPr>
                <w:w w:val="99"/>
                <w:sz w:val="16"/>
              </w:rPr>
              <w:t>0</w:t>
            </w:r>
          </w:p>
        </w:tc>
        <w:tc>
          <w:tcPr>
            <w:tcW w:w="629" w:type="dxa"/>
          </w:tcPr>
          <w:p>
            <w:pPr>
              <w:pStyle w:val="TableParagraph"/>
              <w:spacing w:before="94"/>
              <w:rPr>
                <w:sz w:val="16"/>
              </w:rPr>
            </w:pPr>
            <w:r>
              <w:rPr>
                <w:w w:val="99"/>
                <w:sz w:val="16"/>
              </w:rPr>
              <w:t>0</w:t>
            </w:r>
          </w:p>
        </w:tc>
        <w:tc>
          <w:tcPr>
            <w:tcW w:w="632" w:type="dxa"/>
          </w:tcPr>
          <w:p>
            <w:pPr>
              <w:pStyle w:val="TableParagraph"/>
              <w:spacing w:before="94"/>
              <w:rPr>
                <w:sz w:val="16"/>
              </w:rPr>
            </w:pPr>
            <w:r>
              <w:rPr>
                <w:w w:val="99"/>
                <w:sz w:val="16"/>
              </w:rPr>
              <w:t>0</w:t>
            </w:r>
          </w:p>
        </w:tc>
        <w:tc>
          <w:tcPr>
            <w:tcW w:w="631" w:type="dxa"/>
          </w:tcPr>
          <w:p>
            <w:pPr/>
          </w:p>
        </w:tc>
        <w:tc>
          <w:tcPr>
            <w:tcW w:w="624" w:type="dxa"/>
          </w:tcPr>
          <w:p>
            <w:pPr/>
          </w:p>
        </w:tc>
        <w:tc>
          <w:tcPr>
            <w:tcW w:w="452" w:type="dxa"/>
          </w:tcPr>
          <w:p>
            <w:pPr/>
          </w:p>
        </w:tc>
        <w:tc>
          <w:tcPr>
            <w:tcW w:w="444" w:type="dxa"/>
          </w:tcPr>
          <w:p>
            <w:pPr/>
          </w:p>
        </w:tc>
        <w:tc>
          <w:tcPr>
            <w:tcW w:w="449" w:type="dxa"/>
          </w:tcPr>
          <w:p>
            <w:pPr/>
          </w:p>
        </w:tc>
      </w:tr>
      <w:tr>
        <w:trPr>
          <w:trHeight w:val="449" w:hRule="exact"/>
        </w:trPr>
        <w:tc>
          <w:tcPr>
            <w:tcW w:w="1678" w:type="dxa"/>
          </w:tcPr>
          <w:p>
            <w:pPr>
              <w:pStyle w:val="TableParagraph"/>
              <w:spacing w:line="176" w:lineRule="exact"/>
              <w:ind w:left="221" w:right="295"/>
              <w:rPr>
                <w:sz w:val="16"/>
              </w:rPr>
            </w:pPr>
            <w:r>
              <w:rPr>
                <w:sz w:val="16"/>
              </w:rPr>
              <w:t>DEX</w:t>
            </w:r>
          </w:p>
        </w:tc>
        <w:tc>
          <w:tcPr>
            <w:tcW w:w="807" w:type="dxa"/>
          </w:tcPr>
          <w:p>
            <w:pPr>
              <w:pStyle w:val="TableParagraph"/>
              <w:spacing w:line="176" w:lineRule="exact"/>
              <w:ind w:left="318"/>
              <w:jc w:val="left"/>
              <w:rPr>
                <w:sz w:val="16"/>
              </w:rPr>
            </w:pPr>
            <w:r>
              <w:rPr>
                <w:w w:val="99"/>
                <w:sz w:val="16"/>
              </w:rPr>
              <w:t>0</w:t>
            </w:r>
          </w:p>
        </w:tc>
        <w:tc>
          <w:tcPr>
            <w:tcW w:w="653" w:type="dxa"/>
          </w:tcPr>
          <w:p>
            <w:pPr>
              <w:pStyle w:val="TableParagraph"/>
              <w:spacing w:before="3"/>
              <w:jc w:val="left"/>
              <w:rPr>
                <w:sz w:val="15"/>
              </w:rPr>
            </w:pPr>
          </w:p>
          <w:p>
            <w:pPr>
              <w:pStyle w:val="TableParagraph"/>
              <w:ind w:left="153" w:right="139"/>
              <w:rPr>
                <w:sz w:val="16"/>
              </w:rPr>
            </w:pPr>
            <w:r>
              <w:rPr>
                <w:sz w:val="16"/>
              </w:rPr>
              <w:t>(5-9)</w:t>
            </w:r>
          </w:p>
        </w:tc>
        <w:tc>
          <w:tcPr>
            <w:tcW w:w="634" w:type="dxa"/>
          </w:tcPr>
          <w:p>
            <w:pPr>
              <w:pStyle w:val="TableParagraph"/>
              <w:spacing w:before="3"/>
              <w:jc w:val="left"/>
              <w:rPr>
                <w:sz w:val="15"/>
              </w:rPr>
            </w:pPr>
          </w:p>
          <w:p>
            <w:pPr>
              <w:pStyle w:val="TableParagraph"/>
              <w:ind w:left="138" w:right="134"/>
              <w:rPr>
                <w:sz w:val="16"/>
              </w:rPr>
            </w:pPr>
            <w:r>
              <w:rPr>
                <w:sz w:val="16"/>
              </w:rPr>
              <w:t>(3-9)</w:t>
            </w:r>
          </w:p>
        </w:tc>
        <w:tc>
          <w:tcPr>
            <w:tcW w:w="629" w:type="dxa"/>
          </w:tcPr>
          <w:p>
            <w:pPr>
              <w:pStyle w:val="TableParagraph"/>
              <w:spacing w:before="3"/>
              <w:jc w:val="left"/>
              <w:rPr>
                <w:sz w:val="15"/>
              </w:rPr>
            </w:pPr>
          </w:p>
          <w:p>
            <w:pPr>
              <w:pStyle w:val="TableParagraph"/>
              <w:ind w:left="134" w:right="134"/>
              <w:rPr>
                <w:sz w:val="16"/>
              </w:rPr>
            </w:pPr>
            <w:r>
              <w:rPr>
                <w:sz w:val="16"/>
              </w:rPr>
              <w:t>(3-9)</w:t>
            </w:r>
          </w:p>
        </w:tc>
        <w:tc>
          <w:tcPr>
            <w:tcW w:w="631" w:type="dxa"/>
          </w:tcPr>
          <w:p>
            <w:pPr>
              <w:pStyle w:val="TableParagraph"/>
              <w:spacing w:before="3"/>
              <w:jc w:val="left"/>
              <w:rPr>
                <w:sz w:val="15"/>
              </w:rPr>
            </w:pPr>
          </w:p>
          <w:p>
            <w:pPr>
              <w:pStyle w:val="TableParagraph"/>
              <w:ind w:right="155"/>
              <w:jc w:val="right"/>
              <w:rPr>
                <w:sz w:val="16"/>
              </w:rPr>
            </w:pPr>
            <w:r>
              <w:rPr>
                <w:w w:val="95"/>
                <w:sz w:val="16"/>
              </w:rPr>
              <w:t>(2-8)</w:t>
            </w:r>
          </w:p>
        </w:tc>
        <w:tc>
          <w:tcPr>
            <w:tcW w:w="631" w:type="dxa"/>
          </w:tcPr>
          <w:p>
            <w:pPr>
              <w:pStyle w:val="TableParagraph"/>
              <w:spacing w:before="3"/>
              <w:jc w:val="left"/>
              <w:rPr>
                <w:sz w:val="15"/>
              </w:rPr>
            </w:pPr>
          </w:p>
          <w:p>
            <w:pPr>
              <w:pStyle w:val="TableParagraph"/>
              <w:ind w:left="135" w:right="133"/>
              <w:rPr>
                <w:sz w:val="16"/>
              </w:rPr>
            </w:pPr>
            <w:r>
              <w:rPr>
                <w:sz w:val="16"/>
              </w:rPr>
              <w:t>(1-7)</w:t>
            </w:r>
          </w:p>
        </w:tc>
        <w:tc>
          <w:tcPr>
            <w:tcW w:w="629" w:type="dxa"/>
          </w:tcPr>
          <w:p>
            <w:pPr>
              <w:pStyle w:val="TableParagraph"/>
              <w:spacing w:before="3"/>
              <w:jc w:val="left"/>
              <w:rPr>
                <w:sz w:val="15"/>
              </w:rPr>
            </w:pPr>
          </w:p>
          <w:p>
            <w:pPr>
              <w:pStyle w:val="TableParagraph"/>
              <w:ind w:left="134" w:right="134"/>
              <w:rPr>
                <w:sz w:val="16"/>
              </w:rPr>
            </w:pPr>
            <w:r>
              <w:rPr>
                <w:sz w:val="16"/>
              </w:rPr>
              <w:t>(1-6)</w:t>
            </w:r>
          </w:p>
        </w:tc>
        <w:tc>
          <w:tcPr>
            <w:tcW w:w="629" w:type="dxa"/>
          </w:tcPr>
          <w:p>
            <w:pPr>
              <w:pStyle w:val="TableParagraph"/>
              <w:spacing w:before="3"/>
              <w:jc w:val="left"/>
              <w:rPr>
                <w:sz w:val="15"/>
              </w:rPr>
            </w:pPr>
          </w:p>
          <w:p>
            <w:pPr>
              <w:pStyle w:val="TableParagraph"/>
              <w:ind w:right="152"/>
              <w:jc w:val="right"/>
              <w:rPr>
                <w:sz w:val="16"/>
              </w:rPr>
            </w:pPr>
            <w:r>
              <w:rPr>
                <w:w w:val="95"/>
                <w:sz w:val="16"/>
              </w:rPr>
              <w:t>(1-5)</w:t>
            </w:r>
          </w:p>
        </w:tc>
        <w:tc>
          <w:tcPr>
            <w:tcW w:w="631" w:type="dxa"/>
          </w:tcPr>
          <w:p>
            <w:pPr>
              <w:pStyle w:val="TableParagraph"/>
              <w:spacing w:before="3"/>
              <w:jc w:val="left"/>
              <w:rPr>
                <w:sz w:val="15"/>
              </w:rPr>
            </w:pPr>
          </w:p>
          <w:p>
            <w:pPr>
              <w:pStyle w:val="TableParagraph"/>
              <w:ind w:left="134" w:right="134"/>
              <w:rPr>
                <w:sz w:val="16"/>
              </w:rPr>
            </w:pPr>
            <w:r>
              <w:rPr>
                <w:sz w:val="16"/>
              </w:rPr>
              <w:t>(0-5)</w:t>
            </w:r>
          </w:p>
        </w:tc>
        <w:tc>
          <w:tcPr>
            <w:tcW w:w="631" w:type="dxa"/>
          </w:tcPr>
          <w:p>
            <w:pPr>
              <w:pStyle w:val="TableParagraph"/>
              <w:spacing w:before="3"/>
              <w:jc w:val="left"/>
              <w:rPr>
                <w:sz w:val="15"/>
              </w:rPr>
            </w:pPr>
          </w:p>
          <w:p>
            <w:pPr>
              <w:pStyle w:val="TableParagraph"/>
              <w:ind w:left="135" w:right="133"/>
              <w:rPr>
                <w:sz w:val="16"/>
              </w:rPr>
            </w:pPr>
            <w:r>
              <w:rPr>
                <w:sz w:val="16"/>
              </w:rPr>
              <w:t>(0-4)</w:t>
            </w:r>
          </w:p>
        </w:tc>
        <w:tc>
          <w:tcPr>
            <w:tcW w:w="629" w:type="dxa"/>
          </w:tcPr>
          <w:p>
            <w:pPr>
              <w:pStyle w:val="TableParagraph"/>
              <w:spacing w:before="3"/>
              <w:jc w:val="left"/>
              <w:rPr>
                <w:sz w:val="15"/>
              </w:rPr>
            </w:pPr>
          </w:p>
          <w:p>
            <w:pPr>
              <w:pStyle w:val="TableParagraph"/>
              <w:ind w:left="134" w:right="134"/>
              <w:rPr>
                <w:sz w:val="16"/>
              </w:rPr>
            </w:pPr>
            <w:r>
              <w:rPr>
                <w:sz w:val="16"/>
              </w:rPr>
              <w:t>(0-4)</w:t>
            </w:r>
          </w:p>
        </w:tc>
        <w:tc>
          <w:tcPr>
            <w:tcW w:w="629" w:type="dxa"/>
          </w:tcPr>
          <w:p>
            <w:pPr>
              <w:pStyle w:val="TableParagraph"/>
              <w:spacing w:before="3"/>
              <w:jc w:val="left"/>
              <w:rPr>
                <w:sz w:val="15"/>
              </w:rPr>
            </w:pPr>
          </w:p>
          <w:p>
            <w:pPr>
              <w:pStyle w:val="TableParagraph"/>
              <w:ind w:right="153"/>
              <w:jc w:val="right"/>
              <w:rPr>
                <w:sz w:val="16"/>
              </w:rPr>
            </w:pPr>
            <w:r>
              <w:rPr>
                <w:w w:val="95"/>
                <w:sz w:val="16"/>
              </w:rPr>
              <w:t>(0-3)</w:t>
            </w:r>
          </w:p>
        </w:tc>
        <w:tc>
          <w:tcPr>
            <w:tcW w:w="632" w:type="dxa"/>
          </w:tcPr>
          <w:p>
            <w:pPr>
              <w:pStyle w:val="TableParagraph"/>
              <w:spacing w:before="3"/>
              <w:jc w:val="left"/>
              <w:rPr>
                <w:sz w:val="15"/>
              </w:rPr>
            </w:pPr>
          </w:p>
          <w:p>
            <w:pPr>
              <w:pStyle w:val="TableParagraph"/>
              <w:ind w:left="135" w:right="135"/>
              <w:rPr>
                <w:sz w:val="16"/>
              </w:rPr>
            </w:pPr>
            <w:r>
              <w:rPr>
                <w:sz w:val="16"/>
              </w:rPr>
              <w:t>(0-2)</w:t>
            </w:r>
          </w:p>
        </w:tc>
        <w:tc>
          <w:tcPr>
            <w:tcW w:w="631" w:type="dxa"/>
          </w:tcPr>
          <w:p>
            <w:pPr>
              <w:pStyle w:val="TableParagraph"/>
              <w:spacing w:line="176" w:lineRule="exact"/>
              <w:ind w:left="2"/>
              <w:rPr>
                <w:sz w:val="16"/>
              </w:rPr>
            </w:pPr>
            <w:r>
              <w:rPr>
                <w:w w:val="99"/>
                <w:sz w:val="16"/>
              </w:rPr>
              <w:t>0</w:t>
            </w:r>
          </w:p>
        </w:tc>
        <w:tc>
          <w:tcPr>
            <w:tcW w:w="624" w:type="dxa"/>
          </w:tcPr>
          <w:p>
            <w:pPr>
              <w:pStyle w:val="TableParagraph"/>
              <w:spacing w:line="176" w:lineRule="exact"/>
              <w:ind w:left="5"/>
              <w:rPr>
                <w:sz w:val="16"/>
              </w:rPr>
            </w:pPr>
            <w:r>
              <w:rPr>
                <w:w w:val="99"/>
                <w:sz w:val="16"/>
              </w:rPr>
              <w:t>0</w:t>
            </w:r>
          </w:p>
        </w:tc>
        <w:tc>
          <w:tcPr>
            <w:tcW w:w="452" w:type="dxa"/>
          </w:tcPr>
          <w:p>
            <w:pPr>
              <w:pStyle w:val="TableParagraph"/>
              <w:spacing w:line="176" w:lineRule="exact"/>
              <w:ind w:left="3"/>
              <w:rPr>
                <w:sz w:val="16"/>
              </w:rPr>
            </w:pPr>
            <w:r>
              <w:rPr>
                <w:w w:val="99"/>
                <w:sz w:val="16"/>
              </w:rPr>
              <w:t>0</w:t>
            </w:r>
          </w:p>
        </w:tc>
        <w:tc>
          <w:tcPr>
            <w:tcW w:w="444" w:type="dxa"/>
          </w:tcPr>
          <w:p>
            <w:pPr>
              <w:pStyle w:val="TableParagraph"/>
              <w:spacing w:line="176" w:lineRule="exact"/>
              <w:ind w:left="177"/>
              <w:jc w:val="left"/>
              <w:rPr>
                <w:sz w:val="16"/>
              </w:rPr>
            </w:pPr>
            <w:r>
              <w:rPr>
                <w:w w:val="99"/>
                <w:sz w:val="16"/>
              </w:rPr>
              <w:t>0</w:t>
            </w:r>
          </w:p>
        </w:tc>
        <w:tc>
          <w:tcPr>
            <w:tcW w:w="449" w:type="dxa"/>
          </w:tcPr>
          <w:p>
            <w:pPr>
              <w:pStyle w:val="TableParagraph"/>
              <w:spacing w:line="176" w:lineRule="exact"/>
              <w:ind w:left="179"/>
              <w:jc w:val="left"/>
              <w:rPr>
                <w:sz w:val="16"/>
              </w:rPr>
            </w:pPr>
            <w:r>
              <w:rPr>
                <w:w w:val="99"/>
                <w:sz w:val="16"/>
              </w:rPr>
              <w:t>0</w:t>
            </w:r>
          </w:p>
        </w:tc>
      </w:tr>
      <w:tr>
        <w:trPr>
          <w:trHeight w:val="734" w:hRule="exact"/>
        </w:trPr>
        <w:tc>
          <w:tcPr>
            <w:tcW w:w="1678" w:type="dxa"/>
          </w:tcPr>
          <w:p>
            <w:pPr>
              <w:pStyle w:val="TableParagraph"/>
              <w:jc w:val="left"/>
              <w:rPr>
                <w:sz w:val="16"/>
              </w:rPr>
            </w:pPr>
          </w:p>
          <w:p>
            <w:pPr>
              <w:pStyle w:val="TableParagraph"/>
              <w:spacing w:before="95"/>
              <w:ind w:left="216" w:right="295"/>
              <w:rPr>
                <w:sz w:val="16"/>
              </w:rPr>
            </w:pPr>
            <w:r>
              <w:rPr>
                <w:sz w:val="16"/>
              </w:rPr>
              <w:t>LKD</w:t>
            </w:r>
          </w:p>
        </w:tc>
        <w:tc>
          <w:tcPr>
            <w:tcW w:w="807" w:type="dxa"/>
          </w:tcPr>
          <w:p>
            <w:pPr>
              <w:pStyle w:val="TableParagraph"/>
              <w:jc w:val="left"/>
              <w:rPr>
                <w:sz w:val="16"/>
              </w:rPr>
            </w:pPr>
          </w:p>
          <w:p>
            <w:pPr>
              <w:pStyle w:val="TableParagraph"/>
              <w:spacing w:before="95"/>
              <w:ind w:left="318"/>
              <w:jc w:val="left"/>
              <w:rPr>
                <w:sz w:val="16"/>
              </w:rPr>
            </w:pPr>
            <w:r>
              <w:rPr>
                <w:w w:val="99"/>
                <w:sz w:val="16"/>
              </w:rPr>
              <w:t>0</w:t>
            </w:r>
          </w:p>
        </w:tc>
        <w:tc>
          <w:tcPr>
            <w:tcW w:w="653" w:type="dxa"/>
          </w:tcPr>
          <w:p>
            <w:pPr>
              <w:pStyle w:val="TableParagraph"/>
              <w:spacing w:before="82"/>
              <w:ind w:left="174" w:firstLine="14"/>
              <w:jc w:val="left"/>
              <w:rPr>
                <w:sz w:val="10"/>
              </w:rPr>
            </w:pPr>
            <w:r>
              <w:rPr>
                <w:sz w:val="16"/>
              </w:rPr>
              <w:t>7.5</w:t>
            </w:r>
            <w:r>
              <w:rPr>
                <w:position w:val="7"/>
                <w:sz w:val="10"/>
              </w:rPr>
              <w:t>a*</w:t>
            </w:r>
          </w:p>
          <w:p>
            <w:pPr>
              <w:pStyle w:val="TableParagraph"/>
              <w:spacing w:before="8"/>
              <w:jc w:val="left"/>
              <w:rPr>
                <w:sz w:val="15"/>
              </w:rPr>
            </w:pPr>
          </w:p>
          <w:p>
            <w:pPr>
              <w:pStyle w:val="TableParagraph"/>
              <w:ind w:left="174"/>
              <w:jc w:val="left"/>
              <w:rPr>
                <w:sz w:val="16"/>
              </w:rPr>
            </w:pPr>
            <w:r>
              <w:rPr>
                <w:sz w:val="16"/>
              </w:rPr>
              <w:t>(5-9)</w:t>
            </w:r>
          </w:p>
        </w:tc>
        <w:tc>
          <w:tcPr>
            <w:tcW w:w="634" w:type="dxa"/>
          </w:tcPr>
          <w:p>
            <w:pPr>
              <w:pStyle w:val="TableParagraph"/>
              <w:spacing w:before="82"/>
              <w:ind w:left="159" w:firstLine="38"/>
              <w:jc w:val="left"/>
              <w:rPr>
                <w:sz w:val="10"/>
              </w:rPr>
            </w:pPr>
            <w:r>
              <w:rPr>
                <w:sz w:val="16"/>
              </w:rPr>
              <w:t>7.0</w:t>
            </w:r>
            <w:r>
              <w:rPr>
                <w:position w:val="7"/>
                <w:sz w:val="10"/>
              </w:rPr>
              <w:t>*</w:t>
            </w:r>
          </w:p>
          <w:p>
            <w:pPr>
              <w:pStyle w:val="TableParagraph"/>
              <w:spacing w:before="8"/>
              <w:jc w:val="left"/>
              <w:rPr>
                <w:sz w:val="15"/>
              </w:rPr>
            </w:pPr>
          </w:p>
          <w:p>
            <w:pPr>
              <w:pStyle w:val="TableParagraph"/>
              <w:ind w:left="159"/>
              <w:jc w:val="left"/>
              <w:rPr>
                <w:sz w:val="16"/>
              </w:rPr>
            </w:pPr>
            <w:r>
              <w:rPr>
                <w:sz w:val="16"/>
              </w:rPr>
              <w:t>(5-8)</w:t>
            </w:r>
          </w:p>
        </w:tc>
        <w:tc>
          <w:tcPr>
            <w:tcW w:w="629" w:type="dxa"/>
          </w:tcPr>
          <w:p>
            <w:pPr>
              <w:pStyle w:val="TableParagraph"/>
              <w:spacing w:before="82"/>
              <w:ind w:left="154" w:firstLine="38"/>
              <w:jc w:val="left"/>
              <w:rPr>
                <w:sz w:val="10"/>
              </w:rPr>
            </w:pPr>
            <w:r>
              <w:rPr>
                <w:sz w:val="16"/>
              </w:rPr>
              <w:t>7.0</w:t>
            </w:r>
            <w:r>
              <w:rPr>
                <w:position w:val="7"/>
                <w:sz w:val="10"/>
              </w:rPr>
              <w:t>*</w:t>
            </w:r>
          </w:p>
          <w:p>
            <w:pPr>
              <w:pStyle w:val="TableParagraph"/>
              <w:spacing w:before="8"/>
              <w:jc w:val="left"/>
              <w:rPr>
                <w:sz w:val="15"/>
              </w:rPr>
            </w:pPr>
          </w:p>
          <w:p>
            <w:pPr>
              <w:pStyle w:val="TableParagraph"/>
              <w:ind w:left="154"/>
              <w:jc w:val="left"/>
              <w:rPr>
                <w:sz w:val="16"/>
              </w:rPr>
            </w:pPr>
            <w:r>
              <w:rPr>
                <w:sz w:val="16"/>
              </w:rPr>
              <w:t>(5-8)</w:t>
            </w:r>
          </w:p>
        </w:tc>
        <w:tc>
          <w:tcPr>
            <w:tcW w:w="631" w:type="dxa"/>
          </w:tcPr>
          <w:p>
            <w:pPr>
              <w:pStyle w:val="TableParagraph"/>
              <w:spacing w:before="82"/>
              <w:ind w:left="155" w:firstLine="38"/>
              <w:jc w:val="left"/>
              <w:rPr>
                <w:sz w:val="10"/>
              </w:rPr>
            </w:pPr>
            <w:r>
              <w:rPr>
                <w:sz w:val="16"/>
              </w:rPr>
              <w:t>5.5</w:t>
            </w:r>
            <w:r>
              <w:rPr>
                <w:position w:val="7"/>
                <w:sz w:val="10"/>
              </w:rPr>
              <w:t>*</w:t>
            </w:r>
          </w:p>
          <w:p>
            <w:pPr>
              <w:pStyle w:val="TableParagraph"/>
              <w:spacing w:before="8"/>
              <w:jc w:val="left"/>
              <w:rPr>
                <w:sz w:val="15"/>
              </w:rPr>
            </w:pPr>
          </w:p>
          <w:p>
            <w:pPr>
              <w:pStyle w:val="TableParagraph"/>
              <w:ind w:left="155"/>
              <w:jc w:val="left"/>
              <w:rPr>
                <w:sz w:val="16"/>
              </w:rPr>
            </w:pPr>
            <w:r>
              <w:rPr>
                <w:sz w:val="16"/>
              </w:rPr>
              <w:t>(4-7)</w:t>
            </w:r>
          </w:p>
        </w:tc>
        <w:tc>
          <w:tcPr>
            <w:tcW w:w="631" w:type="dxa"/>
          </w:tcPr>
          <w:p>
            <w:pPr>
              <w:pStyle w:val="TableParagraph"/>
              <w:spacing w:before="82"/>
              <w:ind w:left="157" w:firstLine="38"/>
              <w:jc w:val="left"/>
              <w:rPr>
                <w:sz w:val="10"/>
              </w:rPr>
            </w:pPr>
            <w:r>
              <w:rPr>
                <w:sz w:val="16"/>
              </w:rPr>
              <w:t>4.5</w:t>
            </w:r>
            <w:r>
              <w:rPr>
                <w:position w:val="7"/>
                <w:sz w:val="10"/>
              </w:rPr>
              <w:t>*</w:t>
            </w:r>
          </w:p>
          <w:p>
            <w:pPr>
              <w:pStyle w:val="TableParagraph"/>
              <w:spacing w:before="8"/>
              <w:jc w:val="left"/>
              <w:rPr>
                <w:sz w:val="15"/>
              </w:rPr>
            </w:pPr>
          </w:p>
          <w:p>
            <w:pPr>
              <w:pStyle w:val="TableParagraph"/>
              <w:ind w:left="157"/>
              <w:jc w:val="left"/>
              <w:rPr>
                <w:sz w:val="16"/>
              </w:rPr>
            </w:pPr>
            <w:r>
              <w:rPr>
                <w:sz w:val="16"/>
              </w:rPr>
              <w:t>(3-7)</w:t>
            </w:r>
          </w:p>
        </w:tc>
        <w:tc>
          <w:tcPr>
            <w:tcW w:w="629" w:type="dxa"/>
          </w:tcPr>
          <w:p>
            <w:pPr>
              <w:pStyle w:val="TableParagraph"/>
              <w:spacing w:before="96"/>
              <w:ind w:left="134" w:right="130"/>
              <w:rPr>
                <w:sz w:val="16"/>
              </w:rPr>
            </w:pPr>
            <w:r>
              <w:rPr>
                <w:sz w:val="16"/>
              </w:rPr>
              <w:t>4.5</w:t>
            </w:r>
          </w:p>
          <w:p>
            <w:pPr>
              <w:pStyle w:val="TableParagraph"/>
              <w:spacing w:before="8"/>
              <w:jc w:val="left"/>
              <w:rPr>
                <w:sz w:val="15"/>
              </w:rPr>
            </w:pPr>
          </w:p>
          <w:p>
            <w:pPr>
              <w:pStyle w:val="TableParagraph"/>
              <w:ind w:left="134" w:right="134"/>
              <w:rPr>
                <w:sz w:val="16"/>
              </w:rPr>
            </w:pPr>
            <w:r>
              <w:rPr>
                <w:sz w:val="16"/>
              </w:rPr>
              <w:t>(1-5)</w:t>
            </w:r>
          </w:p>
        </w:tc>
        <w:tc>
          <w:tcPr>
            <w:tcW w:w="629" w:type="dxa"/>
          </w:tcPr>
          <w:p>
            <w:pPr>
              <w:pStyle w:val="TableParagraph"/>
              <w:spacing w:before="96"/>
              <w:ind w:left="134" w:right="130"/>
              <w:rPr>
                <w:sz w:val="16"/>
              </w:rPr>
            </w:pPr>
            <w:r>
              <w:rPr>
                <w:sz w:val="16"/>
              </w:rPr>
              <w:t>3.0</w:t>
            </w:r>
          </w:p>
          <w:p>
            <w:pPr>
              <w:pStyle w:val="TableParagraph"/>
              <w:spacing w:before="8"/>
              <w:jc w:val="left"/>
              <w:rPr>
                <w:sz w:val="15"/>
              </w:rPr>
            </w:pPr>
          </w:p>
          <w:p>
            <w:pPr>
              <w:pStyle w:val="TableParagraph"/>
              <w:ind w:left="134" w:right="134"/>
              <w:rPr>
                <w:sz w:val="16"/>
              </w:rPr>
            </w:pPr>
            <w:r>
              <w:rPr>
                <w:sz w:val="16"/>
              </w:rPr>
              <w:t>(0-4)</w:t>
            </w:r>
          </w:p>
        </w:tc>
        <w:tc>
          <w:tcPr>
            <w:tcW w:w="631" w:type="dxa"/>
          </w:tcPr>
          <w:p>
            <w:pPr>
              <w:pStyle w:val="TableParagraph"/>
              <w:spacing w:before="96"/>
              <w:ind w:left="135" w:right="133"/>
              <w:rPr>
                <w:sz w:val="16"/>
              </w:rPr>
            </w:pPr>
            <w:r>
              <w:rPr>
                <w:sz w:val="16"/>
              </w:rPr>
              <w:t>2.0</w:t>
            </w:r>
          </w:p>
          <w:p>
            <w:pPr>
              <w:pStyle w:val="TableParagraph"/>
              <w:spacing w:before="8"/>
              <w:jc w:val="left"/>
              <w:rPr>
                <w:sz w:val="15"/>
              </w:rPr>
            </w:pPr>
          </w:p>
          <w:p>
            <w:pPr>
              <w:pStyle w:val="TableParagraph"/>
              <w:ind w:left="134" w:right="134"/>
              <w:rPr>
                <w:sz w:val="16"/>
              </w:rPr>
            </w:pPr>
            <w:r>
              <w:rPr>
                <w:sz w:val="16"/>
              </w:rPr>
              <w:t>(0-4)</w:t>
            </w:r>
          </w:p>
        </w:tc>
        <w:tc>
          <w:tcPr>
            <w:tcW w:w="631" w:type="dxa"/>
          </w:tcPr>
          <w:p>
            <w:pPr>
              <w:pStyle w:val="TableParagraph"/>
              <w:spacing w:before="96"/>
              <w:ind w:left="135" w:right="128"/>
              <w:rPr>
                <w:sz w:val="16"/>
              </w:rPr>
            </w:pPr>
            <w:r>
              <w:rPr>
                <w:sz w:val="16"/>
              </w:rPr>
              <w:t>0.5</w:t>
            </w:r>
          </w:p>
          <w:p>
            <w:pPr>
              <w:pStyle w:val="TableParagraph"/>
              <w:spacing w:before="8"/>
              <w:jc w:val="left"/>
              <w:rPr>
                <w:sz w:val="15"/>
              </w:rPr>
            </w:pPr>
          </w:p>
          <w:p>
            <w:pPr>
              <w:pStyle w:val="TableParagraph"/>
              <w:ind w:left="135" w:right="133"/>
              <w:rPr>
                <w:sz w:val="16"/>
              </w:rPr>
            </w:pPr>
            <w:r>
              <w:rPr>
                <w:sz w:val="16"/>
              </w:rPr>
              <w:t>(0-3)</w:t>
            </w:r>
          </w:p>
        </w:tc>
        <w:tc>
          <w:tcPr>
            <w:tcW w:w="629" w:type="dxa"/>
          </w:tcPr>
          <w:p>
            <w:pPr>
              <w:pStyle w:val="TableParagraph"/>
              <w:spacing w:before="96"/>
              <w:ind w:left="134" w:right="130"/>
              <w:rPr>
                <w:sz w:val="16"/>
              </w:rPr>
            </w:pPr>
            <w:r>
              <w:rPr>
                <w:sz w:val="16"/>
              </w:rPr>
              <w:t>0.5</w:t>
            </w:r>
          </w:p>
          <w:p>
            <w:pPr>
              <w:pStyle w:val="TableParagraph"/>
              <w:spacing w:before="8"/>
              <w:jc w:val="left"/>
              <w:rPr>
                <w:sz w:val="15"/>
              </w:rPr>
            </w:pPr>
          </w:p>
          <w:p>
            <w:pPr>
              <w:pStyle w:val="TableParagraph"/>
              <w:ind w:left="134" w:right="134"/>
              <w:rPr>
                <w:sz w:val="16"/>
              </w:rPr>
            </w:pPr>
            <w:r>
              <w:rPr>
                <w:sz w:val="16"/>
              </w:rPr>
              <w:t>(0-3)</w:t>
            </w:r>
          </w:p>
        </w:tc>
        <w:tc>
          <w:tcPr>
            <w:tcW w:w="629" w:type="dxa"/>
          </w:tcPr>
          <w:p>
            <w:pPr>
              <w:pStyle w:val="TableParagraph"/>
              <w:spacing w:before="96"/>
              <w:rPr>
                <w:sz w:val="16"/>
              </w:rPr>
            </w:pPr>
            <w:r>
              <w:rPr>
                <w:w w:val="98"/>
                <w:sz w:val="16"/>
              </w:rPr>
              <w:t>0</w:t>
            </w:r>
          </w:p>
          <w:p>
            <w:pPr>
              <w:pStyle w:val="TableParagraph"/>
              <w:spacing w:before="8"/>
              <w:jc w:val="left"/>
              <w:rPr>
                <w:sz w:val="15"/>
              </w:rPr>
            </w:pPr>
          </w:p>
          <w:p>
            <w:pPr>
              <w:pStyle w:val="TableParagraph"/>
              <w:ind w:left="134" w:right="134"/>
              <w:rPr>
                <w:sz w:val="16"/>
              </w:rPr>
            </w:pPr>
            <w:r>
              <w:rPr>
                <w:sz w:val="16"/>
              </w:rPr>
              <w:t>(0-2)</w:t>
            </w:r>
          </w:p>
        </w:tc>
        <w:tc>
          <w:tcPr>
            <w:tcW w:w="632" w:type="dxa"/>
          </w:tcPr>
          <w:p>
            <w:pPr>
              <w:pStyle w:val="TableParagraph"/>
              <w:spacing w:before="96"/>
              <w:rPr>
                <w:sz w:val="16"/>
              </w:rPr>
            </w:pPr>
            <w:r>
              <w:rPr>
                <w:w w:val="98"/>
                <w:sz w:val="16"/>
              </w:rPr>
              <w:t>0</w:t>
            </w:r>
          </w:p>
          <w:p>
            <w:pPr>
              <w:pStyle w:val="TableParagraph"/>
              <w:spacing w:before="8"/>
              <w:jc w:val="left"/>
              <w:rPr>
                <w:sz w:val="15"/>
              </w:rPr>
            </w:pPr>
          </w:p>
          <w:p>
            <w:pPr>
              <w:pStyle w:val="TableParagraph"/>
              <w:ind w:left="135" w:right="135"/>
              <w:rPr>
                <w:sz w:val="16"/>
              </w:rPr>
            </w:pPr>
            <w:r>
              <w:rPr>
                <w:sz w:val="16"/>
              </w:rPr>
              <w:t>(0-1)</w:t>
            </w:r>
          </w:p>
        </w:tc>
        <w:tc>
          <w:tcPr>
            <w:tcW w:w="631" w:type="dxa"/>
          </w:tcPr>
          <w:p>
            <w:pPr>
              <w:pStyle w:val="TableParagraph"/>
              <w:jc w:val="left"/>
              <w:rPr>
                <w:sz w:val="16"/>
              </w:rPr>
            </w:pPr>
          </w:p>
          <w:p>
            <w:pPr>
              <w:pStyle w:val="TableParagraph"/>
              <w:spacing w:before="95"/>
              <w:ind w:left="2"/>
              <w:rPr>
                <w:sz w:val="16"/>
              </w:rPr>
            </w:pPr>
            <w:r>
              <w:rPr>
                <w:w w:val="99"/>
                <w:sz w:val="16"/>
              </w:rPr>
              <w:t>0</w:t>
            </w:r>
          </w:p>
        </w:tc>
        <w:tc>
          <w:tcPr>
            <w:tcW w:w="624" w:type="dxa"/>
          </w:tcPr>
          <w:p>
            <w:pPr>
              <w:pStyle w:val="TableParagraph"/>
              <w:jc w:val="left"/>
              <w:rPr>
                <w:sz w:val="16"/>
              </w:rPr>
            </w:pPr>
          </w:p>
          <w:p>
            <w:pPr>
              <w:pStyle w:val="TableParagraph"/>
              <w:spacing w:before="95"/>
              <w:ind w:left="5"/>
              <w:rPr>
                <w:sz w:val="16"/>
              </w:rPr>
            </w:pPr>
            <w:r>
              <w:rPr>
                <w:w w:val="99"/>
                <w:sz w:val="16"/>
              </w:rPr>
              <w:t>0</w:t>
            </w:r>
          </w:p>
        </w:tc>
        <w:tc>
          <w:tcPr>
            <w:tcW w:w="452" w:type="dxa"/>
          </w:tcPr>
          <w:p>
            <w:pPr>
              <w:pStyle w:val="TableParagraph"/>
              <w:jc w:val="left"/>
              <w:rPr>
                <w:sz w:val="16"/>
              </w:rPr>
            </w:pPr>
          </w:p>
          <w:p>
            <w:pPr>
              <w:pStyle w:val="TableParagraph"/>
              <w:spacing w:before="95"/>
              <w:ind w:left="3"/>
              <w:rPr>
                <w:sz w:val="16"/>
              </w:rPr>
            </w:pPr>
            <w:r>
              <w:rPr>
                <w:w w:val="99"/>
                <w:sz w:val="16"/>
              </w:rPr>
              <w:t>0</w:t>
            </w:r>
          </w:p>
        </w:tc>
        <w:tc>
          <w:tcPr>
            <w:tcW w:w="444" w:type="dxa"/>
          </w:tcPr>
          <w:p>
            <w:pPr>
              <w:pStyle w:val="TableParagraph"/>
              <w:jc w:val="left"/>
              <w:rPr>
                <w:sz w:val="16"/>
              </w:rPr>
            </w:pPr>
          </w:p>
          <w:p>
            <w:pPr>
              <w:pStyle w:val="TableParagraph"/>
              <w:spacing w:before="95"/>
              <w:ind w:left="177"/>
              <w:jc w:val="left"/>
              <w:rPr>
                <w:sz w:val="16"/>
              </w:rPr>
            </w:pPr>
            <w:r>
              <w:rPr>
                <w:w w:val="99"/>
                <w:sz w:val="16"/>
              </w:rPr>
              <w:t>0</w:t>
            </w:r>
          </w:p>
        </w:tc>
        <w:tc>
          <w:tcPr>
            <w:tcW w:w="449" w:type="dxa"/>
          </w:tcPr>
          <w:p>
            <w:pPr>
              <w:pStyle w:val="TableParagraph"/>
              <w:jc w:val="left"/>
              <w:rPr>
                <w:sz w:val="16"/>
              </w:rPr>
            </w:pPr>
          </w:p>
          <w:p>
            <w:pPr>
              <w:pStyle w:val="TableParagraph"/>
              <w:spacing w:before="95"/>
              <w:ind w:left="179"/>
              <w:jc w:val="left"/>
              <w:rPr>
                <w:sz w:val="16"/>
              </w:rPr>
            </w:pPr>
            <w:r>
              <w:rPr>
                <w:w w:val="99"/>
                <w:sz w:val="16"/>
              </w:rPr>
              <w:t>0</w:t>
            </w:r>
          </w:p>
        </w:tc>
      </w:tr>
      <w:tr>
        <w:trPr>
          <w:trHeight w:val="474" w:hRule="exact"/>
        </w:trPr>
        <w:tc>
          <w:tcPr>
            <w:tcW w:w="1678" w:type="dxa"/>
          </w:tcPr>
          <w:p>
            <w:pPr>
              <w:pStyle w:val="TableParagraph"/>
              <w:jc w:val="left"/>
              <w:rPr>
                <w:sz w:val="16"/>
              </w:rPr>
            </w:pPr>
          </w:p>
          <w:p>
            <w:pPr>
              <w:pStyle w:val="TableParagraph"/>
              <w:spacing w:before="95"/>
              <w:ind w:left="223" w:right="295"/>
              <w:rPr>
                <w:sz w:val="16"/>
              </w:rPr>
            </w:pPr>
            <w:r>
              <w:rPr>
                <w:sz w:val="16"/>
              </w:rPr>
              <w:t>CONTROL/BUT</w:t>
            </w:r>
          </w:p>
        </w:tc>
        <w:tc>
          <w:tcPr>
            <w:tcW w:w="807" w:type="dxa"/>
          </w:tcPr>
          <w:p>
            <w:pPr>
              <w:pStyle w:val="TableParagraph"/>
              <w:jc w:val="left"/>
              <w:rPr>
                <w:sz w:val="16"/>
              </w:rPr>
            </w:pPr>
          </w:p>
          <w:p>
            <w:pPr>
              <w:pStyle w:val="TableParagraph"/>
              <w:spacing w:before="95"/>
              <w:ind w:left="318"/>
              <w:jc w:val="left"/>
              <w:rPr>
                <w:sz w:val="16"/>
              </w:rPr>
            </w:pPr>
            <w:r>
              <w:rPr>
                <w:w w:val="98"/>
                <w:sz w:val="16"/>
              </w:rPr>
              <w:t>0</w:t>
            </w:r>
          </w:p>
        </w:tc>
        <w:tc>
          <w:tcPr>
            <w:tcW w:w="653" w:type="dxa"/>
          </w:tcPr>
          <w:p>
            <w:pPr>
              <w:pStyle w:val="TableParagraph"/>
              <w:spacing w:before="83"/>
              <w:ind w:left="151" w:right="139"/>
              <w:rPr>
                <w:sz w:val="10"/>
              </w:rPr>
            </w:pPr>
            <w:r>
              <w:rPr>
                <w:sz w:val="16"/>
              </w:rPr>
              <w:t>5.0</w:t>
            </w:r>
            <w:r>
              <w:rPr>
                <w:position w:val="7"/>
                <w:sz w:val="10"/>
              </w:rPr>
              <w:t>b*</w:t>
            </w:r>
          </w:p>
        </w:tc>
        <w:tc>
          <w:tcPr>
            <w:tcW w:w="634" w:type="dxa"/>
          </w:tcPr>
          <w:p>
            <w:pPr>
              <w:pStyle w:val="TableParagraph"/>
              <w:spacing w:before="97"/>
              <w:ind w:left="138" w:right="129"/>
              <w:rPr>
                <w:sz w:val="16"/>
              </w:rPr>
            </w:pPr>
            <w:r>
              <w:rPr>
                <w:sz w:val="16"/>
              </w:rPr>
              <w:t>2.0</w:t>
            </w:r>
          </w:p>
        </w:tc>
        <w:tc>
          <w:tcPr>
            <w:tcW w:w="629" w:type="dxa"/>
          </w:tcPr>
          <w:p>
            <w:pPr>
              <w:pStyle w:val="TableParagraph"/>
              <w:spacing w:before="97"/>
              <w:ind w:left="134" w:right="130"/>
              <w:rPr>
                <w:sz w:val="16"/>
              </w:rPr>
            </w:pPr>
            <w:r>
              <w:rPr>
                <w:sz w:val="16"/>
              </w:rPr>
              <w:t>3.0</w:t>
            </w:r>
          </w:p>
        </w:tc>
        <w:tc>
          <w:tcPr>
            <w:tcW w:w="631" w:type="dxa"/>
          </w:tcPr>
          <w:p>
            <w:pPr>
              <w:pStyle w:val="TableParagraph"/>
              <w:spacing w:before="97"/>
              <w:ind w:right="213"/>
              <w:jc w:val="right"/>
              <w:rPr>
                <w:sz w:val="16"/>
              </w:rPr>
            </w:pPr>
            <w:r>
              <w:rPr>
                <w:w w:val="95"/>
                <w:sz w:val="16"/>
              </w:rPr>
              <w:t>2.0</w:t>
            </w:r>
          </w:p>
        </w:tc>
        <w:tc>
          <w:tcPr>
            <w:tcW w:w="631" w:type="dxa"/>
          </w:tcPr>
          <w:p>
            <w:pPr>
              <w:pStyle w:val="TableParagraph"/>
              <w:jc w:val="left"/>
              <w:rPr>
                <w:sz w:val="16"/>
              </w:rPr>
            </w:pPr>
          </w:p>
          <w:p>
            <w:pPr>
              <w:pStyle w:val="TableParagraph"/>
              <w:spacing w:before="95"/>
              <w:ind w:left="2"/>
              <w:rPr>
                <w:sz w:val="16"/>
              </w:rPr>
            </w:pPr>
            <w:r>
              <w:rPr>
                <w:w w:val="98"/>
                <w:sz w:val="16"/>
              </w:rPr>
              <w:t>0</w:t>
            </w:r>
          </w:p>
        </w:tc>
        <w:tc>
          <w:tcPr>
            <w:tcW w:w="629" w:type="dxa"/>
          </w:tcPr>
          <w:p>
            <w:pPr>
              <w:pStyle w:val="TableParagraph"/>
              <w:jc w:val="left"/>
              <w:rPr>
                <w:sz w:val="16"/>
              </w:rPr>
            </w:pPr>
          </w:p>
          <w:p>
            <w:pPr>
              <w:pStyle w:val="TableParagraph"/>
              <w:spacing w:before="95"/>
              <w:rPr>
                <w:sz w:val="16"/>
              </w:rPr>
            </w:pPr>
            <w:r>
              <w:rPr>
                <w:w w:val="98"/>
                <w:sz w:val="16"/>
              </w:rPr>
              <w:t>0</w:t>
            </w:r>
          </w:p>
        </w:tc>
        <w:tc>
          <w:tcPr>
            <w:tcW w:w="629" w:type="dxa"/>
          </w:tcPr>
          <w:p>
            <w:pPr>
              <w:pStyle w:val="TableParagraph"/>
              <w:jc w:val="left"/>
              <w:rPr>
                <w:sz w:val="16"/>
              </w:rPr>
            </w:pPr>
          </w:p>
          <w:p>
            <w:pPr>
              <w:pStyle w:val="TableParagraph"/>
              <w:spacing w:before="95"/>
              <w:rPr>
                <w:sz w:val="16"/>
              </w:rPr>
            </w:pPr>
            <w:r>
              <w:rPr>
                <w:w w:val="98"/>
                <w:sz w:val="16"/>
              </w:rPr>
              <w:t>0</w:t>
            </w:r>
          </w:p>
        </w:tc>
        <w:tc>
          <w:tcPr>
            <w:tcW w:w="631" w:type="dxa"/>
          </w:tcPr>
          <w:p>
            <w:pPr>
              <w:pStyle w:val="TableParagraph"/>
              <w:jc w:val="left"/>
              <w:rPr>
                <w:sz w:val="16"/>
              </w:rPr>
            </w:pPr>
          </w:p>
          <w:p>
            <w:pPr>
              <w:pStyle w:val="TableParagraph"/>
              <w:spacing w:before="95"/>
              <w:rPr>
                <w:sz w:val="16"/>
              </w:rPr>
            </w:pPr>
            <w:r>
              <w:rPr>
                <w:w w:val="98"/>
                <w:sz w:val="16"/>
              </w:rPr>
              <w:t>0</w:t>
            </w:r>
          </w:p>
        </w:tc>
        <w:tc>
          <w:tcPr>
            <w:tcW w:w="631" w:type="dxa"/>
          </w:tcPr>
          <w:p>
            <w:pPr>
              <w:pStyle w:val="TableParagraph"/>
              <w:jc w:val="left"/>
              <w:rPr>
                <w:sz w:val="16"/>
              </w:rPr>
            </w:pPr>
          </w:p>
          <w:p>
            <w:pPr>
              <w:pStyle w:val="TableParagraph"/>
              <w:spacing w:before="95"/>
              <w:ind w:left="2"/>
              <w:rPr>
                <w:sz w:val="16"/>
              </w:rPr>
            </w:pPr>
            <w:r>
              <w:rPr>
                <w:w w:val="98"/>
                <w:sz w:val="16"/>
              </w:rPr>
              <w:t>0</w:t>
            </w:r>
          </w:p>
        </w:tc>
        <w:tc>
          <w:tcPr>
            <w:tcW w:w="629" w:type="dxa"/>
          </w:tcPr>
          <w:p>
            <w:pPr>
              <w:pStyle w:val="TableParagraph"/>
              <w:jc w:val="left"/>
              <w:rPr>
                <w:sz w:val="16"/>
              </w:rPr>
            </w:pPr>
          </w:p>
          <w:p>
            <w:pPr>
              <w:pStyle w:val="TableParagraph"/>
              <w:spacing w:before="95"/>
              <w:rPr>
                <w:sz w:val="16"/>
              </w:rPr>
            </w:pPr>
            <w:r>
              <w:rPr>
                <w:w w:val="98"/>
                <w:sz w:val="16"/>
              </w:rPr>
              <w:t>0</w:t>
            </w:r>
          </w:p>
        </w:tc>
        <w:tc>
          <w:tcPr>
            <w:tcW w:w="629" w:type="dxa"/>
          </w:tcPr>
          <w:p>
            <w:pPr>
              <w:pStyle w:val="TableParagraph"/>
              <w:jc w:val="left"/>
              <w:rPr>
                <w:sz w:val="16"/>
              </w:rPr>
            </w:pPr>
          </w:p>
          <w:p>
            <w:pPr>
              <w:pStyle w:val="TableParagraph"/>
              <w:spacing w:before="95"/>
              <w:rPr>
                <w:sz w:val="16"/>
              </w:rPr>
            </w:pPr>
            <w:r>
              <w:rPr>
                <w:w w:val="98"/>
                <w:sz w:val="16"/>
              </w:rPr>
              <w:t>0</w:t>
            </w:r>
          </w:p>
        </w:tc>
        <w:tc>
          <w:tcPr>
            <w:tcW w:w="632" w:type="dxa"/>
          </w:tcPr>
          <w:p>
            <w:pPr>
              <w:pStyle w:val="TableParagraph"/>
              <w:jc w:val="left"/>
              <w:rPr>
                <w:sz w:val="16"/>
              </w:rPr>
            </w:pPr>
          </w:p>
          <w:p>
            <w:pPr>
              <w:pStyle w:val="TableParagraph"/>
              <w:spacing w:before="95"/>
              <w:rPr>
                <w:sz w:val="16"/>
              </w:rPr>
            </w:pPr>
            <w:r>
              <w:rPr>
                <w:w w:val="98"/>
                <w:sz w:val="16"/>
              </w:rPr>
              <w:t>0</w:t>
            </w:r>
          </w:p>
        </w:tc>
        <w:tc>
          <w:tcPr>
            <w:tcW w:w="631" w:type="dxa"/>
          </w:tcPr>
          <w:p>
            <w:pPr>
              <w:pStyle w:val="TableParagraph"/>
              <w:jc w:val="left"/>
              <w:rPr>
                <w:sz w:val="16"/>
              </w:rPr>
            </w:pPr>
          </w:p>
          <w:p>
            <w:pPr>
              <w:pStyle w:val="TableParagraph"/>
              <w:spacing w:before="95"/>
              <w:ind w:left="2"/>
              <w:rPr>
                <w:sz w:val="16"/>
              </w:rPr>
            </w:pPr>
            <w:r>
              <w:rPr>
                <w:w w:val="98"/>
                <w:sz w:val="16"/>
              </w:rPr>
              <w:t>0</w:t>
            </w:r>
          </w:p>
        </w:tc>
        <w:tc>
          <w:tcPr>
            <w:tcW w:w="624" w:type="dxa"/>
          </w:tcPr>
          <w:p>
            <w:pPr>
              <w:pStyle w:val="TableParagraph"/>
              <w:jc w:val="left"/>
              <w:rPr>
                <w:sz w:val="16"/>
              </w:rPr>
            </w:pPr>
          </w:p>
          <w:p>
            <w:pPr>
              <w:pStyle w:val="TableParagraph"/>
              <w:spacing w:before="95"/>
              <w:ind w:left="5"/>
              <w:rPr>
                <w:sz w:val="16"/>
              </w:rPr>
            </w:pPr>
            <w:r>
              <w:rPr>
                <w:w w:val="98"/>
                <w:sz w:val="16"/>
              </w:rPr>
              <w:t>0</w:t>
            </w:r>
          </w:p>
        </w:tc>
        <w:tc>
          <w:tcPr>
            <w:tcW w:w="452" w:type="dxa"/>
          </w:tcPr>
          <w:p>
            <w:pPr>
              <w:pStyle w:val="TableParagraph"/>
              <w:jc w:val="left"/>
              <w:rPr>
                <w:sz w:val="16"/>
              </w:rPr>
            </w:pPr>
          </w:p>
          <w:p>
            <w:pPr>
              <w:pStyle w:val="TableParagraph"/>
              <w:spacing w:before="95"/>
              <w:ind w:left="3"/>
              <w:rPr>
                <w:sz w:val="16"/>
              </w:rPr>
            </w:pPr>
            <w:r>
              <w:rPr>
                <w:w w:val="98"/>
                <w:sz w:val="16"/>
              </w:rPr>
              <w:t>0</w:t>
            </w:r>
          </w:p>
        </w:tc>
        <w:tc>
          <w:tcPr>
            <w:tcW w:w="444" w:type="dxa"/>
          </w:tcPr>
          <w:p>
            <w:pPr>
              <w:pStyle w:val="TableParagraph"/>
              <w:jc w:val="left"/>
              <w:rPr>
                <w:sz w:val="16"/>
              </w:rPr>
            </w:pPr>
          </w:p>
          <w:p>
            <w:pPr>
              <w:pStyle w:val="TableParagraph"/>
              <w:spacing w:before="95"/>
              <w:ind w:left="177"/>
              <w:jc w:val="left"/>
              <w:rPr>
                <w:sz w:val="16"/>
              </w:rPr>
            </w:pPr>
            <w:r>
              <w:rPr>
                <w:w w:val="98"/>
                <w:sz w:val="16"/>
              </w:rPr>
              <w:t>0</w:t>
            </w:r>
          </w:p>
        </w:tc>
        <w:tc>
          <w:tcPr>
            <w:tcW w:w="449" w:type="dxa"/>
          </w:tcPr>
          <w:p>
            <w:pPr>
              <w:pStyle w:val="TableParagraph"/>
              <w:jc w:val="left"/>
              <w:rPr>
                <w:sz w:val="16"/>
              </w:rPr>
            </w:pPr>
          </w:p>
          <w:p>
            <w:pPr>
              <w:pStyle w:val="TableParagraph"/>
              <w:spacing w:before="95"/>
              <w:ind w:left="179"/>
              <w:jc w:val="left"/>
              <w:rPr>
                <w:sz w:val="16"/>
              </w:rPr>
            </w:pPr>
            <w:r>
              <w:rPr>
                <w:w w:val="98"/>
                <w:sz w:val="16"/>
              </w:rPr>
              <w:t>0</w:t>
            </w:r>
          </w:p>
        </w:tc>
      </w:tr>
      <w:tr>
        <w:trPr>
          <w:trHeight w:val="372" w:hRule="exact"/>
        </w:trPr>
        <w:tc>
          <w:tcPr>
            <w:tcW w:w="1678" w:type="dxa"/>
            <w:tcBorders>
              <w:bottom w:val="single" w:sz="4" w:space="0" w:color="000000"/>
            </w:tcBorders>
          </w:tcPr>
          <w:p>
            <w:pPr/>
          </w:p>
        </w:tc>
        <w:tc>
          <w:tcPr>
            <w:tcW w:w="807" w:type="dxa"/>
            <w:tcBorders>
              <w:bottom w:val="single" w:sz="4" w:space="0" w:color="000000"/>
            </w:tcBorders>
          </w:tcPr>
          <w:p>
            <w:pPr/>
          </w:p>
        </w:tc>
        <w:tc>
          <w:tcPr>
            <w:tcW w:w="653" w:type="dxa"/>
            <w:tcBorders>
              <w:bottom w:val="single" w:sz="4" w:space="0" w:color="000000"/>
            </w:tcBorders>
          </w:tcPr>
          <w:p>
            <w:pPr>
              <w:pStyle w:val="TableParagraph"/>
              <w:spacing w:line="176" w:lineRule="exact"/>
              <w:ind w:left="153" w:right="139"/>
              <w:rPr>
                <w:sz w:val="16"/>
              </w:rPr>
            </w:pPr>
            <w:r>
              <w:rPr>
                <w:sz w:val="16"/>
              </w:rPr>
              <w:t>(3-5)</w:t>
            </w:r>
          </w:p>
        </w:tc>
        <w:tc>
          <w:tcPr>
            <w:tcW w:w="634" w:type="dxa"/>
            <w:tcBorders>
              <w:bottom w:val="single" w:sz="4" w:space="0" w:color="000000"/>
            </w:tcBorders>
          </w:tcPr>
          <w:p>
            <w:pPr>
              <w:pStyle w:val="TableParagraph"/>
              <w:spacing w:line="176" w:lineRule="exact"/>
              <w:ind w:left="138" w:right="134"/>
              <w:rPr>
                <w:sz w:val="16"/>
              </w:rPr>
            </w:pPr>
            <w:r>
              <w:rPr>
                <w:sz w:val="16"/>
              </w:rPr>
              <w:t>(2-2)</w:t>
            </w:r>
          </w:p>
        </w:tc>
        <w:tc>
          <w:tcPr>
            <w:tcW w:w="629" w:type="dxa"/>
            <w:tcBorders>
              <w:bottom w:val="single" w:sz="4" w:space="0" w:color="000000"/>
            </w:tcBorders>
          </w:tcPr>
          <w:p>
            <w:pPr>
              <w:pStyle w:val="TableParagraph"/>
              <w:spacing w:line="176" w:lineRule="exact"/>
              <w:ind w:left="134" w:right="134"/>
              <w:rPr>
                <w:sz w:val="16"/>
              </w:rPr>
            </w:pPr>
            <w:r>
              <w:rPr>
                <w:sz w:val="16"/>
              </w:rPr>
              <w:t>(3-3)</w:t>
            </w:r>
          </w:p>
        </w:tc>
        <w:tc>
          <w:tcPr>
            <w:tcW w:w="631" w:type="dxa"/>
            <w:tcBorders>
              <w:bottom w:val="single" w:sz="4" w:space="0" w:color="000000"/>
            </w:tcBorders>
          </w:tcPr>
          <w:p>
            <w:pPr>
              <w:pStyle w:val="TableParagraph"/>
              <w:spacing w:line="176" w:lineRule="exact"/>
              <w:ind w:right="155"/>
              <w:jc w:val="right"/>
              <w:rPr>
                <w:sz w:val="16"/>
              </w:rPr>
            </w:pPr>
            <w:r>
              <w:rPr>
                <w:w w:val="95"/>
                <w:sz w:val="16"/>
              </w:rPr>
              <w:t>(2-2)</w:t>
            </w:r>
          </w:p>
        </w:tc>
        <w:tc>
          <w:tcPr>
            <w:tcW w:w="631" w:type="dxa"/>
            <w:tcBorders>
              <w:bottom w:val="single" w:sz="4" w:space="0" w:color="000000"/>
            </w:tcBorders>
          </w:tcPr>
          <w:p>
            <w:pPr/>
          </w:p>
        </w:tc>
        <w:tc>
          <w:tcPr>
            <w:tcW w:w="629" w:type="dxa"/>
            <w:tcBorders>
              <w:bottom w:val="single" w:sz="4" w:space="0" w:color="000000"/>
            </w:tcBorders>
          </w:tcPr>
          <w:p>
            <w:pPr/>
          </w:p>
        </w:tc>
        <w:tc>
          <w:tcPr>
            <w:tcW w:w="629" w:type="dxa"/>
            <w:tcBorders>
              <w:bottom w:val="single" w:sz="4" w:space="0" w:color="000000"/>
            </w:tcBorders>
          </w:tcPr>
          <w:p>
            <w:pPr/>
          </w:p>
        </w:tc>
        <w:tc>
          <w:tcPr>
            <w:tcW w:w="631" w:type="dxa"/>
            <w:tcBorders>
              <w:bottom w:val="single" w:sz="4" w:space="0" w:color="000000"/>
            </w:tcBorders>
          </w:tcPr>
          <w:p>
            <w:pPr/>
          </w:p>
        </w:tc>
        <w:tc>
          <w:tcPr>
            <w:tcW w:w="631" w:type="dxa"/>
            <w:tcBorders>
              <w:bottom w:val="single" w:sz="4" w:space="0" w:color="000000"/>
            </w:tcBorders>
          </w:tcPr>
          <w:p>
            <w:pPr/>
          </w:p>
        </w:tc>
        <w:tc>
          <w:tcPr>
            <w:tcW w:w="629" w:type="dxa"/>
            <w:tcBorders>
              <w:bottom w:val="single" w:sz="4" w:space="0" w:color="000000"/>
            </w:tcBorders>
          </w:tcPr>
          <w:p>
            <w:pPr/>
          </w:p>
        </w:tc>
        <w:tc>
          <w:tcPr>
            <w:tcW w:w="629" w:type="dxa"/>
            <w:tcBorders>
              <w:bottom w:val="single" w:sz="4" w:space="0" w:color="000000"/>
            </w:tcBorders>
          </w:tcPr>
          <w:p>
            <w:pPr/>
          </w:p>
        </w:tc>
        <w:tc>
          <w:tcPr>
            <w:tcW w:w="632" w:type="dxa"/>
            <w:tcBorders>
              <w:bottom w:val="single" w:sz="4" w:space="0" w:color="000000"/>
            </w:tcBorders>
          </w:tcPr>
          <w:p>
            <w:pPr/>
          </w:p>
        </w:tc>
        <w:tc>
          <w:tcPr>
            <w:tcW w:w="631" w:type="dxa"/>
            <w:tcBorders>
              <w:bottom w:val="single" w:sz="4" w:space="0" w:color="000000"/>
            </w:tcBorders>
          </w:tcPr>
          <w:p>
            <w:pPr/>
          </w:p>
        </w:tc>
        <w:tc>
          <w:tcPr>
            <w:tcW w:w="624" w:type="dxa"/>
            <w:tcBorders>
              <w:bottom w:val="single" w:sz="4" w:space="0" w:color="000000"/>
            </w:tcBorders>
          </w:tcPr>
          <w:p>
            <w:pPr/>
          </w:p>
        </w:tc>
        <w:tc>
          <w:tcPr>
            <w:tcW w:w="452" w:type="dxa"/>
            <w:tcBorders>
              <w:bottom w:val="single" w:sz="4" w:space="0" w:color="000000"/>
            </w:tcBorders>
          </w:tcPr>
          <w:p>
            <w:pPr/>
          </w:p>
        </w:tc>
        <w:tc>
          <w:tcPr>
            <w:tcW w:w="444" w:type="dxa"/>
            <w:tcBorders>
              <w:bottom w:val="single" w:sz="4" w:space="0" w:color="000000"/>
            </w:tcBorders>
          </w:tcPr>
          <w:p>
            <w:pPr/>
          </w:p>
        </w:tc>
        <w:tc>
          <w:tcPr>
            <w:tcW w:w="449" w:type="dxa"/>
            <w:tcBorders>
              <w:bottom w:val="single" w:sz="4" w:space="0" w:color="000000"/>
            </w:tcBorders>
          </w:tcPr>
          <w:p>
            <w:pPr/>
          </w:p>
        </w:tc>
      </w:tr>
    </w:tbl>
    <w:p>
      <w:pPr>
        <w:spacing w:after="0"/>
        <w:sectPr>
          <w:pgSz w:w="15840" w:h="12240" w:orient="landscape"/>
          <w:pgMar w:header="0" w:footer="1628" w:top="1140" w:bottom="1820" w:left="1640" w:right="1280"/>
        </w:sectPr>
      </w:pPr>
    </w:p>
    <w:p>
      <w:pPr>
        <w:pStyle w:val="BodyText"/>
        <w:spacing w:before="1"/>
        <w:rPr>
          <w:sz w:val="21"/>
        </w:rPr>
      </w:pPr>
    </w:p>
    <w:p>
      <w:pPr>
        <w:spacing w:before="69"/>
        <w:ind w:left="152" w:right="70" w:firstLine="0"/>
        <w:jc w:val="left"/>
        <w:rPr>
          <w:b/>
          <w:sz w:val="24"/>
        </w:rPr>
      </w:pPr>
      <w:r>
        <w:rPr>
          <w:b/>
          <w:sz w:val="24"/>
        </w:rPr>
        <w:t>References</w:t>
      </w:r>
    </w:p>
    <w:p>
      <w:pPr>
        <w:pStyle w:val="BodyText"/>
        <w:spacing w:line="360" w:lineRule="auto" w:before="132"/>
        <w:ind w:left="695" w:right="70" w:hanging="543"/>
      </w:pPr>
      <w:r>
        <w:rPr/>
        <w:t>Anil SS, Anil L, Deen J (2002) Challenges of pain assessment in domestic animals. J Am Vet Med Assoc 220, 3313-319.</w:t>
      </w:r>
    </w:p>
    <w:p>
      <w:pPr>
        <w:pStyle w:val="BodyText"/>
        <w:spacing w:line="360" w:lineRule="auto" w:before="8"/>
        <w:ind w:left="695" w:right="197" w:hanging="543"/>
      </w:pPr>
      <w:r>
        <w:rPr/>
        <w:t>Bell RF, Dahl JB, Moore RA et al. (2005) Peri-operative ketamine for acute post-operative pain: a quantitative and qualitative systematic review (Cochrane review). Acta Anaesth Scand 49, 1405-1428.</w:t>
      </w:r>
    </w:p>
    <w:p>
      <w:pPr>
        <w:pStyle w:val="BodyText"/>
        <w:spacing w:line="360" w:lineRule="auto" w:before="4"/>
        <w:ind w:left="695" w:right="173" w:hanging="543"/>
      </w:pPr>
      <w:r>
        <w:rPr/>
        <w:t>Columbano N, Secci F, Careddu GM et al. (2012) Effects of lidocaine constant rate infusion on sevoflurane requirement, autonomic responses, and postoperative analgesia in dogs undergoing ovariectomy under opioid-based balanced anesthesia. Vet J 193, 448-455</w:t>
      </w:r>
    </w:p>
    <w:p>
      <w:pPr>
        <w:pStyle w:val="BodyText"/>
        <w:spacing w:line="362" w:lineRule="auto" w:before="4"/>
        <w:ind w:left="695" w:right="173" w:hanging="543"/>
      </w:pPr>
      <w:r>
        <w:rPr/>
        <w:t>Firth AM, Haldane SL (1999) Development of a scale to evaluate postoperative pain in dogs. J Am Vet Med Assoc 214, 651-659.</w:t>
      </w:r>
    </w:p>
    <w:p>
      <w:pPr>
        <w:pStyle w:val="BodyText"/>
        <w:spacing w:line="360" w:lineRule="auto" w:before="1"/>
        <w:ind w:left="695" w:right="237" w:hanging="543"/>
      </w:pPr>
      <w:r>
        <w:rPr/>
        <w:t>Gutierrez-Blanco E, Victoria-Mora JM, Ibancovichi-Camarillo JA et al. (2013) Evaluation of the isoflurane-sparing effects of fentanyl, lidocaine, ketamine, dexmedetomidine, or the combination lidocaine-ketamine-dexmedetomidine during ovariohisterectomy in dogs. Vet Anaesth Analg doi: 10.1111/vaa.12079.</w:t>
      </w:r>
    </w:p>
    <w:p>
      <w:pPr>
        <w:pStyle w:val="BodyText"/>
        <w:spacing w:line="360" w:lineRule="auto" w:before="4"/>
        <w:ind w:left="695" w:right="70" w:hanging="543"/>
      </w:pPr>
      <w:r>
        <w:rPr/>
        <w:t>Holton LL, Scott EM, Nolan AM et al. (1998) Comparison of three methods used for assessment of pain in dogs. J Am Vet Med Assoc 217, 685-690.</w:t>
      </w:r>
    </w:p>
    <w:p>
      <w:pPr>
        <w:pStyle w:val="BodyText"/>
        <w:spacing w:line="362" w:lineRule="auto" w:before="4"/>
        <w:ind w:left="695" w:right="70" w:hanging="543"/>
      </w:pPr>
      <w:r>
        <w:rPr/>
        <w:t>Holton LL, Reid J, Scott EM et al. (2001) Development of a behavior-based scale to measure acute pain in dogs. Vet Rec 148, 525-531.</w:t>
      </w:r>
    </w:p>
    <w:p>
      <w:pPr>
        <w:pStyle w:val="BodyText"/>
        <w:spacing w:line="360" w:lineRule="auto" w:before="1"/>
        <w:ind w:left="695" w:right="70" w:hanging="543"/>
      </w:pPr>
      <w:r>
        <w:rPr/>
        <w:t>Kehlet H, Dahl JB (1993) The value of “multimodal” or “balanced analgesia” in postoperative pain treatment. Anesth Analg 77, 1048-1056.</w:t>
      </w:r>
    </w:p>
    <w:p>
      <w:pPr>
        <w:pStyle w:val="BodyText"/>
        <w:spacing w:line="360" w:lineRule="auto" w:before="4"/>
        <w:ind w:left="695" w:right="137" w:hanging="543"/>
      </w:pPr>
      <w:r>
        <w:rPr/>
        <w:t>Lervik A, Haga HA, Ranheim B et al. (2012) The influence of a continuous rate infusion of dexmedetomidine on the nociceptive withdrawal reflex and temporal summation during isoflurane anaesthesia in dogs. Vet Anaesth Analg 39, 414-425.</w:t>
      </w:r>
    </w:p>
    <w:p>
      <w:pPr>
        <w:pStyle w:val="BodyText"/>
        <w:spacing w:line="360" w:lineRule="auto" w:before="4"/>
        <w:ind w:left="695" w:right="247" w:hanging="543"/>
        <w:jc w:val="both"/>
      </w:pPr>
      <w:r>
        <w:rPr/>
        <w:t>Lin G, Robben JH, Murrel JC et </w:t>
      </w:r>
      <w:r>
        <w:rPr>
          <w:spacing w:val="-4"/>
        </w:rPr>
        <w:t>al. </w:t>
      </w:r>
      <w:r>
        <w:rPr/>
        <w:t>(2008) Dexmedetomidine constant rate infusion for 24 hours during and after propofol or isoflurane anaesthesia </w:t>
      </w:r>
      <w:r>
        <w:rPr>
          <w:spacing w:val="-3"/>
        </w:rPr>
        <w:t>in </w:t>
      </w:r>
      <w:r>
        <w:rPr/>
        <w:t>dogs. </w:t>
      </w:r>
      <w:r>
        <w:rPr>
          <w:spacing w:val="-3"/>
        </w:rPr>
        <w:t>Vet </w:t>
      </w:r>
      <w:r>
        <w:rPr/>
        <w:t>Anaesth Analg 35, 141-153.</w:t>
      </w:r>
    </w:p>
    <w:p>
      <w:pPr>
        <w:spacing w:after="0" w:line="360" w:lineRule="auto"/>
        <w:jc w:val="both"/>
        <w:sectPr>
          <w:footerReference w:type="default" r:id="rId50"/>
          <w:pgSz w:w="12240" w:h="15840"/>
          <w:pgMar w:footer="1686" w:header="0" w:top="1500" w:bottom="1880" w:left="1720" w:right="1420"/>
          <w:pgNumType w:start="71"/>
        </w:sectPr>
      </w:pPr>
    </w:p>
    <w:p>
      <w:pPr>
        <w:pStyle w:val="BodyText"/>
        <w:spacing w:before="7"/>
        <w:rPr>
          <w:sz w:val="20"/>
        </w:rPr>
      </w:pPr>
    </w:p>
    <w:p>
      <w:pPr>
        <w:pStyle w:val="BodyText"/>
        <w:spacing w:line="360" w:lineRule="auto" w:before="69"/>
        <w:ind w:left="695" w:right="70" w:hanging="543"/>
      </w:pPr>
      <w:r>
        <w:rPr/>
        <w:t>MacDougall LM, Hethey J, Livingston A et al. (2009) Antinociceptive, cardiopulmonary, and sedative effects of five intravenous infusion rates of lidocaine in conscious dogs. Vet Anaesth Analg 36, 512-522.</w:t>
      </w:r>
    </w:p>
    <w:p>
      <w:pPr>
        <w:pStyle w:val="BodyText"/>
        <w:spacing w:line="360" w:lineRule="auto" w:before="8"/>
        <w:ind w:left="695" w:right="70" w:hanging="543"/>
      </w:pPr>
      <w:r>
        <w:rPr/>
        <w:t>Marret E, Rolin M, Beaussier M et al. (2008) Meta-analysis of intravenous lidocaine and postoperative recovery after abdominal surgery. Br J Surg 95, 1331-1338.</w:t>
      </w:r>
    </w:p>
    <w:p>
      <w:pPr>
        <w:pStyle w:val="BodyText"/>
        <w:spacing w:line="362" w:lineRule="auto" w:before="4"/>
        <w:ind w:left="695" w:right="70" w:hanging="543"/>
      </w:pPr>
      <w:r>
        <w:rPr/>
        <w:t>Mathews K, Kronen P, Lascelles BDX, Nolan A, Robertson SA, Steagall PVM, Wright B, Yamashita K (2013) WSAVA guidelines for recognition, assessment and treatment of pain in animals. Submitted to Journal of Small Animal Practice.</w:t>
      </w:r>
    </w:p>
    <w:p>
      <w:pPr>
        <w:pStyle w:val="BodyText"/>
        <w:spacing w:line="360" w:lineRule="auto" w:before="1"/>
        <w:ind w:left="695" w:right="173" w:hanging="543"/>
      </w:pPr>
      <w:r>
        <w:rPr/>
        <w:t>McCarthy GC, Megalla SA, Habib AS (2010) Impact of intravenous lidocaine infusion on postoperative analgesia and recovery from surgery. A systematic review of randomized controlled trials. Drugs 70, 1149-1163.</w:t>
      </w:r>
    </w:p>
    <w:p>
      <w:pPr>
        <w:pStyle w:val="BodyText"/>
        <w:spacing w:line="360" w:lineRule="auto" w:before="8"/>
        <w:ind w:left="695" w:right="173" w:hanging="543"/>
      </w:pPr>
      <w:r>
        <w:rPr/>
        <w:t>Murrell J, Hellebrekers L (2005) Medetomidine and dexmedetomidine: a review of cardiovascular effects and antinociceptive properties in the dog. Vet Anaesth Analg 32, 117-127.</w:t>
      </w:r>
    </w:p>
    <w:p>
      <w:pPr>
        <w:pStyle w:val="BodyText"/>
        <w:spacing w:line="362" w:lineRule="auto" w:before="4"/>
        <w:ind w:left="695" w:right="70" w:hanging="543"/>
      </w:pPr>
      <w:r>
        <w:rPr/>
        <w:t>Ortega M, Cruz I (2011) Evaluation of a constant rate infusion of lidocaine for balanced anesthesia in dogs undergoing surgery. Can Vet J 52, 856-860.</w:t>
      </w:r>
    </w:p>
    <w:p>
      <w:pPr>
        <w:pStyle w:val="BodyText"/>
        <w:spacing w:line="360" w:lineRule="auto" w:before="1"/>
        <w:ind w:left="695" w:right="173" w:hanging="543"/>
      </w:pPr>
      <w:r>
        <w:rPr/>
        <w:t>Pascoe PJ, Raekallio M, Kuusela E et al. (2006) Changes in the MAC of isoflurane and some cardiopulmonary measurements during three continuous infusion rates of dexmedetomidine in dogs. Vet Anaesth Analg 33, 97-103.</w:t>
      </w:r>
    </w:p>
    <w:p>
      <w:pPr>
        <w:pStyle w:val="BodyText"/>
        <w:spacing w:line="360" w:lineRule="auto" w:before="8"/>
        <w:ind w:left="695" w:right="375" w:hanging="543"/>
      </w:pPr>
      <w:r>
        <w:rPr/>
        <w:t>Pozzi A, Muir WW, Traverso F (2006) Prevention of central sensitization and pain by N- methyl-D-aspartate receptor antagonist. J Am Vet Med Assoc 228, 53-60.</w:t>
      </w:r>
    </w:p>
    <w:p>
      <w:pPr>
        <w:pStyle w:val="BodyText"/>
        <w:spacing w:line="360" w:lineRule="auto" w:before="4"/>
        <w:ind w:left="695" w:right="264" w:hanging="543"/>
        <w:jc w:val="both"/>
      </w:pPr>
      <w:r>
        <w:rPr/>
        <w:t>Sano T, Nishimura R, Kanazawa H et al. (2006) Pharmacokinetics of fentanyl after single intravenous injection and constant rate infusion in dogs. Vet Anaesth Analg 33, 266- 273.</w:t>
      </w:r>
    </w:p>
    <w:p>
      <w:pPr>
        <w:pStyle w:val="BodyText"/>
        <w:spacing w:line="360" w:lineRule="auto" w:before="8"/>
        <w:ind w:left="695" w:right="173" w:hanging="543"/>
      </w:pPr>
      <w:r>
        <w:rPr/>
        <w:t>Sarrau S, Jourdan J, Dupuis-Soyris F et al. (2007) Effects of postoperative ketamine infusion on pain control and feeding behavior in bitches undergoing mastectomy. J Small Anim Pract 48, 670-676.</w:t>
      </w:r>
    </w:p>
    <w:p>
      <w:pPr>
        <w:spacing w:after="0" w:line="360" w:lineRule="auto"/>
        <w:sectPr>
          <w:pgSz w:w="12240" w:h="15840"/>
          <w:pgMar w:header="0" w:footer="1686" w:top="1500" w:bottom="1880" w:left="1720" w:right="1420"/>
        </w:sectPr>
      </w:pPr>
    </w:p>
    <w:p>
      <w:pPr>
        <w:pStyle w:val="BodyText"/>
        <w:spacing w:before="7"/>
        <w:rPr>
          <w:sz w:val="20"/>
        </w:rPr>
      </w:pPr>
    </w:p>
    <w:p>
      <w:pPr>
        <w:pStyle w:val="BodyText"/>
        <w:spacing w:line="360" w:lineRule="auto" w:before="69"/>
        <w:ind w:left="695" w:right="774" w:hanging="543"/>
      </w:pPr>
      <w:r>
        <w:rPr/>
        <w:t>Slingsby LS, Waterman-Pearson AE (2000) The post-operative analgesic effects of ketamine after canine ovariohisterectomy – a comparison between pre- or post- operative administration. Res Vet Sci 69, 147-152.</w:t>
      </w:r>
    </w:p>
    <w:p>
      <w:pPr>
        <w:pStyle w:val="BodyText"/>
        <w:spacing w:line="360" w:lineRule="auto" w:before="8"/>
        <w:ind w:left="695" w:right="70" w:hanging="543"/>
      </w:pPr>
      <w:r>
        <w:rPr/>
        <w:t>Smith LJ, Bentley E, Shih A et al. (2004) Systemic lidocaine infusion as an analgesic for intraocular surgery in dogs: a pilot study. Vet Anaesth Analg 31, 53-63.</w:t>
      </w:r>
    </w:p>
    <w:p>
      <w:pPr>
        <w:pStyle w:val="BodyText"/>
        <w:spacing w:line="362" w:lineRule="auto" w:before="4"/>
        <w:ind w:left="695" w:right="424" w:hanging="543"/>
        <w:jc w:val="both"/>
      </w:pPr>
      <w:r>
        <w:rPr/>
        <w:t>Steagall PVM, Teixeira </w:t>
      </w:r>
      <w:r>
        <w:rPr>
          <w:spacing w:val="-3"/>
        </w:rPr>
        <w:t>FJ, </w:t>
      </w:r>
      <w:r>
        <w:rPr/>
        <w:t>Minto BW et </w:t>
      </w:r>
      <w:r>
        <w:rPr>
          <w:spacing w:val="-3"/>
        </w:rPr>
        <w:t>al. </w:t>
      </w:r>
      <w:r>
        <w:rPr/>
        <w:t>(2006) Evaluation of the isoflurane-sparing effects of lidocaine and fentanyl during surgery </w:t>
      </w:r>
      <w:r>
        <w:rPr>
          <w:spacing w:val="-3"/>
        </w:rPr>
        <w:t>in </w:t>
      </w:r>
      <w:r>
        <w:rPr/>
        <w:t>dogs. J Am Vet Med Assoc 229, 522-527.</w:t>
      </w:r>
    </w:p>
    <w:p>
      <w:pPr>
        <w:pStyle w:val="BodyText"/>
        <w:spacing w:line="360" w:lineRule="auto" w:before="1"/>
        <w:ind w:left="695" w:right="70" w:hanging="543"/>
      </w:pPr>
      <w:r>
        <w:rPr/>
        <w:t>Uilenreef JJ, Murrel JC, McKusick B et al. (2008) Dexmedetomidine continuous rate infusion during isoflurane anaesthesia in canine surgical patients. Vet Anaesth Analg 35, 1-12.</w:t>
      </w:r>
    </w:p>
    <w:p>
      <w:pPr>
        <w:pStyle w:val="BodyText"/>
        <w:spacing w:line="360" w:lineRule="auto" w:before="8"/>
        <w:ind w:left="695" w:right="70" w:hanging="543"/>
      </w:pPr>
      <w:r>
        <w:rPr/>
        <w:t>Valtolina C, Robben JH, Uilenreef J et al. (2009) Clinical evaluation of the efficacy and safety of a constant rate infusion of dexmedetomidine for postoperative pain management in dogs. Vet Anaesth Analg 36, 369-383.</w:t>
      </w:r>
    </w:p>
    <w:p>
      <w:pPr>
        <w:pStyle w:val="BodyText"/>
        <w:spacing w:line="360" w:lineRule="auto" w:before="4"/>
        <w:ind w:left="695" w:right="197" w:hanging="543"/>
      </w:pPr>
      <w:r>
        <w:rPr/>
        <w:t>Van Oostrom H, Doornenbal A, Schot A et al. (2011) Neurophysiological assessment of the sedative and analgesic effects of a constant rate infusion of dexmedetomidine in the dog. Vet J 190, 338-344.</w:t>
      </w:r>
    </w:p>
    <w:p>
      <w:pPr>
        <w:pStyle w:val="BodyText"/>
        <w:spacing w:line="362" w:lineRule="auto" w:before="4"/>
        <w:ind w:left="695" w:right="70" w:hanging="543"/>
      </w:pPr>
      <w:r>
        <w:rPr/>
        <w:t>Wagner AE, Walton JA, Hellyer PW et al. (2002) Use of low doses of ketamine administered by constant rate infusion as an adjunct for postoperative analgesia in dogs. J Am Vet Med Assoc 221, 72-75.</w:t>
      </w:r>
    </w:p>
    <w:p>
      <w:pPr>
        <w:spacing w:after="0" w:line="362" w:lineRule="auto"/>
        <w:sectPr>
          <w:pgSz w:w="12240" w:h="15840"/>
          <w:pgMar w:header="0" w:footer="1686" w:top="1500" w:bottom="1880" w:left="1720" w:right="1420"/>
        </w:sectPr>
      </w:pPr>
    </w:p>
    <w:p>
      <w:pPr>
        <w:pStyle w:val="BodyText"/>
        <w:rPr>
          <w:sz w:val="20"/>
        </w:rPr>
      </w:pPr>
    </w:p>
    <w:p>
      <w:pPr>
        <w:pStyle w:val="BodyText"/>
        <w:spacing w:before="5"/>
        <w:rPr>
          <w:sz w:val="22"/>
        </w:rPr>
      </w:pPr>
    </w:p>
    <w:p>
      <w:pPr>
        <w:pStyle w:val="Heading1"/>
      </w:pPr>
      <w:bookmarkStart w:name="_bookmark73" w:id="119"/>
      <w:bookmarkEnd w:id="119"/>
      <w:r>
        <w:rPr>
          <w:b w:val="0"/>
        </w:rPr>
      </w:r>
      <w:r>
        <w:rPr/>
        <w:t>CAPÍTULO VIII</w:t>
      </w:r>
    </w:p>
    <w:p>
      <w:pPr>
        <w:pStyle w:val="BodyText"/>
        <w:rPr>
          <w:b/>
          <w:sz w:val="20"/>
        </w:rPr>
      </w:pPr>
    </w:p>
    <w:p>
      <w:pPr>
        <w:pStyle w:val="BodyText"/>
        <w:spacing w:before="8"/>
        <w:rPr>
          <w:b/>
        </w:rPr>
      </w:pPr>
    </w:p>
    <w:p>
      <w:pPr>
        <w:spacing w:before="63"/>
        <w:ind w:left="152" w:right="70" w:firstLine="0"/>
        <w:jc w:val="left"/>
        <w:rPr>
          <w:b/>
          <w:sz w:val="28"/>
        </w:rPr>
      </w:pPr>
      <w:bookmarkStart w:name="_bookmark74" w:id="120"/>
      <w:bookmarkEnd w:id="120"/>
      <w:r>
        <w:rPr/>
      </w:r>
      <w:r>
        <w:rPr>
          <w:b/>
          <w:sz w:val="28"/>
        </w:rPr>
        <w:t>Discusión</w:t>
      </w:r>
    </w:p>
    <w:p>
      <w:pPr>
        <w:pStyle w:val="BodyText"/>
        <w:rPr>
          <w:b/>
          <w:sz w:val="28"/>
        </w:rPr>
      </w:pPr>
    </w:p>
    <w:p>
      <w:pPr>
        <w:pStyle w:val="BodyText"/>
        <w:spacing w:before="6"/>
        <w:rPr>
          <w:b/>
          <w:sz w:val="31"/>
        </w:rPr>
      </w:pPr>
    </w:p>
    <w:p>
      <w:pPr>
        <w:pStyle w:val="Heading2"/>
        <w:numPr>
          <w:ilvl w:val="1"/>
          <w:numId w:val="35"/>
        </w:numPr>
        <w:tabs>
          <w:tab w:pos="1238" w:val="left" w:leader="none"/>
        </w:tabs>
        <w:spacing w:line="240" w:lineRule="auto" w:before="1" w:after="0"/>
        <w:ind w:left="1237" w:right="0" w:hanging="364"/>
        <w:jc w:val="left"/>
      </w:pPr>
      <w:bookmarkStart w:name="_bookmark75" w:id="121"/>
      <w:bookmarkEnd w:id="121"/>
      <w:r>
        <w:rPr>
          <w:b w:val="0"/>
        </w:rPr>
      </w:r>
      <w:bookmarkStart w:name="_bookmark75" w:id="122"/>
      <w:bookmarkEnd w:id="122"/>
      <w:r>
        <w:rPr/>
        <w:t>Ana</w:t>
      </w:r>
      <w:r>
        <w:rPr/>
        <w:t>lgesia</w:t>
      </w:r>
      <w:r>
        <w:rPr>
          <w:spacing w:val="-16"/>
        </w:rPr>
        <w:t> </w:t>
      </w:r>
      <w:r>
        <w:rPr/>
        <w:t>transquirúrgica</w:t>
      </w:r>
    </w:p>
    <w:p>
      <w:pPr>
        <w:pStyle w:val="BodyText"/>
        <w:spacing w:before="2"/>
        <w:rPr>
          <w:b/>
          <w:sz w:val="20"/>
        </w:rPr>
      </w:pPr>
    </w:p>
    <w:p>
      <w:pPr>
        <w:pStyle w:val="BodyText"/>
        <w:spacing w:line="360" w:lineRule="auto" w:before="1"/>
        <w:ind w:left="152" w:right="107" w:firstLine="566"/>
        <w:jc w:val="both"/>
      </w:pPr>
      <w:r>
        <w:rPr/>
        <w:t>Los resultados del presente estudio demuestran que todos los tratamientos se asociaron con una disminución significativa de los requerimientos de ISO, en comparación con el grupo control, esto de acuerdo con </w:t>
      </w:r>
      <w:r>
        <w:rPr>
          <w:spacing w:val="-5"/>
        </w:rPr>
        <w:t>la </w:t>
      </w:r>
      <w:r>
        <w:rPr/>
        <w:t>hipótesis planteada para este estudio. Sin embargo, este efecto reductor en los requerimientos de ISO </w:t>
      </w:r>
      <w:r>
        <w:rPr>
          <w:spacing w:val="-3"/>
        </w:rPr>
        <w:t>no </w:t>
      </w:r>
      <w:r>
        <w:rPr/>
        <w:t>siempre proveyó mejor estabilidad cardiovascular durante </w:t>
      </w:r>
      <w:r>
        <w:rPr>
          <w:spacing w:val="-3"/>
        </w:rPr>
        <w:t>la </w:t>
      </w:r>
      <w:r>
        <w:rPr/>
        <w:t>anestesia y cirugía. La bradicardia de origen vagal inducida por FENT pudo contrarrestar un posible incremento en </w:t>
      </w:r>
      <w:r>
        <w:rPr>
          <w:spacing w:val="-5"/>
        </w:rPr>
        <w:t>la </w:t>
      </w:r>
      <w:r>
        <w:rPr/>
        <w:t>presión arterial que se esperaría al reducir los requerimientos del ISO. Es importante señalar que, para cualquier interpretación de los datos obtenidos en el presente estudio, todas </w:t>
      </w:r>
      <w:r>
        <w:rPr>
          <w:spacing w:val="-4"/>
        </w:rPr>
        <w:t>las </w:t>
      </w:r>
      <w:r>
        <w:rPr/>
        <w:t>comparaciones se hicieron con un grupo al cual se </w:t>
      </w:r>
      <w:r>
        <w:rPr>
          <w:spacing w:val="-3"/>
        </w:rPr>
        <w:t>le </w:t>
      </w:r>
      <w:r>
        <w:rPr/>
        <w:t>administró butorfanol, fármaco que produce reducción de </w:t>
      </w:r>
      <w:r>
        <w:rPr>
          <w:spacing w:val="-5"/>
        </w:rPr>
        <w:t>la </w:t>
      </w:r>
      <w:r>
        <w:rPr/>
        <w:t>CAM en perros (Ko </w:t>
      </w:r>
      <w:r>
        <w:rPr>
          <w:spacing w:val="-3"/>
        </w:rPr>
        <w:t>et </w:t>
      </w:r>
      <w:r>
        <w:rPr>
          <w:spacing w:val="-4"/>
        </w:rPr>
        <w:t>al. </w:t>
      </w:r>
      <w:r>
        <w:rPr/>
        <w:t>2000), </w:t>
      </w:r>
      <w:r>
        <w:rPr>
          <w:spacing w:val="-5"/>
        </w:rPr>
        <w:t>lo </w:t>
      </w:r>
      <w:r>
        <w:rPr/>
        <w:t>cual podría asociarse o </w:t>
      </w:r>
      <w:r>
        <w:rPr>
          <w:spacing w:val="-3"/>
        </w:rPr>
        <w:t>no </w:t>
      </w:r>
      <w:r>
        <w:rPr/>
        <w:t>a una mejora en </w:t>
      </w:r>
      <w:r>
        <w:rPr>
          <w:spacing w:val="-3"/>
        </w:rPr>
        <w:t>la </w:t>
      </w:r>
      <w:r>
        <w:rPr/>
        <w:t>función</w:t>
      </w:r>
      <w:r>
        <w:rPr>
          <w:spacing w:val="-17"/>
        </w:rPr>
        <w:t> </w:t>
      </w:r>
      <w:r>
        <w:rPr/>
        <w:t>cardiovascular.</w:t>
      </w:r>
    </w:p>
    <w:p>
      <w:pPr>
        <w:pStyle w:val="BodyText"/>
        <w:spacing w:line="360" w:lineRule="auto" w:before="4"/>
        <w:ind w:left="152" w:right="110" w:firstLine="566"/>
        <w:jc w:val="both"/>
      </w:pPr>
      <w:r>
        <w:rPr/>
        <w:t>Los valores de frecuencia cardiaca fueron menores en el grupo FENT en comparación con los otros grupos con </w:t>
      </w:r>
      <w:r>
        <w:rPr>
          <w:spacing w:val="-5"/>
        </w:rPr>
        <w:t>la </w:t>
      </w:r>
      <w:r>
        <w:rPr/>
        <w:t>excepción de DEX y LKD durante </w:t>
      </w:r>
      <w:r>
        <w:rPr>
          <w:spacing w:val="-5"/>
        </w:rPr>
        <w:t>la </w:t>
      </w:r>
      <w:r>
        <w:rPr/>
        <w:t>cirugía. Como se </w:t>
      </w:r>
      <w:r>
        <w:rPr>
          <w:spacing w:val="-3"/>
        </w:rPr>
        <w:t>ha </w:t>
      </w:r>
      <w:r>
        <w:rPr/>
        <w:t>mencionado con anterioridad, es bien conocido que los opioides pueden inducir un incremento en el tono vagal conduciendo a </w:t>
      </w:r>
      <w:r>
        <w:rPr>
          <w:spacing w:val="-3"/>
        </w:rPr>
        <w:t>la </w:t>
      </w:r>
      <w:r>
        <w:rPr/>
        <w:t>bradicardia (Steagall et </w:t>
      </w:r>
      <w:r>
        <w:rPr>
          <w:spacing w:val="-3"/>
        </w:rPr>
        <w:t>al. </w:t>
      </w:r>
      <w:r>
        <w:rPr/>
        <w:t>2006). Adicionalmente, se </w:t>
      </w:r>
      <w:r>
        <w:rPr>
          <w:spacing w:val="-3"/>
        </w:rPr>
        <w:t>ha </w:t>
      </w:r>
      <w:r>
        <w:rPr/>
        <w:t>demostrado que </w:t>
      </w:r>
      <w:r>
        <w:rPr>
          <w:spacing w:val="-5"/>
        </w:rPr>
        <w:t>la </w:t>
      </w:r>
      <w:r>
        <w:rPr/>
        <w:t>administración de anticolinérgicos se requiere con frecuencia para mejorar </w:t>
      </w:r>
      <w:r>
        <w:rPr>
          <w:spacing w:val="-5"/>
        </w:rPr>
        <w:t>la </w:t>
      </w:r>
      <w:r>
        <w:rPr/>
        <w:t>presión sanguínea, </w:t>
      </w:r>
      <w:r>
        <w:rPr>
          <w:spacing w:val="-3"/>
        </w:rPr>
        <w:t>ya </w:t>
      </w:r>
      <w:r>
        <w:rPr/>
        <w:t>sea para tratar </w:t>
      </w:r>
      <w:r>
        <w:rPr>
          <w:spacing w:val="-5"/>
        </w:rPr>
        <w:t>la </w:t>
      </w:r>
      <w:r>
        <w:rPr/>
        <w:t>bradicardia inducida por el opioide o para prevenirla (Ilkiw et </w:t>
      </w:r>
      <w:r>
        <w:rPr>
          <w:spacing w:val="-3"/>
        </w:rPr>
        <w:t>al. </w:t>
      </w:r>
      <w:r>
        <w:rPr/>
        <w:t>1993; Dyson &amp; James-Davies 1999). Considerando el escenario anterior, podrían haber sido evidentes una mejora en </w:t>
      </w:r>
      <w:r>
        <w:rPr>
          <w:spacing w:val="-3"/>
        </w:rPr>
        <w:t>la </w:t>
      </w:r>
      <w:r>
        <w:rPr/>
        <w:t>presión arterial y en otras variables cardiovasculares en el grupo FENT, tal como ha sido observado  clínicamente (Steagall et </w:t>
      </w:r>
      <w:r>
        <w:rPr>
          <w:spacing w:val="-3"/>
        </w:rPr>
        <w:t>al. </w:t>
      </w:r>
      <w:r>
        <w:rPr/>
        <w:t>2006). La FC </w:t>
      </w:r>
      <w:r>
        <w:rPr>
          <w:spacing w:val="-3"/>
        </w:rPr>
        <w:t>no </w:t>
      </w:r>
      <w:r>
        <w:rPr/>
        <w:t>fue diferente en todos los tiempos quirúrgicos entre los grupos FENT, DEX y LKD, </w:t>
      </w:r>
      <w:r>
        <w:rPr>
          <w:spacing w:val="-3"/>
        </w:rPr>
        <w:t>ya </w:t>
      </w:r>
      <w:r>
        <w:rPr/>
        <w:t>que </w:t>
      </w:r>
      <w:r>
        <w:rPr>
          <w:spacing w:val="-3"/>
        </w:rPr>
        <w:t>la  </w:t>
      </w:r>
      <w:r>
        <w:rPr/>
        <w:t>dexmedetomidina induce una   </w:t>
      </w:r>
      <w:r>
        <w:rPr>
          <w:spacing w:val="41"/>
        </w:rPr>
        <w:t> </w:t>
      </w:r>
      <w:r>
        <w:rPr/>
        <w:t>bradicardia</w:t>
      </w:r>
    </w:p>
    <w:p>
      <w:pPr>
        <w:pStyle w:val="BodyText"/>
        <w:spacing w:before="4"/>
        <w:ind w:left="152" w:right="70"/>
      </w:pPr>
      <w:r>
        <w:rPr/>
        <w:t>fisiológica  barorrefleja,  debido  a  una  vasoconstricción  mediada  por  agonismo  de  </w:t>
      </w:r>
      <w:r>
        <w:rPr>
          <w:spacing w:val="55"/>
        </w:rPr>
        <w:t> </w:t>
      </w:r>
      <w:r>
        <w:rPr/>
        <w:t>los</w:t>
      </w:r>
    </w:p>
    <w:p>
      <w:pPr>
        <w:spacing w:after="0"/>
        <w:sectPr>
          <w:pgSz w:w="12240" w:h="15840"/>
          <w:pgMar w:header="0" w:footer="1686" w:top="1500" w:bottom="1880" w:left="1720" w:right="1420"/>
        </w:sectPr>
      </w:pPr>
    </w:p>
    <w:p>
      <w:pPr>
        <w:pStyle w:val="BodyText"/>
        <w:spacing w:before="7"/>
        <w:rPr>
          <w:sz w:val="20"/>
        </w:rPr>
      </w:pPr>
    </w:p>
    <w:p>
      <w:pPr>
        <w:pStyle w:val="BodyText"/>
        <w:spacing w:line="357" w:lineRule="auto" w:before="69"/>
        <w:ind w:left="152" w:right="108"/>
        <w:jc w:val="both"/>
      </w:pPr>
      <w:r>
        <w:rPr/>
        <w:t>receptores α</w:t>
      </w:r>
      <w:r>
        <w:rPr>
          <w:position w:val="-2"/>
          <w:sz w:val="16"/>
        </w:rPr>
        <w:t>2 </w:t>
      </w:r>
      <w:r>
        <w:rPr/>
        <w:t>adrenérgicos en los vasos sanguíneos periféricos. Este efecto probablemente condujo a un incremento en la resistencia vascular sistémica (Pascoe et al. 2006) De hecho, la administración de dexmedetomidina (en los grupos DEX y LKD) atenuó el efecto vasodilatador del ISO, muy probablemente por el incremento en la resistencia vascular sistémica producido por la dexmedetomidina (Congdon et al. 2013).</w:t>
      </w:r>
    </w:p>
    <w:p>
      <w:pPr>
        <w:pStyle w:val="BodyText"/>
        <w:spacing w:line="360" w:lineRule="auto" w:before="6"/>
        <w:ind w:left="152" w:right="109" w:firstLine="566"/>
        <w:jc w:val="both"/>
      </w:pPr>
      <w:r>
        <w:rPr/>
        <w:t>Para mejorar la analgesia durante la anestesia general, se han utilizado opioides de acción corta como el fentanilo, un agonista μ puro (OP3) que además reduce el requerimiento de los anestésicos inhalatorios. El fentanilo ha demostrado buena estabilidad cardiovascular, si bien se ha reportado en perros bradicardia y depresión respiratoria (Sano et al. 2006). En un estudio reciente, la CAM de ISO disminuyó en un 35% después de la</w:t>
      </w:r>
    </w:p>
    <w:p>
      <w:pPr>
        <w:pStyle w:val="BodyText"/>
        <w:spacing w:line="281" w:lineRule="exact"/>
        <w:ind w:left="152"/>
        <w:jc w:val="both"/>
      </w:pPr>
      <w:r>
        <w:rPr/>
        <w:t>administración IV de fentanilo a una dosis de carga de 5 µg kg</w:t>
      </w:r>
      <w:r>
        <w:rPr>
          <w:position w:val="11"/>
          <w:sz w:val="16"/>
        </w:rPr>
        <w:t>-1  </w:t>
      </w:r>
      <w:r>
        <w:rPr/>
        <w:t>seguida de una IC de 9  µg</w:t>
      </w:r>
    </w:p>
    <w:p>
      <w:pPr>
        <w:pStyle w:val="BodyText"/>
        <w:spacing w:line="355" w:lineRule="auto" w:before="106"/>
        <w:ind w:left="152" w:right="105"/>
        <w:jc w:val="both"/>
      </w:pPr>
      <w:r>
        <w:rPr/>
        <w:t>kg</w:t>
      </w:r>
      <w:r>
        <w:rPr>
          <w:position w:val="11"/>
          <w:sz w:val="16"/>
        </w:rPr>
        <w:t>-1 </w:t>
      </w:r>
      <w:r>
        <w:rPr/>
        <w:t>hora</w:t>
      </w:r>
      <w:r>
        <w:rPr>
          <w:position w:val="11"/>
          <w:sz w:val="16"/>
        </w:rPr>
        <w:t>-1 </w:t>
      </w:r>
      <w:r>
        <w:rPr/>
        <w:t>(Ueyama et </w:t>
      </w:r>
      <w:r>
        <w:rPr>
          <w:spacing w:val="-4"/>
        </w:rPr>
        <w:t>al. </w:t>
      </w:r>
      <w:r>
        <w:rPr/>
        <w:t>2009). Estos hallazgos son consistentes con los resultados obtenidos en el presente estudio, donde utilizando dosis similares, se obtuvo una reducción global </w:t>
      </w:r>
      <w:r>
        <w:rPr>
          <w:spacing w:val="2"/>
        </w:rPr>
        <w:t>del</w:t>
      </w:r>
      <w:r>
        <w:rPr>
          <w:spacing w:val="-43"/>
        </w:rPr>
        <w:t> </w:t>
      </w:r>
      <w:r>
        <w:rPr/>
        <w:t>41.6% en el requerimiento de ISO. En perros sometidos a mastectomía unilateral, </w:t>
      </w:r>
      <w:r>
        <w:rPr>
          <w:spacing w:val="-3"/>
        </w:rPr>
        <w:t>la </w:t>
      </w:r>
      <w:r>
        <w:rPr/>
        <w:t>disminución en el requerimiento de ISO estuvo en rangos del 54 al 66%, después de una IC de 30 µg kg</w:t>
      </w:r>
      <w:r>
        <w:rPr>
          <w:position w:val="11"/>
          <w:sz w:val="16"/>
        </w:rPr>
        <w:t>-1 </w:t>
      </w:r>
      <w:r>
        <w:rPr/>
        <w:t>hora</w:t>
      </w:r>
      <w:r>
        <w:rPr>
          <w:position w:val="11"/>
          <w:sz w:val="16"/>
        </w:rPr>
        <w:t>-1</w:t>
      </w:r>
      <w:r>
        <w:rPr/>
        <w:t>, tres veces superior a </w:t>
      </w:r>
      <w:r>
        <w:rPr>
          <w:spacing w:val="-3"/>
        </w:rPr>
        <w:t>la </w:t>
      </w:r>
      <w:r>
        <w:rPr/>
        <w:t>dosis usada en el presente trabajo (Steagall et </w:t>
      </w:r>
      <w:r>
        <w:rPr>
          <w:spacing w:val="-4"/>
        </w:rPr>
        <w:t>al. </w:t>
      </w:r>
      <w:r>
        <w:rPr/>
        <w:t>2006) De acuerdo con </w:t>
      </w:r>
      <w:r>
        <w:rPr>
          <w:spacing w:val="-5"/>
        </w:rPr>
        <w:t>la </w:t>
      </w:r>
      <w:r>
        <w:rPr/>
        <w:t>experiencia clínica del autor y tutores, </w:t>
      </w:r>
      <w:r>
        <w:rPr>
          <w:spacing w:val="-4"/>
        </w:rPr>
        <w:t>las </w:t>
      </w:r>
      <w:r>
        <w:rPr/>
        <w:t>dosis utilizadas en el presente trabajo corresponden a las más utilizadas en </w:t>
      </w:r>
      <w:r>
        <w:rPr>
          <w:spacing w:val="-3"/>
        </w:rPr>
        <w:t>la </w:t>
      </w:r>
      <w:r>
        <w:rPr/>
        <w:t>práctica clínica cotidiana de </w:t>
      </w:r>
      <w:r>
        <w:rPr>
          <w:spacing w:val="-3"/>
        </w:rPr>
        <w:t>la </w:t>
      </w:r>
      <w:r>
        <w:rPr/>
        <w:t>anestesia en el paciente</w:t>
      </w:r>
      <w:r>
        <w:rPr>
          <w:spacing w:val="-17"/>
        </w:rPr>
        <w:t> </w:t>
      </w:r>
      <w:r>
        <w:rPr/>
        <w:t>canino.</w:t>
      </w:r>
    </w:p>
    <w:p>
      <w:pPr>
        <w:pStyle w:val="BodyText"/>
        <w:spacing w:line="360" w:lineRule="auto" w:before="14"/>
        <w:ind w:left="152" w:right="112" w:firstLine="566"/>
        <w:jc w:val="both"/>
      </w:pPr>
      <w:r>
        <w:rPr/>
        <w:t>Sin embargo, es importante considerar que el efecto reductor en el requerimiento de ISO pudo haber sido mayor si las dosis en el grupo FENT hubieran sido mayores o, si en su caso, el fentanilo hubiera sido utilizado en pacientes de alto riesgo o en combinación con otros  analgésicos o anestésicos (Ilkiw et al. 1993).</w:t>
      </w:r>
    </w:p>
    <w:p>
      <w:pPr>
        <w:pStyle w:val="BodyText"/>
        <w:spacing w:line="357" w:lineRule="auto" w:before="4"/>
        <w:ind w:left="152" w:right="105" w:firstLine="566"/>
        <w:jc w:val="both"/>
      </w:pPr>
      <w:r>
        <w:rPr/>
        <w:t>La dexmedetomidina es el agonista α</w:t>
      </w:r>
      <w:r>
        <w:rPr>
          <w:position w:val="-2"/>
          <w:sz w:val="16"/>
        </w:rPr>
        <w:t>2 </w:t>
      </w:r>
      <w:r>
        <w:rPr/>
        <w:t>adrenérgico más selectivo, comúnmente utilizado en la anestesia de pequeños animales debido a sus efectos sedativos, ansiolíticos y analgésicos (Khan et al. 1999a Lin et al. 2008; Uilenreef et al. 2008), y también por su capacidad para reducir los requerimientos de los anestésicos para la inducción y mantenimiento de la anestesia (Khan et al. 1999b; Uilenreef et al. 2008). En el presente estudio la dexmedetomidina disminuyó los requerimientos de ISO de manera similar que en</w:t>
      </w:r>
    </w:p>
    <w:p>
      <w:pPr>
        <w:spacing w:after="0" w:line="357" w:lineRule="auto"/>
        <w:jc w:val="both"/>
        <w:sectPr>
          <w:pgSz w:w="12240" w:h="15840"/>
          <w:pgMar w:header="0" w:footer="1686" w:top="1500" w:bottom="1880" w:left="1720" w:right="1420"/>
        </w:sectPr>
      </w:pPr>
    </w:p>
    <w:p>
      <w:pPr>
        <w:pStyle w:val="BodyText"/>
        <w:spacing w:before="7"/>
        <w:rPr>
          <w:sz w:val="20"/>
        </w:rPr>
      </w:pPr>
    </w:p>
    <w:p>
      <w:pPr>
        <w:pStyle w:val="BodyText"/>
        <w:spacing w:line="360" w:lineRule="auto" w:before="69"/>
        <w:ind w:left="152" w:right="104"/>
        <w:jc w:val="both"/>
      </w:pPr>
      <w:r>
        <w:rPr/>
        <w:t>otros estudios (Pascoe et </w:t>
      </w:r>
      <w:r>
        <w:rPr>
          <w:spacing w:val="-3"/>
        </w:rPr>
        <w:t>al. </w:t>
      </w:r>
      <w:r>
        <w:rPr/>
        <w:t>2006; Campagnol et </w:t>
      </w:r>
      <w:r>
        <w:rPr>
          <w:spacing w:val="-3"/>
        </w:rPr>
        <w:t>al. </w:t>
      </w:r>
      <w:r>
        <w:rPr/>
        <w:t>2007; Uilenreef et </w:t>
      </w:r>
      <w:r>
        <w:rPr>
          <w:spacing w:val="-3"/>
        </w:rPr>
        <w:t>al. </w:t>
      </w:r>
      <w:r>
        <w:rPr/>
        <w:t>2008), si bien es claro que </w:t>
      </w:r>
      <w:r>
        <w:rPr>
          <w:spacing w:val="-5"/>
        </w:rPr>
        <w:t>la </w:t>
      </w:r>
      <w:r>
        <w:rPr/>
        <w:t>disminución en el requerimiento de ISO </w:t>
      </w:r>
      <w:r>
        <w:rPr>
          <w:spacing w:val="-3"/>
        </w:rPr>
        <w:t>no fue </w:t>
      </w:r>
      <w:r>
        <w:rPr/>
        <w:t>tan grande como </w:t>
      </w:r>
      <w:r>
        <w:rPr>
          <w:spacing w:val="-5"/>
        </w:rPr>
        <w:t>la </w:t>
      </w:r>
      <w:r>
        <w:rPr/>
        <w:t>reportada en esos trabajos. Este particular hallazgo puede estar relacionado con </w:t>
      </w:r>
      <w:r>
        <w:rPr>
          <w:spacing w:val="-3"/>
        </w:rPr>
        <w:t>las </w:t>
      </w:r>
      <w:r>
        <w:rPr/>
        <w:t>dosis empleadas en </w:t>
      </w:r>
      <w:r>
        <w:rPr>
          <w:spacing w:val="4"/>
        </w:rPr>
        <w:t>el </w:t>
      </w:r>
      <w:r>
        <w:rPr/>
        <w:t>presente estudio, pero también debido a que las comparaciones se hicieron con un grupo control tratado con butorfanol, un agonista de los receptores opioides κ (OP1) y antagonista de los receptores μ (OP3), que se sabe disminuye </w:t>
      </w:r>
      <w:r>
        <w:rPr>
          <w:spacing w:val="-5"/>
        </w:rPr>
        <w:t>la </w:t>
      </w:r>
      <w:r>
        <w:rPr/>
        <w:t>CAM de ISO en un 20.26 ± 12.91% (Ko </w:t>
      </w:r>
      <w:r>
        <w:rPr>
          <w:spacing w:val="-3"/>
        </w:rPr>
        <w:t>et </w:t>
      </w:r>
      <w:r>
        <w:rPr>
          <w:spacing w:val="-4"/>
        </w:rPr>
        <w:t>al.</w:t>
      </w:r>
      <w:r>
        <w:rPr>
          <w:spacing w:val="16"/>
        </w:rPr>
        <w:t> </w:t>
      </w:r>
      <w:r>
        <w:rPr/>
        <w:t>2000).</w:t>
      </w:r>
    </w:p>
    <w:p>
      <w:pPr>
        <w:pStyle w:val="BodyText"/>
        <w:spacing w:line="355" w:lineRule="auto" w:before="8"/>
        <w:ind w:left="152" w:right="107" w:firstLine="566"/>
        <w:jc w:val="both"/>
      </w:pPr>
      <w:r>
        <w:rPr/>
        <w:t>Los agonistas de los receptores α</w:t>
      </w:r>
      <w:r>
        <w:rPr>
          <w:position w:val="-2"/>
          <w:sz w:val="16"/>
        </w:rPr>
        <w:t>2 </w:t>
      </w:r>
      <w:r>
        <w:rPr/>
        <w:t>adrenérgicos producen hiperglicemia transitoria, resultante de una inhibición de la liberación de insulina en las células beta del páncreas (Khan et al. 1999a; Pawson 2008), de esta manera no fue extraño que los niveles de glucosa en sangre fueran más altos en los grupos DEX y LKD.</w:t>
      </w:r>
    </w:p>
    <w:p>
      <w:pPr>
        <w:pStyle w:val="BodyText"/>
        <w:spacing w:line="350" w:lineRule="auto" w:before="14"/>
        <w:ind w:left="152" w:right="107" w:firstLine="566"/>
        <w:jc w:val="both"/>
      </w:pPr>
      <w:r>
        <w:rPr/>
        <w:t>La lidocaína es una amida, anestésico local que ha sido utilizada ampliamente como adjunto de </w:t>
      </w:r>
      <w:r>
        <w:rPr>
          <w:spacing w:val="-5"/>
        </w:rPr>
        <w:t>la </w:t>
      </w:r>
      <w:r>
        <w:rPr/>
        <w:t>anestesia general en perros (Valverde et </w:t>
      </w:r>
      <w:r>
        <w:rPr>
          <w:spacing w:val="-3"/>
        </w:rPr>
        <w:t>al. </w:t>
      </w:r>
      <w:r>
        <w:rPr/>
        <w:t>2004; Wilson et </w:t>
      </w:r>
      <w:r>
        <w:rPr>
          <w:spacing w:val="-3"/>
        </w:rPr>
        <w:t>al. </w:t>
      </w:r>
      <w:r>
        <w:rPr/>
        <w:t>2008). Reduce los requerimientos de los anestésicos inhalatorios en relación dosis-dependiente sin producir cambios cardiovasculares significativos (Valverde et al. 2004; Wilson et </w:t>
      </w:r>
      <w:r>
        <w:rPr>
          <w:spacing w:val="-3"/>
        </w:rPr>
        <w:t>al. </w:t>
      </w:r>
      <w:r>
        <w:rPr/>
        <w:t>2008). Cuando </w:t>
      </w:r>
      <w:r>
        <w:rPr>
          <w:spacing w:val="-5"/>
        </w:rPr>
        <w:t>la </w:t>
      </w:r>
      <w:r>
        <w:rPr/>
        <w:t>lidocaína se administró en perros a dosis de carga de 2 </w:t>
      </w:r>
      <w:r>
        <w:rPr>
          <w:spacing w:val="-5"/>
        </w:rPr>
        <w:t>mg </w:t>
      </w:r>
      <w:r>
        <w:rPr/>
        <w:t>kg</w:t>
      </w:r>
      <w:r>
        <w:rPr>
          <w:position w:val="11"/>
          <w:sz w:val="16"/>
        </w:rPr>
        <w:t>-1  </w:t>
      </w:r>
      <w:r>
        <w:rPr/>
        <w:t>seguido de una  IC de 50µg kg</w:t>
      </w:r>
      <w:r>
        <w:rPr>
          <w:position w:val="11"/>
          <w:sz w:val="16"/>
        </w:rPr>
        <w:t>-1 </w:t>
      </w:r>
      <w:r>
        <w:rPr/>
        <w:t>minuto</w:t>
      </w:r>
      <w:r>
        <w:rPr>
          <w:position w:val="11"/>
          <w:sz w:val="16"/>
        </w:rPr>
        <w:t>-1</w:t>
      </w:r>
      <w:r>
        <w:rPr/>
        <w:t>, se demostró una diminución en </w:t>
      </w:r>
      <w:r>
        <w:rPr>
          <w:spacing w:val="-3"/>
        </w:rPr>
        <w:t>la </w:t>
      </w:r>
      <w:r>
        <w:rPr/>
        <w:t>CAM de ISO de un 18.7% (Valverde et </w:t>
      </w:r>
      <w:r>
        <w:rPr>
          <w:spacing w:val="-3"/>
        </w:rPr>
        <w:t>al. </w:t>
      </w:r>
      <w:r>
        <w:rPr/>
        <w:t>2004), mientras que se obtuvo una reducción del 29% a </w:t>
      </w:r>
      <w:r>
        <w:rPr>
          <w:spacing w:val="-3"/>
        </w:rPr>
        <w:t>la </w:t>
      </w:r>
      <w:r>
        <w:rPr/>
        <w:t>misma dosis de IC</w:t>
      </w:r>
      <w:r>
        <w:rPr>
          <w:spacing w:val="42"/>
        </w:rPr>
        <w:t> </w:t>
      </w:r>
      <w:r>
        <w:rPr>
          <w:spacing w:val="-3"/>
        </w:rPr>
        <w:t>incluso</w:t>
      </w:r>
      <w:r>
        <w:rPr>
          <w:spacing w:val="44"/>
        </w:rPr>
        <w:t> </w:t>
      </w:r>
      <w:r>
        <w:rPr/>
        <w:t>sin</w:t>
      </w:r>
      <w:r>
        <w:rPr>
          <w:spacing w:val="34"/>
        </w:rPr>
        <w:t> </w:t>
      </w:r>
      <w:r>
        <w:rPr/>
        <w:t>dosis</w:t>
      </w:r>
      <w:r>
        <w:rPr>
          <w:spacing w:val="37"/>
        </w:rPr>
        <w:t> </w:t>
      </w:r>
      <w:r>
        <w:rPr/>
        <w:t>de</w:t>
      </w:r>
      <w:r>
        <w:rPr>
          <w:spacing w:val="38"/>
        </w:rPr>
        <w:t> </w:t>
      </w:r>
      <w:r>
        <w:rPr/>
        <w:t>carga</w:t>
      </w:r>
      <w:r>
        <w:rPr>
          <w:spacing w:val="38"/>
        </w:rPr>
        <w:t> </w:t>
      </w:r>
      <w:r>
        <w:rPr/>
        <w:t>(Muir</w:t>
      </w:r>
      <w:r>
        <w:rPr>
          <w:spacing w:val="41"/>
        </w:rPr>
        <w:t> </w:t>
      </w:r>
      <w:r>
        <w:rPr/>
        <w:t>et</w:t>
      </w:r>
      <w:r>
        <w:rPr>
          <w:spacing w:val="44"/>
        </w:rPr>
        <w:t> </w:t>
      </w:r>
      <w:r>
        <w:rPr>
          <w:spacing w:val="-3"/>
        </w:rPr>
        <w:t>al.</w:t>
      </w:r>
      <w:r>
        <w:rPr>
          <w:spacing w:val="41"/>
        </w:rPr>
        <w:t> </w:t>
      </w:r>
      <w:r>
        <w:rPr/>
        <w:t>2003).</w:t>
      </w:r>
      <w:r>
        <w:rPr>
          <w:spacing w:val="41"/>
        </w:rPr>
        <w:t> </w:t>
      </w:r>
      <w:r>
        <w:rPr/>
        <w:t>En</w:t>
      </w:r>
      <w:r>
        <w:rPr>
          <w:spacing w:val="34"/>
        </w:rPr>
        <w:t> </w:t>
      </w:r>
      <w:r>
        <w:rPr/>
        <w:t>el</w:t>
      </w:r>
      <w:r>
        <w:rPr>
          <w:spacing w:val="30"/>
        </w:rPr>
        <w:t> </w:t>
      </w:r>
      <w:r>
        <w:rPr/>
        <w:t>presente</w:t>
      </w:r>
      <w:r>
        <w:rPr>
          <w:spacing w:val="38"/>
        </w:rPr>
        <w:t> </w:t>
      </w:r>
      <w:r>
        <w:rPr/>
        <w:t>estudio,</w:t>
      </w:r>
      <w:r>
        <w:rPr>
          <w:spacing w:val="41"/>
        </w:rPr>
        <w:t> </w:t>
      </w:r>
      <w:r>
        <w:rPr/>
        <w:t>se</w:t>
      </w:r>
      <w:r>
        <w:rPr>
          <w:spacing w:val="38"/>
        </w:rPr>
        <w:t> </w:t>
      </w:r>
      <w:r>
        <w:rPr/>
        <w:t>obtuvo</w:t>
      </w:r>
      <w:r>
        <w:rPr>
          <w:spacing w:val="39"/>
        </w:rPr>
        <w:t> </w:t>
      </w:r>
      <w:r>
        <w:rPr/>
        <w:t>una</w:t>
      </w:r>
    </w:p>
    <w:p>
      <w:pPr>
        <w:pStyle w:val="BodyText"/>
        <w:spacing w:line="348" w:lineRule="auto" w:before="19"/>
        <w:ind w:left="152" w:right="108"/>
        <w:jc w:val="both"/>
      </w:pPr>
      <w:r>
        <w:rPr/>
        <w:t>reducción del 22.5% (rango del 16.8 al 28.3%) en el requerimiento de ISO después de administrar una dosis de carga de 2 mg kg</w:t>
      </w:r>
      <w:r>
        <w:rPr>
          <w:position w:val="11"/>
          <w:sz w:val="16"/>
        </w:rPr>
        <w:t>-1 </w:t>
      </w:r>
      <w:r>
        <w:rPr/>
        <w:t>seguida de una IC de 100 µg kg</w:t>
      </w:r>
      <w:r>
        <w:rPr>
          <w:position w:val="11"/>
          <w:sz w:val="16"/>
        </w:rPr>
        <w:t>-1 </w:t>
      </w:r>
      <w:r>
        <w:rPr/>
        <w:t>minuto</w:t>
      </w:r>
      <w:r>
        <w:rPr>
          <w:position w:val="11"/>
          <w:sz w:val="16"/>
        </w:rPr>
        <w:t>-1 </w:t>
      </w:r>
      <w:r>
        <w:rPr/>
        <w:t>la cual fue razonablemente similar a la usada en estudios previos de CAM (Muir et al. 2003; Valverde et al. 2004).</w:t>
      </w:r>
    </w:p>
    <w:p>
      <w:pPr>
        <w:pStyle w:val="BodyText"/>
        <w:spacing w:line="355" w:lineRule="auto" w:before="17"/>
        <w:ind w:left="152" w:right="105" w:firstLine="566"/>
        <w:jc w:val="both"/>
      </w:pPr>
      <w:r>
        <w:rPr/>
        <w:t>La ketamina es un anestésico disociativo con propiedades antagonistas de los receptores N-metil-D-aspartato (NMDA), que </w:t>
      </w:r>
      <w:r>
        <w:rPr>
          <w:spacing w:val="-3"/>
        </w:rPr>
        <w:t>ha </w:t>
      </w:r>
      <w:r>
        <w:rPr/>
        <w:t>sido utilizado para reducir los requerimientos de ISO y para producir analgesia postquirúrgica (Wagner et </w:t>
      </w:r>
      <w:r>
        <w:rPr>
          <w:spacing w:val="-3"/>
        </w:rPr>
        <w:t>al. </w:t>
      </w:r>
      <w:r>
        <w:rPr/>
        <w:t>2002). Se </w:t>
      </w:r>
      <w:r>
        <w:rPr>
          <w:spacing w:val="-3"/>
        </w:rPr>
        <w:t>ha </w:t>
      </w:r>
      <w:r>
        <w:rPr/>
        <w:t>demostrado que </w:t>
      </w:r>
      <w:r>
        <w:rPr>
          <w:spacing w:val="-5"/>
        </w:rPr>
        <w:t>la </w:t>
      </w:r>
      <w:r>
        <w:rPr/>
        <w:t>IC de ketamina reduce </w:t>
      </w:r>
      <w:r>
        <w:rPr>
          <w:spacing w:val="-3"/>
        </w:rPr>
        <w:t>la </w:t>
      </w:r>
      <w:r>
        <w:rPr/>
        <w:t>CAM del ISO en relación dosis-dependiente (Muir et </w:t>
      </w:r>
      <w:r>
        <w:rPr>
          <w:spacing w:val="-4"/>
        </w:rPr>
        <w:t>al. </w:t>
      </w:r>
      <w:r>
        <w:rPr/>
        <w:t>2003; Solano et </w:t>
      </w:r>
      <w:r>
        <w:rPr>
          <w:spacing w:val="-4"/>
        </w:rPr>
        <w:t>al. </w:t>
      </w:r>
      <w:r>
        <w:rPr/>
        <w:t>2006; Wilson et </w:t>
      </w:r>
      <w:r>
        <w:rPr>
          <w:spacing w:val="-4"/>
        </w:rPr>
        <w:t>al. </w:t>
      </w:r>
      <w:r>
        <w:rPr/>
        <w:t>2008). En ausencia de dosis de carga,  una IC de 10 µg kg</w:t>
      </w:r>
      <w:r>
        <w:rPr>
          <w:position w:val="11"/>
          <w:sz w:val="16"/>
        </w:rPr>
        <w:t>-1  </w:t>
      </w:r>
      <w:r>
        <w:rPr/>
        <w:t>minuto</w:t>
      </w:r>
      <w:r>
        <w:rPr>
          <w:position w:val="11"/>
          <w:sz w:val="16"/>
        </w:rPr>
        <w:t>-1  </w:t>
      </w:r>
      <w:r>
        <w:rPr/>
        <w:t>redujo </w:t>
      </w:r>
      <w:r>
        <w:rPr>
          <w:spacing w:val="-5"/>
        </w:rPr>
        <w:t>la </w:t>
      </w:r>
      <w:r>
        <w:rPr/>
        <w:t>CAM de ISO en un 25% (Muir et </w:t>
      </w:r>
      <w:r>
        <w:rPr>
          <w:spacing w:val="-4"/>
        </w:rPr>
        <w:t>al. </w:t>
      </w:r>
      <w:r>
        <w:rPr/>
        <w:t>2003). En</w:t>
      </w:r>
      <w:r>
        <w:rPr>
          <w:spacing w:val="12"/>
        </w:rPr>
        <w:t> </w:t>
      </w:r>
      <w:r>
        <w:rPr/>
        <w:t>otro</w:t>
      </w:r>
    </w:p>
    <w:p>
      <w:pPr>
        <w:pStyle w:val="BodyText"/>
        <w:spacing w:before="96"/>
        <w:ind w:left="174" w:right="104"/>
        <w:jc w:val="right"/>
      </w:pPr>
      <w:r>
        <w:rPr/>
        <w:t>76</w:t>
      </w:r>
    </w:p>
    <w:p>
      <w:pPr>
        <w:spacing w:after="0"/>
        <w:jc w:val="right"/>
        <w:sectPr>
          <w:footerReference w:type="default" r:id="rId51"/>
          <w:pgSz w:w="12240" w:h="15840"/>
          <w:pgMar w:footer="0" w:header="0" w:top="1500" w:bottom="280" w:left="1720" w:right="1420"/>
        </w:sectPr>
      </w:pPr>
    </w:p>
    <w:p>
      <w:pPr>
        <w:pStyle w:val="BodyText"/>
        <w:spacing w:before="7"/>
        <w:rPr>
          <w:sz w:val="20"/>
        </w:rPr>
      </w:pPr>
    </w:p>
    <w:p>
      <w:pPr>
        <w:pStyle w:val="BodyText"/>
        <w:spacing w:line="360" w:lineRule="auto" w:before="69"/>
        <w:ind w:left="152" w:right="101"/>
        <w:jc w:val="both"/>
      </w:pPr>
      <w:r>
        <w:rPr/>
        <w:t>estudio en el que se utilizó infusión controlada sobre objetivo, se documentó una reducción del 10.9 al 39.5% de la CAM del ISO en perros (Solano et al. 2006), similar al 12.7-28.9% de reducción en la F</w:t>
      </w:r>
      <w:r>
        <w:rPr>
          <w:sz w:val="16"/>
        </w:rPr>
        <w:t>ET</w:t>
      </w:r>
      <w:r>
        <w:rPr/>
        <w:t>´Iso en el presente estudio. En vista de que tanto la lidocaína como la dexmedetomidina han demostrado producir una disminución dosis-dependiente de los requerimientos de ISO (Valverde et al. 2004; Solano et al. 2006), es claro que dosis más altas de ambos fármacos podrían haber producido una disminución mayor de los requerimientos de ISO. El presente estudio no pudo demostrar que una disminución significativa de los requerimientos de ISO en los grupos LIDO y KET, estuviera asociada a una presión sanguínea más alta, en comparación con el grupo CONTROL/BUT. La IC de LIDO y KET podría proveer otros beneficios adicionales como sedación, analgesia o antihiperalgesia, sin embargo esto no pudo demostrarse en los perros sometidos a ovariohisterectomía del presente estudio. De manera adicional, los tiempos de recuperación fueron más cortos en estos grupos (LIDO y KET) en comparación con los grupos FENT, DEX y/o LKD.</w:t>
      </w:r>
    </w:p>
    <w:p>
      <w:pPr>
        <w:pStyle w:val="BodyText"/>
        <w:spacing w:line="360" w:lineRule="auto" w:before="4"/>
        <w:ind w:left="152" w:right="101" w:firstLine="566"/>
        <w:jc w:val="both"/>
      </w:pPr>
      <w:r>
        <w:rPr/>
        <w:t>Al conocimiento del autor y tutores, no existen datos publicados acerca del uso de la combinación LKD en perros. En el estudio presentado aquí, la combinación LKD resultó en una disminución más grande en los requerimientos de ISO en comparación con los grupos LIDO, KET y DEX, aunque en menor proporción que la suma de los tres tratamientos. Este protocolo podría resultar en un posible efecto aditivo, debido al efecto de los diferentes mecanismos de acción de los fármacos en la vía nociceptiva (Hendrickx et al. 2008). La lidocaína es un típico bloqueador de los canales de sodio que reduce la CAM de los anestésicos inhalatorios por medio de sus efectos sedativos y analgésicos, por mecanismos que aún no son claros (Frölich et al. 2010). La KET es un anestésico disociativo y antagonista de los receptores NMDA que podría prevenir la ocurrencia de sensibilización central, despolarización cumulativa y la hiperalgesia, dependencia y tolerancia inducida por opioides (Pozzi et al. 2006). La DEX es una agonista de los adrenoreceptores α</w:t>
      </w:r>
      <w:r>
        <w:rPr>
          <w:position w:val="-2"/>
          <w:sz w:val="16"/>
        </w:rPr>
        <w:t>2 </w:t>
      </w:r>
      <w:r>
        <w:rPr/>
        <w:t>que induce sedación y analgesia por la activación de estos mismos receptores en el encéfalo y en el asta dorsal de la médula espinal (Murrell &amp; Hellebrekers 2005). La suma de los anteriores mecanismos de acción, actuando en diferentes sitios de la vía nociceptiva podría explicar la</w:t>
      </w:r>
    </w:p>
    <w:p>
      <w:pPr>
        <w:pStyle w:val="BodyText"/>
        <w:spacing w:before="109"/>
        <w:ind w:left="174" w:right="104"/>
        <w:jc w:val="right"/>
      </w:pPr>
      <w:r>
        <w:rPr/>
        <w:t>77</w:t>
      </w:r>
    </w:p>
    <w:p>
      <w:pPr>
        <w:spacing w:after="0"/>
        <w:jc w:val="right"/>
        <w:sectPr>
          <w:footerReference w:type="default" r:id="rId52"/>
          <w:pgSz w:w="12240" w:h="15840"/>
          <w:pgMar w:footer="0" w:header="0" w:top="1500" w:bottom="280" w:left="1720" w:right="1420"/>
        </w:sectPr>
      </w:pPr>
    </w:p>
    <w:p>
      <w:pPr>
        <w:pStyle w:val="BodyText"/>
        <w:spacing w:before="7"/>
        <w:rPr>
          <w:sz w:val="20"/>
        </w:rPr>
      </w:pPr>
    </w:p>
    <w:p>
      <w:pPr>
        <w:pStyle w:val="BodyText"/>
        <w:spacing w:line="360" w:lineRule="auto" w:before="69"/>
        <w:ind w:left="152" w:right="100"/>
        <w:jc w:val="both"/>
      </w:pPr>
      <w:r>
        <w:rPr/>
        <w:t>profunda reducción de la F</w:t>
      </w:r>
      <w:r>
        <w:rPr>
          <w:sz w:val="16"/>
        </w:rPr>
        <w:t>ET</w:t>
      </w:r>
      <w:r>
        <w:rPr/>
        <w:t>´Iso (54.9% y 35.3-59.5%, media y rango, respectivamente) después de la administración de la combinación LKD, en comparación con los grupos CONTROL/BUT, KET, LIDO, y en algunos momentos con el grupo DEX. Esta combinación asimismo podría ser útil en las situaciones donde los opioides no están disponibles, sin embargo, hay que considerar que los efectos cardiovasculares son similares a los producidos por DEX, de tal forma que se reservaría su uso para pacientes sin enfermedad cardiovascular.</w:t>
      </w:r>
    </w:p>
    <w:p>
      <w:pPr>
        <w:pStyle w:val="BodyText"/>
        <w:spacing w:line="357" w:lineRule="auto" w:before="8"/>
        <w:ind w:left="152" w:right="111" w:firstLine="566"/>
        <w:jc w:val="both"/>
      </w:pPr>
      <w:r>
        <w:rPr/>
        <w:t>Los tiempos de recuperación (tiempos a </w:t>
      </w:r>
      <w:r>
        <w:rPr>
          <w:spacing w:val="-5"/>
        </w:rPr>
        <w:t>la </w:t>
      </w:r>
      <w:r>
        <w:rPr/>
        <w:t>extubación, primer levantamiento de cabeza, decúbito esternal y cuadripestación) fueron mayores en los grupos DEX </w:t>
      </w:r>
      <w:r>
        <w:rPr>
          <w:spacing w:val="-4"/>
        </w:rPr>
        <w:t>y/o </w:t>
      </w:r>
      <w:r>
        <w:rPr>
          <w:spacing w:val="-3"/>
        </w:rPr>
        <w:t>LKD </w:t>
      </w:r>
      <w:r>
        <w:rPr/>
        <w:t>en comparación con los otros grupos. En </w:t>
      </w:r>
      <w:r>
        <w:rPr>
          <w:spacing w:val="-5"/>
        </w:rPr>
        <w:t>la </w:t>
      </w:r>
      <w:r>
        <w:rPr/>
        <w:t>práctica clínica esto podría prevenirse con </w:t>
      </w:r>
      <w:r>
        <w:rPr>
          <w:spacing w:val="-3"/>
        </w:rPr>
        <w:t>la </w:t>
      </w:r>
      <w:r>
        <w:rPr/>
        <w:t>administración de una antagonista de los receptores alfa</w:t>
      </w:r>
      <w:r>
        <w:rPr>
          <w:position w:val="-2"/>
          <w:sz w:val="16"/>
        </w:rPr>
        <w:t>2 </w:t>
      </w:r>
      <w:r>
        <w:rPr/>
        <w:t>adrenérgicos para revertir los efectos cardiovasculares y sedativos de </w:t>
      </w:r>
      <w:r>
        <w:rPr>
          <w:spacing w:val="-5"/>
        </w:rPr>
        <w:t>la</w:t>
      </w:r>
      <w:r>
        <w:rPr>
          <w:spacing w:val="-14"/>
        </w:rPr>
        <w:t> </w:t>
      </w:r>
      <w:r>
        <w:rPr/>
        <w:t>dexmedetomidina.</w:t>
      </w:r>
    </w:p>
    <w:p>
      <w:pPr>
        <w:pStyle w:val="BodyText"/>
        <w:spacing w:line="360" w:lineRule="auto" w:before="6"/>
        <w:ind w:left="152" w:right="105" w:firstLine="566"/>
        <w:jc w:val="both"/>
      </w:pPr>
      <w:r>
        <w:rPr/>
        <w:t>Con la excepción de los grupos LKD y LIDO, hubo un incremento significativo de la FC en T2 en todos los grupos al comparar con los datos basales. Esto pudo deberse a la intensa estimulación quirúrgica y la activación del sistema nervioso autónomo (simpático) cuando se realizó la tracción y ligadura de los ovarios. El grupo CONTROL/BUT requirió las más altas concentraciones de ISO para suprimir dicho estímulo quirúrgico, lo cual condujo a una disminución en la presión arterial, muy probablemente mediada por una vasodilatación inducida por el isoflurano. El presente estudio confirmó que la adición de distintos fármacos administrados por IC, disminuyeron la F</w:t>
      </w:r>
      <w:r>
        <w:rPr>
          <w:sz w:val="16"/>
        </w:rPr>
        <w:t>ET</w:t>
      </w:r>
      <w:r>
        <w:rPr/>
        <w:t>´Iso, acompañado por incrementos variables de la presión arterial.</w:t>
      </w:r>
    </w:p>
    <w:p>
      <w:pPr>
        <w:pStyle w:val="BodyText"/>
      </w:pPr>
    </w:p>
    <w:p>
      <w:pPr>
        <w:pStyle w:val="Heading2"/>
        <w:numPr>
          <w:ilvl w:val="1"/>
          <w:numId w:val="35"/>
        </w:numPr>
        <w:tabs>
          <w:tab w:pos="1238" w:val="left" w:leader="none"/>
        </w:tabs>
        <w:spacing w:line="240" w:lineRule="auto" w:before="146" w:after="0"/>
        <w:ind w:left="1237" w:right="0" w:hanging="364"/>
        <w:jc w:val="left"/>
      </w:pPr>
      <w:bookmarkStart w:name="_bookmark76" w:id="123"/>
      <w:bookmarkEnd w:id="123"/>
      <w:r>
        <w:rPr>
          <w:b w:val="0"/>
        </w:rPr>
      </w:r>
      <w:bookmarkStart w:name="_bookmark76" w:id="124"/>
      <w:bookmarkEnd w:id="124"/>
      <w:r>
        <w:rPr/>
        <w:t>Ana</w:t>
      </w:r>
      <w:r>
        <w:rPr/>
        <w:t>lgesia</w:t>
      </w:r>
      <w:r>
        <w:rPr>
          <w:spacing w:val="-20"/>
        </w:rPr>
        <w:t> </w:t>
      </w:r>
      <w:r>
        <w:rPr/>
        <w:t>postquirúrgica</w:t>
      </w:r>
    </w:p>
    <w:p>
      <w:pPr>
        <w:pStyle w:val="BodyText"/>
        <w:spacing w:before="7"/>
        <w:rPr>
          <w:b/>
          <w:sz w:val="20"/>
        </w:rPr>
      </w:pPr>
    </w:p>
    <w:p>
      <w:pPr>
        <w:pStyle w:val="BodyText"/>
        <w:spacing w:line="360" w:lineRule="auto"/>
        <w:ind w:left="152" w:right="105" w:firstLine="566"/>
        <w:jc w:val="both"/>
      </w:pPr>
      <w:r>
        <w:rPr/>
        <w:t>En términos generales, los resultados del presente estudio indicaron </w:t>
      </w:r>
      <w:r>
        <w:rPr>
          <w:spacing w:val="3"/>
        </w:rPr>
        <w:t>que </w:t>
      </w:r>
      <w:r>
        <w:rPr>
          <w:spacing w:val="-5"/>
        </w:rPr>
        <w:t>la </w:t>
      </w:r>
      <w:r>
        <w:rPr/>
        <w:t>IC de  LKD se asoció con calificaciones de las escalas de dolor </w:t>
      </w:r>
      <w:r>
        <w:rPr>
          <w:spacing w:val="-4"/>
        </w:rPr>
        <w:t>más </w:t>
      </w:r>
      <w:r>
        <w:rPr/>
        <w:t>bajas que en todos los otros grupos usando </w:t>
      </w:r>
      <w:r>
        <w:rPr>
          <w:spacing w:val="-5"/>
        </w:rPr>
        <w:t>la </w:t>
      </w:r>
      <w:r>
        <w:rPr/>
        <w:t>escala NRS, o </w:t>
      </w:r>
      <w:r>
        <w:rPr>
          <w:spacing w:val="-4"/>
        </w:rPr>
        <w:t>más </w:t>
      </w:r>
      <w:r>
        <w:rPr/>
        <w:t>bajas que los grupos CONTROL/BUT y FENT utilizando GCPS, o incluso </w:t>
      </w:r>
      <w:r>
        <w:rPr>
          <w:spacing w:val="-3"/>
        </w:rPr>
        <w:t>más </w:t>
      </w:r>
      <w:r>
        <w:rPr/>
        <w:t>bajas que los grupos CONTROL/BUT, FENT y KET usando UMPS. Sin embargo, el grupo </w:t>
      </w:r>
      <w:r>
        <w:rPr>
          <w:spacing w:val="-3"/>
        </w:rPr>
        <w:t>LKD no </w:t>
      </w:r>
      <w:r>
        <w:rPr/>
        <w:t>fue significativamente diferente que los grupos FENT  o  DEX durante  </w:t>
      </w:r>
      <w:r>
        <w:rPr>
          <w:spacing w:val="-4"/>
        </w:rPr>
        <w:t>las  </w:t>
      </w:r>
      <w:r>
        <w:rPr/>
        <w:t>4  horas de  infusión postquirúrgica.  Adicionalmente,</w:t>
      </w:r>
      <w:r>
        <w:rPr>
          <w:spacing w:val="-24"/>
        </w:rPr>
        <w:t> </w:t>
      </w:r>
      <w:r>
        <w:rPr>
          <w:spacing w:val="-5"/>
        </w:rPr>
        <w:t>la</w:t>
      </w:r>
    </w:p>
    <w:p>
      <w:pPr>
        <w:pStyle w:val="BodyText"/>
        <w:spacing w:before="8"/>
        <w:ind w:left="174" w:right="104"/>
        <w:jc w:val="right"/>
      </w:pPr>
      <w:r>
        <w:rPr/>
        <w:t>78</w:t>
      </w:r>
    </w:p>
    <w:p>
      <w:pPr>
        <w:spacing w:after="0"/>
        <w:jc w:val="right"/>
        <w:sectPr>
          <w:footerReference w:type="default" r:id="rId53"/>
          <w:pgSz w:w="12240" w:h="15840"/>
          <w:pgMar w:footer="0" w:header="0" w:top="1500" w:bottom="280" w:left="1720" w:right="1420"/>
        </w:sectPr>
      </w:pPr>
    </w:p>
    <w:p>
      <w:pPr>
        <w:pStyle w:val="BodyText"/>
        <w:spacing w:before="7"/>
        <w:rPr>
          <w:sz w:val="20"/>
        </w:rPr>
      </w:pPr>
    </w:p>
    <w:p>
      <w:pPr>
        <w:pStyle w:val="BodyText"/>
        <w:spacing w:line="360" w:lineRule="auto" w:before="69"/>
        <w:ind w:left="152" w:right="115"/>
        <w:jc w:val="both"/>
      </w:pPr>
      <w:r>
        <w:rPr/>
        <w:t>incidencia de analgesia de rescate fue significativamente más baja en todos los grupos tratados en comparación con el grupo CONTROL/BUT; sin embargo, las calificaciones de las escalas de dolor no disminuyeron significativamente en los grupos KET y LIDO al compararlos con CONTROL/BUT en la hora 1 postquirúrgica.</w:t>
      </w:r>
    </w:p>
    <w:p>
      <w:pPr>
        <w:pStyle w:val="BodyText"/>
        <w:spacing w:line="360" w:lineRule="auto" w:before="4"/>
        <w:ind w:left="152" w:right="104" w:firstLine="566"/>
        <w:jc w:val="both"/>
      </w:pPr>
      <w:r>
        <w:rPr/>
        <w:t>Como se </w:t>
      </w:r>
      <w:r>
        <w:rPr>
          <w:spacing w:val="-3"/>
        </w:rPr>
        <w:t>ha </w:t>
      </w:r>
      <w:r>
        <w:rPr/>
        <w:t>comentado con anterioridad, el fentanilo es un opioide de corta acción que produce analgesia al unirse al receptor opiáceo en el sistema nervioso central y periférico (Mathews et </w:t>
      </w:r>
      <w:r>
        <w:rPr>
          <w:spacing w:val="-4"/>
        </w:rPr>
        <w:t>al. </w:t>
      </w:r>
      <w:r>
        <w:rPr/>
        <w:t>2013). La IC de fentanilo se considera </w:t>
      </w:r>
      <w:r>
        <w:rPr>
          <w:spacing w:val="-3"/>
        </w:rPr>
        <w:t>la </w:t>
      </w:r>
      <w:r>
        <w:rPr/>
        <w:t>piedra angular en </w:t>
      </w:r>
      <w:r>
        <w:rPr>
          <w:spacing w:val="4"/>
        </w:rPr>
        <w:t>el </w:t>
      </w:r>
      <w:r>
        <w:rPr/>
        <w:t>tratamiento del dolor perioperatorio en </w:t>
      </w:r>
      <w:r>
        <w:rPr>
          <w:spacing w:val="-3"/>
        </w:rPr>
        <w:t>la </w:t>
      </w:r>
      <w:r>
        <w:rPr/>
        <w:t>práctica clínica con caninos (Wagner et </w:t>
      </w:r>
      <w:r>
        <w:rPr>
          <w:spacing w:val="-4"/>
        </w:rPr>
        <w:t>al.  </w:t>
      </w:r>
      <w:r>
        <w:rPr>
          <w:spacing w:val="13"/>
        </w:rPr>
        <w:t> </w:t>
      </w:r>
      <w:r>
        <w:rPr/>
        <w:t>2002,</w:t>
      </w:r>
    </w:p>
    <w:p>
      <w:pPr>
        <w:pStyle w:val="BodyText"/>
        <w:spacing w:line="350" w:lineRule="auto" w:before="4"/>
        <w:ind w:left="152" w:right="104"/>
        <w:jc w:val="both"/>
      </w:pPr>
      <w:r>
        <w:rPr/>
        <w:t>2010, Mathews et </w:t>
      </w:r>
      <w:r>
        <w:rPr>
          <w:spacing w:val="-4"/>
        </w:rPr>
        <w:t>al. </w:t>
      </w:r>
      <w:r>
        <w:rPr/>
        <w:t>2013). En un estudio en el que se utilizó fentanilo en perros después de </w:t>
      </w:r>
      <w:r>
        <w:rPr>
          <w:spacing w:val="-5"/>
        </w:rPr>
        <w:t>la </w:t>
      </w:r>
      <w:r>
        <w:rPr/>
        <w:t>amputación del miembro anterior, (IC de 2 µg kg</w:t>
      </w:r>
      <w:r>
        <w:rPr>
          <w:position w:val="11"/>
          <w:sz w:val="16"/>
        </w:rPr>
        <w:t>-1 </w:t>
      </w:r>
      <w:r>
        <w:rPr/>
        <w:t>hora</w:t>
      </w:r>
      <w:r>
        <w:rPr>
          <w:position w:val="11"/>
          <w:sz w:val="16"/>
        </w:rPr>
        <w:t>-1</w:t>
      </w:r>
      <w:r>
        <w:rPr/>
        <w:t>, IV) </w:t>
      </w:r>
      <w:r>
        <w:rPr>
          <w:spacing w:val="-4"/>
        </w:rPr>
        <w:t>las </w:t>
      </w:r>
      <w:r>
        <w:rPr/>
        <w:t>calificaciones más altas en UMPS fueron 4.61 ± 0.79 (media ± DS; rango 0-10) durante las primeras cuatro horas  postquirúrgicas  (Wagner  et  </w:t>
      </w:r>
      <w:r>
        <w:rPr>
          <w:spacing w:val="-3"/>
        </w:rPr>
        <w:t>al.  </w:t>
      </w:r>
      <w:r>
        <w:rPr/>
        <w:t>2002).  Los  perros  del grupo  FENT  en</w:t>
      </w:r>
      <w:r>
        <w:rPr>
          <w:spacing w:val="-26"/>
        </w:rPr>
        <w:t> </w:t>
      </w:r>
      <w:r>
        <w:rPr/>
        <w:t>el presente</w:t>
      </w:r>
    </w:p>
    <w:p>
      <w:pPr>
        <w:pStyle w:val="BodyText"/>
        <w:spacing w:line="360" w:lineRule="auto" w:before="14"/>
        <w:ind w:left="152" w:right="106"/>
        <w:jc w:val="both"/>
      </w:pPr>
      <w:r>
        <w:rPr/>
        <w:t>estudio tuvieron menores calificaciones usando </w:t>
      </w:r>
      <w:r>
        <w:rPr>
          <w:spacing w:val="-3"/>
        </w:rPr>
        <w:t>la misma </w:t>
      </w:r>
      <w:r>
        <w:rPr/>
        <w:t>escala de dolor (mediana 3.5, rango 1-5), quizás debido a </w:t>
      </w:r>
      <w:r>
        <w:rPr>
          <w:spacing w:val="-3"/>
        </w:rPr>
        <w:t>la </w:t>
      </w:r>
      <w:r>
        <w:rPr/>
        <w:t>ligera a moderada naturaleza del dolor que caracteriza una ovariohisterectomía, en comparación con una amputación </w:t>
      </w:r>
      <w:r>
        <w:rPr>
          <w:spacing w:val="2"/>
        </w:rPr>
        <w:t>del </w:t>
      </w:r>
      <w:r>
        <w:rPr/>
        <w:t>miembro anterior. No es de extrañarse que las calificaciones de dolor en el grupo FENT se incrementaran significativamente al compararse con los valores basales después de finalizar el período de infusión. </w:t>
      </w:r>
      <w:r>
        <w:rPr>
          <w:spacing w:val="3"/>
        </w:rPr>
        <w:t>El </w:t>
      </w:r>
      <w:r>
        <w:rPr/>
        <w:t>FENT tiene un rápido período de latencia y una corta duración de acción, de esta forma es necesario administrarlo </w:t>
      </w:r>
      <w:r>
        <w:rPr>
          <w:spacing w:val="-3"/>
        </w:rPr>
        <w:t>como </w:t>
      </w:r>
      <w:r>
        <w:rPr/>
        <w:t>IC para mantener </w:t>
      </w:r>
      <w:r>
        <w:rPr>
          <w:spacing w:val="-4"/>
        </w:rPr>
        <w:t>las</w:t>
      </w:r>
      <w:r>
        <w:rPr>
          <w:spacing w:val="52"/>
        </w:rPr>
        <w:t> </w:t>
      </w:r>
      <w:r>
        <w:rPr/>
        <w:t>concentraciones plasmáticas y los efectos analgésicos (Sano et </w:t>
      </w:r>
      <w:r>
        <w:rPr>
          <w:spacing w:val="-3"/>
        </w:rPr>
        <w:t>al. </w:t>
      </w:r>
      <w:r>
        <w:rPr/>
        <w:t>2006). De acuerdo con los regímenes de dosificación administrados y </w:t>
      </w:r>
      <w:r>
        <w:rPr>
          <w:spacing w:val="-3"/>
        </w:rPr>
        <w:t>la </w:t>
      </w:r>
      <w:r>
        <w:rPr/>
        <w:t>incidencia de analgesia de rescate, los resultados del presente estudio demostraron que </w:t>
      </w:r>
      <w:r>
        <w:rPr>
          <w:spacing w:val="-3"/>
        </w:rPr>
        <w:t>la </w:t>
      </w:r>
      <w:r>
        <w:rPr/>
        <w:t>IC de fentanilo provee una adecuada analgesia </w:t>
      </w:r>
      <w:r>
        <w:rPr>
          <w:spacing w:val="2"/>
        </w:rPr>
        <w:t>después </w:t>
      </w:r>
      <w:r>
        <w:rPr/>
        <w:t>de una ovariohisterectomía en perros. Sin embargo, algunos perros en el grupo FENT pudieron verse beneficiados de </w:t>
      </w:r>
      <w:r>
        <w:rPr>
          <w:spacing w:val="-3"/>
        </w:rPr>
        <w:t>la </w:t>
      </w:r>
      <w:r>
        <w:rPr/>
        <w:t>administración de </w:t>
      </w:r>
      <w:r>
        <w:rPr>
          <w:spacing w:val="-3"/>
        </w:rPr>
        <w:t>más </w:t>
      </w:r>
      <w:r>
        <w:rPr/>
        <w:t>analgésicos que pudieron reducir aún más las calificaciones de dolor en comparación con el grupo </w:t>
      </w:r>
      <w:r>
        <w:rPr>
          <w:spacing w:val="-3"/>
        </w:rPr>
        <w:t>LKD </w:t>
      </w:r>
      <w:r>
        <w:rPr/>
        <w:t>y los valores basales. En </w:t>
      </w:r>
      <w:r>
        <w:rPr>
          <w:spacing w:val="-3"/>
        </w:rPr>
        <w:t>la </w:t>
      </w:r>
      <w:r>
        <w:rPr/>
        <w:t>práctica clínica, una IC de fentanilo debería de ser administrada hasta que el dolor postquirúrgico sea controlado.</w:t>
      </w:r>
    </w:p>
    <w:p>
      <w:pPr>
        <w:pStyle w:val="BodyText"/>
        <w:spacing w:line="362" w:lineRule="auto" w:before="4"/>
        <w:ind w:left="152" w:right="117" w:firstLine="710"/>
      </w:pPr>
      <w:r>
        <w:rPr/>
        <w:t>La ketamina en dosis sub anestésicas se </w:t>
      </w:r>
      <w:r>
        <w:rPr>
          <w:spacing w:val="-3"/>
        </w:rPr>
        <w:t>ha </w:t>
      </w:r>
      <w:r>
        <w:rPr/>
        <w:t>utilizado como agente analgésico  adjunto</w:t>
      </w:r>
      <w:r>
        <w:rPr>
          <w:spacing w:val="23"/>
        </w:rPr>
        <w:t> </w:t>
      </w:r>
      <w:r>
        <w:rPr/>
        <w:t>en</w:t>
      </w:r>
      <w:r>
        <w:rPr>
          <w:spacing w:val="14"/>
        </w:rPr>
        <w:t> </w:t>
      </w:r>
      <w:r>
        <w:rPr/>
        <w:t>perros</w:t>
      </w:r>
      <w:r>
        <w:rPr>
          <w:spacing w:val="19"/>
        </w:rPr>
        <w:t> </w:t>
      </w:r>
      <w:r>
        <w:rPr/>
        <w:t>(Slingsby</w:t>
      </w:r>
      <w:r>
        <w:rPr>
          <w:spacing w:val="19"/>
        </w:rPr>
        <w:t> </w:t>
      </w:r>
      <w:r>
        <w:rPr/>
        <w:t>&amp;</w:t>
      </w:r>
      <w:r>
        <w:rPr>
          <w:spacing w:val="19"/>
        </w:rPr>
        <w:t> </w:t>
      </w:r>
      <w:r>
        <w:rPr/>
        <w:t>Waterman-Pearson</w:t>
      </w:r>
      <w:r>
        <w:rPr>
          <w:spacing w:val="19"/>
        </w:rPr>
        <w:t> </w:t>
      </w:r>
      <w:r>
        <w:rPr/>
        <w:t>2000;</w:t>
      </w:r>
      <w:r>
        <w:rPr>
          <w:spacing w:val="19"/>
        </w:rPr>
        <w:t> </w:t>
      </w:r>
      <w:r>
        <w:rPr/>
        <w:t>Wagner</w:t>
      </w:r>
      <w:r>
        <w:rPr>
          <w:spacing w:val="20"/>
        </w:rPr>
        <w:t> </w:t>
      </w:r>
      <w:r>
        <w:rPr/>
        <w:t>et</w:t>
      </w:r>
      <w:r>
        <w:rPr>
          <w:spacing w:val="24"/>
        </w:rPr>
        <w:t> </w:t>
      </w:r>
      <w:r>
        <w:rPr>
          <w:spacing w:val="-3"/>
        </w:rPr>
        <w:t>al.</w:t>
      </w:r>
      <w:r>
        <w:rPr>
          <w:spacing w:val="21"/>
        </w:rPr>
        <w:t> </w:t>
      </w:r>
      <w:r>
        <w:rPr/>
        <w:t>2002;</w:t>
      </w:r>
      <w:r>
        <w:rPr>
          <w:spacing w:val="15"/>
        </w:rPr>
        <w:t> </w:t>
      </w:r>
      <w:r>
        <w:rPr/>
        <w:t>Sarrau</w:t>
      </w:r>
      <w:r>
        <w:rPr>
          <w:spacing w:val="19"/>
        </w:rPr>
        <w:t> </w:t>
      </w:r>
      <w:r>
        <w:rPr/>
        <w:t>et</w:t>
      </w:r>
      <w:r>
        <w:rPr>
          <w:spacing w:val="24"/>
        </w:rPr>
        <w:t> </w:t>
      </w:r>
      <w:r>
        <w:rPr>
          <w:spacing w:val="-4"/>
        </w:rPr>
        <w:t>al.</w:t>
      </w:r>
    </w:p>
    <w:p>
      <w:pPr>
        <w:pStyle w:val="BodyText"/>
        <w:spacing w:before="107"/>
        <w:ind w:left="174" w:right="104"/>
        <w:jc w:val="right"/>
      </w:pPr>
      <w:r>
        <w:rPr/>
        <w:t>79</w:t>
      </w:r>
    </w:p>
    <w:p>
      <w:pPr>
        <w:spacing w:after="0"/>
        <w:jc w:val="right"/>
        <w:sectPr>
          <w:footerReference w:type="default" r:id="rId54"/>
          <w:pgSz w:w="12240" w:h="15840"/>
          <w:pgMar w:footer="0" w:header="0" w:top="1500" w:bottom="280" w:left="1720" w:right="1420"/>
        </w:sectPr>
      </w:pPr>
    </w:p>
    <w:p>
      <w:pPr>
        <w:pStyle w:val="BodyText"/>
        <w:spacing w:before="7"/>
        <w:rPr>
          <w:sz w:val="20"/>
        </w:rPr>
      </w:pPr>
    </w:p>
    <w:p>
      <w:pPr>
        <w:pStyle w:val="BodyText"/>
        <w:spacing w:line="350" w:lineRule="auto" w:before="69"/>
        <w:ind w:left="152" w:right="110"/>
        <w:jc w:val="both"/>
      </w:pPr>
      <w:r>
        <w:rPr/>
        <w:t>2007) y humanos (Bell et </w:t>
      </w:r>
      <w:r>
        <w:rPr>
          <w:spacing w:val="-4"/>
        </w:rPr>
        <w:t>al. </w:t>
      </w:r>
      <w:r>
        <w:rPr/>
        <w:t>2005). En perros, los regímenes de dosificación consisten usualmente en </w:t>
      </w:r>
      <w:r>
        <w:rPr>
          <w:spacing w:val="-3"/>
        </w:rPr>
        <w:t>la </w:t>
      </w:r>
      <w:r>
        <w:rPr/>
        <w:t>administración de una dosis de carga de 0.15 a 0.7 </w:t>
      </w:r>
      <w:r>
        <w:rPr>
          <w:spacing w:val="-5"/>
        </w:rPr>
        <w:t>mg </w:t>
      </w:r>
      <w:r>
        <w:rPr/>
        <w:t>kg</w:t>
      </w:r>
      <w:r>
        <w:rPr>
          <w:position w:val="11"/>
          <w:sz w:val="16"/>
        </w:rPr>
        <w:t>-1 </w:t>
      </w:r>
      <w:r>
        <w:rPr/>
        <w:t>seguida de una IC de 2-10µgkg</w:t>
      </w:r>
      <w:r>
        <w:rPr>
          <w:position w:val="11"/>
          <w:sz w:val="16"/>
        </w:rPr>
        <w:t>-1 </w:t>
      </w:r>
      <w:r>
        <w:rPr/>
        <w:t>minuto</w:t>
      </w:r>
      <w:r>
        <w:rPr>
          <w:position w:val="11"/>
          <w:sz w:val="16"/>
        </w:rPr>
        <w:t>-1 </w:t>
      </w:r>
      <w:r>
        <w:rPr/>
        <w:t>(Wagner et </w:t>
      </w:r>
      <w:r>
        <w:rPr>
          <w:spacing w:val="-3"/>
        </w:rPr>
        <w:t>al. </w:t>
      </w:r>
      <w:r>
        <w:rPr/>
        <w:t>2002; Sarrau et al. 2007). La ketamina ha mejorado el comportamiento de alimentación cuando se </w:t>
      </w:r>
      <w:r>
        <w:rPr>
          <w:spacing w:val="-3"/>
        </w:rPr>
        <w:t>ha </w:t>
      </w:r>
      <w:r>
        <w:rPr/>
        <w:t>administrado </w:t>
      </w:r>
      <w:r>
        <w:rPr>
          <w:spacing w:val="-3"/>
        </w:rPr>
        <w:t>como </w:t>
      </w:r>
      <w:r>
        <w:rPr/>
        <w:t>IC en perros posterior a una mastectomía (Sarrau et </w:t>
      </w:r>
      <w:r>
        <w:rPr>
          <w:spacing w:val="-4"/>
        </w:rPr>
        <w:t>al. </w:t>
      </w:r>
      <w:r>
        <w:rPr/>
        <w:t>2007), </w:t>
      </w:r>
      <w:r>
        <w:rPr>
          <w:spacing w:val="-3"/>
        </w:rPr>
        <w:t>sin </w:t>
      </w:r>
      <w:r>
        <w:rPr/>
        <w:t>embargo </w:t>
      </w:r>
      <w:r>
        <w:rPr>
          <w:spacing w:val="-3"/>
        </w:rPr>
        <w:t>no </w:t>
      </w:r>
      <w:r>
        <w:rPr/>
        <w:t>proveyó un efecto  reductor en el requerimiento de opioides y tampoco </w:t>
      </w:r>
      <w:r>
        <w:rPr>
          <w:spacing w:val="-3"/>
        </w:rPr>
        <w:t>indujo mejor </w:t>
      </w:r>
      <w:r>
        <w:rPr/>
        <w:t>analgesia que un grupo control que recibió morfina intravenosa. En el presente estudio, </w:t>
      </w:r>
      <w:r>
        <w:rPr>
          <w:spacing w:val="-3"/>
        </w:rPr>
        <w:t>las </w:t>
      </w:r>
      <w:r>
        <w:rPr/>
        <w:t>calificaciones de dolor en  el  grupo  KET  </w:t>
      </w:r>
      <w:r>
        <w:rPr>
          <w:spacing w:val="-3"/>
        </w:rPr>
        <w:t>no  </w:t>
      </w:r>
      <w:r>
        <w:rPr/>
        <w:t>fueron  significativamente  diferentes  a  las  obtenidas  en  el</w:t>
      </w:r>
      <w:r>
        <w:rPr>
          <w:spacing w:val="44"/>
        </w:rPr>
        <w:t> </w:t>
      </w:r>
      <w:r>
        <w:rPr/>
        <w:t>grupo</w:t>
      </w:r>
    </w:p>
    <w:p>
      <w:pPr>
        <w:pStyle w:val="BodyText"/>
        <w:spacing w:line="360" w:lineRule="auto" w:before="14"/>
        <w:ind w:left="152" w:right="100"/>
        <w:jc w:val="both"/>
      </w:pPr>
      <w:r>
        <w:rPr/>
        <w:t>CONTROL/BUT; además tampoco se proveyó adecuada analgesia en el 37.5% de los perros que requirieron analgesia de rescate. Las más altas calificaciones de las escalas de dolor se registraron en el grupo KET cuando se compararon en diferentes momentos con  los grupos DEX y</w:t>
      </w:r>
      <w:r>
        <w:rPr>
          <w:spacing w:val="-13"/>
        </w:rPr>
        <w:t> </w:t>
      </w:r>
      <w:r>
        <w:rPr/>
        <w:t>LKD.</w:t>
      </w:r>
    </w:p>
    <w:p>
      <w:pPr>
        <w:pStyle w:val="BodyText"/>
        <w:spacing w:line="360" w:lineRule="auto" w:before="4"/>
        <w:ind w:left="152" w:right="114" w:firstLine="566"/>
        <w:jc w:val="both"/>
      </w:pPr>
      <w:r>
        <w:rPr/>
        <w:t>De acuerdo con </w:t>
      </w:r>
      <w:r>
        <w:rPr>
          <w:spacing w:val="-5"/>
        </w:rPr>
        <w:t>la </w:t>
      </w:r>
      <w:r>
        <w:rPr/>
        <w:t>UMPS, </w:t>
      </w:r>
      <w:r>
        <w:rPr>
          <w:spacing w:val="-4"/>
        </w:rPr>
        <w:t>las </w:t>
      </w:r>
      <w:r>
        <w:rPr/>
        <w:t>calificaciones de dolor en el grupo KET fueron  menores al compararse con el grupo FENT en las horas 18 y 22, posiblemente por una selección prejuiciosa. Esto pudo </w:t>
      </w:r>
      <w:r>
        <w:rPr>
          <w:spacing w:val="-3"/>
        </w:rPr>
        <w:t>haber </w:t>
      </w:r>
      <w:r>
        <w:rPr/>
        <w:t>ocurrido porque tres perros en el grupo KET recibieron analgesia de intervención y fueron consecuentemente excluidos del análisis estadístico. Esto podría explicar por qué </w:t>
      </w:r>
      <w:r>
        <w:rPr>
          <w:spacing w:val="-3"/>
        </w:rPr>
        <w:t>no </w:t>
      </w:r>
      <w:r>
        <w:rPr/>
        <w:t>se observaron cambios temporales en el grupo KET. La ketamina puede ser utilizada como parte </w:t>
      </w:r>
      <w:r>
        <w:rPr>
          <w:spacing w:val="-5"/>
        </w:rPr>
        <w:t>la </w:t>
      </w:r>
      <w:r>
        <w:rPr/>
        <w:t>aproximación analgésica multimodal, pero </w:t>
      </w:r>
      <w:r>
        <w:rPr>
          <w:spacing w:val="-3"/>
        </w:rPr>
        <w:t>no </w:t>
      </w:r>
      <w:r>
        <w:rPr/>
        <w:t>como un único método para proveer alivio del dolor en perros después de cirugía (Wagner et </w:t>
      </w:r>
      <w:r>
        <w:rPr>
          <w:spacing w:val="-4"/>
        </w:rPr>
        <w:t>al. </w:t>
      </w:r>
      <w:r>
        <w:rPr/>
        <w:t>2002, Sarrau </w:t>
      </w:r>
      <w:r>
        <w:rPr>
          <w:spacing w:val="-3"/>
        </w:rPr>
        <w:t>et </w:t>
      </w:r>
      <w:r>
        <w:rPr>
          <w:spacing w:val="-4"/>
        </w:rPr>
        <w:t>al.</w:t>
      </w:r>
      <w:r>
        <w:rPr>
          <w:spacing w:val="26"/>
        </w:rPr>
        <w:t> </w:t>
      </w:r>
      <w:r>
        <w:rPr/>
        <w:t>2007).</w:t>
      </w:r>
    </w:p>
    <w:p>
      <w:pPr>
        <w:pStyle w:val="BodyText"/>
        <w:spacing w:line="360" w:lineRule="auto" w:before="4"/>
        <w:ind w:left="152" w:right="105" w:firstLine="566"/>
        <w:jc w:val="both"/>
      </w:pPr>
      <w:r>
        <w:rPr/>
        <w:t>La lidocaína administrada por </w:t>
      </w:r>
      <w:r>
        <w:rPr>
          <w:spacing w:val="-4"/>
        </w:rPr>
        <w:t>vía </w:t>
      </w:r>
      <w:r>
        <w:rPr/>
        <w:t>intravenosa ha sido utilizada en un intento de proveer analgesia en humanos (Marret </w:t>
      </w:r>
      <w:r>
        <w:rPr>
          <w:spacing w:val="-3"/>
        </w:rPr>
        <w:t>et </w:t>
      </w:r>
      <w:r>
        <w:rPr>
          <w:spacing w:val="-4"/>
        </w:rPr>
        <w:t>al. </w:t>
      </w:r>
      <w:r>
        <w:rPr/>
        <w:t>2008; McCarthy et </w:t>
      </w:r>
      <w:r>
        <w:rPr>
          <w:spacing w:val="-3"/>
        </w:rPr>
        <w:t>al. </w:t>
      </w:r>
      <w:r>
        <w:rPr/>
        <w:t>2010)  y en perros  (Smith et </w:t>
      </w:r>
      <w:r>
        <w:rPr>
          <w:spacing w:val="-4"/>
        </w:rPr>
        <w:t>al. </w:t>
      </w:r>
      <w:r>
        <w:rPr/>
        <w:t>2004; MacDougall et </w:t>
      </w:r>
      <w:r>
        <w:rPr>
          <w:spacing w:val="-3"/>
        </w:rPr>
        <w:t>al. </w:t>
      </w:r>
      <w:r>
        <w:rPr/>
        <w:t>2009). En el presente estudio de acuerdo con </w:t>
      </w:r>
      <w:r>
        <w:rPr>
          <w:spacing w:val="-5"/>
        </w:rPr>
        <w:t>la </w:t>
      </w:r>
      <w:r>
        <w:rPr/>
        <w:t>NRS, el grupo LIDO presentó calificaciones de dolor </w:t>
      </w:r>
      <w:r>
        <w:rPr>
          <w:spacing w:val="-3"/>
        </w:rPr>
        <w:t>más </w:t>
      </w:r>
      <w:r>
        <w:rPr/>
        <w:t>altas que el grupo </w:t>
      </w:r>
      <w:r>
        <w:rPr>
          <w:spacing w:val="-3"/>
        </w:rPr>
        <w:t>LKD </w:t>
      </w:r>
      <w:r>
        <w:rPr/>
        <w:t>a </w:t>
      </w:r>
      <w:r>
        <w:rPr>
          <w:spacing w:val="-3"/>
        </w:rPr>
        <w:t>la </w:t>
      </w:r>
      <w:r>
        <w:rPr/>
        <w:t>hora 2. Las calificaciones de dolor fueron significativamente </w:t>
      </w:r>
      <w:r>
        <w:rPr>
          <w:spacing w:val="-4"/>
        </w:rPr>
        <w:t>más </w:t>
      </w:r>
      <w:r>
        <w:rPr/>
        <w:t>altas en el período de infusión comparativamente con los datos basales. </w:t>
      </w:r>
      <w:r>
        <w:rPr>
          <w:spacing w:val="3"/>
        </w:rPr>
        <w:t>En </w:t>
      </w:r>
      <w:r>
        <w:rPr/>
        <w:t>el grupo LIDO dos perros requirieron analgesia de rescate (22.2%). Al conocimiento del autor y tutores, </w:t>
      </w:r>
      <w:r>
        <w:rPr>
          <w:spacing w:val="-3"/>
        </w:rPr>
        <w:t>no </w:t>
      </w:r>
      <w:r>
        <w:rPr/>
        <w:t>hay datos publicados en relación a </w:t>
      </w:r>
      <w:r>
        <w:rPr>
          <w:spacing w:val="-3"/>
        </w:rPr>
        <w:t>la </w:t>
      </w:r>
      <w:r>
        <w:rPr/>
        <w:t>administración en IC de lidocaína en el período postquirúrgico en perros, por </w:t>
      </w:r>
      <w:r>
        <w:rPr>
          <w:spacing w:val="-5"/>
        </w:rPr>
        <w:t>lo </w:t>
      </w:r>
      <w:r>
        <w:rPr/>
        <w:t>que las comparaciones pueden ser difíciles. En perros sometidos a cirugía </w:t>
      </w:r>
      <w:r>
        <w:rPr>
          <w:spacing w:val="24"/>
        </w:rPr>
        <w:t> </w:t>
      </w:r>
      <w:r>
        <w:rPr/>
        <w:t>oftálmica,</w:t>
      </w:r>
    </w:p>
    <w:p>
      <w:pPr>
        <w:spacing w:after="0" w:line="360" w:lineRule="auto"/>
        <w:jc w:val="both"/>
        <w:sectPr>
          <w:footerReference w:type="default" r:id="rId55"/>
          <w:pgSz w:w="12240" w:h="15840"/>
          <w:pgMar w:footer="1688" w:header="0" w:top="1500" w:bottom="1880" w:left="1720" w:right="1420"/>
          <w:pgNumType w:start="80"/>
        </w:sectPr>
      </w:pPr>
    </w:p>
    <w:p>
      <w:pPr>
        <w:pStyle w:val="BodyText"/>
        <w:spacing w:before="7"/>
        <w:rPr>
          <w:sz w:val="20"/>
        </w:rPr>
      </w:pPr>
    </w:p>
    <w:p>
      <w:pPr>
        <w:pStyle w:val="BodyText"/>
        <w:spacing w:line="350" w:lineRule="auto" w:before="69"/>
        <w:ind w:left="152" w:right="107"/>
        <w:jc w:val="both"/>
      </w:pPr>
      <w:r>
        <w:rPr>
          <w:spacing w:val="-3"/>
        </w:rPr>
        <w:t>la </w:t>
      </w:r>
      <w:r>
        <w:rPr/>
        <w:t>IC de lidocaína proveyó analgesia postquirúrgica similar a </w:t>
      </w:r>
      <w:r>
        <w:rPr>
          <w:spacing w:val="-3"/>
        </w:rPr>
        <w:t>la </w:t>
      </w:r>
      <w:r>
        <w:rPr/>
        <w:t>IC de morfina, cuando se administró en una dosis de carga de 1 </w:t>
      </w:r>
      <w:r>
        <w:rPr>
          <w:spacing w:val="-5"/>
        </w:rPr>
        <w:t>mg </w:t>
      </w:r>
      <w:r>
        <w:rPr/>
        <w:t>kg</w:t>
      </w:r>
      <w:r>
        <w:rPr>
          <w:position w:val="11"/>
          <w:sz w:val="16"/>
        </w:rPr>
        <w:t>-1 </w:t>
      </w:r>
      <w:r>
        <w:rPr/>
        <w:t>seguida de una IC de 25 µg kg</w:t>
      </w:r>
      <w:r>
        <w:rPr>
          <w:position w:val="11"/>
          <w:sz w:val="16"/>
        </w:rPr>
        <w:t>-1 </w:t>
      </w:r>
      <w:r>
        <w:rPr/>
        <w:t>minuto</w:t>
      </w:r>
      <w:r>
        <w:rPr>
          <w:position w:val="11"/>
          <w:sz w:val="16"/>
        </w:rPr>
        <w:t>-1 </w:t>
      </w:r>
      <w:r>
        <w:rPr/>
        <w:t>(Smith et </w:t>
      </w:r>
      <w:r>
        <w:rPr>
          <w:spacing w:val="-3"/>
        </w:rPr>
        <w:t>al. </w:t>
      </w:r>
      <w:r>
        <w:rPr/>
        <w:t>2004). Sin embargo, </w:t>
      </w:r>
      <w:r>
        <w:rPr>
          <w:spacing w:val="-4"/>
        </w:rPr>
        <w:t>sólo </w:t>
      </w:r>
      <w:r>
        <w:rPr/>
        <w:t>cuatro perros fueron utilizados en ese estudio piloto  y se observó falla en el tratamiento en dos de ellos. En otro estudio, </w:t>
      </w:r>
      <w:r>
        <w:rPr>
          <w:spacing w:val="-5"/>
        </w:rPr>
        <w:t>la </w:t>
      </w:r>
      <w:r>
        <w:rPr/>
        <w:t>lidocaína </w:t>
      </w:r>
      <w:r>
        <w:rPr>
          <w:spacing w:val="-3"/>
        </w:rPr>
        <w:t>no </w:t>
      </w:r>
      <w:r>
        <w:rPr>
          <w:spacing w:val="1"/>
        </w:rPr>
        <w:t> </w:t>
      </w:r>
      <w:r>
        <w:rPr/>
        <w:t>produjo</w:t>
      </w:r>
    </w:p>
    <w:p>
      <w:pPr>
        <w:pStyle w:val="BodyText"/>
        <w:spacing w:line="350" w:lineRule="auto" w:before="14"/>
        <w:ind w:left="152" w:right="101"/>
        <w:jc w:val="both"/>
      </w:pPr>
      <w:r>
        <w:rPr/>
        <w:t>antinocicepción eléctrica incluso a dosis mayores que las utilizadas en el presente trabajo  en </w:t>
      </w:r>
      <w:r>
        <w:rPr>
          <w:spacing w:val="-3"/>
        </w:rPr>
        <w:t>la </w:t>
      </w:r>
      <w:r>
        <w:rPr/>
        <w:t>IC postquirúrgica (50-100 µg kg</w:t>
      </w:r>
      <w:r>
        <w:rPr>
          <w:position w:val="11"/>
          <w:sz w:val="16"/>
        </w:rPr>
        <w:t>-1 </w:t>
      </w:r>
      <w:r>
        <w:rPr/>
        <w:t>minuto</w:t>
      </w:r>
      <w:r>
        <w:rPr>
          <w:position w:val="11"/>
          <w:sz w:val="16"/>
        </w:rPr>
        <w:t>-1</w:t>
      </w:r>
      <w:r>
        <w:rPr/>
        <w:t>), cuando se comparó con un grupo control (MacDougall et </w:t>
      </w:r>
      <w:r>
        <w:rPr>
          <w:spacing w:val="-3"/>
        </w:rPr>
        <w:t>al. </w:t>
      </w:r>
      <w:r>
        <w:rPr/>
        <w:t>2009). A las dosis administradas en el presente estudio, </w:t>
      </w:r>
      <w:r>
        <w:rPr>
          <w:spacing w:val="-5"/>
        </w:rPr>
        <w:t>la </w:t>
      </w:r>
      <w:r>
        <w:rPr/>
        <w:t>LIDO proporcionó efectos analgésicos limitados, si se toma en consideración que algunos  </w:t>
      </w:r>
      <w:r>
        <w:rPr>
          <w:spacing w:val="24"/>
        </w:rPr>
        <w:t> </w:t>
      </w:r>
      <w:r>
        <w:rPr/>
        <w:t>perros</w:t>
      </w:r>
    </w:p>
    <w:p>
      <w:pPr>
        <w:pStyle w:val="BodyText"/>
        <w:spacing w:line="360" w:lineRule="auto" w:before="14"/>
        <w:ind w:left="152" w:right="122"/>
        <w:jc w:val="both"/>
      </w:pPr>
      <w:r>
        <w:rPr/>
        <w:t>requirieron analgesia de rescate y que las calificaciones de dolor </w:t>
      </w:r>
      <w:r>
        <w:rPr>
          <w:spacing w:val="-3"/>
        </w:rPr>
        <w:t>no </w:t>
      </w:r>
      <w:r>
        <w:rPr/>
        <w:t>fueron más bajas que en el grupo CONTROL/BUT en </w:t>
      </w:r>
      <w:r>
        <w:rPr>
          <w:spacing w:val="-3"/>
        </w:rPr>
        <w:t>la </w:t>
      </w:r>
      <w:r>
        <w:rPr/>
        <w:t>hora 1</w:t>
      </w:r>
      <w:r>
        <w:rPr>
          <w:spacing w:val="-14"/>
        </w:rPr>
        <w:t> </w:t>
      </w:r>
      <w:r>
        <w:rPr/>
        <w:t>postquirúrgica.</w:t>
      </w:r>
    </w:p>
    <w:p>
      <w:pPr>
        <w:pStyle w:val="BodyText"/>
        <w:spacing w:line="350" w:lineRule="auto" w:before="4"/>
        <w:ind w:left="152" w:right="105" w:firstLine="566"/>
        <w:jc w:val="both"/>
      </w:pPr>
      <w:r>
        <w:rPr/>
        <w:t>La dexmedetomidina es un agonista selectivo de los receptores α</w:t>
      </w:r>
      <w:r>
        <w:rPr>
          <w:position w:val="-2"/>
          <w:sz w:val="16"/>
        </w:rPr>
        <w:t>2 </w:t>
      </w:r>
      <w:r>
        <w:rPr/>
        <w:t>adrenérgicos que  </w:t>
      </w:r>
      <w:r>
        <w:rPr>
          <w:spacing w:val="-3"/>
        </w:rPr>
        <w:t>ha </w:t>
      </w:r>
      <w:r>
        <w:rPr/>
        <w:t>sido utilizado por IC en perros (Pascoe </w:t>
      </w:r>
      <w:r>
        <w:rPr>
          <w:spacing w:val="-3"/>
        </w:rPr>
        <w:t>et al. </w:t>
      </w:r>
      <w:r>
        <w:rPr/>
        <w:t>2006; Lin et </w:t>
      </w:r>
      <w:r>
        <w:rPr>
          <w:spacing w:val="-3"/>
        </w:rPr>
        <w:t>al. </w:t>
      </w:r>
      <w:r>
        <w:rPr/>
        <w:t>2008; Uilenreef et </w:t>
      </w:r>
      <w:r>
        <w:rPr>
          <w:spacing w:val="-3"/>
        </w:rPr>
        <w:t>al. </w:t>
      </w:r>
      <w:r>
        <w:rPr/>
        <w:t>2008; Van Oostrom et </w:t>
      </w:r>
      <w:r>
        <w:rPr>
          <w:spacing w:val="-4"/>
        </w:rPr>
        <w:t>al. </w:t>
      </w:r>
      <w:r>
        <w:rPr/>
        <w:t>2011; Lervik et </w:t>
      </w:r>
      <w:r>
        <w:rPr>
          <w:spacing w:val="-4"/>
        </w:rPr>
        <w:t>al. </w:t>
      </w:r>
      <w:r>
        <w:rPr/>
        <w:t>2012). En un trabajo previo, se realizó un estudio clínico en el que se evaluaron los efectos analgésicos postquirúrgicos de una IC IV de dexmedetomidina de 25 µg m</w:t>
      </w:r>
      <w:r>
        <w:rPr>
          <w:position w:val="11"/>
          <w:sz w:val="16"/>
        </w:rPr>
        <w:t>-2</w:t>
      </w:r>
      <w:r>
        <w:rPr/>
        <w:t>, (equivalente a 1 µg kg</w:t>
      </w:r>
      <w:r>
        <w:rPr>
          <w:position w:val="11"/>
          <w:sz w:val="16"/>
        </w:rPr>
        <w:t>-1  </w:t>
      </w:r>
      <w:r>
        <w:rPr/>
        <w:t>hora</w:t>
      </w:r>
      <w:r>
        <w:rPr>
          <w:position w:val="11"/>
          <w:sz w:val="16"/>
        </w:rPr>
        <w:t>-1</w:t>
      </w:r>
      <w:r>
        <w:rPr/>
        <w:t>). La incidencia de </w:t>
      </w:r>
      <w:r>
        <w:rPr>
          <w:spacing w:val="-3"/>
        </w:rPr>
        <w:t>fallo </w:t>
      </w:r>
      <w:r>
        <w:rPr/>
        <w:t>en</w:t>
      </w:r>
      <w:r>
        <w:rPr>
          <w:spacing w:val="-23"/>
        </w:rPr>
        <w:t> </w:t>
      </w:r>
      <w:r>
        <w:rPr/>
        <w:t>el</w:t>
      </w:r>
    </w:p>
    <w:p>
      <w:pPr>
        <w:pStyle w:val="BodyText"/>
        <w:spacing w:line="360" w:lineRule="auto" w:before="1"/>
        <w:ind w:left="152" w:right="110"/>
        <w:jc w:val="both"/>
      </w:pPr>
      <w:r>
        <w:rPr/>
        <w:t>tratamiento en el trabajo antes mencionado fue del 27.5%, muy similar al obtenido en el presente estudio donde 25% de los perros en el grupo DEX requirieron analgesia de rescate. A las dosis administradas, las calificaciones del dolor fueron significativamente más bajas en el grupo DEX en comparación con el grupo CONTROL/BUT a la hora 1 (con las escalas GCPS y NRS) o con el grupo KET a la hora 20 (GCPS). Sin embargo, si se considera la falla del tratamiento, y los cambios en función al tiempo, incluso después de la exclusión de los perros que revieron analgesia de rescate, la DEX falló en proveer analgesia satisfactoria en todos los perros después de la ovarioshisterectomía.</w:t>
      </w:r>
    </w:p>
    <w:p>
      <w:pPr>
        <w:pStyle w:val="BodyText"/>
        <w:spacing w:line="360" w:lineRule="auto" w:before="4"/>
        <w:ind w:left="152" w:right="98" w:firstLine="566"/>
        <w:jc w:val="both"/>
      </w:pPr>
      <w:r>
        <w:rPr/>
        <w:t>Al conocimiento del autor y tutores, este es el primer estudio en el que se reporta el efecto analgésico postquirúrgico de </w:t>
      </w:r>
      <w:r>
        <w:rPr>
          <w:spacing w:val="-5"/>
        </w:rPr>
        <w:t>la </w:t>
      </w:r>
      <w:r>
        <w:rPr/>
        <w:t>IC de LKD en perros. La  combinación  LKD, proveyó calificaciones de dolor significativamente </w:t>
      </w:r>
      <w:r>
        <w:rPr>
          <w:spacing w:val="-4"/>
        </w:rPr>
        <w:t>más </w:t>
      </w:r>
      <w:r>
        <w:rPr/>
        <w:t>bajas que en los otros grupos tratados, pudiendo considerarse como una terapia alternativa para el tratamiento del dolor  en lugares donde los opioides </w:t>
      </w:r>
      <w:r>
        <w:rPr>
          <w:spacing w:val="-3"/>
        </w:rPr>
        <w:t>no </w:t>
      </w:r>
      <w:r>
        <w:rPr/>
        <w:t>están disponibles. Adicionalmente, ninguno de los </w:t>
      </w:r>
      <w:r>
        <w:rPr>
          <w:spacing w:val="57"/>
        </w:rPr>
        <w:t> </w:t>
      </w:r>
      <w:r>
        <w:rPr/>
        <w:t>perros</w:t>
      </w:r>
    </w:p>
    <w:p>
      <w:pPr>
        <w:spacing w:after="0" w:line="360" w:lineRule="auto"/>
        <w:jc w:val="both"/>
        <w:sectPr>
          <w:pgSz w:w="12240" w:h="15840"/>
          <w:pgMar w:header="0" w:footer="1688" w:top="1500" w:bottom="1880" w:left="1720" w:right="1420"/>
        </w:sectPr>
      </w:pPr>
    </w:p>
    <w:p>
      <w:pPr>
        <w:pStyle w:val="BodyText"/>
        <w:spacing w:before="7"/>
        <w:rPr>
          <w:sz w:val="20"/>
        </w:rPr>
      </w:pPr>
    </w:p>
    <w:p>
      <w:pPr>
        <w:pStyle w:val="BodyText"/>
        <w:spacing w:line="360" w:lineRule="auto" w:before="69"/>
        <w:ind w:left="152" w:right="70"/>
      </w:pPr>
      <w:r>
        <w:rPr/>
        <w:t>tratados en el grupo LKD requirió analgesia de rescate; y tampoco se observaron cambios temporales en ellos.</w:t>
      </w:r>
    </w:p>
    <w:p>
      <w:pPr>
        <w:pStyle w:val="BodyText"/>
        <w:spacing w:line="360" w:lineRule="auto" w:before="4"/>
        <w:ind w:left="152" w:right="112" w:firstLine="566"/>
        <w:jc w:val="both"/>
      </w:pPr>
      <w:r>
        <w:rPr/>
        <w:t>La analgesia multimodal es una técnica basada en </w:t>
      </w:r>
      <w:r>
        <w:rPr>
          <w:spacing w:val="-3"/>
        </w:rPr>
        <w:t>la </w:t>
      </w:r>
      <w:r>
        <w:rPr/>
        <w:t>administración de fármacos analgésicos con diferentes mecanismos de acción (Kehlet &amp; Dahl 1993), </w:t>
      </w:r>
      <w:r>
        <w:rPr>
          <w:spacing w:val="-5"/>
        </w:rPr>
        <w:t>lo </w:t>
      </w:r>
      <w:r>
        <w:rPr/>
        <w:t>cual podría explicar el beneficio de utilizar </w:t>
      </w:r>
      <w:r>
        <w:rPr>
          <w:spacing w:val="-3"/>
        </w:rPr>
        <w:t>la </w:t>
      </w:r>
      <w:r>
        <w:rPr/>
        <w:t>combinación LKD en </w:t>
      </w:r>
      <w:r>
        <w:rPr>
          <w:spacing w:val="-3"/>
        </w:rPr>
        <w:t>la </w:t>
      </w:r>
      <w:r>
        <w:rPr/>
        <w:t>práctica clínica. La posible aditividad entre estos diversos agentes, </w:t>
      </w:r>
      <w:r>
        <w:rPr>
          <w:spacing w:val="-3"/>
        </w:rPr>
        <w:t>les </w:t>
      </w:r>
      <w:r>
        <w:rPr/>
        <w:t>permitiría a los practicantes clínicos utilizar  dosis menores de cada fármaco, disminuyendo con esto el riesgo de efectos</w:t>
      </w:r>
      <w:r>
        <w:rPr>
          <w:spacing w:val="-34"/>
        </w:rPr>
        <w:t> </w:t>
      </w:r>
      <w:r>
        <w:rPr/>
        <w:t>secundarios.</w:t>
      </w:r>
    </w:p>
    <w:p>
      <w:pPr>
        <w:pStyle w:val="BodyText"/>
        <w:spacing w:line="360" w:lineRule="auto" w:before="8"/>
        <w:ind w:left="152" w:right="104" w:firstLine="566"/>
        <w:jc w:val="both"/>
      </w:pPr>
      <w:r>
        <w:rPr/>
        <w:t>Los cambios en </w:t>
      </w:r>
      <w:r>
        <w:rPr>
          <w:spacing w:val="-3"/>
        </w:rPr>
        <w:t>la </w:t>
      </w:r>
      <w:r>
        <w:rPr/>
        <w:t>conducta animal en respuesta al dolor pueden ser difíciles de interpretar después de una cirugía; por esta razón, más de un sistema de calificación de dolor debería de ser utilizado para una adecuada evaluación </w:t>
      </w:r>
      <w:r>
        <w:rPr>
          <w:spacing w:val="2"/>
        </w:rPr>
        <w:t>del </w:t>
      </w:r>
      <w:r>
        <w:rPr/>
        <w:t>dolor (Holton et </w:t>
      </w:r>
      <w:r>
        <w:rPr>
          <w:spacing w:val="-4"/>
        </w:rPr>
        <w:t>al. </w:t>
      </w:r>
      <w:r>
        <w:rPr/>
        <w:t>2001). En el presente estudio se emplearon tres diferentes escalas de evaluación del dolor (GCMPS, UMPS y NRS), que fueron capaces de identificar diferencias entre los grupos tratados y probar </w:t>
      </w:r>
      <w:r>
        <w:rPr>
          <w:spacing w:val="-5"/>
        </w:rPr>
        <w:t>la </w:t>
      </w:r>
      <w:r>
        <w:rPr/>
        <w:t>hipótesis de este estudio. La NRS se ha considerado adecuada para </w:t>
      </w:r>
      <w:r>
        <w:rPr>
          <w:spacing w:val="-3"/>
        </w:rPr>
        <w:t>la </w:t>
      </w:r>
      <w:r>
        <w:rPr/>
        <w:t>evaluación del dolor en </w:t>
      </w:r>
      <w:r>
        <w:rPr>
          <w:spacing w:val="-3"/>
        </w:rPr>
        <w:t>la </w:t>
      </w:r>
      <w:r>
        <w:rPr/>
        <w:t>práctica clínica (Anil et </w:t>
      </w:r>
      <w:r>
        <w:rPr>
          <w:spacing w:val="-3"/>
        </w:rPr>
        <w:t>al. </w:t>
      </w:r>
      <w:r>
        <w:rPr/>
        <w:t>2002) y es tan confiable y  reproducible como </w:t>
      </w:r>
      <w:r>
        <w:rPr>
          <w:spacing w:val="-5"/>
        </w:rPr>
        <w:t>la </w:t>
      </w:r>
      <w:r>
        <w:rPr/>
        <w:t>escala visual análoga (VAS) y </w:t>
      </w:r>
      <w:r>
        <w:rPr>
          <w:spacing w:val="-3"/>
        </w:rPr>
        <w:t>la </w:t>
      </w:r>
      <w:r>
        <w:rPr/>
        <w:t>escala simple descriptiva (SDS) (Holton </w:t>
      </w:r>
      <w:r>
        <w:rPr>
          <w:spacing w:val="-3"/>
        </w:rPr>
        <w:t>et </w:t>
      </w:r>
      <w:r>
        <w:rPr>
          <w:spacing w:val="-4"/>
        </w:rPr>
        <w:t>al. </w:t>
      </w:r>
      <w:r>
        <w:rPr/>
        <w:t>1998). Adicionalmente </w:t>
      </w:r>
      <w:r>
        <w:rPr>
          <w:spacing w:val="-4"/>
        </w:rPr>
        <w:t>la </w:t>
      </w:r>
      <w:r>
        <w:rPr/>
        <w:t>NRS </w:t>
      </w:r>
      <w:r>
        <w:rPr>
          <w:spacing w:val="-3"/>
        </w:rPr>
        <w:t>ha </w:t>
      </w:r>
      <w:r>
        <w:rPr/>
        <w:t>sido considerada como una escala  apropiada para el presente estudio debido a que hubo una aproximación dinámica e interactiva con el perro (por </w:t>
      </w:r>
      <w:r>
        <w:rPr>
          <w:spacing w:val="-3"/>
        </w:rPr>
        <w:t>ejemplo la </w:t>
      </w:r>
      <w:r>
        <w:rPr/>
        <w:t>palpación de </w:t>
      </w:r>
      <w:r>
        <w:rPr>
          <w:spacing w:val="-5"/>
        </w:rPr>
        <w:t>la </w:t>
      </w:r>
      <w:r>
        <w:rPr/>
        <w:t>herida) antes de </w:t>
      </w:r>
      <w:r>
        <w:rPr>
          <w:spacing w:val="-5"/>
        </w:rPr>
        <w:t>la </w:t>
      </w:r>
      <w:r>
        <w:rPr/>
        <w:t>calificación del dolor, además de que solo un observador experimentado registró todas las calificaciones, en orden de evitar variabilidad entre varios</w:t>
      </w:r>
      <w:r>
        <w:rPr>
          <w:spacing w:val="-24"/>
        </w:rPr>
        <w:t> </w:t>
      </w:r>
      <w:r>
        <w:rPr/>
        <w:t>observadores.</w:t>
      </w:r>
    </w:p>
    <w:p>
      <w:pPr>
        <w:pStyle w:val="BodyText"/>
        <w:spacing w:line="360" w:lineRule="auto" w:before="4"/>
        <w:ind w:left="152" w:right="102" w:firstLine="566"/>
        <w:jc w:val="both"/>
      </w:pPr>
      <w:r>
        <w:rPr/>
        <w:t>La UMPS se desarrolló para evaluar el dolor postquirúrgico, considerando para su evaluación, las categorías de comportamiento y fisiológicas (Firth &amp; Haldane 1999). Finalmente </w:t>
      </w:r>
      <w:r>
        <w:rPr>
          <w:spacing w:val="-5"/>
        </w:rPr>
        <w:t>la </w:t>
      </w:r>
      <w:r>
        <w:rPr/>
        <w:t>GCPS es una escala basada en signos conductuales que se cree, caracterizan el dolor en el perro (Holton et </w:t>
      </w:r>
      <w:r>
        <w:rPr>
          <w:spacing w:val="-4"/>
        </w:rPr>
        <w:t>al. </w:t>
      </w:r>
      <w:r>
        <w:rPr/>
        <w:t>2001). Independientemente de </w:t>
      </w:r>
      <w:r>
        <w:rPr>
          <w:spacing w:val="-5"/>
        </w:rPr>
        <w:t>la </w:t>
      </w:r>
      <w:r>
        <w:rPr/>
        <w:t>escala de  dolor  empleada en este estudio, es claro que si se hubieran utilizado valores más bajos para el límite de intervención de analgesia, se podría haber obtenido una incidencia  más alta de falla en el</w:t>
      </w:r>
      <w:r>
        <w:rPr>
          <w:spacing w:val="-4"/>
        </w:rPr>
        <w:t> </w:t>
      </w:r>
      <w:r>
        <w:rPr/>
        <w:t>tratamiento.</w:t>
      </w:r>
    </w:p>
    <w:p>
      <w:pPr>
        <w:pStyle w:val="BodyText"/>
        <w:spacing w:line="362" w:lineRule="auto" w:before="4"/>
        <w:ind w:left="152" w:right="104" w:firstLine="566"/>
        <w:jc w:val="both"/>
      </w:pPr>
      <w:r>
        <w:rPr/>
        <w:t>En este estudio se incluyeron las calificaciones de sedación dado que el nivel de conciencia   del   perro   pudo,   inevitablemente,   afectar   la   evaluación   del   dolor.  Las</w:t>
      </w:r>
    </w:p>
    <w:p>
      <w:pPr>
        <w:spacing w:after="0" w:line="362" w:lineRule="auto"/>
        <w:jc w:val="both"/>
        <w:sectPr>
          <w:pgSz w:w="12240" w:h="15840"/>
          <w:pgMar w:header="0" w:footer="1688" w:top="1500" w:bottom="1880" w:left="1720" w:right="1420"/>
        </w:sectPr>
      </w:pPr>
    </w:p>
    <w:p>
      <w:pPr>
        <w:pStyle w:val="BodyText"/>
        <w:spacing w:before="7"/>
        <w:rPr>
          <w:sz w:val="20"/>
        </w:rPr>
      </w:pPr>
    </w:p>
    <w:p>
      <w:pPr>
        <w:pStyle w:val="BodyText"/>
        <w:spacing w:line="360" w:lineRule="auto" w:before="69"/>
        <w:ind w:left="152" w:right="104"/>
        <w:jc w:val="both"/>
      </w:pPr>
      <w:r>
        <w:rPr/>
        <w:t>calificaciones de sedación fueron significativamente más altas en los grupos FENT y LKD al compararse con el grupo CONTROL/BUT en la hora 1. Sin embargo, recuperaciones de la anestesia libres de stress y dolor se han asociado a altas calificaciones de sedación en perros que recibieron analgésicos (Firth &amp; Haldane 1999). Este podría ser el caso de los perros en los grupos FENT y LKD en comparación con el grupo CONTROL/BUT donde casi el 90% de los pacientes requirieron analgesia de rescate.</w:t>
      </w:r>
    </w:p>
    <w:p>
      <w:pPr>
        <w:spacing w:after="0" w:line="360" w:lineRule="auto"/>
        <w:jc w:val="both"/>
        <w:sectPr>
          <w:pgSz w:w="12240" w:h="15840"/>
          <w:pgMar w:header="0" w:footer="1688" w:top="1500" w:bottom="1880" w:left="1720" w:right="1420"/>
        </w:sectPr>
      </w:pPr>
    </w:p>
    <w:p>
      <w:pPr>
        <w:pStyle w:val="BodyText"/>
        <w:spacing w:before="7"/>
        <w:rPr>
          <w:sz w:val="21"/>
        </w:rPr>
      </w:pPr>
    </w:p>
    <w:p>
      <w:pPr>
        <w:pStyle w:val="Heading1"/>
        <w:spacing w:before="60"/>
        <w:ind w:right="104"/>
      </w:pPr>
      <w:bookmarkStart w:name="_bookmark77" w:id="125"/>
      <w:bookmarkEnd w:id="125"/>
      <w:r>
        <w:rPr>
          <w:b w:val="0"/>
        </w:rPr>
      </w:r>
      <w:r>
        <w:rPr/>
        <w:t>CAPÍTULO IX</w:t>
      </w:r>
    </w:p>
    <w:p>
      <w:pPr>
        <w:pStyle w:val="BodyText"/>
        <w:rPr>
          <w:b/>
          <w:sz w:val="20"/>
        </w:rPr>
      </w:pPr>
    </w:p>
    <w:p>
      <w:pPr>
        <w:pStyle w:val="BodyText"/>
        <w:rPr>
          <w:b/>
          <w:sz w:val="20"/>
        </w:rPr>
      </w:pPr>
    </w:p>
    <w:p>
      <w:pPr>
        <w:pStyle w:val="BodyText"/>
        <w:spacing w:before="4"/>
        <w:rPr>
          <w:b/>
        </w:rPr>
      </w:pPr>
    </w:p>
    <w:p>
      <w:pPr>
        <w:spacing w:before="63"/>
        <w:ind w:left="152" w:right="70" w:firstLine="0"/>
        <w:jc w:val="left"/>
        <w:rPr>
          <w:b/>
          <w:sz w:val="28"/>
        </w:rPr>
      </w:pPr>
      <w:bookmarkStart w:name="_bookmark78" w:id="126"/>
      <w:bookmarkEnd w:id="126"/>
      <w:r>
        <w:rPr/>
      </w:r>
      <w:r>
        <w:rPr>
          <w:b/>
          <w:sz w:val="28"/>
        </w:rPr>
        <w:t>Conclusiones.</w:t>
      </w:r>
    </w:p>
    <w:p>
      <w:pPr>
        <w:pStyle w:val="BodyText"/>
        <w:spacing w:before="11"/>
        <w:rPr>
          <w:b/>
          <w:sz w:val="40"/>
        </w:rPr>
      </w:pPr>
    </w:p>
    <w:p>
      <w:pPr>
        <w:pStyle w:val="ListParagraph"/>
        <w:numPr>
          <w:ilvl w:val="2"/>
          <w:numId w:val="34"/>
        </w:numPr>
        <w:tabs>
          <w:tab w:pos="873" w:val="left" w:leader="none"/>
        </w:tabs>
        <w:spacing w:line="357" w:lineRule="auto" w:before="0" w:after="0"/>
        <w:ind w:left="873" w:right="111" w:hanging="360"/>
        <w:jc w:val="both"/>
        <w:rPr>
          <w:sz w:val="24"/>
        </w:rPr>
      </w:pPr>
      <w:r>
        <w:rPr>
          <w:sz w:val="24"/>
        </w:rPr>
        <w:t>A las dosis administradas, los grupos FENT y LKD resultaron con un menor requerimiento de ISO en comparación con los grupos LIDO, KET, DEX y CONTROL/BUT, si bien esto </w:t>
      </w:r>
      <w:r>
        <w:rPr>
          <w:spacing w:val="-3"/>
          <w:sz w:val="24"/>
        </w:rPr>
        <w:t>no </w:t>
      </w:r>
      <w:r>
        <w:rPr>
          <w:sz w:val="24"/>
        </w:rPr>
        <w:t>ocurrió en todos los tiempos de</w:t>
      </w:r>
      <w:r>
        <w:rPr>
          <w:spacing w:val="-28"/>
          <w:sz w:val="24"/>
        </w:rPr>
        <w:t> </w:t>
      </w:r>
      <w:r>
        <w:rPr>
          <w:sz w:val="24"/>
        </w:rPr>
        <w:t>evaluación.</w:t>
      </w:r>
    </w:p>
    <w:p>
      <w:pPr>
        <w:pStyle w:val="BodyText"/>
      </w:pPr>
    </w:p>
    <w:p>
      <w:pPr>
        <w:pStyle w:val="ListParagraph"/>
        <w:numPr>
          <w:ilvl w:val="2"/>
          <w:numId w:val="34"/>
        </w:numPr>
        <w:tabs>
          <w:tab w:pos="873" w:val="left" w:leader="none"/>
        </w:tabs>
        <w:spacing w:line="360" w:lineRule="auto" w:before="140" w:after="0"/>
        <w:ind w:left="873" w:right="112" w:hanging="360"/>
        <w:jc w:val="both"/>
        <w:rPr>
          <w:sz w:val="24"/>
        </w:rPr>
      </w:pPr>
      <w:r>
        <w:rPr>
          <w:sz w:val="24"/>
        </w:rPr>
        <w:t>La baja frecuencia cardiaca en el grupo FENT pudo </w:t>
      </w:r>
      <w:r>
        <w:rPr>
          <w:spacing w:val="-3"/>
          <w:sz w:val="24"/>
        </w:rPr>
        <w:t>haber </w:t>
      </w:r>
      <w:r>
        <w:rPr>
          <w:sz w:val="24"/>
        </w:rPr>
        <w:t>contribuido a que </w:t>
      </w:r>
      <w:r>
        <w:rPr>
          <w:spacing w:val="-5"/>
          <w:sz w:val="24"/>
        </w:rPr>
        <w:t>la </w:t>
      </w:r>
      <w:r>
        <w:rPr>
          <w:sz w:val="24"/>
        </w:rPr>
        <w:t>presión arterial en este grupo, fuera más baja que </w:t>
      </w:r>
      <w:r>
        <w:rPr>
          <w:spacing w:val="-3"/>
          <w:sz w:val="24"/>
        </w:rPr>
        <w:t>la </w:t>
      </w:r>
      <w:r>
        <w:rPr>
          <w:sz w:val="24"/>
        </w:rPr>
        <w:t>esperada al reducirse </w:t>
      </w:r>
      <w:r>
        <w:rPr>
          <w:spacing w:val="4"/>
          <w:sz w:val="24"/>
        </w:rPr>
        <w:t>el </w:t>
      </w:r>
      <w:r>
        <w:rPr>
          <w:sz w:val="24"/>
        </w:rPr>
        <w:t>requerimiento de</w:t>
      </w:r>
      <w:r>
        <w:rPr>
          <w:spacing w:val="-5"/>
          <w:sz w:val="24"/>
        </w:rPr>
        <w:t> </w:t>
      </w:r>
      <w:r>
        <w:rPr>
          <w:sz w:val="24"/>
        </w:rPr>
        <w:t>ISO.</w:t>
      </w:r>
    </w:p>
    <w:p>
      <w:pPr>
        <w:pStyle w:val="BodyText"/>
        <w:spacing w:before="10"/>
        <w:rPr>
          <w:sz w:val="23"/>
        </w:rPr>
      </w:pPr>
    </w:p>
    <w:p>
      <w:pPr>
        <w:pStyle w:val="ListParagraph"/>
        <w:numPr>
          <w:ilvl w:val="2"/>
          <w:numId w:val="34"/>
        </w:numPr>
        <w:tabs>
          <w:tab w:pos="873" w:val="left" w:leader="none"/>
        </w:tabs>
        <w:spacing w:line="355" w:lineRule="auto" w:before="0" w:after="0"/>
        <w:ind w:left="873" w:right="121" w:hanging="360"/>
        <w:jc w:val="both"/>
        <w:rPr>
          <w:sz w:val="24"/>
        </w:rPr>
      </w:pPr>
      <w:r>
        <w:rPr>
          <w:sz w:val="24"/>
        </w:rPr>
        <w:t>El butorfanol </w:t>
      </w:r>
      <w:r>
        <w:rPr>
          <w:spacing w:val="-3"/>
          <w:sz w:val="24"/>
        </w:rPr>
        <w:t>no </w:t>
      </w:r>
      <w:r>
        <w:rPr>
          <w:sz w:val="24"/>
        </w:rPr>
        <w:t>debe de utilizarse como agente analgésico único y en una sola administración para el </w:t>
      </w:r>
      <w:r>
        <w:rPr>
          <w:spacing w:val="-3"/>
          <w:sz w:val="24"/>
        </w:rPr>
        <w:t>manejo </w:t>
      </w:r>
      <w:r>
        <w:rPr>
          <w:sz w:val="24"/>
        </w:rPr>
        <w:t>del dolor en perros sometidos a</w:t>
      </w:r>
      <w:r>
        <w:rPr>
          <w:spacing w:val="-23"/>
          <w:sz w:val="24"/>
        </w:rPr>
        <w:t> </w:t>
      </w:r>
      <w:r>
        <w:rPr>
          <w:sz w:val="24"/>
        </w:rPr>
        <w:t>ovariohisterectomía.</w:t>
      </w:r>
    </w:p>
    <w:p>
      <w:pPr>
        <w:pStyle w:val="BodyText"/>
        <w:spacing w:before="8"/>
      </w:pPr>
    </w:p>
    <w:p>
      <w:pPr>
        <w:pStyle w:val="ListParagraph"/>
        <w:numPr>
          <w:ilvl w:val="2"/>
          <w:numId w:val="34"/>
        </w:numPr>
        <w:tabs>
          <w:tab w:pos="873" w:val="left" w:leader="none"/>
        </w:tabs>
        <w:spacing w:line="355" w:lineRule="auto" w:before="1" w:after="0"/>
        <w:ind w:left="873" w:right="117" w:hanging="360"/>
        <w:jc w:val="both"/>
        <w:rPr>
          <w:sz w:val="24"/>
        </w:rPr>
      </w:pPr>
      <w:r>
        <w:rPr>
          <w:sz w:val="24"/>
        </w:rPr>
        <w:t>A las dosis administradas, </w:t>
      </w:r>
      <w:r>
        <w:rPr>
          <w:spacing w:val="-3"/>
          <w:sz w:val="24"/>
        </w:rPr>
        <w:t>la </w:t>
      </w:r>
      <w:r>
        <w:rPr>
          <w:sz w:val="24"/>
        </w:rPr>
        <w:t>combinación LKD resultó en calificaciones de dolor más bajas y mejor analgesia postquirúrgica que los otros grupos</w:t>
      </w:r>
      <w:r>
        <w:rPr>
          <w:spacing w:val="-31"/>
          <w:sz w:val="24"/>
        </w:rPr>
        <w:t> </w:t>
      </w:r>
      <w:r>
        <w:rPr>
          <w:sz w:val="24"/>
        </w:rPr>
        <w:t>tratados.</w:t>
      </w:r>
    </w:p>
    <w:p>
      <w:pPr>
        <w:pStyle w:val="BodyText"/>
        <w:spacing w:before="4"/>
      </w:pPr>
    </w:p>
    <w:p>
      <w:pPr>
        <w:pStyle w:val="ListParagraph"/>
        <w:numPr>
          <w:ilvl w:val="2"/>
          <w:numId w:val="34"/>
        </w:numPr>
        <w:tabs>
          <w:tab w:pos="872" w:val="left" w:leader="none"/>
          <w:tab w:pos="873" w:val="left" w:leader="none"/>
        </w:tabs>
        <w:spacing w:line="240" w:lineRule="auto" w:before="0" w:after="0"/>
        <w:ind w:left="873" w:right="0" w:hanging="360"/>
        <w:jc w:val="left"/>
        <w:rPr>
          <w:sz w:val="24"/>
        </w:rPr>
      </w:pPr>
      <w:r>
        <w:rPr>
          <w:sz w:val="24"/>
        </w:rPr>
        <w:t>LKD y FENT proveyeron adecuada analgesia durante el período de</w:t>
      </w:r>
      <w:r>
        <w:rPr>
          <w:spacing w:val="-30"/>
          <w:sz w:val="24"/>
        </w:rPr>
        <w:t> </w:t>
      </w:r>
      <w:r>
        <w:rPr>
          <w:sz w:val="24"/>
        </w:rPr>
        <w:t>infusión.</w:t>
      </w:r>
    </w:p>
    <w:p>
      <w:pPr>
        <w:pStyle w:val="BodyText"/>
      </w:pPr>
    </w:p>
    <w:p>
      <w:pPr>
        <w:pStyle w:val="ListParagraph"/>
        <w:numPr>
          <w:ilvl w:val="2"/>
          <w:numId w:val="34"/>
        </w:numPr>
        <w:tabs>
          <w:tab w:pos="873" w:val="left" w:leader="none"/>
        </w:tabs>
        <w:spacing w:line="355" w:lineRule="auto" w:before="140" w:after="0"/>
        <w:ind w:left="873" w:right="115" w:hanging="360"/>
        <w:jc w:val="both"/>
        <w:rPr>
          <w:sz w:val="24"/>
        </w:rPr>
      </w:pPr>
      <w:r>
        <w:rPr>
          <w:sz w:val="24"/>
        </w:rPr>
        <w:t>LIDO, KET y DEX podrían </w:t>
      </w:r>
      <w:r>
        <w:rPr>
          <w:spacing w:val="-3"/>
          <w:sz w:val="24"/>
        </w:rPr>
        <w:t>no </w:t>
      </w:r>
      <w:r>
        <w:rPr>
          <w:sz w:val="24"/>
        </w:rPr>
        <w:t>ser efectivas como agentes analgésicos únicos para el tratamiento del dolor en perros después de una</w:t>
      </w:r>
      <w:r>
        <w:rPr>
          <w:spacing w:val="-23"/>
          <w:sz w:val="24"/>
        </w:rPr>
        <w:t> </w:t>
      </w:r>
      <w:r>
        <w:rPr>
          <w:sz w:val="24"/>
        </w:rPr>
        <w:t>ovariohisterectomía.</w:t>
      </w:r>
    </w:p>
    <w:p>
      <w:pPr>
        <w:spacing w:after="0" w:line="355" w:lineRule="auto"/>
        <w:jc w:val="both"/>
        <w:rPr>
          <w:sz w:val="24"/>
        </w:rPr>
        <w:sectPr>
          <w:pgSz w:w="12240" w:h="15840"/>
          <w:pgMar w:header="0" w:footer="1688" w:top="1500" w:bottom="1880" w:left="1720" w:right="1420"/>
        </w:sectPr>
      </w:pPr>
    </w:p>
    <w:p>
      <w:pPr>
        <w:pStyle w:val="BodyText"/>
        <w:rPr>
          <w:sz w:val="20"/>
        </w:rPr>
      </w:pPr>
    </w:p>
    <w:p>
      <w:pPr>
        <w:pStyle w:val="BodyText"/>
        <w:spacing w:before="5"/>
        <w:rPr>
          <w:sz w:val="22"/>
        </w:rPr>
      </w:pPr>
    </w:p>
    <w:p>
      <w:pPr>
        <w:pStyle w:val="Heading1"/>
        <w:ind w:right="105"/>
      </w:pPr>
      <w:bookmarkStart w:name="_bookmark79" w:id="127"/>
      <w:bookmarkEnd w:id="127"/>
      <w:r>
        <w:rPr>
          <w:b w:val="0"/>
        </w:rPr>
      </w:r>
      <w:r>
        <w:rPr/>
        <w:t>CAPÍTULO X</w:t>
      </w:r>
    </w:p>
    <w:p>
      <w:pPr>
        <w:pStyle w:val="BodyText"/>
        <w:rPr>
          <w:b/>
          <w:sz w:val="20"/>
        </w:rPr>
      </w:pPr>
    </w:p>
    <w:p>
      <w:pPr>
        <w:pStyle w:val="BodyText"/>
        <w:rPr>
          <w:b/>
          <w:sz w:val="20"/>
        </w:rPr>
      </w:pPr>
    </w:p>
    <w:p>
      <w:pPr>
        <w:pStyle w:val="BodyText"/>
        <w:rPr>
          <w:b/>
          <w:sz w:val="20"/>
        </w:rPr>
      </w:pPr>
    </w:p>
    <w:p>
      <w:pPr>
        <w:pStyle w:val="BodyText"/>
        <w:spacing w:before="6"/>
        <w:rPr>
          <w:b/>
          <w:sz w:val="18"/>
        </w:rPr>
      </w:pPr>
    </w:p>
    <w:p>
      <w:pPr>
        <w:spacing w:before="63"/>
        <w:ind w:left="152" w:right="70" w:firstLine="0"/>
        <w:jc w:val="left"/>
        <w:rPr>
          <w:b/>
          <w:sz w:val="28"/>
        </w:rPr>
      </w:pPr>
      <w:bookmarkStart w:name="_bookmark80" w:id="128"/>
      <w:bookmarkEnd w:id="128"/>
      <w:r>
        <w:rPr/>
      </w:r>
      <w:r>
        <w:rPr>
          <w:b/>
          <w:sz w:val="28"/>
        </w:rPr>
        <w:t>Referencias Bibliográficas</w:t>
      </w:r>
    </w:p>
    <w:p>
      <w:pPr>
        <w:pStyle w:val="BodyText"/>
        <w:rPr>
          <w:b/>
          <w:sz w:val="28"/>
        </w:rPr>
      </w:pPr>
    </w:p>
    <w:p>
      <w:pPr>
        <w:pStyle w:val="BodyText"/>
        <w:spacing w:before="3"/>
        <w:rPr>
          <w:b/>
          <w:sz w:val="25"/>
        </w:rPr>
      </w:pPr>
    </w:p>
    <w:p>
      <w:pPr>
        <w:pStyle w:val="BodyText"/>
        <w:spacing w:line="480" w:lineRule="auto" w:before="1"/>
        <w:ind w:left="695" w:right="109" w:hanging="543"/>
        <w:jc w:val="both"/>
      </w:pPr>
      <w:r>
        <w:rPr/>
        <w:t>Aguado D, Benito J, Gómez de Segura IA (2011) Reduction of the minimum alveolar concentration of isoflurane in dogs using a constant rate of infusion of lidocaine– ketamine in combination with either morphine or fentanyl.  Vet J 189, 63-66.</w:t>
      </w:r>
    </w:p>
    <w:p>
      <w:pPr>
        <w:pStyle w:val="BodyText"/>
        <w:spacing w:before="11"/>
        <w:ind w:left="152" w:right="70"/>
      </w:pPr>
      <w:r>
        <w:rPr/>
        <w:t>Anil  SS,  Anil  L,  Deen  J  (2002)  Challenges  of  pain  assessment  in  domestic  animals.</w:t>
      </w:r>
    </w:p>
    <w:p>
      <w:pPr>
        <w:pStyle w:val="BodyText"/>
      </w:pPr>
    </w:p>
    <w:p>
      <w:pPr>
        <w:pStyle w:val="BodyText"/>
        <w:ind w:left="695" w:right="70"/>
      </w:pPr>
      <w:r>
        <w:rPr/>
        <w:t>JAVMA 220, 3313-319.</w:t>
      </w:r>
    </w:p>
    <w:p>
      <w:pPr>
        <w:pStyle w:val="BodyText"/>
      </w:pPr>
    </w:p>
    <w:p>
      <w:pPr>
        <w:pStyle w:val="BodyText"/>
        <w:spacing w:line="480" w:lineRule="auto"/>
        <w:ind w:left="695" w:right="102" w:hanging="543"/>
        <w:jc w:val="both"/>
      </w:pPr>
      <w:r>
        <w:rPr/>
        <w:t>Aydogan MS, Korkmaz MF, Ozgül U (2013) Pain, fentanyl consumption, and delirium in adolescents after scoliosis surgery: dexmedetomidine vs midazolam. Paediatr Anaesth 23, 446-452.</w:t>
      </w:r>
    </w:p>
    <w:p>
      <w:pPr>
        <w:pStyle w:val="BodyText"/>
        <w:spacing w:line="480" w:lineRule="auto" w:before="10"/>
        <w:ind w:left="695" w:right="107" w:hanging="543"/>
        <w:jc w:val="both"/>
      </w:pPr>
      <w:r>
        <w:rPr/>
        <w:t>Baba Y, Kohase H, Oono Y et al. (2012) Effects of dexmedetomidine on conditioned pain modulation in humans. Eur J Pain 16, 1137-1147.</w:t>
      </w:r>
    </w:p>
    <w:p>
      <w:pPr>
        <w:pStyle w:val="BodyText"/>
        <w:spacing w:line="480" w:lineRule="auto" w:before="10"/>
        <w:ind w:left="695" w:right="112" w:hanging="543"/>
        <w:jc w:val="both"/>
      </w:pPr>
      <w:r>
        <w:rPr/>
        <w:t>Barrelveld </w:t>
      </w:r>
      <w:r>
        <w:rPr>
          <w:spacing w:val="-3"/>
        </w:rPr>
        <w:t>AM, </w:t>
      </w:r>
      <w:r>
        <w:rPr/>
        <w:t>Correl DJ, Liu X et </w:t>
      </w:r>
      <w:r>
        <w:rPr>
          <w:spacing w:val="-3"/>
        </w:rPr>
        <w:t>al. </w:t>
      </w:r>
      <w:r>
        <w:rPr/>
        <w:t>(2013) Ketamine decreases postoperative pain scores </w:t>
      </w:r>
      <w:r>
        <w:rPr>
          <w:spacing w:val="-3"/>
        </w:rPr>
        <w:t>in </w:t>
      </w:r>
      <w:r>
        <w:rPr/>
        <w:t>patients taking opioids for chronic pain: results of a prospective,  randomized, double-blind study. Pain Med 14,</w:t>
      </w:r>
      <w:r>
        <w:rPr>
          <w:spacing w:val="-11"/>
        </w:rPr>
        <w:t> </w:t>
      </w:r>
      <w:r>
        <w:rPr/>
        <w:t>935-934.</w:t>
      </w:r>
    </w:p>
    <w:p>
      <w:pPr>
        <w:pStyle w:val="BodyText"/>
        <w:spacing w:line="465" w:lineRule="auto" w:before="10"/>
        <w:ind w:left="695" w:right="106" w:hanging="543"/>
        <w:jc w:val="both"/>
      </w:pPr>
      <w:r>
        <w:rPr/>
        <w:t>Bednarski RM (2011) Anesthesia management of dogs and cats. In: Essentials of small animal anesthesia. Grimm KA, Tranquili WJ, Lamont LA editors. 2</w:t>
      </w:r>
      <w:r>
        <w:rPr>
          <w:position w:val="11"/>
          <w:sz w:val="16"/>
        </w:rPr>
        <w:t>nd </w:t>
      </w:r>
      <w:r>
        <w:rPr/>
        <w:t>edition. John Wiley &amp; Sons, Inc. Singapore. Pp. 274-299.</w:t>
      </w:r>
    </w:p>
    <w:p>
      <w:pPr>
        <w:spacing w:after="0" w:line="465"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11" w:hanging="543"/>
        <w:jc w:val="both"/>
      </w:pPr>
      <w:r>
        <w:rPr/>
        <w:t>Bell RF, Dahl JB, Moore RA et al. (2005) Peri-operative ketamine for acute post-operative pain: a quantitative and qualitative systematic review (Cochrane review). Acta Anaesth Scand 49, 1405-1428.</w:t>
      </w:r>
    </w:p>
    <w:p>
      <w:pPr>
        <w:pStyle w:val="BodyText"/>
        <w:spacing w:line="480" w:lineRule="auto" w:before="10"/>
        <w:ind w:left="695" w:right="109" w:hanging="543"/>
        <w:jc w:val="both"/>
      </w:pPr>
      <w:r>
        <w:rPr/>
        <w:t>Boscan P, Pypendop BH, Solano AM et </w:t>
      </w:r>
      <w:r>
        <w:rPr>
          <w:spacing w:val="-3"/>
        </w:rPr>
        <w:t>al.  </w:t>
      </w:r>
      <w:r>
        <w:rPr/>
        <w:t>(2005) Cardiovascular and respiratory effects  of ketamine infusions </w:t>
      </w:r>
      <w:r>
        <w:rPr>
          <w:spacing w:val="-3"/>
        </w:rPr>
        <w:t>in </w:t>
      </w:r>
      <w:r>
        <w:rPr/>
        <w:t>isoflurane-anesthetized dogs before and during noxious stimulation. Am J Vet Res 66,</w:t>
      </w:r>
      <w:r>
        <w:rPr>
          <w:spacing w:val="-6"/>
        </w:rPr>
        <w:t> </w:t>
      </w:r>
      <w:r>
        <w:rPr/>
        <w:t>2122-2129.</w:t>
      </w:r>
    </w:p>
    <w:p>
      <w:pPr>
        <w:pStyle w:val="BodyText"/>
        <w:spacing w:line="480" w:lineRule="auto" w:before="10"/>
        <w:ind w:left="695" w:right="104" w:hanging="543"/>
        <w:jc w:val="both"/>
      </w:pPr>
      <w:r>
        <w:rPr/>
        <w:t>Camargo JB, Steagall PVM, Minto BW et al. (2011) Post-operative analgesic effects of butorphanol or firocoxib administered to dogs undergoing  elective ovariohisterectomy. Vet Anaesth Analg 38, 252-259.</w:t>
      </w:r>
    </w:p>
    <w:p>
      <w:pPr>
        <w:pStyle w:val="BodyText"/>
        <w:spacing w:line="480" w:lineRule="auto" w:before="10"/>
        <w:ind w:left="695" w:right="108" w:hanging="543"/>
        <w:jc w:val="both"/>
      </w:pPr>
      <w:r>
        <w:rPr/>
        <w:t>Campagnol D, Teixeira FJ, Giordano T et al. (2007) Effects of epidural administration of dexmedetomidine on the minimum alveolar concentration of isoflurane in dogs. Am J Vet Res 68, 1310-1318.</w:t>
      </w:r>
    </w:p>
    <w:p>
      <w:pPr>
        <w:pStyle w:val="BodyText"/>
        <w:spacing w:line="480" w:lineRule="auto" w:before="10"/>
        <w:ind w:left="695" w:right="106" w:hanging="543"/>
        <w:jc w:val="both"/>
      </w:pPr>
      <w:r>
        <w:rPr/>
        <w:t>Columbano N, Secci F, Careddu GM et al. (2012) Effects of lidocaine constant  rate infusion on sevoflurane requirement, autonomic responses, and postoperative analgesia in dogs undergoing ovariectomy under opioid-based balanced anesthesia. Vet J. 193, 448-455.</w:t>
      </w:r>
    </w:p>
    <w:p>
      <w:pPr>
        <w:pStyle w:val="BodyText"/>
        <w:spacing w:line="480" w:lineRule="auto" w:before="10"/>
        <w:ind w:left="695" w:right="113" w:hanging="543"/>
        <w:jc w:val="both"/>
      </w:pPr>
      <w:r>
        <w:rPr/>
        <w:t>Congdon JM, Marquez M, Niyom S et al. (2013) Cardiovascular, respiratory, electrolyte and acid-base balance during continuous dexmedetomidine infusion in anesthetized dogs. Vet Anaesth Analg (in press).</w:t>
      </w:r>
    </w:p>
    <w:p>
      <w:pPr>
        <w:pStyle w:val="BodyText"/>
        <w:spacing w:line="480" w:lineRule="auto" w:before="10"/>
        <w:ind w:left="695" w:right="114" w:hanging="543"/>
        <w:jc w:val="both"/>
      </w:pPr>
      <w:r>
        <w:rPr/>
        <w:t>Dahmani S, Michelet D, Abback P et al. (2011) Ketamine for perioperative pain management in children: a meta-analysis of published studies. Paediatr Anesth 21, 636-652.</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11" w:hanging="543"/>
        <w:jc w:val="both"/>
      </w:pPr>
      <w:r>
        <w:rPr/>
        <w:t>Doherty T, Redua MA, Queiroz-Castro P et al. (2007) Effect of intravenous lidocaine and ketamine on the minimum alveolar concentration of isoflurane in goats. Vet Anaesth Analg 34, 125-131.</w:t>
      </w:r>
    </w:p>
    <w:p>
      <w:pPr>
        <w:pStyle w:val="BodyText"/>
        <w:spacing w:line="480" w:lineRule="auto" w:before="10"/>
        <w:ind w:left="695" w:right="118" w:hanging="543"/>
        <w:jc w:val="both"/>
      </w:pPr>
      <w:r>
        <w:rPr/>
        <w:t>Dyson D, James-Davies R (1999) Dose effect and benefits of glycopyrrolate in the treatment of bradycardia in anesthetized dogs. Can Vet J 40, 327-331.</w:t>
      </w:r>
    </w:p>
    <w:p>
      <w:pPr>
        <w:pStyle w:val="BodyText"/>
        <w:spacing w:line="480" w:lineRule="auto" w:before="10"/>
        <w:ind w:left="695" w:right="109" w:hanging="543"/>
        <w:jc w:val="both"/>
      </w:pPr>
      <w:r>
        <w:rPr/>
        <w:t>Ebert B, Mikkelsen S, Thorkildsen C et al. (1997) Norketamine the main metabolite of ketamine, is a non-competitive NMDA receptor antagonist in the rat cortex and spinal cord. Eur J Pharmacol 333, 99-104.</w:t>
      </w:r>
    </w:p>
    <w:p>
      <w:pPr>
        <w:pStyle w:val="BodyText"/>
        <w:spacing w:line="480" w:lineRule="auto" w:before="10"/>
        <w:ind w:left="695" w:right="117" w:hanging="543"/>
        <w:jc w:val="both"/>
      </w:pPr>
      <w:r>
        <w:rPr/>
        <w:t>Eger EI, Saidman LJ, Branstater B (1965) Minimum alveolar anesthetic concentration: a standard of anesthetic potency. Anesthesiology 26, 756-763.</w:t>
      </w:r>
    </w:p>
    <w:p>
      <w:pPr>
        <w:pStyle w:val="BodyText"/>
        <w:spacing w:line="480" w:lineRule="auto" w:before="10"/>
        <w:ind w:left="695" w:right="114" w:hanging="543"/>
        <w:jc w:val="both"/>
      </w:pPr>
      <w:r>
        <w:rPr/>
        <w:t>Elshammaa N, Chidambaran V, Housny W et al. (2011) Ketamine as an adjunct to fentanyl improves postoperative analgesia and hastens discharge in children following tonsillectomy – a prospective, double-blinded, randomized study. Paediatr Anesth 21, 1009-1014.</w:t>
      </w:r>
    </w:p>
    <w:p>
      <w:pPr>
        <w:pStyle w:val="BodyText"/>
        <w:spacing w:line="480" w:lineRule="auto" w:before="10"/>
        <w:ind w:left="695" w:right="117" w:hanging="543"/>
        <w:jc w:val="both"/>
      </w:pPr>
      <w:r>
        <w:rPr/>
        <w:t>Firth AM, Haldane SL (1999) Development of a scale to evaluate postoperative pain in dogs. J Am Vet Med Assoc 214, 651-659.</w:t>
      </w:r>
    </w:p>
    <w:p>
      <w:pPr>
        <w:pStyle w:val="BodyText"/>
        <w:spacing w:line="480" w:lineRule="auto" w:before="10"/>
        <w:ind w:left="695" w:right="109" w:hanging="543"/>
        <w:jc w:val="both"/>
      </w:pPr>
      <w:r>
        <w:rPr/>
        <w:t>Frölich MA, McKeown JL, Worrel MJ et </w:t>
      </w:r>
      <w:r>
        <w:rPr>
          <w:spacing w:val="-3"/>
        </w:rPr>
        <w:t>al. </w:t>
      </w:r>
      <w:r>
        <w:rPr/>
        <w:t>(2010). Intravenous lidocaine reduces  ischemic pain </w:t>
      </w:r>
      <w:r>
        <w:rPr>
          <w:spacing w:val="-3"/>
        </w:rPr>
        <w:t>in </w:t>
      </w:r>
      <w:r>
        <w:rPr/>
        <w:t>healthy volunteers. Reg Anesth Pain Med 35,</w:t>
      </w:r>
      <w:r>
        <w:rPr>
          <w:spacing w:val="-9"/>
        </w:rPr>
        <w:t> </w:t>
      </w:r>
      <w:r>
        <w:rPr/>
        <w:t>249-254.</w:t>
      </w:r>
    </w:p>
    <w:p>
      <w:pPr>
        <w:pStyle w:val="BodyText"/>
        <w:spacing w:line="465" w:lineRule="auto" w:before="10"/>
        <w:ind w:left="695" w:right="108" w:hanging="543"/>
        <w:jc w:val="both"/>
      </w:pPr>
      <w:r>
        <w:rPr/>
        <w:t>Gaynor JS (2009). Definitions of terms describing pain. In: Handbook of veterinary pain management. Gaynor JS &amp; Muir WW editors. 2</w:t>
      </w:r>
      <w:r>
        <w:rPr>
          <w:position w:val="11"/>
          <w:sz w:val="16"/>
        </w:rPr>
        <w:t>nd </w:t>
      </w:r>
      <w:r>
        <w:rPr/>
        <w:t>edition. MOSBY Elsevier. China.  Pp 57-59.</w:t>
      </w:r>
    </w:p>
    <w:p>
      <w:pPr>
        <w:spacing w:after="0" w:line="465"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13" w:hanging="543"/>
        <w:jc w:val="both"/>
      </w:pPr>
      <w:r>
        <w:rPr/>
        <w:t>Gurney MA (2012) Pharmacological options for intra-operative and early postoperative analgesia: an update. J of Small Anim Practice  53, 377-386.</w:t>
      </w:r>
    </w:p>
    <w:p>
      <w:pPr>
        <w:pStyle w:val="BodyText"/>
        <w:spacing w:line="480" w:lineRule="auto" w:before="10"/>
        <w:ind w:left="695" w:right="110" w:hanging="543"/>
        <w:jc w:val="both"/>
      </w:pPr>
      <w:r>
        <w:rPr/>
        <w:t>Grady P, Clark N, Lenahan J et al. (2012) Effect of intraoperative intravenous lidocaine on postoperative pain and return of bowel function after laparoscopic abdominal gynecologic procedures. AANA J 80, 282-288.</w:t>
      </w:r>
    </w:p>
    <w:p>
      <w:pPr>
        <w:pStyle w:val="BodyText"/>
        <w:spacing w:line="480" w:lineRule="auto" w:before="10"/>
        <w:ind w:left="695" w:right="111" w:hanging="543"/>
        <w:jc w:val="both"/>
      </w:pPr>
      <w:r>
        <w:rPr/>
        <w:t>Grimm KA, Tranquili WJ, Gross DR et al. (2005) Cardiopulmonary effects of fentanyl in conscious dogs and dogs sedated with a continuous rate infusion of medetomidine. Am J Vet Res 66, 1222-1226.</w:t>
      </w:r>
    </w:p>
    <w:p>
      <w:pPr>
        <w:pStyle w:val="BodyText"/>
        <w:spacing w:line="480" w:lineRule="auto" w:before="10"/>
        <w:ind w:left="695" w:right="106" w:hanging="543"/>
        <w:jc w:val="both"/>
      </w:pPr>
      <w:r>
        <w:rPr/>
        <w:t>Hansen BD (2003) Assessment of pain in dogs: Veterinary clinical studies. ILAR J 4, 197- 205.</w:t>
      </w:r>
    </w:p>
    <w:p>
      <w:pPr>
        <w:pStyle w:val="BodyText"/>
        <w:spacing w:line="480" w:lineRule="auto" w:before="10"/>
        <w:ind w:left="695" w:right="111" w:hanging="543"/>
        <w:jc w:val="both"/>
      </w:pPr>
      <w:r>
        <w:rPr/>
        <w:t>Haskins SC (2006) Comparative cardiovascular and pulmonary effects of sedatives and anesthetic agents and anesthetic drug selection for the trauma patient. J Vet Emerg Crit Care. 16, 300-328.</w:t>
      </w:r>
    </w:p>
    <w:p>
      <w:pPr>
        <w:pStyle w:val="BodyText"/>
        <w:spacing w:line="470" w:lineRule="auto" w:before="10"/>
        <w:ind w:left="695" w:right="108" w:hanging="543"/>
        <w:jc w:val="both"/>
      </w:pPr>
      <w:r>
        <w:rPr/>
        <w:t>Hellyer PW, Robertson SA, Fails AD, Lamont LA, Mathews KA, Skarda RT, Glowaski M, Dunning D, Lascelles DX (2011). Pain physiology, pharmacology and management. In: Essentials of Small animal anesthesia and analgesia. Grimm KA, Tranquili WJ, Lamont LA editors. 2</w:t>
      </w:r>
      <w:r>
        <w:rPr>
          <w:position w:val="11"/>
          <w:sz w:val="16"/>
        </w:rPr>
        <w:t>nd </w:t>
      </w:r>
      <w:r>
        <w:rPr/>
        <w:t>ed. Wiley-Blackwell. Singapore. Pp. 82-146.</w:t>
      </w:r>
    </w:p>
    <w:p>
      <w:pPr>
        <w:pStyle w:val="BodyText"/>
        <w:spacing w:line="260" w:lineRule="exact"/>
        <w:ind w:left="695" w:hanging="543"/>
        <w:jc w:val="both"/>
      </w:pPr>
      <w:r>
        <w:rPr/>
        <w:t>Hendrickx  JFA,  Eger  EI,  Sonner  JM  et  </w:t>
      </w:r>
      <w:r>
        <w:rPr>
          <w:spacing w:val="-4"/>
        </w:rPr>
        <w:t>al.  </w:t>
      </w:r>
      <w:r>
        <w:rPr/>
        <w:t>(2008)  Is  synergy  the  rule?  A  review </w:t>
      </w:r>
      <w:r>
        <w:rPr>
          <w:spacing w:val="52"/>
        </w:rPr>
        <w:t> </w:t>
      </w:r>
      <w:r>
        <w:rPr>
          <w:spacing w:val="4"/>
        </w:rPr>
        <w:t>of</w:t>
      </w:r>
    </w:p>
    <w:p>
      <w:pPr>
        <w:pStyle w:val="BodyText"/>
      </w:pPr>
    </w:p>
    <w:p>
      <w:pPr>
        <w:pStyle w:val="BodyText"/>
        <w:spacing w:line="480" w:lineRule="auto"/>
        <w:ind w:left="695" w:right="70"/>
      </w:pPr>
      <w:r>
        <w:rPr/>
        <w:t>anesthetic interactions producing hypnosis and immobility. Anesth Analg 107, 494- 506.</w:t>
      </w:r>
    </w:p>
    <w:p>
      <w:pPr>
        <w:pStyle w:val="BodyText"/>
        <w:spacing w:line="480" w:lineRule="auto" w:before="10"/>
        <w:ind w:left="695" w:right="118" w:hanging="543"/>
        <w:jc w:val="both"/>
      </w:pPr>
      <w:r>
        <w:rPr/>
        <w:t>Holton LL, Scott EM, Nolan AM et al. (1998a) Comparison of three methods used for assessment of pain in dogs. J Am Vet Med Assoc 217, 685-690.</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08" w:hanging="543"/>
        <w:jc w:val="both"/>
      </w:pPr>
      <w:r>
        <w:rPr/>
        <w:t>Holton LL, Scott EM, Nolan AM et al (1998b) Relationship between physiological factors and clinical pain </w:t>
      </w:r>
      <w:r>
        <w:rPr>
          <w:spacing w:val="-3"/>
        </w:rPr>
        <w:t>in </w:t>
      </w:r>
      <w:r>
        <w:rPr/>
        <w:t>dogs scored </w:t>
      </w:r>
      <w:r>
        <w:rPr>
          <w:spacing w:val="-3"/>
        </w:rPr>
        <w:t>using </w:t>
      </w:r>
      <w:r>
        <w:rPr/>
        <w:t>a numerical rating scale. J Small Anim Pract  39,</w:t>
      </w:r>
      <w:r>
        <w:rPr>
          <w:spacing w:val="-1"/>
        </w:rPr>
        <w:t> </w:t>
      </w:r>
      <w:r>
        <w:rPr/>
        <w:t>469-474.</w:t>
      </w:r>
    </w:p>
    <w:p>
      <w:pPr>
        <w:pStyle w:val="BodyText"/>
        <w:spacing w:line="480" w:lineRule="auto" w:before="10"/>
        <w:ind w:left="695" w:right="106" w:hanging="543"/>
        <w:jc w:val="both"/>
      </w:pPr>
      <w:r>
        <w:rPr/>
        <w:t>Holton LL, Reid J, Scott EM et al. (2001) Development of a behavior-based scale  to measure acute pain in dogs. Vet Rec 148, 525-531.</w:t>
      </w:r>
    </w:p>
    <w:p>
      <w:pPr>
        <w:pStyle w:val="BodyText"/>
        <w:spacing w:line="480" w:lineRule="auto" w:before="10"/>
        <w:ind w:left="695" w:right="117" w:hanging="543"/>
        <w:jc w:val="both"/>
      </w:pPr>
      <w:r>
        <w:rPr/>
        <w:t>Horan BF, Prys-Roberts C, Roberts JG, Bennett MJ, Foëx P (1977) Haemodynamic responses </w:t>
      </w:r>
      <w:r>
        <w:rPr>
          <w:spacing w:val="2"/>
        </w:rPr>
        <w:t>to </w:t>
      </w:r>
      <w:r>
        <w:rPr/>
        <w:t>isoflurane anaesthesia and hypovolemia </w:t>
      </w:r>
      <w:r>
        <w:rPr>
          <w:spacing w:val="-3"/>
        </w:rPr>
        <w:t>in </w:t>
      </w:r>
      <w:r>
        <w:rPr/>
        <w:t>the dog, and their modification by propanolol. Br J Anaesth 49,</w:t>
      </w:r>
      <w:r>
        <w:rPr>
          <w:spacing w:val="-13"/>
        </w:rPr>
        <w:t> </w:t>
      </w:r>
      <w:r>
        <w:rPr/>
        <w:t>1179-1187.</w:t>
      </w:r>
    </w:p>
    <w:p>
      <w:pPr>
        <w:pStyle w:val="BodyText"/>
        <w:spacing w:line="480" w:lineRule="auto" w:before="10"/>
        <w:ind w:left="695" w:right="106" w:hanging="543"/>
        <w:jc w:val="both"/>
      </w:pPr>
      <w:r>
        <w:rPr/>
        <w:t>Hughes MA, Glass PSA, Jacobs JR (1992) Context-sensitive half-time in multicompartment pharmacokinetic models for intravenous anesthetic drugs. Anesthesiology 76,</w:t>
      </w:r>
      <w:r>
        <w:rPr>
          <w:spacing w:val="-4"/>
        </w:rPr>
        <w:t> </w:t>
      </w:r>
      <w:r>
        <w:rPr/>
        <w:t>334-341.</w:t>
      </w:r>
    </w:p>
    <w:p>
      <w:pPr>
        <w:pStyle w:val="BodyText"/>
        <w:spacing w:line="480" w:lineRule="auto" w:before="10"/>
        <w:ind w:left="174" w:right="107"/>
        <w:jc w:val="right"/>
      </w:pPr>
      <w:r>
        <w:rPr/>
        <w:t>Ilkiw JE, Pascoe PJ, Haskins SC et </w:t>
      </w:r>
      <w:r>
        <w:rPr>
          <w:spacing w:val="-3"/>
        </w:rPr>
        <w:t>al. </w:t>
      </w:r>
      <w:r>
        <w:rPr/>
        <w:t>(1993) The cardiovascular sparing effect</w:t>
      </w:r>
      <w:r>
        <w:rPr>
          <w:spacing w:val="24"/>
        </w:rPr>
        <w:t> </w:t>
      </w:r>
      <w:r>
        <w:rPr/>
        <w:t>of</w:t>
      </w:r>
      <w:r>
        <w:rPr>
          <w:spacing w:val="1"/>
        </w:rPr>
        <w:t> </w:t>
      </w:r>
      <w:r>
        <w:rPr/>
        <w:t>fentanyl and atropine, administered to enflurane anesthetized dogs. Can J Vet Res</w:t>
      </w:r>
      <w:r>
        <w:rPr>
          <w:spacing w:val="-14"/>
        </w:rPr>
        <w:t> </w:t>
      </w:r>
      <w:r>
        <w:rPr/>
        <w:t>57,</w:t>
      </w:r>
      <w:r>
        <w:rPr>
          <w:spacing w:val="-5"/>
        </w:rPr>
        <w:t> </w:t>
      </w:r>
      <w:r>
        <w:rPr/>
        <w:t>248-253. Inoue</w:t>
      </w:r>
      <w:r>
        <w:rPr>
          <w:spacing w:val="17"/>
        </w:rPr>
        <w:t> </w:t>
      </w:r>
      <w:r>
        <w:rPr/>
        <w:t>T,</w:t>
      </w:r>
      <w:r>
        <w:rPr>
          <w:spacing w:val="20"/>
        </w:rPr>
        <w:t> </w:t>
      </w:r>
      <w:r>
        <w:rPr>
          <w:spacing w:val="-3"/>
        </w:rPr>
        <w:t>Ko</w:t>
      </w:r>
      <w:r>
        <w:rPr>
          <w:spacing w:val="22"/>
        </w:rPr>
        <w:t> </w:t>
      </w:r>
      <w:r>
        <w:rPr/>
        <w:t>JC,</w:t>
      </w:r>
      <w:r>
        <w:rPr>
          <w:spacing w:val="20"/>
        </w:rPr>
        <w:t> </w:t>
      </w:r>
      <w:r>
        <w:rPr/>
        <w:t>Mandsager</w:t>
      </w:r>
      <w:r>
        <w:rPr>
          <w:spacing w:val="19"/>
        </w:rPr>
        <w:t> </w:t>
      </w:r>
      <w:r>
        <w:rPr/>
        <w:t>RE</w:t>
      </w:r>
      <w:r>
        <w:rPr>
          <w:spacing w:val="20"/>
        </w:rPr>
        <w:t> </w:t>
      </w:r>
      <w:r>
        <w:rPr/>
        <w:t>et</w:t>
      </w:r>
      <w:r>
        <w:rPr>
          <w:spacing w:val="18"/>
        </w:rPr>
        <w:t> </w:t>
      </w:r>
      <w:r>
        <w:rPr>
          <w:spacing w:val="-4"/>
        </w:rPr>
        <w:t>al.</w:t>
      </w:r>
      <w:r>
        <w:rPr>
          <w:spacing w:val="20"/>
        </w:rPr>
        <w:t> </w:t>
      </w:r>
      <w:r>
        <w:rPr/>
        <w:t>(2006)</w:t>
      </w:r>
      <w:r>
        <w:rPr>
          <w:spacing w:val="19"/>
        </w:rPr>
        <w:t> </w:t>
      </w:r>
      <w:r>
        <w:rPr/>
        <w:t>Efficacy</w:t>
      </w:r>
      <w:r>
        <w:rPr>
          <w:spacing w:val="8"/>
        </w:rPr>
        <w:t> </w:t>
      </w:r>
      <w:r>
        <w:rPr/>
        <w:t>and</w:t>
      </w:r>
      <w:r>
        <w:rPr>
          <w:spacing w:val="18"/>
        </w:rPr>
        <w:t> </w:t>
      </w:r>
      <w:r>
        <w:rPr/>
        <w:t>safety</w:t>
      </w:r>
      <w:r>
        <w:rPr>
          <w:spacing w:val="8"/>
        </w:rPr>
        <w:t> </w:t>
      </w:r>
      <w:r>
        <w:rPr>
          <w:spacing w:val="4"/>
        </w:rPr>
        <w:t>of</w:t>
      </w:r>
      <w:r>
        <w:rPr>
          <w:spacing w:val="10"/>
        </w:rPr>
        <w:t> </w:t>
      </w:r>
      <w:r>
        <w:rPr/>
        <w:t>preoperative</w:t>
      </w:r>
      <w:r>
        <w:rPr>
          <w:spacing w:val="17"/>
        </w:rPr>
        <w:t> </w:t>
      </w:r>
      <w:r>
        <w:rPr/>
        <w:t>etodolac and butorphanol administration </w:t>
      </w:r>
      <w:r>
        <w:rPr>
          <w:spacing w:val="-3"/>
        </w:rPr>
        <w:t>in </w:t>
      </w:r>
      <w:r>
        <w:rPr/>
        <w:t>dogs undergoing ovariohisterectomy. J Am   </w:t>
      </w:r>
      <w:r>
        <w:rPr>
          <w:spacing w:val="16"/>
        </w:rPr>
        <w:t> </w:t>
      </w:r>
      <w:r>
        <w:rPr/>
        <w:t>Anim</w:t>
      </w:r>
    </w:p>
    <w:p>
      <w:pPr>
        <w:pStyle w:val="BodyText"/>
        <w:spacing w:before="10"/>
        <w:ind w:left="695" w:right="70"/>
      </w:pPr>
      <w:r>
        <w:rPr/>
        <w:t>Hosp Assoc 42, 178-188.</w:t>
      </w:r>
    </w:p>
    <w:p>
      <w:pPr>
        <w:pStyle w:val="BodyText"/>
      </w:pPr>
    </w:p>
    <w:p>
      <w:pPr>
        <w:pStyle w:val="BodyText"/>
        <w:spacing w:line="480" w:lineRule="auto"/>
        <w:ind w:left="695" w:right="113" w:hanging="543"/>
        <w:jc w:val="both"/>
      </w:pPr>
      <w:r>
        <w:rPr/>
        <w:t>Jacobson JD, Hartsfield SM, Haskins SC, McGrath CJ (1995). Introduction to veterinary Anesthesiology. Brush Mountain Publishing Inc. U.S.A. pp 383.</w:t>
      </w:r>
    </w:p>
    <w:p>
      <w:pPr>
        <w:pStyle w:val="BodyText"/>
        <w:spacing w:line="480" w:lineRule="auto" w:before="10"/>
        <w:ind w:left="695" w:right="108" w:hanging="543"/>
        <w:jc w:val="both"/>
      </w:pPr>
      <w:r>
        <w:rPr/>
        <w:t>Kang JG, Kim MH, Kim EH et al. (2012) Intraoperative intravenous lidocaine reduces hospital length of stay following open gastrectomy for stomach cancer in men. J Clin Anesth 24, 465-470.</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tabs>
          <w:tab w:pos="4770" w:val="left" w:leader="none"/>
        </w:tabs>
        <w:spacing w:before="69"/>
        <w:ind w:left="152" w:right="70"/>
      </w:pPr>
      <w:r>
        <w:rPr/>
        <w:t>Khan ZP,  Ferguson CN, Jones  </w:t>
      </w:r>
      <w:r>
        <w:rPr>
          <w:spacing w:val="22"/>
        </w:rPr>
        <w:t> </w:t>
      </w:r>
      <w:r>
        <w:rPr/>
        <w:t>RM</w:t>
      </w:r>
      <w:r>
        <w:rPr>
          <w:spacing w:val="36"/>
        </w:rPr>
        <w:t> </w:t>
      </w:r>
      <w:r>
        <w:rPr/>
        <w:t>(1999a)</w:t>
        <w:tab/>
        <w:t>Alpha-2  and  imidazoline  receptor</w:t>
      </w:r>
      <w:r>
        <w:rPr>
          <w:spacing w:val="-17"/>
        </w:rPr>
        <w:t> </w:t>
      </w:r>
      <w:r>
        <w:rPr/>
        <w:t>agonist.</w:t>
      </w:r>
    </w:p>
    <w:p>
      <w:pPr>
        <w:pStyle w:val="BodyText"/>
      </w:pPr>
    </w:p>
    <w:p>
      <w:pPr>
        <w:pStyle w:val="BodyText"/>
        <w:ind w:left="695" w:right="70"/>
      </w:pPr>
      <w:r>
        <w:rPr/>
        <w:t>Their pharmacology and therapeutic role. Anaesthesia 54, 146-165.</w:t>
      </w:r>
    </w:p>
    <w:p>
      <w:pPr>
        <w:pStyle w:val="BodyText"/>
      </w:pPr>
    </w:p>
    <w:p>
      <w:pPr>
        <w:pStyle w:val="BodyText"/>
        <w:spacing w:line="480" w:lineRule="auto"/>
        <w:ind w:left="695" w:right="119" w:hanging="543"/>
        <w:jc w:val="both"/>
      </w:pPr>
      <w:r>
        <w:rPr/>
        <w:t>Khan ZP, Munday IT, Jones RM et al. (1999b) Effects of dexmedetomidine on isoflurane requirements in healthy volunteers 1: pharmacodynamic and pharmacokinetic interactions. Br J Anaeesth 83, 372-380.</w:t>
      </w:r>
    </w:p>
    <w:p>
      <w:pPr>
        <w:pStyle w:val="BodyText"/>
        <w:spacing w:line="480" w:lineRule="auto" w:before="10"/>
        <w:ind w:left="695" w:right="109" w:hanging="543"/>
        <w:jc w:val="both"/>
      </w:pPr>
      <w:r>
        <w:rPr/>
        <w:t>Kim TH, Kang H, Hong JH et al. (2011). Intraperitoneal and intravenous lidocaine for effective pain relief after laparoscopic appendectomy: a prospective, randomized, double-blind, placebo-controlled study. Surg Endosc 25, 3183-3190.</w:t>
      </w:r>
    </w:p>
    <w:p>
      <w:pPr>
        <w:pStyle w:val="BodyText"/>
        <w:spacing w:line="480" w:lineRule="auto" w:before="10"/>
        <w:ind w:left="695" w:right="105" w:hanging="543"/>
        <w:jc w:val="both"/>
      </w:pPr>
      <w:r>
        <w:rPr/>
        <w:t>Kim TH, Kang H, Choi YS et al. (2013). Pre-and intraoperative lidocaine injection for preemptive analgesics in laparoscopic gastrectomy: A prospective, randomized, double-blind, placebo-controlled study. J Laparoendosc Adv Surg Tech A. A head of print.</w:t>
      </w:r>
    </w:p>
    <w:p>
      <w:pPr>
        <w:pStyle w:val="BodyText"/>
        <w:spacing w:line="480" w:lineRule="auto" w:before="10"/>
        <w:ind w:left="695" w:right="119" w:hanging="543"/>
        <w:jc w:val="both"/>
      </w:pPr>
      <w:r>
        <w:rPr/>
        <w:t>Klide AM (1976) Cardiopulmonary effects of enflurane and isoflurane in the dog.  Am J Vet Res 37, 127-131.</w:t>
      </w:r>
    </w:p>
    <w:p>
      <w:pPr>
        <w:pStyle w:val="BodyText"/>
        <w:spacing w:line="480" w:lineRule="auto" w:before="10"/>
        <w:ind w:left="695" w:right="113" w:hanging="543"/>
        <w:jc w:val="both"/>
      </w:pPr>
      <w:r>
        <w:rPr/>
        <w:t>Ko JC, Lange DN, Mandsager RE et al. (2000) Effects of butorphanol and carprofen on the minimal alveolar concentration of isoflurane in dogs. J Am Vet Med Assoc 217, 1025-1028.</w:t>
      </w:r>
    </w:p>
    <w:p>
      <w:pPr>
        <w:pStyle w:val="BodyText"/>
        <w:spacing w:line="480" w:lineRule="auto" w:before="11"/>
        <w:ind w:left="695" w:right="110" w:hanging="543"/>
        <w:jc w:val="both"/>
      </w:pPr>
      <w:r>
        <w:rPr/>
        <w:t>Koopert W, Weigand M, Neumann F et al. (2004) Perioperative intravenous lidocaine has preventive effects on postoperative pain and morphine consumption after major abdominal surgery. Anesth Analg. 98(4): 1050-1055.</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65" w:lineRule="auto" w:before="69"/>
        <w:ind w:left="695" w:right="101" w:hanging="543"/>
        <w:jc w:val="both"/>
      </w:pPr>
      <w:r>
        <w:rPr/>
        <w:t>Kukanich B, Papich MG (2009) Opioids analgesic drugs. Veterinary Pharmacology &amp; Therapeutics. Riviere JE, Papich MG editors. 9</w:t>
      </w:r>
      <w:r>
        <w:rPr>
          <w:position w:val="11"/>
          <w:sz w:val="16"/>
        </w:rPr>
        <w:t>th </w:t>
      </w:r>
      <w:r>
        <w:rPr/>
        <w:t>ed. Wiley-Blackwell. USA. Pp 301- 333.</w:t>
      </w:r>
    </w:p>
    <w:p>
      <w:pPr>
        <w:pStyle w:val="BodyText"/>
        <w:spacing w:line="480" w:lineRule="auto" w:before="26"/>
        <w:ind w:left="695" w:right="110" w:hanging="543"/>
        <w:jc w:val="both"/>
      </w:pPr>
      <w:r>
        <w:rPr/>
        <w:t>Kuusela E, Raekallio M, Anttila M, Falck I, Mölsä S, Vainio O (2000) Clinical effects and pharmacokinetics of medetomidine and its enantiomers in dogs. J Vet Pharmacol. Therap 23, 15-20.</w:t>
      </w:r>
    </w:p>
    <w:p>
      <w:pPr>
        <w:pStyle w:val="BodyText"/>
        <w:spacing w:line="465" w:lineRule="auto" w:before="10"/>
        <w:ind w:left="695" w:right="107" w:hanging="543"/>
        <w:jc w:val="both"/>
      </w:pPr>
      <w:r>
        <w:rPr/>
        <w:t>Lamont LA, Mathews KA (2007) Opioids, nonsteroidal anti-inflammatories, and analgesic adjuvants. In: Lumb &amp; Jones’ Veterinary Anesthesia and Analgesia. Tranquili WJ, Thurmon JC, Grimm KA editors. 4</w:t>
      </w:r>
      <w:r>
        <w:rPr>
          <w:position w:val="11"/>
          <w:sz w:val="16"/>
        </w:rPr>
        <w:t>th </w:t>
      </w:r>
      <w:r>
        <w:rPr/>
        <w:t>edition. Blackwell Publishing. U.S.A.</w:t>
      </w:r>
    </w:p>
    <w:p>
      <w:pPr>
        <w:pStyle w:val="BodyText"/>
        <w:spacing w:line="480" w:lineRule="auto"/>
        <w:ind w:left="695" w:right="115" w:hanging="543"/>
        <w:jc w:val="both"/>
      </w:pPr>
      <w:r>
        <w:rPr/>
        <w:t>Leece EA, Brearley JC, Harding EF (2005) Comparison of carprofen and meloxicam for 72 hours following ovariohisterectomy in dogs. Vet Anaest  Analg 32, 184-192.</w:t>
      </w:r>
    </w:p>
    <w:p>
      <w:pPr>
        <w:pStyle w:val="BodyText"/>
        <w:spacing w:line="480" w:lineRule="auto" w:before="10"/>
        <w:ind w:left="695" w:right="102" w:hanging="543"/>
        <w:jc w:val="both"/>
      </w:pPr>
      <w:r>
        <w:rPr/>
        <w:t>Lervik A, Haga HA, Ranheim B et al. (2012) The influence of a continuous rate infusion of dexmedetomidine on the nociceptive withdrawal reflex and temporal summation during isoflurane anaesthesia in dogs. Vet Anaesth Analg 39, 414-425.</w:t>
      </w:r>
    </w:p>
    <w:p>
      <w:pPr>
        <w:pStyle w:val="BodyText"/>
        <w:spacing w:line="480" w:lineRule="auto" w:before="10"/>
        <w:ind w:left="695" w:right="109" w:hanging="543"/>
        <w:jc w:val="both"/>
      </w:pPr>
      <w:r>
        <w:rPr/>
        <w:t>Lin G, Robben JH, Murrel JC et al. (2008) Dexmedetomidine constant rate infusion for 24 hours during and after propofol or isoflurane anaesthesia in dogs. Vet Anaesth Analg 35, 141-153.</w:t>
      </w:r>
    </w:p>
    <w:p>
      <w:pPr>
        <w:pStyle w:val="BodyText"/>
        <w:spacing w:line="480" w:lineRule="auto" w:before="11"/>
        <w:ind w:left="695" w:right="109" w:hanging="543"/>
        <w:jc w:val="both"/>
      </w:pPr>
      <w:r>
        <w:rPr/>
        <w:t>Linton DD, Wilson MG, Newbound GC et al. (2012) The effectiveness of a long-acting transdermal fentanyl solution compared to buprenorphine for the control of postoperative pain in dogs in a randomized, multicentered clinical study. J vet Pharmacol Therap 35, Suppl 2, 53-64 doi: 10.1111/j.1365-2885.2012.01408.x.</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07" w:hanging="543"/>
        <w:jc w:val="both"/>
      </w:pPr>
      <w:r>
        <w:rPr/>
        <w:t>Livingston A (2010) Pain and analgesia in domestic animals. In: Comparative and veterinary pharmacology 199 (Handbook of experimental pharmacology). Cunningham F, Elliott J, Lees P editors. Springer. Version Kindle. Pp. 159-189.</w:t>
      </w:r>
    </w:p>
    <w:p>
      <w:pPr>
        <w:pStyle w:val="BodyText"/>
        <w:spacing w:line="480" w:lineRule="auto" w:before="10"/>
        <w:ind w:left="695" w:right="114" w:hanging="543"/>
        <w:jc w:val="both"/>
      </w:pPr>
      <w:r>
        <w:rPr/>
        <w:t>Love L, Egger C, Rohrbach B et al. (2011) The effect of ketamine on the MACBAR of sevoflurane in dogs. Vet Anesth Analg 38, 292-300.</w:t>
      </w:r>
    </w:p>
    <w:p>
      <w:pPr>
        <w:pStyle w:val="BodyText"/>
        <w:spacing w:line="480" w:lineRule="auto" w:before="10"/>
        <w:ind w:left="695" w:right="111" w:hanging="543"/>
        <w:jc w:val="both"/>
      </w:pPr>
      <w:r>
        <w:rPr/>
        <w:t>Ludders JW (1992) Advantages and guidelines for usisng isoflurane. Vet Clin North Am Small Anim Pract 22, 328-331.</w:t>
      </w:r>
    </w:p>
    <w:p>
      <w:pPr>
        <w:pStyle w:val="BodyText"/>
        <w:spacing w:line="480" w:lineRule="auto" w:before="11"/>
        <w:ind w:left="695" w:right="113" w:hanging="543"/>
        <w:jc w:val="both"/>
      </w:pPr>
      <w:r>
        <w:rPr/>
        <w:t>MacDougall LM, Hethey J, Livingston A et al. (2009) Antinociceptive, cardiopulmonary, and sedative effects of five intravenous infusion rates of lidocaine in conscious dogs. Vet Anaesth Analg 36, 512-522.</w:t>
      </w:r>
    </w:p>
    <w:p>
      <w:pPr>
        <w:pStyle w:val="BodyText"/>
        <w:spacing w:line="480" w:lineRule="auto" w:before="10"/>
        <w:ind w:left="695" w:right="118" w:hanging="543"/>
        <w:jc w:val="both"/>
      </w:pPr>
      <w:r>
        <w:rPr/>
        <w:t>Mattson SF, Kerr CL, Dyson DH (2006) The effect of hypovolemia due to hemorrhage on the minimum alveolar concentration of isoflurane in the dog. Vet Anaesth Analg 33, 296-301.</w:t>
      </w:r>
    </w:p>
    <w:p>
      <w:pPr>
        <w:pStyle w:val="BodyText"/>
        <w:spacing w:line="480" w:lineRule="auto" w:before="10"/>
        <w:ind w:left="695" w:right="110" w:hanging="543"/>
        <w:jc w:val="both"/>
      </w:pPr>
      <w:r>
        <w:rPr/>
        <w:t>McCleane G (2007) Intravenous Lidocaine: An outdated or underutilized treatment for pain? J Palliat Med 10, 798-805.</w:t>
      </w:r>
    </w:p>
    <w:p>
      <w:pPr>
        <w:pStyle w:val="BodyText"/>
        <w:spacing w:line="480" w:lineRule="auto" w:before="10"/>
        <w:ind w:left="695" w:right="115" w:hanging="543"/>
        <w:jc w:val="both"/>
      </w:pPr>
      <w:r>
        <w:rPr/>
        <w:t>Marret E, Rolin M, Beaussier M et al (2008) Meta-analysis of intravenous lidocaine and postoperative recovery after abdominal surgery. Br J Surg 95, 1331-1338.</w:t>
      </w:r>
    </w:p>
    <w:p>
      <w:pPr>
        <w:pStyle w:val="BodyText"/>
        <w:spacing w:line="480" w:lineRule="auto" w:before="11"/>
        <w:ind w:left="695" w:right="110" w:hanging="543"/>
        <w:jc w:val="both"/>
      </w:pPr>
      <w:r>
        <w:rPr/>
        <w:t>Mathews KA (2000) Pain assessment and general approach to management. Vet Clin N Am-Small 30, 729-755.</w:t>
      </w:r>
    </w:p>
    <w:p>
      <w:pPr>
        <w:pStyle w:val="BodyText"/>
        <w:spacing w:line="480" w:lineRule="auto" w:before="10"/>
        <w:ind w:left="695" w:right="113" w:hanging="543"/>
        <w:jc w:val="both"/>
      </w:pPr>
      <w:r>
        <w:rPr/>
        <w:t>Mathews </w:t>
      </w:r>
      <w:r>
        <w:rPr>
          <w:spacing w:val="-3"/>
        </w:rPr>
        <w:t>K, </w:t>
      </w:r>
      <w:r>
        <w:rPr/>
        <w:t>Kronen P, Lascelles BDX, Nolan </w:t>
      </w:r>
      <w:r>
        <w:rPr>
          <w:spacing w:val="-3"/>
        </w:rPr>
        <w:t>A, </w:t>
      </w:r>
      <w:r>
        <w:rPr/>
        <w:t>Robertson SA, Steagall PVM, Wright B, Yamashita </w:t>
      </w:r>
      <w:r>
        <w:rPr>
          <w:spacing w:val="-3"/>
        </w:rPr>
        <w:t>K. </w:t>
      </w:r>
      <w:r>
        <w:rPr/>
        <w:t>(2013) WSAVA guidelines for recognition, assessment and treatment  of pain </w:t>
      </w:r>
      <w:r>
        <w:rPr>
          <w:spacing w:val="-3"/>
        </w:rPr>
        <w:t>in </w:t>
      </w:r>
      <w:r>
        <w:rPr/>
        <w:t>animals. Submitted  Journal of Small Animal</w:t>
      </w:r>
      <w:r>
        <w:rPr>
          <w:spacing w:val="-23"/>
        </w:rPr>
        <w:t> </w:t>
      </w:r>
      <w:r>
        <w:rPr/>
        <w:t>Practice.</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11" w:hanging="543"/>
        <w:jc w:val="both"/>
      </w:pPr>
      <w:r>
        <w:rPr/>
        <w:t>Matsubara LM, Oliva VNLS, Gabas D et al. (2009) Effect of lidocaine on the minimum alveolar concentration of sevoflurane in dogs. Vet Anaesth Analg 36,407-413.</w:t>
      </w:r>
    </w:p>
    <w:p>
      <w:pPr>
        <w:pStyle w:val="BodyText"/>
        <w:spacing w:line="480" w:lineRule="auto" w:before="10"/>
        <w:ind w:left="695" w:right="108" w:hanging="543"/>
        <w:jc w:val="both"/>
      </w:pPr>
      <w:r>
        <w:rPr/>
        <w:t>McCarthy GC, Megalla SA, Habib AS (2010) Impact of intravenous lidocaine infusion on postoperative analgesia and recovery from surgery. A systematic review of randomized controlled trials. Drugs 70, 1149-1163.</w:t>
      </w:r>
    </w:p>
    <w:p>
      <w:pPr>
        <w:pStyle w:val="BodyText"/>
        <w:spacing w:before="10"/>
        <w:ind w:left="152" w:right="70"/>
      </w:pPr>
      <w:r>
        <w:rPr/>
        <w:t>Merkel G, Eger EI (1963) A comparative study of halothane and halopropane anesthesia.</w:t>
      </w:r>
    </w:p>
    <w:p>
      <w:pPr>
        <w:pStyle w:val="BodyText"/>
      </w:pPr>
    </w:p>
    <w:p>
      <w:pPr>
        <w:pStyle w:val="BodyText"/>
        <w:ind w:left="695" w:right="70"/>
      </w:pPr>
      <w:r>
        <w:rPr/>
        <w:t>Including method for determining equipotency. Anesthesiology 24, 346-357.</w:t>
      </w:r>
    </w:p>
    <w:p>
      <w:pPr>
        <w:pStyle w:val="BodyText"/>
      </w:pPr>
    </w:p>
    <w:p>
      <w:pPr>
        <w:pStyle w:val="BodyText"/>
        <w:spacing w:line="465" w:lineRule="auto"/>
        <w:ind w:left="695" w:right="102" w:hanging="543"/>
        <w:jc w:val="both"/>
      </w:pPr>
      <w:r>
        <w:rPr/>
        <w:t>Mich PM, Hellyer P (2009) Objective, categoric methods for assessing pain and analgesia. In: Handbook of Veterinary Pain Management. Muir WW, Gaynor JS, editors. 2</w:t>
      </w:r>
      <w:r>
        <w:rPr>
          <w:position w:val="11"/>
          <w:sz w:val="16"/>
        </w:rPr>
        <w:t>nd </w:t>
      </w:r>
      <w:r>
        <w:rPr/>
        <w:t>Ed. MOSBY. Elsevier. China. p 78-109.</w:t>
      </w:r>
    </w:p>
    <w:p>
      <w:pPr>
        <w:pStyle w:val="BodyText"/>
        <w:spacing w:line="448" w:lineRule="auto" w:before="26"/>
        <w:ind w:left="695" w:right="123" w:hanging="543"/>
        <w:jc w:val="both"/>
      </w:pPr>
      <w:r>
        <w:rPr/>
        <w:t>Miller RD, Eriksson LI, Fleisjer LF et al. (2009) Miller´s Anesthesia: Expert Consult Premium Edition 7</w:t>
      </w:r>
      <w:r>
        <w:rPr>
          <w:position w:val="11"/>
          <w:sz w:val="16"/>
        </w:rPr>
        <w:t>th </w:t>
      </w:r>
      <w:r>
        <w:rPr/>
        <w:t>edition. U.S.A. Pp 3312.</w:t>
      </w:r>
    </w:p>
    <w:p>
      <w:pPr>
        <w:pStyle w:val="BodyText"/>
        <w:spacing w:line="480" w:lineRule="auto" w:before="11"/>
        <w:ind w:left="695" w:right="112" w:hanging="543"/>
        <w:jc w:val="both"/>
      </w:pPr>
      <w:r>
        <w:rPr/>
        <w:t>Mion G, Villevieille T (2013) Ketamine pharmacology: An uptade (Pharmacodynamics and molecular aspects, recent findings). SNC Neurosci Ther 19, 370-380.</w:t>
      </w:r>
    </w:p>
    <w:p>
      <w:pPr>
        <w:pStyle w:val="BodyText"/>
        <w:spacing w:before="10"/>
        <w:ind w:left="152" w:right="70"/>
      </w:pPr>
      <w:r>
        <w:rPr/>
        <w:t>Morgan CJA, Curran HV (2012) Ketamine use: a review. Addiction 107, 27-38.</w:t>
      </w:r>
    </w:p>
    <w:p>
      <w:pPr>
        <w:pStyle w:val="BodyText"/>
      </w:pPr>
    </w:p>
    <w:p>
      <w:pPr>
        <w:pStyle w:val="BodyText"/>
        <w:spacing w:line="480" w:lineRule="auto"/>
        <w:ind w:left="695" w:right="111" w:hanging="543"/>
        <w:jc w:val="both"/>
      </w:pPr>
      <w:r>
        <w:rPr/>
        <w:t>Muir WW, Wiese AJ, March PA (2003) Effects of morphine, ketamine and morphine- lidocaine-ketamine drug combination on minimum alveolar concentration in dogs anesthetized with isoflurane. Am J Vet Res 64, 1155-60.</w:t>
      </w:r>
    </w:p>
    <w:p>
      <w:pPr>
        <w:pStyle w:val="BodyText"/>
        <w:spacing w:line="480" w:lineRule="auto" w:before="10"/>
        <w:ind w:left="695" w:right="120" w:hanging="543"/>
        <w:jc w:val="both"/>
      </w:pPr>
      <w:r>
        <w:rPr/>
        <w:t>Muir WW, Clifford JW (2001) Mechanisms of pain and their therapeutic implications.  J Am Vet Med Assoc 219, 1346-1356.</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65" w:lineRule="auto" w:before="69"/>
        <w:ind w:left="695" w:right="103" w:hanging="543"/>
        <w:jc w:val="both"/>
      </w:pPr>
      <w:r>
        <w:rPr>
          <w:spacing w:val="-3"/>
        </w:rPr>
        <w:t>Muir </w:t>
      </w:r>
      <w:r>
        <w:rPr/>
        <w:t>WW (2009) Physiology and pathophysiology </w:t>
      </w:r>
      <w:r>
        <w:rPr>
          <w:spacing w:val="4"/>
        </w:rPr>
        <w:t>of </w:t>
      </w:r>
      <w:r>
        <w:rPr/>
        <w:t>pain. In: Handbook of veterinary  pain management. Gaynor JS &amp; </w:t>
      </w:r>
      <w:r>
        <w:rPr>
          <w:spacing w:val="-3"/>
        </w:rPr>
        <w:t>Muir </w:t>
      </w:r>
      <w:r>
        <w:rPr/>
        <w:t>WW editors. 2</w:t>
      </w:r>
      <w:r>
        <w:rPr>
          <w:position w:val="11"/>
          <w:sz w:val="16"/>
        </w:rPr>
        <w:t>nd </w:t>
      </w:r>
      <w:r>
        <w:rPr/>
        <w:t>edition. MOSBY Elsevier. China. Pp</w:t>
      </w:r>
      <w:r>
        <w:rPr>
          <w:spacing w:val="-1"/>
        </w:rPr>
        <w:t> </w:t>
      </w:r>
      <w:r>
        <w:rPr/>
        <w:t>13-41.</w:t>
      </w:r>
    </w:p>
    <w:p>
      <w:pPr>
        <w:pStyle w:val="BodyText"/>
        <w:spacing w:line="480" w:lineRule="auto" w:before="26"/>
        <w:ind w:left="695" w:right="112" w:hanging="543"/>
        <w:jc w:val="both"/>
      </w:pPr>
      <w:r>
        <w:rPr/>
        <w:t>Murrel J, Hellebrekers L (2005) Medetomidine and dexmedetomidine: a review of cardiovascular effects and antinociceptive properties in the dog. Vet Anaesth Analg 32,117-127.</w:t>
      </w:r>
    </w:p>
    <w:p>
      <w:pPr>
        <w:pStyle w:val="BodyText"/>
        <w:spacing w:line="480" w:lineRule="auto" w:before="10"/>
        <w:ind w:left="695" w:right="114" w:hanging="543"/>
        <w:jc w:val="both"/>
      </w:pPr>
      <w:r>
        <w:rPr/>
        <w:t>Mutoh T, Nishimura R, Kim HY, Matsunaga S, Sasaki N (1997) Cardiopulmonary effects of sevoflurane, compared with halothane, enflurane and isoflurane, in dogs. Am J Vet Res 58, 885-890.</w:t>
      </w:r>
    </w:p>
    <w:p>
      <w:pPr>
        <w:pStyle w:val="BodyText"/>
        <w:spacing w:line="480" w:lineRule="auto" w:before="10"/>
        <w:ind w:left="695" w:right="106" w:hanging="543"/>
        <w:jc w:val="both"/>
      </w:pPr>
      <w:r>
        <w:rPr/>
        <w:t>Nunes de Moraes A, Dyson DH, O’Grady MR, McDonell WN, Holmberg DL (1998) Plasma concentrations and cardiovascular influence of lidocaine infuse-ions during isoflurane anesthesia in healthy dogs with subaortic stenosis. Vet Surg 27, 486-497.</w:t>
      </w:r>
    </w:p>
    <w:p>
      <w:pPr>
        <w:pStyle w:val="BodyText"/>
        <w:spacing w:line="480" w:lineRule="auto" w:before="10"/>
        <w:ind w:left="695" w:right="121" w:hanging="543"/>
        <w:jc w:val="both"/>
      </w:pPr>
      <w:r>
        <w:rPr/>
        <w:t>Ortega M, Cruz I (2011) Evaluation of a constant rate infusion of lidocaine for balanced anesthesia in dogs undergoing surgery. Can Vet J 52, 856-860.</w:t>
      </w:r>
    </w:p>
    <w:p>
      <w:pPr>
        <w:pStyle w:val="BodyText"/>
        <w:spacing w:line="480" w:lineRule="auto" w:before="10"/>
        <w:ind w:left="695" w:right="110" w:hanging="543"/>
        <w:jc w:val="both"/>
      </w:pPr>
      <w:r>
        <w:rPr/>
        <w:t>Padilha ST, Steagall PVM, Monteiro BP, Kahvegian MAP, Ubukata R, Rodrigues EO, Rosa </w:t>
      </w:r>
      <w:r>
        <w:rPr>
          <w:spacing w:val="-3"/>
        </w:rPr>
        <w:t>AL, </w:t>
      </w:r>
      <w:r>
        <w:rPr/>
        <w:t>Aguiar AJA (2011) A clinical comparison of remifentanil or alfentanil </w:t>
      </w:r>
      <w:r>
        <w:rPr>
          <w:spacing w:val="-3"/>
        </w:rPr>
        <w:t>in </w:t>
      </w:r>
      <w:r>
        <w:rPr/>
        <w:t>propofol-anesthetized cats undergoing ovariohisterectomy. J Feline Med Surg 13, 738-743.</w:t>
      </w:r>
    </w:p>
    <w:p>
      <w:pPr>
        <w:pStyle w:val="BodyText"/>
        <w:spacing w:line="480" w:lineRule="auto" w:before="10"/>
        <w:ind w:left="695" w:right="115" w:hanging="543"/>
        <w:jc w:val="both"/>
      </w:pPr>
      <w:r>
        <w:rPr/>
        <w:t>Paris A, Tonner PH (2005) Dexmedetomidine in anesthesia. Curr Opin Anesthesiol 18, 412-418.</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07" w:hanging="543"/>
        <w:jc w:val="both"/>
      </w:pPr>
      <w:r>
        <w:rPr/>
        <w:t>Pascoe PJ, Raekallio M, Kuusela E et al. (2006) Changes in the MAC of isoflurane and some cardiopulmonary measurements during three continuous infusion rates of dexmedetomidine in dogs. Vet Anaesth Analg 33, 97-103.</w:t>
      </w:r>
    </w:p>
    <w:p>
      <w:pPr>
        <w:pStyle w:val="BodyText"/>
        <w:spacing w:line="465" w:lineRule="auto" w:before="10"/>
        <w:ind w:left="695" w:right="103" w:hanging="543"/>
        <w:jc w:val="both"/>
      </w:pPr>
      <w:r>
        <w:rPr/>
        <w:t>Pascoe PJ, Steffey EP (2009). Introduction to drugs acting on the central nervous system and principles of anesthesiology. En: Veterinary Pharmacology &amp; Therapeutics. Riviere JE, Papich MG editors. 9</w:t>
      </w:r>
      <w:r>
        <w:rPr>
          <w:position w:val="11"/>
          <w:sz w:val="16"/>
        </w:rPr>
        <w:t>th </w:t>
      </w:r>
      <w:r>
        <w:rPr/>
        <w:t>ed. Wiley-Blackwell. USA. pp 183-210</w:t>
      </w:r>
    </w:p>
    <w:p>
      <w:pPr>
        <w:pStyle w:val="BodyText"/>
        <w:spacing w:line="266" w:lineRule="exact"/>
        <w:ind w:left="152" w:right="70"/>
      </w:pPr>
      <w:r>
        <w:rPr/>
        <w:t>Pawson P (2008) Sedatives. In: Small Animal Clinical Pharmacology. (2</w:t>
      </w:r>
      <w:r>
        <w:rPr>
          <w:position w:val="11"/>
          <w:sz w:val="16"/>
        </w:rPr>
        <w:t>nd  </w:t>
      </w:r>
      <w:r>
        <w:rPr/>
        <w:t>edn).  Maddison</w:t>
      </w:r>
    </w:p>
    <w:p>
      <w:pPr>
        <w:pStyle w:val="BodyText"/>
      </w:pPr>
    </w:p>
    <w:p>
      <w:pPr>
        <w:pStyle w:val="BodyText"/>
        <w:ind w:left="695" w:right="70"/>
      </w:pPr>
      <w:r>
        <w:rPr/>
        <w:t>J, Page S, Church D (eds). Saunders UK. pp 113-125.</w:t>
      </w:r>
    </w:p>
    <w:p>
      <w:pPr>
        <w:pStyle w:val="BodyText"/>
      </w:pPr>
    </w:p>
    <w:p>
      <w:pPr>
        <w:pStyle w:val="BodyText"/>
        <w:spacing w:line="480" w:lineRule="auto"/>
        <w:ind w:left="695" w:right="115" w:hanging="543"/>
        <w:jc w:val="both"/>
      </w:pPr>
      <w:r>
        <w:rPr/>
        <w:t>Pekcan Z, Koc B (2010) The postoperative analgesic effects of epidurally administered morphine and transdermal fentanyl patc after ovariohisterectomy </w:t>
      </w:r>
      <w:r>
        <w:rPr>
          <w:spacing w:val="-3"/>
        </w:rPr>
        <w:t>in </w:t>
      </w:r>
      <w:r>
        <w:rPr/>
        <w:t>dogs. Vet  Anaesth Analg 37,</w:t>
      </w:r>
      <w:r>
        <w:rPr>
          <w:spacing w:val="-4"/>
        </w:rPr>
        <w:t> </w:t>
      </w:r>
      <w:r>
        <w:rPr/>
        <w:t>557-565.</w:t>
      </w:r>
    </w:p>
    <w:p>
      <w:pPr>
        <w:pStyle w:val="BodyText"/>
        <w:spacing w:before="10"/>
        <w:ind w:left="152" w:right="70"/>
      </w:pPr>
      <w:r>
        <w:rPr/>
        <w:t>Perrson J (2013) Ketamine in pain management. CNS Neurosci Ther 19, 396-402.</w:t>
      </w:r>
    </w:p>
    <w:p>
      <w:pPr>
        <w:pStyle w:val="BodyText"/>
      </w:pPr>
    </w:p>
    <w:p>
      <w:pPr>
        <w:pStyle w:val="BodyText"/>
        <w:spacing w:line="480" w:lineRule="auto"/>
        <w:ind w:left="695" w:right="114" w:hanging="543"/>
        <w:jc w:val="both"/>
      </w:pPr>
      <w:r>
        <w:rPr/>
        <w:t>Polis I, Gasthuys F, Van Ham L, Laevens H (2001). Recovery times and evaluation of clinical hemodynamic parameters </w:t>
      </w:r>
      <w:r>
        <w:rPr>
          <w:spacing w:val="4"/>
        </w:rPr>
        <w:t>of </w:t>
      </w:r>
      <w:r>
        <w:rPr/>
        <w:t>sevoflurane, isoflurane and halothane  anaesthesia </w:t>
      </w:r>
      <w:r>
        <w:rPr>
          <w:spacing w:val="-3"/>
        </w:rPr>
        <w:t>in </w:t>
      </w:r>
      <w:r>
        <w:rPr/>
        <w:t>mongrel dogs. J </w:t>
      </w:r>
      <w:r>
        <w:rPr>
          <w:spacing w:val="-3"/>
        </w:rPr>
        <w:t>Vet </w:t>
      </w:r>
      <w:r>
        <w:rPr/>
        <w:t>Med 48,</w:t>
      </w:r>
      <w:r>
        <w:rPr>
          <w:spacing w:val="5"/>
        </w:rPr>
        <w:t> </w:t>
      </w:r>
      <w:r>
        <w:rPr/>
        <w:t>401-411.</w:t>
      </w:r>
    </w:p>
    <w:p>
      <w:pPr>
        <w:pStyle w:val="BodyText"/>
        <w:spacing w:line="465" w:lineRule="auto" w:before="10"/>
        <w:ind w:left="695" w:right="106" w:hanging="543"/>
        <w:jc w:val="both"/>
      </w:pPr>
      <w:r>
        <w:rPr/>
        <w:t>Posner LP, Burns P (2009) Injectable anesthetic agents. In: Veterinary Pharmacology &amp; Therapeutics. Riviere JE, Papich MG editors. 9</w:t>
      </w:r>
      <w:r>
        <w:rPr>
          <w:position w:val="11"/>
          <w:sz w:val="16"/>
        </w:rPr>
        <w:t>th </w:t>
      </w:r>
      <w:r>
        <w:rPr/>
        <w:t>ed. Wiley-Blackwell. USA. pp 265- 299.</w:t>
      </w:r>
    </w:p>
    <w:p>
      <w:pPr>
        <w:pStyle w:val="BodyText"/>
        <w:spacing w:line="465" w:lineRule="auto" w:before="26"/>
        <w:ind w:left="695" w:right="107" w:hanging="543"/>
        <w:jc w:val="both"/>
      </w:pPr>
      <w:r>
        <w:rPr/>
        <w:t>Posner LP, Burns P (2009a) Sedative agents: Tranquilizers, alpha-2 agonists, and related agents. In: Veterinary Pharmacology &amp; Therapeutics. Riviere JE, Papich MG editors. 9</w:t>
      </w:r>
      <w:r>
        <w:rPr>
          <w:position w:val="11"/>
          <w:sz w:val="16"/>
        </w:rPr>
        <w:t>th </w:t>
      </w:r>
      <w:r>
        <w:rPr/>
        <w:t>ed. Wiley-Blackwell. USA. pp 337-380.</w:t>
      </w:r>
    </w:p>
    <w:p>
      <w:pPr>
        <w:spacing w:after="0" w:line="465"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11" w:hanging="543"/>
        <w:jc w:val="both"/>
      </w:pPr>
      <w:r>
        <w:rPr/>
        <w:t>Pozzi A, Muir WW, Traverso F (2006) Prevention of central sensitization and pain by N- methyl-D-aspartate receptor antagonist. J Am Vet Med Assoc 228, 53-60.</w:t>
      </w:r>
    </w:p>
    <w:p>
      <w:pPr>
        <w:pStyle w:val="BodyText"/>
        <w:spacing w:line="480" w:lineRule="auto" w:before="10"/>
        <w:ind w:left="695" w:right="121" w:hanging="543"/>
        <w:jc w:val="both"/>
      </w:pPr>
      <w:r>
        <w:rPr/>
        <w:t>Pypendop BH, Ilkiw JE (2005) The effects of intravenous lidocaine administration on the minimum alveolar concentration of isoflurane in cats. Anesth Analg 100, 97-101.</w:t>
      </w:r>
    </w:p>
    <w:p>
      <w:pPr>
        <w:pStyle w:val="BodyText"/>
        <w:spacing w:line="480" w:lineRule="auto" w:before="10"/>
        <w:ind w:left="695" w:right="111" w:hanging="543"/>
        <w:jc w:val="both"/>
      </w:pPr>
      <w:r>
        <w:rPr/>
        <w:t>Pypendop BH, Solano A, Boscan P et al (2007) Characteristics of the relationship between plasma ketamine concentration and its effect on the minimum alveolar concentration of isoflurane in dogs. Vet Anaesth Analg 34, 209-212.</w:t>
      </w:r>
    </w:p>
    <w:p>
      <w:pPr>
        <w:pStyle w:val="BodyText"/>
        <w:spacing w:line="465" w:lineRule="auto" w:before="11"/>
        <w:ind w:left="695" w:right="106" w:hanging="543"/>
        <w:jc w:val="both"/>
      </w:pPr>
      <w:r>
        <w:rPr/>
        <w:t>Quandt J, Lee JA (2009) Analgesia and constant rate infusions. In: Small Animal Critical Care Medicine. (1</w:t>
      </w:r>
      <w:r>
        <w:rPr>
          <w:position w:val="11"/>
          <w:sz w:val="16"/>
        </w:rPr>
        <w:t>st </w:t>
      </w:r>
      <w:r>
        <w:rPr/>
        <w:t>edn) Silverstein D, Hooper K (eds). Saunders. Canada. pp 710- 716.</w:t>
      </w:r>
    </w:p>
    <w:p>
      <w:pPr>
        <w:pStyle w:val="BodyText"/>
        <w:spacing w:line="480" w:lineRule="auto" w:before="26"/>
        <w:ind w:left="695" w:right="119" w:hanging="543"/>
        <w:jc w:val="both"/>
      </w:pPr>
      <w:r>
        <w:rPr/>
        <w:t>Robertson SA, Sanchez LC, Merrit </w:t>
      </w:r>
      <w:r>
        <w:rPr>
          <w:spacing w:val="-3"/>
        </w:rPr>
        <w:t>AM </w:t>
      </w:r>
      <w:r>
        <w:rPr/>
        <w:t>et </w:t>
      </w:r>
      <w:r>
        <w:rPr>
          <w:spacing w:val="-3"/>
        </w:rPr>
        <w:t>al. </w:t>
      </w:r>
      <w:r>
        <w:rPr/>
        <w:t>(2005) Effect of systemic lidocaine on visceral and somatic nociception </w:t>
      </w:r>
      <w:r>
        <w:rPr>
          <w:spacing w:val="-3"/>
        </w:rPr>
        <w:t>in </w:t>
      </w:r>
      <w:r>
        <w:rPr/>
        <w:t>conscious horses. Equine Vet J 37,</w:t>
      </w:r>
      <w:r>
        <w:rPr>
          <w:spacing w:val="-18"/>
        </w:rPr>
        <w:t> </w:t>
      </w:r>
      <w:r>
        <w:rPr/>
        <w:t>122-127.</w:t>
      </w:r>
    </w:p>
    <w:p>
      <w:pPr>
        <w:pStyle w:val="BodyText"/>
        <w:spacing w:line="480" w:lineRule="auto" w:before="10"/>
        <w:ind w:left="695" w:right="113" w:hanging="543"/>
        <w:jc w:val="both"/>
      </w:pPr>
      <w:r>
        <w:rPr/>
        <w:t>Saadawy IM, Kaki AM, Abd El Latif AA et al. (2010) Lidocaine vs. magnesium: effect on analgesia after laparoscopic cholecystectomy. Acta Anaesthesiol Scand 54, 549-556.</w:t>
      </w:r>
    </w:p>
    <w:p>
      <w:pPr>
        <w:pStyle w:val="BodyText"/>
        <w:spacing w:line="480" w:lineRule="auto" w:before="10"/>
        <w:ind w:left="695" w:right="106" w:hanging="543"/>
        <w:jc w:val="both"/>
      </w:pPr>
      <w:r>
        <w:rPr/>
        <w:t>Sano T, Nishimura R, Kanazawa H et al. (2006) Pharmacokinetics of fentanyl after single intravenous injection and constant rate infusion in dogs. Vet Anaesth Analg 33, 266- 273.</w:t>
      </w:r>
    </w:p>
    <w:p>
      <w:pPr>
        <w:pStyle w:val="BodyText"/>
        <w:spacing w:line="480" w:lineRule="auto" w:before="11"/>
        <w:ind w:left="695" w:right="104" w:hanging="543"/>
        <w:jc w:val="both"/>
      </w:pPr>
      <w:r>
        <w:rPr/>
        <w:t>Sarrau S, Jourdan J, Dupuis-Soyris F et </w:t>
      </w:r>
      <w:r>
        <w:rPr>
          <w:spacing w:val="-4"/>
        </w:rPr>
        <w:t>al. </w:t>
      </w:r>
      <w:r>
        <w:rPr/>
        <w:t>(2007) Effects of postoperative ketamine infusion on pain control and feeding behavior </w:t>
      </w:r>
      <w:r>
        <w:rPr>
          <w:spacing w:val="-3"/>
        </w:rPr>
        <w:t>in </w:t>
      </w:r>
      <w:r>
        <w:rPr/>
        <w:t>bitches undergoing mastectomy. J Small Anim Pract 48,</w:t>
      </w:r>
      <w:r>
        <w:rPr>
          <w:spacing w:val="-4"/>
        </w:rPr>
        <w:t> </w:t>
      </w:r>
      <w:r>
        <w:rPr/>
        <w:t>670-676.</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98" w:hanging="543"/>
        <w:jc w:val="both"/>
      </w:pPr>
      <w:r>
        <w:rPr/>
        <w:t>Schnabel A, Reichl SU, Poepping DM et al. (2013) Efficacy and safety of intraoperative dexmedetomidine for acute postoperative pain in children: a meta-analysis of randomized controlled trials. Paediatr Anaesth 23, 170-179.</w:t>
      </w:r>
    </w:p>
    <w:p>
      <w:pPr>
        <w:pStyle w:val="BodyText"/>
        <w:spacing w:line="480" w:lineRule="auto" w:before="10"/>
        <w:ind w:left="695" w:right="115" w:hanging="543"/>
        <w:jc w:val="both"/>
      </w:pPr>
      <w:r>
        <w:rPr/>
        <w:t>Shih AC, Robertson S, Isaza N et al. (2008). Comparison between analgesic effects of buprenorphine, carprofen, and buprenorphine with carprofen for canine ovariohisterectomy. Vet Anaesth Analg 35, 69-79.</w:t>
      </w:r>
    </w:p>
    <w:p>
      <w:pPr>
        <w:pStyle w:val="BodyText"/>
        <w:spacing w:line="480" w:lineRule="auto" w:before="10"/>
        <w:ind w:left="695" w:right="111" w:hanging="543"/>
        <w:jc w:val="both"/>
      </w:pPr>
      <w:r>
        <w:rPr/>
        <w:t>Short CE (2003). The management of animal pain: Where have we been, where are we now and where are we going? Vet J 165, 101-103.</w:t>
      </w:r>
    </w:p>
    <w:p>
      <w:pPr>
        <w:pStyle w:val="BodyText"/>
        <w:spacing w:line="480" w:lineRule="auto" w:before="10"/>
        <w:ind w:left="695" w:right="110" w:hanging="543"/>
        <w:jc w:val="both"/>
      </w:pPr>
      <w:r>
        <w:rPr/>
        <w:t>Sinclair MD, Dyson DH (2012). The impact of acepromazine on the efficacy of crystalloid, dextran or ephedrine treatment in hypotensive dogs under isoflurane anesthesia. Vet Anesth Analg 39, 563-573.</w:t>
      </w:r>
    </w:p>
    <w:p>
      <w:pPr>
        <w:pStyle w:val="BodyText"/>
        <w:spacing w:line="480" w:lineRule="auto" w:before="10"/>
        <w:ind w:left="695" w:right="101" w:hanging="543"/>
        <w:jc w:val="both"/>
      </w:pPr>
      <w:r>
        <w:rPr/>
        <w:t>Slingsby LS, Waterman-Pearson AE (2000) The post-operative analgesic effects of ketamine after canine ovariohisterectomy – a comparison between pre- or post- operative administration. Res Vet Sci 69, 147-152.</w:t>
      </w:r>
    </w:p>
    <w:p>
      <w:pPr>
        <w:pStyle w:val="BodyText"/>
        <w:spacing w:before="10"/>
        <w:ind w:left="152" w:right="70"/>
      </w:pPr>
      <w:r>
        <w:rPr/>
        <w:t>Smith LJ (2002)  Hypotension.  In: Veterinary Anesthesia and Pain management     secrets.</w:t>
      </w:r>
    </w:p>
    <w:p>
      <w:pPr>
        <w:pStyle w:val="BodyText"/>
      </w:pPr>
    </w:p>
    <w:p>
      <w:pPr>
        <w:pStyle w:val="BodyText"/>
        <w:ind w:left="695" w:right="70"/>
      </w:pPr>
      <w:r>
        <w:rPr/>
        <w:t>Gree SA editor. Hanley &amp; Belfus, Inc. USA. Pp. 135-140.</w:t>
      </w:r>
    </w:p>
    <w:p>
      <w:pPr>
        <w:pStyle w:val="BodyText"/>
      </w:pPr>
    </w:p>
    <w:p>
      <w:pPr>
        <w:pStyle w:val="BodyText"/>
        <w:spacing w:line="480" w:lineRule="auto"/>
        <w:ind w:left="695" w:right="121" w:hanging="543"/>
        <w:jc w:val="both"/>
      </w:pPr>
      <w:r>
        <w:rPr/>
        <w:t>Smith LJ, Bentley E, Shih A et al. (2004) Systemic lidocaine infusion as an analgesic for intraocular surgery in dogs: a pilot study. Vet Anaesth Analg 31, 53-63.</w:t>
      </w:r>
    </w:p>
    <w:p>
      <w:pPr>
        <w:pStyle w:val="BodyText"/>
        <w:spacing w:line="480" w:lineRule="auto" w:before="10"/>
        <w:ind w:left="695" w:right="113" w:hanging="543"/>
        <w:jc w:val="both"/>
      </w:pPr>
      <w:r>
        <w:rPr/>
        <w:t>Solano AM, Pypendop BH, Boscan PL et al. (2006) Effect of intravenous administration of ketamine on the minimum alveolar concentration of isoflurane in anesthetized dogs. Am J Vet Res 67, 21-25.</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10" w:hanging="543"/>
        <w:jc w:val="both"/>
      </w:pPr>
      <w:r>
        <w:rPr/>
        <w:t>Steagall PVM, Teixeira FJ, Minto BW et al. (2006) Evaluation of the isoflurane-sparing effects of lidocaine and fentanyl during surgery in dogs. J Am Vet Med Assoc 229, 522-527.</w:t>
      </w:r>
    </w:p>
    <w:p>
      <w:pPr>
        <w:pStyle w:val="BodyText"/>
        <w:spacing w:line="480" w:lineRule="auto" w:before="10"/>
        <w:ind w:left="695" w:right="114" w:hanging="543"/>
        <w:jc w:val="both"/>
      </w:pPr>
      <w:r>
        <w:rPr/>
        <w:t>Steagall PVM, Taylor PM, Rodrigues LCC et </w:t>
      </w:r>
      <w:r>
        <w:rPr>
          <w:spacing w:val="-4"/>
        </w:rPr>
        <w:t>al.</w:t>
      </w:r>
      <w:r>
        <w:rPr>
          <w:spacing w:val="52"/>
        </w:rPr>
        <w:t> </w:t>
      </w:r>
      <w:r>
        <w:rPr/>
        <w:t>(2009) Analgesia for cats after ovariohysterectomy with either buprenorphine or carprofen alone or </w:t>
      </w:r>
      <w:r>
        <w:rPr>
          <w:spacing w:val="-3"/>
        </w:rPr>
        <w:t>in </w:t>
      </w:r>
      <w:r>
        <w:rPr/>
        <w:t>combination. Vet Rec 164, 359-363.</w:t>
      </w:r>
    </w:p>
    <w:p>
      <w:pPr>
        <w:pStyle w:val="BodyText"/>
        <w:spacing w:line="480" w:lineRule="auto" w:before="10"/>
        <w:ind w:left="695" w:right="120" w:hanging="543"/>
        <w:jc w:val="both"/>
      </w:pPr>
      <w:r>
        <w:rPr/>
        <w:t>Steffey EP, Howland D (1977) Isoflurane potency in the dog and cat. Am J Vet Res 38, 1833-1849.</w:t>
      </w:r>
    </w:p>
    <w:p>
      <w:pPr>
        <w:pStyle w:val="BodyText"/>
        <w:spacing w:line="465" w:lineRule="auto" w:before="10"/>
        <w:ind w:left="695" w:right="102" w:hanging="543"/>
        <w:jc w:val="both"/>
      </w:pPr>
      <w:r>
        <w:rPr/>
        <w:t>Steffey EP, Mama KR (2007) Inhalation Anesthetics. In: In: Lumb &amp; Jones Veterinary Anesthesia and Analgesia. Tranquili WJ, Thurmon JC, Grimm KA editors. 4</w:t>
      </w:r>
      <w:r>
        <w:rPr>
          <w:position w:val="11"/>
          <w:sz w:val="16"/>
        </w:rPr>
        <w:t>th </w:t>
      </w:r>
      <w:r>
        <w:rPr/>
        <w:t>ed. Blackwell Publishing. USA. Pp 355-393.</w:t>
      </w:r>
    </w:p>
    <w:p>
      <w:pPr>
        <w:pStyle w:val="BodyText"/>
        <w:spacing w:before="26"/>
        <w:ind w:left="152" w:right="70"/>
      </w:pPr>
      <w:r>
        <w:rPr/>
        <w:t>Steffey EP  (2009). Inhalation  Anesthetics.  In:  Veterinary Pharmacology &amp; Therapeutics.</w:t>
      </w:r>
    </w:p>
    <w:p>
      <w:pPr>
        <w:pStyle w:val="BodyText"/>
        <w:spacing w:before="10"/>
        <w:rPr>
          <w:sz w:val="20"/>
        </w:rPr>
      </w:pPr>
    </w:p>
    <w:p>
      <w:pPr>
        <w:pStyle w:val="BodyText"/>
        <w:ind w:left="695" w:right="70"/>
      </w:pPr>
      <w:r>
        <w:rPr/>
        <w:t>Riviere JE, Papich MG editors. 9</w:t>
      </w:r>
      <w:r>
        <w:rPr>
          <w:position w:val="11"/>
          <w:sz w:val="16"/>
        </w:rPr>
        <w:t>th </w:t>
      </w:r>
      <w:r>
        <w:rPr/>
        <w:t>ed. Wiley-Blackwell. USA. pp 229-263.</w:t>
      </w:r>
    </w:p>
    <w:p>
      <w:pPr>
        <w:pStyle w:val="BodyText"/>
      </w:pPr>
    </w:p>
    <w:p>
      <w:pPr>
        <w:pStyle w:val="BodyText"/>
        <w:ind w:left="152" w:right="70"/>
      </w:pPr>
      <w:r>
        <w:rPr/>
        <w:t>Tendillo  CFJ,  Santos  GM  (2006)  Manual práctico  de anestesia  en el perro  y en el gato.</w:t>
      </w:r>
    </w:p>
    <w:p>
      <w:pPr>
        <w:pStyle w:val="BodyText"/>
      </w:pPr>
    </w:p>
    <w:p>
      <w:pPr>
        <w:pStyle w:val="BodyText"/>
        <w:ind w:left="695" w:right="70"/>
      </w:pPr>
      <w:r>
        <w:rPr/>
        <w:t>Boehringer Ingelheim. Pp 22.</w:t>
      </w:r>
    </w:p>
    <w:p>
      <w:pPr>
        <w:pStyle w:val="BodyText"/>
      </w:pPr>
    </w:p>
    <w:p>
      <w:pPr>
        <w:pStyle w:val="BodyText"/>
        <w:spacing w:line="480" w:lineRule="auto"/>
        <w:ind w:left="695" w:right="123" w:hanging="543"/>
        <w:jc w:val="both"/>
      </w:pPr>
      <w:r>
        <w:rPr/>
        <w:t>Thomas J, Kronenberg R, Cox MC et al. (2004). Intravenous lidocaine relieves severe pain: Results of an inpatient hospice chart review. J Palliat Med 7, 660-667.</w:t>
      </w:r>
    </w:p>
    <w:p>
      <w:pPr>
        <w:pStyle w:val="BodyText"/>
        <w:spacing w:line="465" w:lineRule="auto" w:before="11"/>
        <w:ind w:left="695" w:right="114" w:hanging="543"/>
        <w:jc w:val="both"/>
      </w:pPr>
      <w:r>
        <w:rPr/>
        <w:t>Thurmon JC, Short CE (2007) History and overview of veterinary anesthesia. In: Lumb &amp; Jones Veterinary Anesthesia and Analgesia. Tranquili WJ, Thurmon JC, Grimm KA editors. 4</w:t>
      </w:r>
      <w:r>
        <w:rPr>
          <w:position w:val="11"/>
          <w:sz w:val="16"/>
        </w:rPr>
        <w:t>th </w:t>
      </w:r>
      <w:r>
        <w:rPr/>
        <w:t>ed. Blackwell Publishing. USA. Pp 3-6.</w:t>
      </w:r>
    </w:p>
    <w:p>
      <w:pPr>
        <w:spacing w:after="0" w:line="465"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08" w:hanging="543"/>
        <w:jc w:val="both"/>
      </w:pPr>
      <w:r>
        <w:rPr/>
        <w:t>Ueyama Y, Lerche P, Eppler M et al. (2009) Effects of intravenous administration of perzinfotel, fentanyl, and a combination of both drugs on the mínimum alveolar concentration of isoflurane in dogs. Am J Vet Res 70, 1459-1464.</w:t>
      </w:r>
    </w:p>
    <w:p>
      <w:pPr>
        <w:pStyle w:val="BodyText"/>
        <w:spacing w:line="480" w:lineRule="auto" w:before="10"/>
        <w:ind w:left="695" w:right="106" w:hanging="543"/>
        <w:jc w:val="both"/>
      </w:pPr>
      <w:r>
        <w:rPr/>
        <w:t>Uilenreef JJ, Murrel JC, McKusick B et al. (2008) Dexmedetomidine continuous rate infusion during isoflurane anaesthesia in canine surgical patients. Vet Anaesth Analg 35, 1-12.</w:t>
      </w:r>
    </w:p>
    <w:p>
      <w:pPr>
        <w:pStyle w:val="BodyText"/>
        <w:spacing w:line="480" w:lineRule="auto" w:before="10"/>
        <w:ind w:left="695" w:right="113" w:hanging="543"/>
        <w:jc w:val="both"/>
      </w:pPr>
      <w:r>
        <w:rPr/>
        <w:t>Valtolina C, Robben JH, Uilenreef J et al. (2009) Clinical evaluation of the efficacy and safety of a constant rate infusion of dexmedetomidine for postoperative pain management in dogs. Vet Anaesth Analg 36, 369-383.</w:t>
      </w:r>
    </w:p>
    <w:p>
      <w:pPr>
        <w:pStyle w:val="BodyText"/>
        <w:spacing w:line="480" w:lineRule="auto" w:before="10"/>
        <w:ind w:left="695" w:right="106" w:hanging="543"/>
        <w:jc w:val="both"/>
      </w:pPr>
      <w:r>
        <w:rPr/>
        <w:t>Valverde A, Doherty T, Hernandez J et al. (2004) Effect of lidocaine on the minimum alveolar concentration of isoflurane in dogs. Vet Anaesth Analg 31, 264-271.</w:t>
      </w:r>
    </w:p>
    <w:p>
      <w:pPr>
        <w:pStyle w:val="BodyText"/>
        <w:spacing w:line="480" w:lineRule="auto" w:before="10"/>
        <w:ind w:left="695" w:right="111" w:hanging="543"/>
        <w:jc w:val="both"/>
      </w:pPr>
      <w:r>
        <w:rPr/>
        <w:t>Valverde A (2010) Alpha – 2 agonists as pain therapy in horses. Vet Clin Equine 26, 515- 532.</w:t>
      </w:r>
    </w:p>
    <w:p>
      <w:pPr>
        <w:pStyle w:val="BodyText"/>
        <w:spacing w:line="480" w:lineRule="auto" w:before="10"/>
        <w:ind w:left="695" w:right="107" w:hanging="543"/>
        <w:jc w:val="both"/>
      </w:pPr>
      <w:r>
        <w:rPr/>
        <w:t>Van Oostrom H, Doornenbal </w:t>
      </w:r>
      <w:r>
        <w:rPr>
          <w:spacing w:val="-3"/>
        </w:rPr>
        <w:t>A, </w:t>
      </w:r>
      <w:r>
        <w:rPr/>
        <w:t>Schot A et </w:t>
      </w:r>
      <w:r>
        <w:rPr>
          <w:spacing w:val="-4"/>
        </w:rPr>
        <w:t>al. </w:t>
      </w:r>
      <w:r>
        <w:rPr/>
        <w:t>(2011) Neurophysiological assessment of  the sedative and analgesic effects of a constant rate infusion </w:t>
      </w:r>
      <w:r>
        <w:rPr>
          <w:spacing w:val="4"/>
        </w:rPr>
        <w:t>of </w:t>
      </w:r>
      <w:r>
        <w:rPr/>
        <w:t>dexmedetomidine </w:t>
      </w:r>
      <w:r>
        <w:rPr>
          <w:spacing w:val="-3"/>
        </w:rPr>
        <w:t>in </w:t>
      </w:r>
      <w:r>
        <w:rPr/>
        <w:t>the dog. </w:t>
      </w:r>
      <w:r>
        <w:rPr>
          <w:spacing w:val="-3"/>
        </w:rPr>
        <w:t>Vet </w:t>
      </w:r>
      <w:r>
        <w:rPr/>
        <w:t>J 190,</w:t>
      </w:r>
      <w:r>
        <w:rPr>
          <w:spacing w:val="7"/>
        </w:rPr>
        <w:t> </w:t>
      </w:r>
      <w:r>
        <w:rPr/>
        <w:t>338-344.</w:t>
      </w:r>
    </w:p>
    <w:p>
      <w:pPr>
        <w:pStyle w:val="BodyText"/>
        <w:spacing w:line="480" w:lineRule="auto" w:before="10"/>
        <w:ind w:left="695" w:right="117" w:hanging="543"/>
        <w:jc w:val="both"/>
      </w:pPr>
      <w:r>
        <w:rPr/>
        <w:t>Wagner AE, Hellyer PW (2002). Obsrvation of private practice practices in Colorado, with an emphasis on anesthesia. J Vet Med Educ 29, 176-182.</w:t>
      </w:r>
    </w:p>
    <w:p>
      <w:pPr>
        <w:pStyle w:val="BodyText"/>
        <w:spacing w:line="480" w:lineRule="auto" w:before="10"/>
        <w:ind w:left="695" w:right="110" w:hanging="543"/>
        <w:jc w:val="both"/>
      </w:pPr>
      <w:r>
        <w:rPr/>
        <w:t>Wagner AE, Walton JA, Hellyer </w:t>
      </w:r>
      <w:r>
        <w:rPr>
          <w:spacing w:val="2"/>
        </w:rPr>
        <w:t>PW </w:t>
      </w:r>
      <w:r>
        <w:rPr/>
        <w:t>et </w:t>
      </w:r>
      <w:r>
        <w:rPr>
          <w:spacing w:val="-4"/>
        </w:rPr>
        <w:t>al.</w:t>
      </w:r>
      <w:r>
        <w:rPr>
          <w:spacing w:val="52"/>
        </w:rPr>
        <w:t> </w:t>
      </w:r>
      <w:r>
        <w:rPr/>
        <w:t>(2002) Use of low doses of ketamine administered by constant rate infusion as an adjunct for postoperative analgesia </w:t>
      </w:r>
      <w:r>
        <w:rPr>
          <w:spacing w:val="-3"/>
        </w:rPr>
        <w:t>in </w:t>
      </w:r>
      <w:r>
        <w:rPr/>
        <w:t>dogs. J Am Vet Med Assoc 221, 72-75.</w:t>
      </w:r>
    </w:p>
    <w:p>
      <w:pPr>
        <w:spacing w:after="0" w:line="480" w:lineRule="auto"/>
        <w:jc w:val="both"/>
        <w:sectPr>
          <w:pgSz w:w="12240" w:h="15840"/>
          <w:pgMar w:header="0" w:footer="1688" w:top="1500" w:bottom="1880" w:left="1720" w:right="1420"/>
        </w:sectPr>
      </w:pPr>
    </w:p>
    <w:p>
      <w:pPr>
        <w:pStyle w:val="BodyText"/>
        <w:spacing w:before="7"/>
        <w:rPr>
          <w:sz w:val="20"/>
        </w:rPr>
      </w:pPr>
    </w:p>
    <w:p>
      <w:pPr>
        <w:pStyle w:val="BodyText"/>
        <w:spacing w:line="480" w:lineRule="auto" w:before="69"/>
        <w:ind w:left="695" w:right="101" w:hanging="543"/>
        <w:jc w:val="both"/>
      </w:pPr>
      <w:r>
        <w:rPr/>
        <w:t>Wagner AE, Worland GA, Glawe JC et al. (2008) Multicenter, randomized controlled trial of pain-related behaviors following routine neutering in dogs. J Am Vet Med Assoc 232, 109-115.</w:t>
      </w:r>
    </w:p>
    <w:p>
      <w:pPr>
        <w:pStyle w:val="BodyText"/>
        <w:spacing w:line="286" w:lineRule="exact"/>
        <w:ind w:left="152" w:right="70"/>
      </w:pPr>
      <w:r>
        <w:rPr/>
        <w:t>Wagner AE (2009) Opioids, in Gaynor JS, Muir WW (eds). 2</w:t>
      </w:r>
      <w:r>
        <w:rPr>
          <w:position w:val="11"/>
          <w:sz w:val="16"/>
        </w:rPr>
        <w:t>nd </w:t>
      </w:r>
      <w:r>
        <w:rPr/>
        <w:t>ed. Handbook of Veterinary</w:t>
      </w:r>
    </w:p>
    <w:p>
      <w:pPr>
        <w:pStyle w:val="BodyText"/>
      </w:pPr>
    </w:p>
    <w:p>
      <w:pPr>
        <w:pStyle w:val="BodyText"/>
        <w:ind w:left="695" w:right="70"/>
      </w:pPr>
      <w:r>
        <w:rPr/>
        <w:t>Pain Management. St. Luois MO, Mosby, 2009, pp 163-182.</w:t>
      </w:r>
    </w:p>
    <w:p>
      <w:pPr>
        <w:pStyle w:val="BodyText"/>
      </w:pPr>
    </w:p>
    <w:p>
      <w:pPr>
        <w:pStyle w:val="BodyText"/>
        <w:spacing w:line="480" w:lineRule="auto"/>
        <w:ind w:left="695" w:right="70" w:hanging="543"/>
      </w:pPr>
      <w:r>
        <w:rPr/>
        <w:t>Wagner AE, Mich PM, Uhring SR, Hellyer PW (2010) Clinical evaluation of perioperative administration of gabapentin as an adjunct for postoperative analgesia in dogs undergoing amputation of a forelimb. J Am Vet Med Assoc 236, 751-756.</w:t>
      </w:r>
    </w:p>
    <w:p>
      <w:pPr>
        <w:pStyle w:val="BodyText"/>
        <w:spacing w:before="10"/>
        <w:ind w:left="152" w:right="70"/>
      </w:pPr>
      <w:r>
        <w:rPr/>
        <w:t>Webb AI, Pablo LS (2009) Local anesthetics. In: Veterinary Pharmacology &amp; Therapeutics.</w:t>
      </w:r>
    </w:p>
    <w:p>
      <w:pPr>
        <w:pStyle w:val="BodyText"/>
        <w:spacing w:before="10"/>
        <w:rPr>
          <w:sz w:val="20"/>
        </w:rPr>
      </w:pPr>
    </w:p>
    <w:p>
      <w:pPr>
        <w:pStyle w:val="BodyText"/>
        <w:ind w:left="695" w:right="70"/>
      </w:pPr>
      <w:r>
        <w:rPr/>
        <w:t>Riviere JE, Papich MG editors. 9</w:t>
      </w:r>
      <w:r>
        <w:rPr>
          <w:position w:val="11"/>
          <w:sz w:val="16"/>
        </w:rPr>
        <w:t>th </w:t>
      </w:r>
      <w:r>
        <w:rPr/>
        <w:t>ed. Wiley-Blackwell. USA. Pp. 381-399.</w:t>
      </w:r>
    </w:p>
    <w:p>
      <w:pPr>
        <w:pStyle w:val="BodyText"/>
      </w:pPr>
    </w:p>
    <w:p>
      <w:pPr>
        <w:pStyle w:val="BodyText"/>
        <w:spacing w:line="480" w:lineRule="auto"/>
        <w:ind w:left="695" w:right="70" w:hanging="543"/>
      </w:pPr>
      <w:r>
        <w:rPr/>
        <w:t>Wegner K, Horais KA, Tozier NA et al. (2008) Development of a canine nociceptive thermal escape model. J Neurosci Meth168, 88-97.</w:t>
      </w:r>
    </w:p>
    <w:p>
      <w:pPr>
        <w:pStyle w:val="BodyText"/>
        <w:spacing w:line="480" w:lineRule="auto" w:before="10"/>
        <w:ind w:left="695" w:right="118" w:hanging="543"/>
        <w:jc w:val="both"/>
      </w:pPr>
      <w:r>
        <w:rPr/>
        <w:t>Wilson J, Doherty TJ, Egger CM et al. (2008) Effects of intravenous lidocaine, ketamine, and the combination on the minimum alveolar concentration of sevoflurane in dogs. Vet Anaesth Analg 35, 289-296.</w:t>
      </w:r>
    </w:p>
    <w:p>
      <w:pPr>
        <w:pStyle w:val="BodyText"/>
        <w:spacing w:before="10"/>
        <w:ind w:left="152" w:right="70"/>
      </w:pPr>
      <w:r>
        <w:rPr/>
        <w:t>Wu CL, Raja SN (2011) Treatment of acute postoperative pain. Lancet 377, 2215-2225.</w:t>
      </w:r>
    </w:p>
    <w:sectPr>
      <w:footerReference w:type="default" r:id="rId56"/>
      <w:pgSz w:w="12240" w:h="15840"/>
      <w:pgMar w:footer="1688" w:header="0" w:top="1500" w:bottom="188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Arial Black">
    <w:altName w:val="Arial Black"/>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7.419983pt;margin-top:696.575928pt;width:10.75pt;height:14pt;mso-position-horizontal-relative:page;mso-position-vertical-relative:page;z-index:-13240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659973pt;margin-top:696.575928pt;width:16pt;height:14pt;mso-position-horizontal-relative:page;mso-position-vertical-relative:page;z-index:-132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64</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701.630005pt;margin-top:516.599915pt;width:16pt;height:14pt;mso-position-horizontal-relative:page;mso-position-vertical-relative:page;z-index:-1322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659973pt;margin-top:696.575928pt;width:16pt;height:14pt;mso-position-horizontal-relative:page;mso-position-vertical-relative:page;z-index:-1322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419983pt;margin-top:696.575928pt;width:16.75pt;height:14pt;mso-position-horizontal-relative:page;mso-position-vertical-relative:page;z-index:-13237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659973pt;margin-top:696.575928pt;width:16pt;height:14pt;mso-position-horizontal-relative:page;mso-position-vertical-relative:page;z-index:-1322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659973pt;margin-top:696.575928pt;width:20pt;height:14pt;mso-position-horizontal-relative:page;mso-position-vertical-relative:page;z-index:-132184" type="#_x0000_t202" filled="false" stroked="false">
          <v:textbox inset="0,0,0,0">
            <w:txbxContent>
              <w:p>
                <w:pPr>
                  <w:pStyle w:val="BodyText"/>
                  <w:spacing w:line="265" w:lineRule="exact"/>
                  <w:ind w:left="20"/>
                </w:pPr>
                <w:r>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659973pt;margin-top:696.575928pt;width:10pt;height:14pt;mso-position-horizontal-relative:page;mso-position-vertical-relative:page;z-index:-1323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659973pt;margin-top:696.575928pt;width:10pt;height:14pt;mso-position-horizontal-relative:page;mso-position-vertical-relative:page;z-index:-132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21.659973pt;margin-top:696.575928pt;width:16pt;height:14pt;mso-position-horizontal-relative:page;mso-position-vertical-relative:page;z-index:-1323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9">
    <w:multiLevelType w:val="hybridMultilevel"/>
    <w:lvl w:ilvl="0">
      <w:start w:val="82"/>
      <w:numFmt w:val="decimal"/>
      <w:lvlText w:val="%1"/>
      <w:lvlJc w:val="left"/>
      <w:pPr>
        <w:ind w:left="232" w:hanging="60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194" w:hanging="601"/>
      </w:pPr>
      <w:rPr>
        <w:rFonts w:hint="default"/>
      </w:rPr>
    </w:lvl>
    <w:lvl w:ilvl="2">
      <w:start w:val="1"/>
      <w:numFmt w:val="bullet"/>
      <w:lvlText w:val="•"/>
      <w:lvlJc w:val="left"/>
      <w:pPr>
        <w:ind w:left="2148" w:hanging="601"/>
      </w:pPr>
      <w:rPr>
        <w:rFonts w:hint="default"/>
      </w:rPr>
    </w:lvl>
    <w:lvl w:ilvl="3">
      <w:start w:val="1"/>
      <w:numFmt w:val="bullet"/>
      <w:lvlText w:val="•"/>
      <w:lvlJc w:val="left"/>
      <w:pPr>
        <w:ind w:left="3102" w:hanging="601"/>
      </w:pPr>
      <w:rPr>
        <w:rFonts w:hint="default"/>
      </w:rPr>
    </w:lvl>
    <w:lvl w:ilvl="4">
      <w:start w:val="1"/>
      <w:numFmt w:val="bullet"/>
      <w:lvlText w:val="•"/>
      <w:lvlJc w:val="left"/>
      <w:pPr>
        <w:ind w:left="4056" w:hanging="601"/>
      </w:pPr>
      <w:rPr>
        <w:rFonts w:hint="default"/>
      </w:rPr>
    </w:lvl>
    <w:lvl w:ilvl="5">
      <w:start w:val="1"/>
      <w:numFmt w:val="bullet"/>
      <w:lvlText w:val="•"/>
      <w:lvlJc w:val="left"/>
      <w:pPr>
        <w:ind w:left="5010" w:hanging="601"/>
      </w:pPr>
      <w:rPr>
        <w:rFonts w:hint="default"/>
      </w:rPr>
    </w:lvl>
    <w:lvl w:ilvl="6">
      <w:start w:val="1"/>
      <w:numFmt w:val="bullet"/>
      <w:lvlText w:val="•"/>
      <w:lvlJc w:val="left"/>
      <w:pPr>
        <w:ind w:left="5964" w:hanging="601"/>
      </w:pPr>
      <w:rPr>
        <w:rFonts w:hint="default"/>
      </w:rPr>
    </w:lvl>
    <w:lvl w:ilvl="7">
      <w:start w:val="1"/>
      <w:numFmt w:val="bullet"/>
      <w:lvlText w:val="•"/>
      <w:lvlJc w:val="left"/>
      <w:pPr>
        <w:ind w:left="6918" w:hanging="601"/>
      </w:pPr>
      <w:rPr>
        <w:rFonts w:hint="default"/>
      </w:rPr>
    </w:lvl>
    <w:lvl w:ilvl="8">
      <w:start w:val="1"/>
      <w:numFmt w:val="bullet"/>
      <w:lvlText w:val="•"/>
      <w:lvlJc w:val="left"/>
      <w:pPr>
        <w:ind w:left="7872" w:hanging="601"/>
      </w:pPr>
      <w:rPr>
        <w:rFonts w:hint="default"/>
      </w:rPr>
    </w:lvl>
  </w:abstractNum>
  <w:abstractNum w:abstractNumId="34">
    <w:multiLevelType w:val="hybridMultilevel"/>
    <w:lvl w:ilvl="0">
      <w:start w:val="8"/>
      <w:numFmt w:val="decimal"/>
      <w:lvlText w:val="%1"/>
      <w:lvlJc w:val="left"/>
      <w:pPr>
        <w:ind w:left="1237" w:hanging="365"/>
        <w:jc w:val="left"/>
      </w:pPr>
      <w:rPr>
        <w:rFonts w:hint="default"/>
      </w:rPr>
    </w:lvl>
    <w:lvl w:ilvl="1">
      <w:start w:val="1"/>
      <w:numFmt w:val="decimal"/>
      <w:lvlText w:val="%1.%2"/>
      <w:lvlJc w:val="left"/>
      <w:pPr>
        <w:ind w:left="1237" w:hanging="365"/>
        <w:jc w:val="left"/>
      </w:pPr>
      <w:rPr>
        <w:rFonts w:hint="default" w:ascii="Times New Roman" w:hAnsi="Times New Roman" w:eastAsia="Times New Roman" w:cs="Times New Roman"/>
        <w:b/>
        <w:bCs/>
        <w:w w:val="100"/>
        <w:sz w:val="24"/>
        <w:szCs w:val="24"/>
      </w:rPr>
    </w:lvl>
    <w:lvl w:ilvl="2">
      <w:start w:val="1"/>
      <w:numFmt w:val="bullet"/>
      <w:lvlText w:val="•"/>
      <w:lvlJc w:val="left"/>
      <w:pPr>
        <w:ind w:left="2812" w:hanging="365"/>
      </w:pPr>
      <w:rPr>
        <w:rFonts w:hint="default"/>
      </w:rPr>
    </w:lvl>
    <w:lvl w:ilvl="3">
      <w:start w:val="1"/>
      <w:numFmt w:val="bullet"/>
      <w:lvlText w:val="•"/>
      <w:lvlJc w:val="left"/>
      <w:pPr>
        <w:ind w:left="3598" w:hanging="365"/>
      </w:pPr>
      <w:rPr>
        <w:rFonts w:hint="default"/>
      </w:rPr>
    </w:lvl>
    <w:lvl w:ilvl="4">
      <w:start w:val="1"/>
      <w:numFmt w:val="bullet"/>
      <w:lvlText w:val="•"/>
      <w:lvlJc w:val="left"/>
      <w:pPr>
        <w:ind w:left="4384" w:hanging="365"/>
      </w:pPr>
      <w:rPr>
        <w:rFonts w:hint="default"/>
      </w:rPr>
    </w:lvl>
    <w:lvl w:ilvl="5">
      <w:start w:val="1"/>
      <w:numFmt w:val="bullet"/>
      <w:lvlText w:val="•"/>
      <w:lvlJc w:val="left"/>
      <w:pPr>
        <w:ind w:left="5170" w:hanging="365"/>
      </w:pPr>
      <w:rPr>
        <w:rFonts w:hint="default"/>
      </w:rPr>
    </w:lvl>
    <w:lvl w:ilvl="6">
      <w:start w:val="1"/>
      <w:numFmt w:val="bullet"/>
      <w:lvlText w:val="•"/>
      <w:lvlJc w:val="left"/>
      <w:pPr>
        <w:ind w:left="5956" w:hanging="365"/>
      </w:pPr>
      <w:rPr>
        <w:rFonts w:hint="default"/>
      </w:rPr>
    </w:lvl>
    <w:lvl w:ilvl="7">
      <w:start w:val="1"/>
      <w:numFmt w:val="bullet"/>
      <w:lvlText w:val="•"/>
      <w:lvlJc w:val="left"/>
      <w:pPr>
        <w:ind w:left="6742" w:hanging="365"/>
      </w:pPr>
      <w:rPr>
        <w:rFonts w:hint="default"/>
      </w:rPr>
    </w:lvl>
    <w:lvl w:ilvl="8">
      <w:start w:val="1"/>
      <w:numFmt w:val="bullet"/>
      <w:lvlText w:val="•"/>
      <w:lvlJc w:val="left"/>
      <w:pPr>
        <w:ind w:left="7528" w:hanging="365"/>
      </w:pPr>
      <w:rPr>
        <w:rFonts w:hint="default"/>
      </w:rPr>
    </w:lvl>
  </w:abstractNum>
  <w:abstractNum w:abstractNumId="33">
    <w:multiLevelType w:val="hybridMultilevel"/>
    <w:lvl w:ilvl="0">
      <w:start w:val="4"/>
      <w:numFmt w:val="decimal"/>
      <w:lvlText w:val="%1"/>
      <w:lvlJc w:val="left"/>
      <w:pPr>
        <w:ind w:left="197" w:hanging="202"/>
        <w:jc w:val="left"/>
      </w:pPr>
      <w:rPr>
        <w:rFonts w:hint="default"/>
      </w:rPr>
    </w:lvl>
    <w:lvl w:ilvl="1">
      <w:start w:val="5"/>
      <w:numFmt w:val="decimal"/>
      <w:lvlText w:val="%1.%2"/>
      <w:lvlJc w:val="left"/>
      <w:pPr>
        <w:ind w:left="197" w:hanging="202"/>
        <w:jc w:val="left"/>
      </w:pPr>
      <w:rPr>
        <w:rFonts w:hint="default" w:ascii="Times New Roman" w:hAnsi="Times New Roman" w:eastAsia="Times New Roman" w:cs="Times New Roman"/>
        <w:spacing w:val="-2"/>
        <w:w w:val="98"/>
        <w:sz w:val="16"/>
        <w:szCs w:val="16"/>
      </w:rPr>
    </w:lvl>
    <w:lvl w:ilvl="2">
      <w:start w:val="1"/>
      <w:numFmt w:val="bullet"/>
      <w:lvlText w:val=""/>
      <w:lvlJc w:val="left"/>
      <w:pPr>
        <w:ind w:left="873" w:hanging="360"/>
      </w:pPr>
      <w:rPr>
        <w:rFonts w:hint="default" w:ascii="Symbol" w:hAnsi="Symbol" w:eastAsia="Symbol" w:cs="Symbol"/>
        <w:w w:val="100"/>
        <w:sz w:val="24"/>
        <w:szCs w:val="24"/>
      </w:rPr>
    </w:lvl>
    <w:lvl w:ilvl="3">
      <w:start w:val="1"/>
      <w:numFmt w:val="bullet"/>
      <w:lvlText w:val="•"/>
      <w:lvlJc w:val="left"/>
      <w:pPr>
        <w:ind w:left="391" w:hanging="360"/>
      </w:pPr>
      <w:rPr>
        <w:rFonts w:hint="default"/>
      </w:rPr>
    </w:lvl>
    <w:lvl w:ilvl="4">
      <w:start w:val="1"/>
      <w:numFmt w:val="bullet"/>
      <w:lvlText w:val="•"/>
      <w:lvlJc w:val="left"/>
      <w:pPr>
        <w:ind w:left="147" w:hanging="360"/>
      </w:pPr>
      <w:rPr>
        <w:rFonts w:hint="default"/>
      </w:rPr>
    </w:lvl>
    <w:lvl w:ilvl="5">
      <w:start w:val="1"/>
      <w:numFmt w:val="bullet"/>
      <w:lvlText w:val="•"/>
      <w:lvlJc w:val="left"/>
      <w:pPr>
        <w:ind w:left="-97" w:hanging="360"/>
      </w:pPr>
      <w:rPr>
        <w:rFonts w:hint="default"/>
      </w:rPr>
    </w:lvl>
    <w:lvl w:ilvl="6">
      <w:start w:val="1"/>
      <w:numFmt w:val="bullet"/>
      <w:lvlText w:val="•"/>
      <w:lvlJc w:val="left"/>
      <w:pPr>
        <w:ind w:left="-341" w:hanging="360"/>
      </w:pPr>
      <w:rPr>
        <w:rFonts w:hint="default"/>
      </w:rPr>
    </w:lvl>
    <w:lvl w:ilvl="7">
      <w:start w:val="1"/>
      <w:numFmt w:val="bullet"/>
      <w:lvlText w:val="•"/>
      <w:lvlJc w:val="left"/>
      <w:pPr>
        <w:ind w:left="-585" w:hanging="360"/>
      </w:pPr>
      <w:rPr>
        <w:rFonts w:hint="default"/>
      </w:rPr>
    </w:lvl>
    <w:lvl w:ilvl="8">
      <w:start w:val="1"/>
      <w:numFmt w:val="bullet"/>
      <w:lvlText w:val="•"/>
      <w:lvlJc w:val="left"/>
      <w:pPr>
        <w:ind w:left="-829" w:hanging="360"/>
      </w:pPr>
      <w:rPr>
        <w:rFonts w:hint="default"/>
      </w:rPr>
    </w:lvl>
  </w:abstractNum>
  <w:abstractNum w:abstractNumId="32">
    <w:multiLevelType w:val="hybridMultilevel"/>
    <w:lvl w:ilvl="0">
      <w:start w:val="239"/>
      <w:numFmt w:val="decimal"/>
      <w:lvlText w:val="%1"/>
      <w:lvlJc w:val="left"/>
      <w:pPr>
        <w:ind w:left="1553" w:hanging="144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2382" w:hanging="1441"/>
      </w:pPr>
      <w:rPr>
        <w:rFonts w:hint="default"/>
      </w:rPr>
    </w:lvl>
    <w:lvl w:ilvl="2">
      <w:start w:val="1"/>
      <w:numFmt w:val="bullet"/>
      <w:lvlText w:val="•"/>
      <w:lvlJc w:val="left"/>
      <w:pPr>
        <w:ind w:left="3204" w:hanging="1441"/>
      </w:pPr>
      <w:rPr>
        <w:rFonts w:hint="default"/>
      </w:rPr>
    </w:lvl>
    <w:lvl w:ilvl="3">
      <w:start w:val="1"/>
      <w:numFmt w:val="bullet"/>
      <w:lvlText w:val="•"/>
      <w:lvlJc w:val="left"/>
      <w:pPr>
        <w:ind w:left="4026" w:hanging="1441"/>
      </w:pPr>
      <w:rPr>
        <w:rFonts w:hint="default"/>
      </w:rPr>
    </w:lvl>
    <w:lvl w:ilvl="4">
      <w:start w:val="1"/>
      <w:numFmt w:val="bullet"/>
      <w:lvlText w:val="•"/>
      <w:lvlJc w:val="left"/>
      <w:pPr>
        <w:ind w:left="4848" w:hanging="1441"/>
      </w:pPr>
      <w:rPr>
        <w:rFonts w:hint="default"/>
      </w:rPr>
    </w:lvl>
    <w:lvl w:ilvl="5">
      <w:start w:val="1"/>
      <w:numFmt w:val="bullet"/>
      <w:lvlText w:val="•"/>
      <w:lvlJc w:val="left"/>
      <w:pPr>
        <w:ind w:left="5670" w:hanging="1441"/>
      </w:pPr>
      <w:rPr>
        <w:rFonts w:hint="default"/>
      </w:rPr>
    </w:lvl>
    <w:lvl w:ilvl="6">
      <w:start w:val="1"/>
      <w:numFmt w:val="bullet"/>
      <w:lvlText w:val="•"/>
      <w:lvlJc w:val="left"/>
      <w:pPr>
        <w:ind w:left="6492" w:hanging="1441"/>
      </w:pPr>
      <w:rPr>
        <w:rFonts w:hint="default"/>
      </w:rPr>
    </w:lvl>
    <w:lvl w:ilvl="7">
      <w:start w:val="1"/>
      <w:numFmt w:val="bullet"/>
      <w:lvlText w:val="•"/>
      <w:lvlJc w:val="left"/>
      <w:pPr>
        <w:ind w:left="7314" w:hanging="1441"/>
      </w:pPr>
      <w:rPr>
        <w:rFonts w:hint="default"/>
      </w:rPr>
    </w:lvl>
    <w:lvl w:ilvl="8">
      <w:start w:val="1"/>
      <w:numFmt w:val="bullet"/>
      <w:lvlText w:val="•"/>
      <w:lvlJc w:val="left"/>
      <w:pPr>
        <w:ind w:left="8136" w:hanging="1441"/>
      </w:pPr>
      <w:rPr>
        <w:rFonts w:hint="default"/>
      </w:rPr>
    </w:lvl>
  </w:abstractNum>
  <w:abstractNum w:abstractNumId="31">
    <w:multiLevelType w:val="hybridMultilevel"/>
    <w:lvl w:ilvl="0">
      <w:start w:val="200"/>
      <w:numFmt w:val="decimal"/>
      <w:lvlText w:val="%1"/>
      <w:lvlJc w:val="left"/>
      <w:pPr>
        <w:ind w:left="1538" w:hanging="1427"/>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2364" w:hanging="1427"/>
      </w:pPr>
      <w:rPr>
        <w:rFonts w:hint="default"/>
      </w:rPr>
    </w:lvl>
    <w:lvl w:ilvl="2">
      <w:start w:val="1"/>
      <w:numFmt w:val="bullet"/>
      <w:lvlText w:val="•"/>
      <w:lvlJc w:val="left"/>
      <w:pPr>
        <w:ind w:left="3188" w:hanging="1427"/>
      </w:pPr>
      <w:rPr>
        <w:rFonts w:hint="default"/>
      </w:rPr>
    </w:lvl>
    <w:lvl w:ilvl="3">
      <w:start w:val="1"/>
      <w:numFmt w:val="bullet"/>
      <w:lvlText w:val="•"/>
      <w:lvlJc w:val="left"/>
      <w:pPr>
        <w:ind w:left="4012" w:hanging="1427"/>
      </w:pPr>
      <w:rPr>
        <w:rFonts w:hint="default"/>
      </w:rPr>
    </w:lvl>
    <w:lvl w:ilvl="4">
      <w:start w:val="1"/>
      <w:numFmt w:val="bullet"/>
      <w:lvlText w:val="•"/>
      <w:lvlJc w:val="left"/>
      <w:pPr>
        <w:ind w:left="4836" w:hanging="1427"/>
      </w:pPr>
      <w:rPr>
        <w:rFonts w:hint="default"/>
      </w:rPr>
    </w:lvl>
    <w:lvl w:ilvl="5">
      <w:start w:val="1"/>
      <w:numFmt w:val="bullet"/>
      <w:lvlText w:val="•"/>
      <w:lvlJc w:val="left"/>
      <w:pPr>
        <w:ind w:left="5660" w:hanging="1427"/>
      </w:pPr>
      <w:rPr>
        <w:rFonts w:hint="default"/>
      </w:rPr>
    </w:lvl>
    <w:lvl w:ilvl="6">
      <w:start w:val="1"/>
      <w:numFmt w:val="bullet"/>
      <w:lvlText w:val="•"/>
      <w:lvlJc w:val="left"/>
      <w:pPr>
        <w:ind w:left="6484" w:hanging="1427"/>
      </w:pPr>
      <w:rPr>
        <w:rFonts w:hint="default"/>
      </w:rPr>
    </w:lvl>
    <w:lvl w:ilvl="7">
      <w:start w:val="1"/>
      <w:numFmt w:val="bullet"/>
      <w:lvlText w:val="•"/>
      <w:lvlJc w:val="left"/>
      <w:pPr>
        <w:ind w:left="7308" w:hanging="1427"/>
      </w:pPr>
      <w:rPr>
        <w:rFonts w:hint="default"/>
      </w:rPr>
    </w:lvl>
    <w:lvl w:ilvl="8">
      <w:start w:val="1"/>
      <w:numFmt w:val="bullet"/>
      <w:lvlText w:val="•"/>
      <w:lvlJc w:val="left"/>
      <w:pPr>
        <w:ind w:left="8132" w:hanging="1427"/>
      </w:pPr>
      <w:rPr>
        <w:rFonts w:hint="default"/>
      </w:rPr>
    </w:lvl>
  </w:abstractNum>
  <w:abstractNum w:abstractNumId="30">
    <w:multiLevelType w:val="hybridMultilevel"/>
    <w:lvl w:ilvl="0">
      <w:start w:val="87"/>
      <w:numFmt w:val="decimal"/>
      <w:lvlText w:val="%1"/>
      <w:lvlJc w:val="left"/>
      <w:pPr>
        <w:ind w:left="832" w:hanging="601"/>
        <w:jc w:val="right"/>
      </w:pPr>
      <w:rPr>
        <w:rFonts w:hint="default" w:ascii="Times New Roman" w:hAnsi="Times New Roman" w:eastAsia="Times New Roman" w:cs="Times New Roman"/>
        <w:w w:val="100"/>
        <w:sz w:val="24"/>
        <w:szCs w:val="24"/>
      </w:rPr>
    </w:lvl>
    <w:lvl w:ilvl="1">
      <w:start w:val="1"/>
      <w:numFmt w:val="bullet"/>
      <w:lvlText w:val="•"/>
      <w:lvlJc w:val="left"/>
      <w:pPr>
        <w:ind w:left="1734" w:hanging="601"/>
      </w:pPr>
      <w:rPr>
        <w:rFonts w:hint="default"/>
      </w:rPr>
    </w:lvl>
    <w:lvl w:ilvl="2">
      <w:start w:val="1"/>
      <w:numFmt w:val="bullet"/>
      <w:lvlText w:val="•"/>
      <w:lvlJc w:val="left"/>
      <w:pPr>
        <w:ind w:left="2628" w:hanging="601"/>
      </w:pPr>
      <w:rPr>
        <w:rFonts w:hint="default"/>
      </w:rPr>
    </w:lvl>
    <w:lvl w:ilvl="3">
      <w:start w:val="1"/>
      <w:numFmt w:val="bullet"/>
      <w:lvlText w:val="•"/>
      <w:lvlJc w:val="left"/>
      <w:pPr>
        <w:ind w:left="3522" w:hanging="601"/>
      </w:pPr>
      <w:rPr>
        <w:rFonts w:hint="default"/>
      </w:rPr>
    </w:lvl>
    <w:lvl w:ilvl="4">
      <w:start w:val="1"/>
      <w:numFmt w:val="bullet"/>
      <w:lvlText w:val="•"/>
      <w:lvlJc w:val="left"/>
      <w:pPr>
        <w:ind w:left="4416" w:hanging="601"/>
      </w:pPr>
      <w:rPr>
        <w:rFonts w:hint="default"/>
      </w:rPr>
    </w:lvl>
    <w:lvl w:ilvl="5">
      <w:start w:val="1"/>
      <w:numFmt w:val="bullet"/>
      <w:lvlText w:val="•"/>
      <w:lvlJc w:val="left"/>
      <w:pPr>
        <w:ind w:left="5310" w:hanging="601"/>
      </w:pPr>
      <w:rPr>
        <w:rFonts w:hint="default"/>
      </w:rPr>
    </w:lvl>
    <w:lvl w:ilvl="6">
      <w:start w:val="1"/>
      <w:numFmt w:val="bullet"/>
      <w:lvlText w:val="•"/>
      <w:lvlJc w:val="left"/>
      <w:pPr>
        <w:ind w:left="6204" w:hanging="601"/>
      </w:pPr>
      <w:rPr>
        <w:rFonts w:hint="default"/>
      </w:rPr>
    </w:lvl>
    <w:lvl w:ilvl="7">
      <w:start w:val="1"/>
      <w:numFmt w:val="bullet"/>
      <w:lvlText w:val="•"/>
      <w:lvlJc w:val="left"/>
      <w:pPr>
        <w:ind w:left="7098" w:hanging="601"/>
      </w:pPr>
      <w:rPr>
        <w:rFonts w:hint="default"/>
      </w:rPr>
    </w:lvl>
    <w:lvl w:ilvl="8">
      <w:start w:val="1"/>
      <w:numFmt w:val="bullet"/>
      <w:lvlText w:val="•"/>
      <w:lvlJc w:val="left"/>
      <w:pPr>
        <w:ind w:left="7992" w:hanging="601"/>
      </w:pPr>
      <w:rPr>
        <w:rFonts w:hint="default"/>
      </w:rPr>
    </w:lvl>
  </w:abstractNum>
  <w:abstractNum w:abstractNumId="28">
    <w:multiLevelType w:val="hybridMultilevel"/>
    <w:lvl w:ilvl="0">
      <w:start w:val="55"/>
      <w:numFmt w:val="decimal"/>
      <w:lvlText w:val="%1"/>
      <w:lvlJc w:val="left"/>
      <w:pPr>
        <w:ind w:left="712" w:hanging="60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614" w:hanging="601"/>
      </w:pPr>
      <w:rPr>
        <w:rFonts w:hint="default"/>
      </w:rPr>
    </w:lvl>
    <w:lvl w:ilvl="2">
      <w:start w:val="1"/>
      <w:numFmt w:val="bullet"/>
      <w:lvlText w:val="•"/>
      <w:lvlJc w:val="left"/>
      <w:pPr>
        <w:ind w:left="2508" w:hanging="601"/>
      </w:pPr>
      <w:rPr>
        <w:rFonts w:hint="default"/>
      </w:rPr>
    </w:lvl>
    <w:lvl w:ilvl="3">
      <w:start w:val="1"/>
      <w:numFmt w:val="bullet"/>
      <w:lvlText w:val="•"/>
      <w:lvlJc w:val="left"/>
      <w:pPr>
        <w:ind w:left="3402" w:hanging="601"/>
      </w:pPr>
      <w:rPr>
        <w:rFonts w:hint="default"/>
      </w:rPr>
    </w:lvl>
    <w:lvl w:ilvl="4">
      <w:start w:val="1"/>
      <w:numFmt w:val="bullet"/>
      <w:lvlText w:val="•"/>
      <w:lvlJc w:val="left"/>
      <w:pPr>
        <w:ind w:left="4296" w:hanging="601"/>
      </w:pPr>
      <w:rPr>
        <w:rFonts w:hint="default"/>
      </w:rPr>
    </w:lvl>
    <w:lvl w:ilvl="5">
      <w:start w:val="1"/>
      <w:numFmt w:val="bullet"/>
      <w:lvlText w:val="•"/>
      <w:lvlJc w:val="left"/>
      <w:pPr>
        <w:ind w:left="5190" w:hanging="601"/>
      </w:pPr>
      <w:rPr>
        <w:rFonts w:hint="default"/>
      </w:rPr>
    </w:lvl>
    <w:lvl w:ilvl="6">
      <w:start w:val="1"/>
      <w:numFmt w:val="bullet"/>
      <w:lvlText w:val="•"/>
      <w:lvlJc w:val="left"/>
      <w:pPr>
        <w:ind w:left="6084" w:hanging="601"/>
      </w:pPr>
      <w:rPr>
        <w:rFonts w:hint="default"/>
      </w:rPr>
    </w:lvl>
    <w:lvl w:ilvl="7">
      <w:start w:val="1"/>
      <w:numFmt w:val="bullet"/>
      <w:lvlText w:val="•"/>
      <w:lvlJc w:val="left"/>
      <w:pPr>
        <w:ind w:left="6978" w:hanging="601"/>
      </w:pPr>
      <w:rPr>
        <w:rFonts w:hint="default"/>
      </w:rPr>
    </w:lvl>
    <w:lvl w:ilvl="8">
      <w:start w:val="1"/>
      <w:numFmt w:val="bullet"/>
      <w:lvlText w:val="•"/>
      <w:lvlJc w:val="left"/>
      <w:pPr>
        <w:ind w:left="7872" w:hanging="601"/>
      </w:pPr>
      <w:rPr>
        <w:rFonts w:hint="default"/>
      </w:rPr>
    </w:lvl>
  </w:abstractNum>
  <w:abstractNum w:abstractNumId="27">
    <w:multiLevelType w:val="hybridMultilevel"/>
    <w:lvl w:ilvl="0">
      <w:start w:val="38"/>
      <w:numFmt w:val="decimal"/>
      <w:lvlText w:val="%1"/>
      <w:lvlJc w:val="left"/>
      <w:pPr>
        <w:ind w:left="712" w:hanging="60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614" w:hanging="601"/>
      </w:pPr>
      <w:rPr>
        <w:rFonts w:hint="default"/>
      </w:rPr>
    </w:lvl>
    <w:lvl w:ilvl="2">
      <w:start w:val="1"/>
      <w:numFmt w:val="bullet"/>
      <w:lvlText w:val="•"/>
      <w:lvlJc w:val="left"/>
      <w:pPr>
        <w:ind w:left="2508" w:hanging="601"/>
      </w:pPr>
      <w:rPr>
        <w:rFonts w:hint="default"/>
      </w:rPr>
    </w:lvl>
    <w:lvl w:ilvl="3">
      <w:start w:val="1"/>
      <w:numFmt w:val="bullet"/>
      <w:lvlText w:val="•"/>
      <w:lvlJc w:val="left"/>
      <w:pPr>
        <w:ind w:left="3402" w:hanging="601"/>
      </w:pPr>
      <w:rPr>
        <w:rFonts w:hint="default"/>
      </w:rPr>
    </w:lvl>
    <w:lvl w:ilvl="4">
      <w:start w:val="1"/>
      <w:numFmt w:val="bullet"/>
      <w:lvlText w:val="•"/>
      <w:lvlJc w:val="left"/>
      <w:pPr>
        <w:ind w:left="4296" w:hanging="601"/>
      </w:pPr>
      <w:rPr>
        <w:rFonts w:hint="default"/>
      </w:rPr>
    </w:lvl>
    <w:lvl w:ilvl="5">
      <w:start w:val="1"/>
      <w:numFmt w:val="bullet"/>
      <w:lvlText w:val="•"/>
      <w:lvlJc w:val="left"/>
      <w:pPr>
        <w:ind w:left="5190" w:hanging="601"/>
      </w:pPr>
      <w:rPr>
        <w:rFonts w:hint="default"/>
      </w:rPr>
    </w:lvl>
    <w:lvl w:ilvl="6">
      <w:start w:val="1"/>
      <w:numFmt w:val="bullet"/>
      <w:lvlText w:val="•"/>
      <w:lvlJc w:val="left"/>
      <w:pPr>
        <w:ind w:left="6084" w:hanging="601"/>
      </w:pPr>
      <w:rPr>
        <w:rFonts w:hint="default"/>
      </w:rPr>
    </w:lvl>
    <w:lvl w:ilvl="7">
      <w:start w:val="1"/>
      <w:numFmt w:val="bullet"/>
      <w:lvlText w:val="•"/>
      <w:lvlJc w:val="left"/>
      <w:pPr>
        <w:ind w:left="6978" w:hanging="601"/>
      </w:pPr>
      <w:rPr>
        <w:rFonts w:hint="default"/>
      </w:rPr>
    </w:lvl>
    <w:lvl w:ilvl="8">
      <w:start w:val="1"/>
      <w:numFmt w:val="bullet"/>
      <w:lvlText w:val="•"/>
      <w:lvlJc w:val="left"/>
      <w:pPr>
        <w:ind w:left="7872" w:hanging="601"/>
      </w:pPr>
      <w:rPr>
        <w:rFonts w:hint="default"/>
      </w:rPr>
    </w:lvl>
  </w:abstractNum>
  <w:abstractNum w:abstractNumId="26">
    <w:multiLevelType w:val="hybridMultilevel"/>
    <w:lvl w:ilvl="0">
      <w:start w:val="32"/>
      <w:numFmt w:val="decimal"/>
      <w:lvlText w:val="%1"/>
      <w:lvlJc w:val="left"/>
      <w:pPr>
        <w:ind w:left="775" w:hanging="663"/>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668" w:hanging="663"/>
      </w:pPr>
      <w:rPr>
        <w:rFonts w:hint="default"/>
      </w:rPr>
    </w:lvl>
    <w:lvl w:ilvl="2">
      <w:start w:val="1"/>
      <w:numFmt w:val="bullet"/>
      <w:lvlText w:val="•"/>
      <w:lvlJc w:val="left"/>
      <w:pPr>
        <w:ind w:left="2556" w:hanging="663"/>
      </w:pPr>
      <w:rPr>
        <w:rFonts w:hint="default"/>
      </w:rPr>
    </w:lvl>
    <w:lvl w:ilvl="3">
      <w:start w:val="1"/>
      <w:numFmt w:val="bullet"/>
      <w:lvlText w:val="•"/>
      <w:lvlJc w:val="left"/>
      <w:pPr>
        <w:ind w:left="3444" w:hanging="663"/>
      </w:pPr>
      <w:rPr>
        <w:rFonts w:hint="default"/>
      </w:rPr>
    </w:lvl>
    <w:lvl w:ilvl="4">
      <w:start w:val="1"/>
      <w:numFmt w:val="bullet"/>
      <w:lvlText w:val="•"/>
      <w:lvlJc w:val="left"/>
      <w:pPr>
        <w:ind w:left="4332" w:hanging="663"/>
      </w:pPr>
      <w:rPr>
        <w:rFonts w:hint="default"/>
      </w:rPr>
    </w:lvl>
    <w:lvl w:ilvl="5">
      <w:start w:val="1"/>
      <w:numFmt w:val="bullet"/>
      <w:lvlText w:val="•"/>
      <w:lvlJc w:val="left"/>
      <w:pPr>
        <w:ind w:left="5220" w:hanging="663"/>
      </w:pPr>
      <w:rPr>
        <w:rFonts w:hint="default"/>
      </w:rPr>
    </w:lvl>
    <w:lvl w:ilvl="6">
      <w:start w:val="1"/>
      <w:numFmt w:val="bullet"/>
      <w:lvlText w:val="•"/>
      <w:lvlJc w:val="left"/>
      <w:pPr>
        <w:ind w:left="6108" w:hanging="663"/>
      </w:pPr>
      <w:rPr>
        <w:rFonts w:hint="default"/>
      </w:rPr>
    </w:lvl>
    <w:lvl w:ilvl="7">
      <w:start w:val="1"/>
      <w:numFmt w:val="bullet"/>
      <w:lvlText w:val="•"/>
      <w:lvlJc w:val="left"/>
      <w:pPr>
        <w:ind w:left="6996" w:hanging="663"/>
      </w:pPr>
      <w:rPr>
        <w:rFonts w:hint="default"/>
      </w:rPr>
    </w:lvl>
    <w:lvl w:ilvl="8">
      <w:start w:val="1"/>
      <w:numFmt w:val="bullet"/>
      <w:lvlText w:val="•"/>
      <w:lvlJc w:val="left"/>
      <w:pPr>
        <w:ind w:left="7884" w:hanging="663"/>
      </w:pPr>
      <w:rPr>
        <w:rFonts w:hint="default"/>
      </w:rPr>
    </w:lvl>
  </w:abstractNum>
  <w:abstractNum w:abstractNumId="25">
    <w:multiLevelType w:val="hybridMultilevel"/>
    <w:lvl w:ilvl="0">
      <w:start w:val="12"/>
      <w:numFmt w:val="decimal"/>
      <w:lvlText w:val="%1"/>
      <w:lvlJc w:val="left"/>
      <w:pPr>
        <w:ind w:left="712" w:hanging="601"/>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1614" w:hanging="601"/>
      </w:pPr>
      <w:rPr>
        <w:rFonts w:hint="default"/>
      </w:rPr>
    </w:lvl>
    <w:lvl w:ilvl="2">
      <w:start w:val="1"/>
      <w:numFmt w:val="bullet"/>
      <w:lvlText w:val="•"/>
      <w:lvlJc w:val="left"/>
      <w:pPr>
        <w:ind w:left="2508" w:hanging="601"/>
      </w:pPr>
      <w:rPr>
        <w:rFonts w:hint="default"/>
      </w:rPr>
    </w:lvl>
    <w:lvl w:ilvl="3">
      <w:start w:val="1"/>
      <w:numFmt w:val="bullet"/>
      <w:lvlText w:val="•"/>
      <w:lvlJc w:val="left"/>
      <w:pPr>
        <w:ind w:left="3402" w:hanging="601"/>
      </w:pPr>
      <w:rPr>
        <w:rFonts w:hint="default"/>
      </w:rPr>
    </w:lvl>
    <w:lvl w:ilvl="4">
      <w:start w:val="1"/>
      <w:numFmt w:val="bullet"/>
      <w:lvlText w:val="•"/>
      <w:lvlJc w:val="left"/>
      <w:pPr>
        <w:ind w:left="4296" w:hanging="601"/>
      </w:pPr>
      <w:rPr>
        <w:rFonts w:hint="default"/>
      </w:rPr>
    </w:lvl>
    <w:lvl w:ilvl="5">
      <w:start w:val="1"/>
      <w:numFmt w:val="bullet"/>
      <w:lvlText w:val="•"/>
      <w:lvlJc w:val="left"/>
      <w:pPr>
        <w:ind w:left="5190" w:hanging="601"/>
      </w:pPr>
      <w:rPr>
        <w:rFonts w:hint="default"/>
      </w:rPr>
    </w:lvl>
    <w:lvl w:ilvl="6">
      <w:start w:val="1"/>
      <w:numFmt w:val="bullet"/>
      <w:lvlText w:val="•"/>
      <w:lvlJc w:val="left"/>
      <w:pPr>
        <w:ind w:left="6084" w:hanging="601"/>
      </w:pPr>
      <w:rPr>
        <w:rFonts w:hint="default"/>
      </w:rPr>
    </w:lvl>
    <w:lvl w:ilvl="7">
      <w:start w:val="1"/>
      <w:numFmt w:val="bullet"/>
      <w:lvlText w:val="•"/>
      <w:lvlJc w:val="left"/>
      <w:pPr>
        <w:ind w:left="6978" w:hanging="601"/>
      </w:pPr>
      <w:rPr>
        <w:rFonts w:hint="default"/>
      </w:rPr>
    </w:lvl>
    <w:lvl w:ilvl="8">
      <w:start w:val="1"/>
      <w:numFmt w:val="bullet"/>
      <w:lvlText w:val="•"/>
      <w:lvlJc w:val="left"/>
      <w:pPr>
        <w:ind w:left="7872" w:hanging="601"/>
      </w:pPr>
      <w:rPr>
        <w:rFonts w:hint="default"/>
      </w:rPr>
    </w:lvl>
  </w:abstractNum>
  <w:abstractNum w:abstractNumId="24">
    <w:multiLevelType w:val="hybridMultilevel"/>
    <w:lvl w:ilvl="0">
      <w:start w:val="3"/>
      <w:numFmt w:val="decimal"/>
      <w:lvlText w:val="%1"/>
      <w:lvlJc w:val="left"/>
      <w:pPr>
        <w:ind w:left="712" w:hanging="481"/>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614" w:hanging="481"/>
      </w:pPr>
      <w:rPr>
        <w:rFonts w:hint="default"/>
      </w:rPr>
    </w:lvl>
    <w:lvl w:ilvl="2">
      <w:start w:val="1"/>
      <w:numFmt w:val="bullet"/>
      <w:lvlText w:val="•"/>
      <w:lvlJc w:val="left"/>
      <w:pPr>
        <w:ind w:left="2508" w:hanging="481"/>
      </w:pPr>
      <w:rPr>
        <w:rFonts w:hint="default"/>
      </w:rPr>
    </w:lvl>
    <w:lvl w:ilvl="3">
      <w:start w:val="1"/>
      <w:numFmt w:val="bullet"/>
      <w:lvlText w:val="•"/>
      <w:lvlJc w:val="left"/>
      <w:pPr>
        <w:ind w:left="3402" w:hanging="481"/>
      </w:pPr>
      <w:rPr>
        <w:rFonts w:hint="default"/>
      </w:rPr>
    </w:lvl>
    <w:lvl w:ilvl="4">
      <w:start w:val="1"/>
      <w:numFmt w:val="bullet"/>
      <w:lvlText w:val="•"/>
      <w:lvlJc w:val="left"/>
      <w:pPr>
        <w:ind w:left="4296" w:hanging="481"/>
      </w:pPr>
      <w:rPr>
        <w:rFonts w:hint="default"/>
      </w:rPr>
    </w:lvl>
    <w:lvl w:ilvl="5">
      <w:start w:val="1"/>
      <w:numFmt w:val="bullet"/>
      <w:lvlText w:val="•"/>
      <w:lvlJc w:val="left"/>
      <w:pPr>
        <w:ind w:left="5190" w:hanging="481"/>
      </w:pPr>
      <w:rPr>
        <w:rFonts w:hint="default"/>
      </w:rPr>
    </w:lvl>
    <w:lvl w:ilvl="6">
      <w:start w:val="1"/>
      <w:numFmt w:val="bullet"/>
      <w:lvlText w:val="•"/>
      <w:lvlJc w:val="left"/>
      <w:pPr>
        <w:ind w:left="6084" w:hanging="481"/>
      </w:pPr>
      <w:rPr>
        <w:rFonts w:hint="default"/>
      </w:rPr>
    </w:lvl>
    <w:lvl w:ilvl="7">
      <w:start w:val="1"/>
      <w:numFmt w:val="bullet"/>
      <w:lvlText w:val="•"/>
      <w:lvlJc w:val="left"/>
      <w:pPr>
        <w:ind w:left="6978" w:hanging="481"/>
      </w:pPr>
      <w:rPr>
        <w:rFonts w:hint="default"/>
      </w:rPr>
    </w:lvl>
    <w:lvl w:ilvl="8">
      <w:start w:val="1"/>
      <w:numFmt w:val="bullet"/>
      <w:lvlText w:val="•"/>
      <w:lvlJc w:val="left"/>
      <w:pPr>
        <w:ind w:left="7872" w:hanging="481"/>
      </w:pPr>
      <w:rPr>
        <w:rFonts w:hint="default"/>
      </w:rPr>
    </w:lvl>
  </w:abstractNum>
  <w:abstractNum w:abstractNumId="23">
    <w:multiLevelType w:val="hybridMultilevel"/>
    <w:lvl w:ilvl="0">
      <w:start w:val="7"/>
      <w:numFmt w:val="decimal"/>
      <w:lvlText w:val="%1"/>
      <w:lvlJc w:val="left"/>
      <w:pPr>
        <w:ind w:left="1237" w:hanging="365"/>
        <w:jc w:val="left"/>
      </w:pPr>
      <w:rPr>
        <w:rFonts w:hint="default"/>
      </w:rPr>
    </w:lvl>
    <w:lvl w:ilvl="1">
      <w:start w:val="1"/>
      <w:numFmt w:val="decimal"/>
      <w:lvlText w:val="%1.%2"/>
      <w:lvlJc w:val="left"/>
      <w:pPr>
        <w:ind w:left="1237" w:hanging="365"/>
        <w:jc w:val="right"/>
      </w:pPr>
      <w:rPr>
        <w:rFonts w:hint="default" w:ascii="Times New Roman" w:hAnsi="Times New Roman" w:eastAsia="Times New Roman" w:cs="Times New Roman"/>
        <w:b/>
        <w:bCs/>
        <w:w w:val="100"/>
        <w:sz w:val="24"/>
        <w:szCs w:val="24"/>
      </w:rPr>
    </w:lvl>
    <w:lvl w:ilvl="2">
      <w:start w:val="1"/>
      <w:numFmt w:val="bullet"/>
      <w:lvlText w:val="•"/>
      <w:lvlJc w:val="left"/>
      <w:pPr>
        <w:ind w:left="2812" w:hanging="365"/>
      </w:pPr>
      <w:rPr>
        <w:rFonts w:hint="default"/>
      </w:rPr>
    </w:lvl>
    <w:lvl w:ilvl="3">
      <w:start w:val="1"/>
      <w:numFmt w:val="bullet"/>
      <w:lvlText w:val="•"/>
      <w:lvlJc w:val="left"/>
      <w:pPr>
        <w:ind w:left="3598" w:hanging="365"/>
      </w:pPr>
      <w:rPr>
        <w:rFonts w:hint="default"/>
      </w:rPr>
    </w:lvl>
    <w:lvl w:ilvl="4">
      <w:start w:val="1"/>
      <w:numFmt w:val="bullet"/>
      <w:lvlText w:val="•"/>
      <w:lvlJc w:val="left"/>
      <w:pPr>
        <w:ind w:left="4384" w:hanging="365"/>
      </w:pPr>
      <w:rPr>
        <w:rFonts w:hint="default"/>
      </w:rPr>
    </w:lvl>
    <w:lvl w:ilvl="5">
      <w:start w:val="1"/>
      <w:numFmt w:val="bullet"/>
      <w:lvlText w:val="•"/>
      <w:lvlJc w:val="left"/>
      <w:pPr>
        <w:ind w:left="5170" w:hanging="365"/>
      </w:pPr>
      <w:rPr>
        <w:rFonts w:hint="default"/>
      </w:rPr>
    </w:lvl>
    <w:lvl w:ilvl="6">
      <w:start w:val="1"/>
      <w:numFmt w:val="bullet"/>
      <w:lvlText w:val="•"/>
      <w:lvlJc w:val="left"/>
      <w:pPr>
        <w:ind w:left="5956" w:hanging="365"/>
      </w:pPr>
      <w:rPr>
        <w:rFonts w:hint="default"/>
      </w:rPr>
    </w:lvl>
    <w:lvl w:ilvl="7">
      <w:start w:val="1"/>
      <w:numFmt w:val="bullet"/>
      <w:lvlText w:val="•"/>
      <w:lvlJc w:val="left"/>
      <w:pPr>
        <w:ind w:left="6742" w:hanging="365"/>
      </w:pPr>
      <w:rPr>
        <w:rFonts w:hint="default"/>
      </w:rPr>
    </w:lvl>
    <w:lvl w:ilvl="8">
      <w:start w:val="1"/>
      <w:numFmt w:val="bullet"/>
      <w:lvlText w:val="•"/>
      <w:lvlJc w:val="left"/>
      <w:pPr>
        <w:ind w:left="7528" w:hanging="365"/>
      </w:pPr>
      <w:rPr>
        <w:rFonts w:hint="default"/>
      </w:rPr>
    </w:lvl>
  </w:abstractNum>
  <w:abstractNum w:abstractNumId="22">
    <w:multiLevelType w:val="hybridMultilevel"/>
    <w:lvl w:ilvl="0">
      <w:start w:val="6"/>
      <w:numFmt w:val="decimal"/>
      <w:lvlText w:val="%1"/>
      <w:lvlJc w:val="left"/>
      <w:pPr>
        <w:ind w:left="1233" w:hanging="360"/>
        <w:jc w:val="left"/>
      </w:pPr>
      <w:rPr>
        <w:rFonts w:hint="default"/>
      </w:rPr>
    </w:lvl>
    <w:lvl w:ilvl="1">
      <w:start w:val="3"/>
      <w:numFmt w:val="decimal"/>
      <w:lvlText w:val="%1.%2"/>
      <w:lvlJc w:val="left"/>
      <w:pPr>
        <w:ind w:left="1233" w:hanging="360"/>
        <w:jc w:val="left"/>
      </w:pPr>
      <w:rPr>
        <w:rFonts w:hint="default" w:ascii="Times New Roman" w:hAnsi="Times New Roman" w:eastAsia="Times New Roman" w:cs="Times New Roman"/>
        <w:b/>
        <w:bCs/>
        <w:w w:val="100"/>
        <w:sz w:val="24"/>
        <w:szCs w:val="24"/>
      </w:rPr>
    </w:lvl>
    <w:lvl w:ilvl="2">
      <w:start w:val="1"/>
      <w:numFmt w:val="bullet"/>
      <w:lvlText w:val="•"/>
      <w:lvlJc w:val="left"/>
      <w:pPr>
        <w:ind w:left="2812" w:hanging="360"/>
      </w:pPr>
      <w:rPr>
        <w:rFonts w:hint="default"/>
      </w:rPr>
    </w:lvl>
    <w:lvl w:ilvl="3">
      <w:start w:val="1"/>
      <w:numFmt w:val="bullet"/>
      <w:lvlText w:val="•"/>
      <w:lvlJc w:val="left"/>
      <w:pPr>
        <w:ind w:left="3598" w:hanging="360"/>
      </w:pPr>
      <w:rPr>
        <w:rFonts w:hint="default"/>
      </w:rPr>
    </w:lvl>
    <w:lvl w:ilvl="4">
      <w:start w:val="1"/>
      <w:numFmt w:val="bullet"/>
      <w:lvlText w:val="•"/>
      <w:lvlJc w:val="left"/>
      <w:pPr>
        <w:ind w:left="4384"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742" w:hanging="360"/>
      </w:pPr>
      <w:rPr>
        <w:rFonts w:hint="default"/>
      </w:rPr>
    </w:lvl>
    <w:lvl w:ilvl="8">
      <w:start w:val="1"/>
      <w:numFmt w:val="bullet"/>
      <w:lvlText w:val="•"/>
      <w:lvlJc w:val="left"/>
      <w:pPr>
        <w:ind w:left="7528" w:hanging="360"/>
      </w:pPr>
      <w:rPr>
        <w:rFonts w:hint="default"/>
      </w:rPr>
    </w:lvl>
  </w:abstractNum>
  <w:abstractNum w:abstractNumId="21">
    <w:multiLevelType w:val="hybridMultilevel"/>
    <w:lvl w:ilvl="0">
      <w:start w:val="6"/>
      <w:numFmt w:val="decimal"/>
      <w:lvlText w:val="%1"/>
      <w:lvlJc w:val="left"/>
      <w:pPr>
        <w:ind w:left="1295" w:hanging="361"/>
        <w:jc w:val="left"/>
      </w:pPr>
      <w:rPr>
        <w:rFonts w:hint="default"/>
      </w:rPr>
    </w:lvl>
    <w:lvl w:ilvl="1">
      <w:start w:val="1"/>
      <w:numFmt w:val="decimal"/>
      <w:lvlText w:val="%1.%2"/>
      <w:lvlJc w:val="left"/>
      <w:pPr>
        <w:ind w:left="1295" w:hanging="361"/>
        <w:jc w:val="right"/>
      </w:pPr>
      <w:rPr>
        <w:rFonts w:hint="default" w:ascii="Times New Roman" w:hAnsi="Times New Roman" w:eastAsia="Times New Roman" w:cs="Times New Roman"/>
        <w:b/>
        <w:bCs/>
        <w:w w:val="100"/>
        <w:sz w:val="24"/>
        <w:szCs w:val="24"/>
      </w:rPr>
    </w:lvl>
    <w:lvl w:ilvl="2">
      <w:start w:val="1"/>
      <w:numFmt w:val="bullet"/>
      <w:lvlText w:val="•"/>
      <w:lvlJc w:val="left"/>
      <w:pPr>
        <w:ind w:left="2273" w:hanging="361"/>
      </w:pPr>
      <w:rPr>
        <w:rFonts w:hint="default"/>
      </w:rPr>
    </w:lvl>
    <w:lvl w:ilvl="3">
      <w:start w:val="1"/>
      <w:numFmt w:val="bullet"/>
      <w:lvlText w:val="•"/>
      <w:lvlJc w:val="left"/>
      <w:pPr>
        <w:ind w:left="3126" w:hanging="361"/>
      </w:pPr>
      <w:rPr>
        <w:rFonts w:hint="default"/>
      </w:rPr>
    </w:lvl>
    <w:lvl w:ilvl="4">
      <w:start w:val="1"/>
      <w:numFmt w:val="bullet"/>
      <w:lvlText w:val="•"/>
      <w:lvlJc w:val="left"/>
      <w:pPr>
        <w:ind w:left="3980" w:hanging="361"/>
      </w:pPr>
      <w:rPr>
        <w:rFonts w:hint="default"/>
      </w:rPr>
    </w:lvl>
    <w:lvl w:ilvl="5">
      <w:start w:val="1"/>
      <w:numFmt w:val="bullet"/>
      <w:lvlText w:val="•"/>
      <w:lvlJc w:val="left"/>
      <w:pPr>
        <w:ind w:left="4833" w:hanging="361"/>
      </w:pPr>
      <w:rPr>
        <w:rFonts w:hint="default"/>
      </w:rPr>
    </w:lvl>
    <w:lvl w:ilvl="6">
      <w:start w:val="1"/>
      <w:numFmt w:val="bullet"/>
      <w:lvlText w:val="•"/>
      <w:lvlJc w:val="left"/>
      <w:pPr>
        <w:ind w:left="5686" w:hanging="361"/>
      </w:pPr>
      <w:rPr>
        <w:rFonts w:hint="default"/>
      </w:rPr>
    </w:lvl>
    <w:lvl w:ilvl="7">
      <w:start w:val="1"/>
      <w:numFmt w:val="bullet"/>
      <w:lvlText w:val="•"/>
      <w:lvlJc w:val="left"/>
      <w:pPr>
        <w:ind w:left="6540" w:hanging="361"/>
      </w:pPr>
      <w:rPr>
        <w:rFonts w:hint="default"/>
      </w:rPr>
    </w:lvl>
    <w:lvl w:ilvl="8">
      <w:start w:val="1"/>
      <w:numFmt w:val="bullet"/>
      <w:lvlText w:val="•"/>
      <w:lvlJc w:val="left"/>
      <w:pPr>
        <w:ind w:left="7393" w:hanging="361"/>
      </w:pPr>
      <w:rPr>
        <w:rFonts w:hint="default"/>
      </w:rPr>
    </w:lvl>
  </w:abstractNum>
  <w:abstractNum w:abstractNumId="20">
    <w:multiLevelType w:val="hybridMultilevel"/>
    <w:lvl w:ilvl="0">
      <w:start w:val="2"/>
      <w:numFmt w:val="decimal"/>
      <w:lvlText w:val="%1"/>
      <w:lvlJc w:val="left"/>
      <w:pPr>
        <w:ind w:left="1411" w:hanging="538"/>
        <w:jc w:val="left"/>
      </w:pPr>
      <w:rPr>
        <w:rFonts w:hint="default"/>
      </w:rPr>
    </w:lvl>
    <w:lvl w:ilvl="1">
      <w:start w:val="4"/>
      <w:numFmt w:val="decimal"/>
      <w:lvlText w:val="%1.%2"/>
      <w:lvlJc w:val="left"/>
      <w:pPr>
        <w:ind w:left="1411" w:hanging="538"/>
        <w:jc w:val="left"/>
      </w:pPr>
      <w:rPr>
        <w:rFonts w:hint="default"/>
      </w:rPr>
    </w:lvl>
    <w:lvl w:ilvl="2">
      <w:start w:val="3"/>
      <w:numFmt w:val="decimal"/>
      <w:lvlText w:val="%1.%2.%3"/>
      <w:lvlJc w:val="left"/>
      <w:pPr>
        <w:ind w:left="1411" w:hanging="538"/>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1598" w:hanging="726"/>
        <w:jc w:val="left"/>
      </w:pPr>
      <w:rPr>
        <w:rFonts w:hint="default" w:ascii="Times New Roman" w:hAnsi="Times New Roman" w:eastAsia="Times New Roman" w:cs="Times New Roman"/>
        <w:b/>
        <w:bCs/>
        <w:spacing w:val="-5"/>
        <w:w w:val="100"/>
        <w:sz w:val="24"/>
        <w:szCs w:val="24"/>
      </w:rPr>
    </w:lvl>
    <w:lvl w:ilvl="4">
      <w:start w:val="1"/>
      <w:numFmt w:val="bullet"/>
      <w:lvlText w:val="•"/>
      <w:lvlJc w:val="left"/>
      <w:pPr>
        <w:ind w:left="4100" w:hanging="726"/>
      </w:pPr>
      <w:rPr>
        <w:rFonts w:hint="default"/>
      </w:rPr>
    </w:lvl>
    <w:lvl w:ilvl="5">
      <w:start w:val="1"/>
      <w:numFmt w:val="bullet"/>
      <w:lvlText w:val="•"/>
      <w:lvlJc w:val="left"/>
      <w:pPr>
        <w:ind w:left="4933" w:hanging="726"/>
      </w:pPr>
      <w:rPr>
        <w:rFonts w:hint="default"/>
      </w:rPr>
    </w:lvl>
    <w:lvl w:ilvl="6">
      <w:start w:val="1"/>
      <w:numFmt w:val="bullet"/>
      <w:lvlText w:val="•"/>
      <w:lvlJc w:val="left"/>
      <w:pPr>
        <w:ind w:left="5766" w:hanging="726"/>
      </w:pPr>
      <w:rPr>
        <w:rFonts w:hint="default"/>
      </w:rPr>
    </w:lvl>
    <w:lvl w:ilvl="7">
      <w:start w:val="1"/>
      <w:numFmt w:val="bullet"/>
      <w:lvlText w:val="•"/>
      <w:lvlJc w:val="left"/>
      <w:pPr>
        <w:ind w:left="6600" w:hanging="726"/>
      </w:pPr>
      <w:rPr>
        <w:rFonts w:hint="default"/>
      </w:rPr>
    </w:lvl>
    <w:lvl w:ilvl="8">
      <w:start w:val="1"/>
      <w:numFmt w:val="bullet"/>
      <w:lvlText w:val="•"/>
      <w:lvlJc w:val="left"/>
      <w:pPr>
        <w:ind w:left="7433" w:hanging="726"/>
      </w:pPr>
      <w:rPr>
        <w:rFonts w:hint="default"/>
      </w:rPr>
    </w:lvl>
  </w:abstractNum>
  <w:abstractNum w:abstractNumId="19">
    <w:multiLevelType w:val="hybridMultilevel"/>
    <w:lvl w:ilvl="0">
      <w:start w:val="2"/>
      <w:numFmt w:val="decimal"/>
      <w:lvlText w:val="%1"/>
      <w:lvlJc w:val="left"/>
      <w:pPr>
        <w:ind w:left="1415" w:hanging="543"/>
        <w:jc w:val="left"/>
      </w:pPr>
      <w:rPr>
        <w:rFonts w:hint="default"/>
      </w:rPr>
    </w:lvl>
    <w:lvl w:ilvl="1">
      <w:start w:val="4"/>
      <w:numFmt w:val="decimal"/>
      <w:lvlText w:val="%1.%2"/>
      <w:lvlJc w:val="left"/>
      <w:pPr>
        <w:ind w:left="1415" w:hanging="543"/>
        <w:jc w:val="left"/>
      </w:pPr>
      <w:rPr>
        <w:rFonts w:hint="default"/>
      </w:rPr>
    </w:lvl>
    <w:lvl w:ilvl="2">
      <w:start w:val="2"/>
      <w:numFmt w:val="decimal"/>
      <w:lvlText w:val="%1.%2.%3"/>
      <w:lvlJc w:val="left"/>
      <w:pPr>
        <w:ind w:left="1415" w:hanging="543"/>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1598" w:hanging="726"/>
        <w:jc w:val="left"/>
      </w:pPr>
      <w:rPr>
        <w:rFonts w:hint="default" w:ascii="Times New Roman" w:hAnsi="Times New Roman" w:eastAsia="Times New Roman" w:cs="Times New Roman"/>
        <w:b/>
        <w:bCs/>
        <w:spacing w:val="-5"/>
        <w:w w:val="100"/>
        <w:sz w:val="24"/>
        <w:szCs w:val="24"/>
      </w:rPr>
    </w:lvl>
    <w:lvl w:ilvl="4">
      <w:start w:val="1"/>
      <w:numFmt w:val="bullet"/>
      <w:lvlText w:val="•"/>
      <w:lvlJc w:val="left"/>
      <w:pPr>
        <w:ind w:left="4100" w:hanging="726"/>
      </w:pPr>
      <w:rPr>
        <w:rFonts w:hint="default"/>
      </w:rPr>
    </w:lvl>
    <w:lvl w:ilvl="5">
      <w:start w:val="1"/>
      <w:numFmt w:val="bullet"/>
      <w:lvlText w:val="•"/>
      <w:lvlJc w:val="left"/>
      <w:pPr>
        <w:ind w:left="4933" w:hanging="726"/>
      </w:pPr>
      <w:rPr>
        <w:rFonts w:hint="default"/>
      </w:rPr>
    </w:lvl>
    <w:lvl w:ilvl="6">
      <w:start w:val="1"/>
      <w:numFmt w:val="bullet"/>
      <w:lvlText w:val="•"/>
      <w:lvlJc w:val="left"/>
      <w:pPr>
        <w:ind w:left="5766" w:hanging="726"/>
      </w:pPr>
      <w:rPr>
        <w:rFonts w:hint="default"/>
      </w:rPr>
    </w:lvl>
    <w:lvl w:ilvl="7">
      <w:start w:val="1"/>
      <w:numFmt w:val="bullet"/>
      <w:lvlText w:val="•"/>
      <w:lvlJc w:val="left"/>
      <w:pPr>
        <w:ind w:left="6600" w:hanging="726"/>
      </w:pPr>
      <w:rPr>
        <w:rFonts w:hint="default"/>
      </w:rPr>
    </w:lvl>
    <w:lvl w:ilvl="8">
      <w:start w:val="1"/>
      <w:numFmt w:val="bullet"/>
      <w:lvlText w:val="•"/>
      <w:lvlJc w:val="left"/>
      <w:pPr>
        <w:ind w:left="7433" w:hanging="726"/>
      </w:pPr>
      <w:rPr>
        <w:rFonts w:hint="default"/>
      </w:rPr>
    </w:lvl>
  </w:abstractNum>
  <w:abstractNum w:abstractNumId="18">
    <w:multiLevelType w:val="hybridMultilevel"/>
    <w:lvl w:ilvl="0">
      <w:start w:val="2"/>
      <w:numFmt w:val="decimal"/>
      <w:lvlText w:val="%1"/>
      <w:lvlJc w:val="left"/>
      <w:pPr>
        <w:ind w:left="1295" w:hanging="361"/>
        <w:jc w:val="left"/>
      </w:pPr>
      <w:rPr>
        <w:rFonts w:hint="default"/>
      </w:rPr>
    </w:lvl>
    <w:lvl w:ilvl="1">
      <w:start w:val="4"/>
      <w:numFmt w:val="decimal"/>
      <w:lvlText w:val="%1.%2"/>
      <w:lvlJc w:val="left"/>
      <w:pPr>
        <w:ind w:left="1295" w:hanging="361"/>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415" w:hanging="543"/>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1598" w:hanging="726"/>
        <w:jc w:val="left"/>
      </w:pPr>
      <w:rPr>
        <w:rFonts w:hint="default" w:ascii="Times New Roman" w:hAnsi="Times New Roman" w:eastAsia="Times New Roman" w:cs="Times New Roman"/>
        <w:b/>
        <w:bCs/>
        <w:spacing w:val="-5"/>
        <w:w w:val="100"/>
        <w:sz w:val="24"/>
        <w:szCs w:val="24"/>
      </w:rPr>
    </w:lvl>
    <w:lvl w:ilvl="4">
      <w:start w:val="1"/>
      <w:numFmt w:val="bullet"/>
      <w:lvlText w:val="•"/>
      <w:lvlJc w:val="left"/>
      <w:pPr>
        <w:ind w:left="3475" w:hanging="726"/>
      </w:pPr>
      <w:rPr>
        <w:rFonts w:hint="default"/>
      </w:rPr>
    </w:lvl>
    <w:lvl w:ilvl="5">
      <w:start w:val="1"/>
      <w:numFmt w:val="bullet"/>
      <w:lvlText w:val="•"/>
      <w:lvlJc w:val="left"/>
      <w:pPr>
        <w:ind w:left="4412" w:hanging="726"/>
      </w:pPr>
      <w:rPr>
        <w:rFonts w:hint="default"/>
      </w:rPr>
    </w:lvl>
    <w:lvl w:ilvl="6">
      <w:start w:val="1"/>
      <w:numFmt w:val="bullet"/>
      <w:lvlText w:val="•"/>
      <w:lvlJc w:val="left"/>
      <w:pPr>
        <w:ind w:left="5350" w:hanging="726"/>
      </w:pPr>
      <w:rPr>
        <w:rFonts w:hint="default"/>
      </w:rPr>
    </w:lvl>
    <w:lvl w:ilvl="7">
      <w:start w:val="1"/>
      <w:numFmt w:val="bullet"/>
      <w:lvlText w:val="•"/>
      <w:lvlJc w:val="left"/>
      <w:pPr>
        <w:ind w:left="6287" w:hanging="726"/>
      </w:pPr>
      <w:rPr>
        <w:rFonts w:hint="default"/>
      </w:rPr>
    </w:lvl>
    <w:lvl w:ilvl="8">
      <w:start w:val="1"/>
      <w:numFmt w:val="bullet"/>
      <w:lvlText w:val="•"/>
      <w:lvlJc w:val="left"/>
      <w:pPr>
        <w:ind w:left="7225" w:hanging="726"/>
      </w:pPr>
      <w:rPr>
        <w:rFonts w:hint="default"/>
      </w:rPr>
    </w:lvl>
  </w:abstractNum>
  <w:abstractNum w:abstractNumId="17">
    <w:multiLevelType w:val="hybridMultilevel"/>
    <w:lvl w:ilvl="0">
      <w:start w:val="5"/>
      <w:numFmt w:val="upperRoman"/>
      <w:lvlText w:val="(%1)"/>
      <w:lvlJc w:val="left"/>
      <w:pPr>
        <w:ind w:left="1186" w:hanging="721"/>
        <w:jc w:val="left"/>
      </w:pPr>
      <w:rPr>
        <w:rFonts w:hint="default" w:ascii="Calibri" w:hAnsi="Calibri" w:eastAsia="Calibri" w:cs="Calibri"/>
        <w:spacing w:val="-1"/>
        <w:w w:val="98"/>
        <w:sz w:val="16"/>
        <w:szCs w:val="16"/>
      </w:rPr>
    </w:lvl>
    <w:lvl w:ilvl="1">
      <w:start w:val="1"/>
      <w:numFmt w:val="bullet"/>
      <w:lvlText w:val="•"/>
      <w:lvlJc w:val="left"/>
      <w:pPr>
        <w:ind w:left="1363" w:hanging="721"/>
      </w:pPr>
      <w:rPr>
        <w:rFonts w:hint="default"/>
      </w:rPr>
    </w:lvl>
    <w:lvl w:ilvl="2">
      <w:start w:val="1"/>
      <w:numFmt w:val="bullet"/>
      <w:lvlText w:val="•"/>
      <w:lvlJc w:val="left"/>
      <w:pPr>
        <w:ind w:left="1546" w:hanging="721"/>
      </w:pPr>
      <w:rPr>
        <w:rFonts w:hint="default"/>
      </w:rPr>
    </w:lvl>
    <w:lvl w:ilvl="3">
      <w:start w:val="1"/>
      <w:numFmt w:val="bullet"/>
      <w:lvlText w:val="•"/>
      <w:lvlJc w:val="left"/>
      <w:pPr>
        <w:ind w:left="1729" w:hanging="721"/>
      </w:pPr>
      <w:rPr>
        <w:rFonts w:hint="default"/>
      </w:rPr>
    </w:lvl>
    <w:lvl w:ilvl="4">
      <w:start w:val="1"/>
      <w:numFmt w:val="bullet"/>
      <w:lvlText w:val="•"/>
      <w:lvlJc w:val="left"/>
      <w:pPr>
        <w:ind w:left="1912" w:hanging="721"/>
      </w:pPr>
      <w:rPr>
        <w:rFonts w:hint="default"/>
      </w:rPr>
    </w:lvl>
    <w:lvl w:ilvl="5">
      <w:start w:val="1"/>
      <w:numFmt w:val="bullet"/>
      <w:lvlText w:val="•"/>
      <w:lvlJc w:val="left"/>
      <w:pPr>
        <w:ind w:left="2095" w:hanging="721"/>
      </w:pPr>
      <w:rPr>
        <w:rFonts w:hint="default"/>
      </w:rPr>
    </w:lvl>
    <w:lvl w:ilvl="6">
      <w:start w:val="1"/>
      <w:numFmt w:val="bullet"/>
      <w:lvlText w:val="•"/>
      <w:lvlJc w:val="left"/>
      <w:pPr>
        <w:ind w:left="2278" w:hanging="721"/>
      </w:pPr>
      <w:rPr>
        <w:rFonts w:hint="default"/>
      </w:rPr>
    </w:lvl>
    <w:lvl w:ilvl="7">
      <w:start w:val="1"/>
      <w:numFmt w:val="bullet"/>
      <w:lvlText w:val="•"/>
      <w:lvlJc w:val="left"/>
      <w:pPr>
        <w:ind w:left="2461" w:hanging="721"/>
      </w:pPr>
      <w:rPr>
        <w:rFonts w:hint="default"/>
      </w:rPr>
    </w:lvl>
    <w:lvl w:ilvl="8">
      <w:start w:val="1"/>
      <w:numFmt w:val="bullet"/>
      <w:lvlText w:val="•"/>
      <w:lvlJc w:val="left"/>
      <w:pPr>
        <w:ind w:left="2644" w:hanging="721"/>
      </w:pPr>
      <w:rPr>
        <w:rFonts w:hint="default"/>
      </w:rPr>
    </w:lvl>
  </w:abstractNum>
  <w:abstractNum w:abstractNumId="16">
    <w:multiLevelType w:val="hybridMultilevel"/>
    <w:lvl w:ilvl="0">
      <w:start w:val="1"/>
      <w:numFmt w:val="lowerLetter"/>
      <w:lvlText w:val="%1."/>
      <w:lvlJc w:val="left"/>
      <w:pPr>
        <w:ind w:left="465" w:hanging="360"/>
        <w:jc w:val="left"/>
      </w:pPr>
      <w:rPr>
        <w:rFonts w:hint="default" w:ascii="Calibri" w:hAnsi="Calibri" w:eastAsia="Calibri" w:cs="Calibri"/>
        <w:w w:val="99"/>
        <w:sz w:val="16"/>
        <w:szCs w:val="16"/>
      </w:rPr>
    </w:lvl>
    <w:lvl w:ilvl="1">
      <w:start w:val="1"/>
      <w:numFmt w:val="bullet"/>
      <w:lvlText w:val="•"/>
      <w:lvlJc w:val="left"/>
      <w:pPr>
        <w:ind w:left="715" w:hanging="360"/>
      </w:pPr>
      <w:rPr>
        <w:rFonts w:hint="default"/>
      </w:rPr>
    </w:lvl>
    <w:lvl w:ilvl="2">
      <w:start w:val="1"/>
      <w:numFmt w:val="bullet"/>
      <w:lvlText w:val="•"/>
      <w:lvlJc w:val="left"/>
      <w:pPr>
        <w:ind w:left="97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80" w:hanging="360"/>
      </w:pPr>
      <w:rPr>
        <w:rFonts w:hint="default"/>
      </w:rPr>
    </w:lvl>
    <w:lvl w:ilvl="5">
      <w:start w:val="1"/>
      <w:numFmt w:val="bullet"/>
      <w:lvlText w:val="•"/>
      <w:lvlJc w:val="left"/>
      <w:pPr>
        <w:ind w:left="1735" w:hanging="360"/>
      </w:pPr>
      <w:rPr>
        <w:rFonts w:hint="default"/>
      </w:rPr>
    </w:lvl>
    <w:lvl w:ilvl="6">
      <w:start w:val="1"/>
      <w:numFmt w:val="bullet"/>
      <w:lvlText w:val="•"/>
      <w:lvlJc w:val="left"/>
      <w:pPr>
        <w:ind w:left="1990" w:hanging="360"/>
      </w:pPr>
      <w:rPr>
        <w:rFonts w:hint="default"/>
      </w:rPr>
    </w:lvl>
    <w:lvl w:ilvl="7">
      <w:start w:val="1"/>
      <w:numFmt w:val="bullet"/>
      <w:lvlText w:val="•"/>
      <w:lvlJc w:val="left"/>
      <w:pPr>
        <w:ind w:left="2245" w:hanging="360"/>
      </w:pPr>
      <w:rPr>
        <w:rFonts w:hint="default"/>
      </w:rPr>
    </w:lvl>
    <w:lvl w:ilvl="8">
      <w:start w:val="1"/>
      <w:numFmt w:val="bullet"/>
      <w:lvlText w:val="•"/>
      <w:lvlJc w:val="left"/>
      <w:pPr>
        <w:ind w:left="2500" w:hanging="360"/>
      </w:pPr>
      <w:rPr>
        <w:rFonts w:hint="default"/>
      </w:rPr>
    </w:lvl>
  </w:abstractNum>
  <w:abstractNum w:abstractNumId="15">
    <w:multiLevelType w:val="hybridMultilevel"/>
    <w:lvl w:ilvl="0">
      <w:start w:val="1"/>
      <w:numFmt w:val="lowerLetter"/>
      <w:lvlText w:val="%1."/>
      <w:lvlJc w:val="left"/>
      <w:pPr>
        <w:ind w:left="465" w:hanging="360"/>
        <w:jc w:val="left"/>
      </w:pPr>
      <w:rPr>
        <w:rFonts w:hint="default" w:ascii="Calibri" w:hAnsi="Calibri" w:eastAsia="Calibri" w:cs="Calibri"/>
        <w:w w:val="99"/>
        <w:sz w:val="16"/>
        <w:szCs w:val="16"/>
      </w:rPr>
    </w:lvl>
    <w:lvl w:ilvl="1">
      <w:start w:val="1"/>
      <w:numFmt w:val="bullet"/>
      <w:lvlText w:val="•"/>
      <w:lvlJc w:val="left"/>
      <w:pPr>
        <w:ind w:left="715" w:hanging="360"/>
      </w:pPr>
      <w:rPr>
        <w:rFonts w:hint="default"/>
      </w:rPr>
    </w:lvl>
    <w:lvl w:ilvl="2">
      <w:start w:val="1"/>
      <w:numFmt w:val="bullet"/>
      <w:lvlText w:val="•"/>
      <w:lvlJc w:val="left"/>
      <w:pPr>
        <w:ind w:left="97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80" w:hanging="360"/>
      </w:pPr>
      <w:rPr>
        <w:rFonts w:hint="default"/>
      </w:rPr>
    </w:lvl>
    <w:lvl w:ilvl="5">
      <w:start w:val="1"/>
      <w:numFmt w:val="bullet"/>
      <w:lvlText w:val="•"/>
      <w:lvlJc w:val="left"/>
      <w:pPr>
        <w:ind w:left="1735" w:hanging="360"/>
      </w:pPr>
      <w:rPr>
        <w:rFonts w:hint="default"/>
      </w:rPr>
    </w:lvl>
    <w:lvl w:ilvl="6">
      <w:start w:val="1"/>
      <w:numFmt w:val="bullet"/>
      <w:lvlText w:val="•"/>
      <w:lvlJc w:val="left"/>
      <w:pPr>
        <w:ind w:left="1990" w:hanging="360"/>
      </w:pPr>
      <w:rPr>
        <w:rFonts w:hint="default"/>
      </w:rPr>
    </w:lvl>
    <w:lvl w:ilvl="7">
      <w:start w:val="1"/>
      <w:numFmt w:val="bullet"/>
      <w:lvlText w:val="•"/>
      <w:lvlJc w:val="left"/>
      <w:pPr>
        <w:ind w:left="2245" w:hanging="360"/>
      </w:pPr>
      <w:rPr>
        <w:rFonts w:hint="default"/>
      </w:rPr>
    </w:lvl>
    <w:lvl w:ilvl="8">
      <w:start w:val="1"/>
      <w:numFmt w:val="bullet"/>
      <w:lvlText w:val="•"/>
      <w:lvlJc w:val="left"/>
      <w:pPr>
        <w:ind w:left="2500" w:hanging="360"/>
      </w:pPr>
      <w:rPr>
        <w:rFonts w:hint="default"/>
      </w:rPr>
    </w:lvl>
  </w:abstractNum>
  <w:abstractNum w:abstractNumId="14">
    <w:multiLevelType w:val="hybridMultilevel"/>
    <w:lvl w:ilvl="0">
      <w:start w:val="1"/>
      <w:numFmt w:val="lowerLetter"/>
      <w:lvlText w:val="%1."/>
      <w:lvlJc w:val="left"/>
      <w:pPr>
        <w:ind w:left="465" w:hanging="360"/>
        <w:jc w:val="left"/>
      </w:pPr>
      <w:rPr>
        <w:rFonts w:hint="default" w:ascii="Calibri" w:hAnsi="Calibri" w:eastAsia="Calibri" w:cs="Calibri"/>
        <w:w w:val="98"/>
        <w:sz w:val="16"/>
        <w:szCs w:val="16"/>
      </w:rPr>
    </w:lvl>
    <w:lvl w:ilvl="1">
      <w:start w:val="1"/>
      <w:numFmt w:val="bullet"/>
      <w:lvlText w:val="•"/>
      <w:lvlJc w:val="left"/>
      <w:pPr>
        <w:ind w:left="715" w:hanging="360"/>
      </w:pPr>
      <w:rPr>
        <w:rFonts w:hint="default"/>
      </w:rPr>
    </w:lvl>
    <w:lvl w:ilvl="2">
      <w:start w:val="1"/>
      <w:numFmt w:val="bullet"/>
      <w:lvlText w:val="•"/>
      <w:lvlJc w:val="left"/>
      <w:pPr>
        <w:ind w:left="97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80" w:hanging="360"/>
      </w:pPr>
      <w:rPr>
        <w:rFonts w:hint="default"/>
      </w:rPr>
    </w:lvl>
    <w:lvl w:ilvl="5">
      <w:start w:val="1"/>
      <w:numFmt w:val="bullet"/>
      <w:lvlText w:val="•"/>
      <w:lvlJc w:val="left"/>
      <w:pPr>
        <w:ind w:left="1735" w:hanging="360"/>
      </w:pPr>
      <w:rPr>
        <w:rFonts w:hint="default"/>
      </w:rPr>
    </w:lvl>
    <w:lvl w:ilvl="6">
      <w:start w:val="1"/>
      <w:numFmt w:val="bullet"/>
      <w:lvlText w:val="•"/>
      <w:lvlJc w:val="left"/>
      <w:pPr>
        <w:ind w:left="1990" w:hanging="360"/>
      </w:pPr>
      <w:rPr>
        <w:rFonts w:hint="default"/>
      </w:rPr>
    </w:lvl>
    <w:lvl w:ilvl="7">
      <w:start w:val="1"/>
      <w:numFmt w:val="bullet"/>
      <w:lvlText w:val="•"/>
      <w:lvlJc w:val="left"/>
      <w:pPr>
        <w:ind w:left="2245" w:hanging="360"/>
      </w:pPr>
      <w:rPr>
        <w:rFonts w:hint="default"/>
      </w:rPr>
    </w:lvl>
    <w:lvl w:ilvl="8">
      <w:start w:val="1"/>
      <w:numFmt w:val="bullet"/>
      <w:lvlText w:val="•"/>
      <w:lvlJc w:val="left"/>
      <w:pPr>
        <w:ind w:left="2500" w:hanging="360"/>
      </w:pPr>
      <w:rPr>
        <w:rFonts w:hint="default"/>
      </w:rPr>
    </w:lvl>
  </w:abstractNum>
  <w:abstractNum w:abstractNumId="13">
    <w:multiLevelType w:val="hybridMultilevel"/>
    <w:lvl w:ilvl="0">
      <w:start w:val="1"/>
      <w:numFmt w:val="lowerLetter"/>
      <w:lvlText w:val="%1."/>
      <w:lvlJc w:val="left"/>
      <w:pPr>
        <w:ind w:left="465" w:hanging="360"/>
        <w:jc w:val="left"/>
      </w:pPr>
      <w:rPr>
        <w:rFonts w:hint="default" w:ascii="Calibri" w:hAnsi="Calibri" w:eastAsia="Calibri" w:cs="Calibri"/>
        <w:w w:val="99"/>
        <w:sz w:val="16"/>
        <w:szCs w:val="16"/>
      </w:rPr>
    </w:lvl>
    <w:lvl w:ilvl="1">
      <w:start w:val="1"/>
      <w:numFmt w:val="bullet"/>
      <w:lvlText w:val="•"/>
      <w:lvlJc w:val="left"/>
      <w:pPr>
        <w:ind w:left="715" w:hanging="360"/>
      </w:pPr>
      <w:rPr>
        <w:rFonts w:hint="default"/>
      </w:rPr>
    </w:lvl>
    <w:lvl w:ilvl="2">
      <w:start w:val="1"/>
      <w:numFmt w:val="bullet"/>
      <w:lvlText w:val="•"/>
      <w:lvlJc w:val="left"/>
      <w:pPr>
        <w:ind w:left="97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80" w:hanging="360"/>
      </w:pPr>
      <w:rPr>
        <w:rFonts w:hint="default"/>
      </w:rPr>
    </w:lvl>
    <w:lvl w:ilvl="5">
      <w:start w:val="1"/>
      <w:numFmt w:val="bullet"/>
      <w:lvlText w:val="•"/>
      <w:lvlJc w:val="left"/>
      <w:pPr>
        <w:ind w:left="1735" w:hanging="360"/>
      </w:pPr>
      <w:rPr>
        <w:rFonts w:hint="default"/>
      </w:rPr>
    </w:lvl>
    <w:lvl w:ilvl="6">
      <w:start w:val="1"/>
      <w:numFmt w:val="bullet"/>
      <w:lvlText w:val="•"/>
      <w:lvlJc w:val="left"/>
      <w:pPr>
        <w:ind w:left="1990" w:hanging="360"/>
      </w:pPr>
      <w:rPr>
        <w:rFonts w:hint="default"/>
      </w:rPr>
    </w:lvl>
    <w:lvl w:ilvl="7">
      <w:start w:val="1"/>
      <w:numFmt w:val="bullet"/>
      <w:lvlText w:val="•"/>
      <w:lvlJc w:val="left"/>
      <w:pPr>
        <w:ind w:left="2245" w:hanging="360"/>
      </w:pPr>
      <w:rPr>
        <w:rFonts w:hint="default"/>
      </w:rPr>
    </w:lvl>
    <w:lvl w:ilvl="8">
      <w:start w:val="1"/>
      <w:numFmt w:val="bullet"/>
      <w:lvlText w:val="•"/>
      <w:lvlJc w:val="left"/>
      <w:pPr>
        <w:ind w:left="2500" w:hanging="360"/>
      </w:pPr>
      <w:rPr>
        <w:rFonts w:hint="default"/>
      </w:rPr>
    </w:lvl>
  </w:abstractNum>
  <w:abstractNum w:abstractNumId="12">
    <w:multiLevelType w:val="hybridMultilevel"/>
    <w:lvl w:ilvl="0">
      <w:start w:val="1"/>
      <w:numFmt w:val="lowerLetter"/>
      <w:lvlText w:val="%1."/>
      <w:lvlJc w:val="left"/>
      <w:pPr>
        <w:ind w:left="465" w:hanging="360"/>
        <w:jc w:val="left"/>
      </w:pPr>
      <w:rPr>
        <w:rFonts w:hint="default" w:ascii="Calibri" w:hAnsi="Calibri" w:eastAsia="Calibri" w:cs="Calibri"/>
        <w:w w:val="99"/>
        <w:sz w:val="16"/>
        <w:szCs w:val="16"/>
      </w:rPr>
    </w:lvl>
    <w:lvl w:ilvl="1">
      <w:start w:val="1"/>
      <w:numFmt w:val="bullet"/>
      <w:lvlText w:val="•"/>
      <w:lvlJc w:val="left"/>
      <w:pPr>
        <w:ind w:left="715" w:hanging="360"/>
      </w:pPr>
      <w:rPr>
        <w:rFonts w:hint="default"/>
      </w:rPr>
    </w:lvl>
    <w:lvl w:ilvl="2">
      <w:start w:val="1"/>
      <w:numFmt w:val="bullet"/>
      <w:lvlText w:val="•"/>
      <w:lvlJc w:val="left"/>
      <w:pPr>
        <w:ind w:left="97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80" w:hanging="360"/>
      </w:pPr>
      <w:rPr>
        <w:rFonts w:hint="default"/>
      </w:rPr>
    </w:lvl>
    <w:lvl w:ilvl="5">
      <w:start w:val="1"/>
      <w:numFmt w:val="bullet"/>
      <w:lvlText w:val="•"/>
      <w:lvlJc w:val="left"/>
      <w:pPr>
        <w:ind w:left="1735" w:hanging="360"/>
      </w:pPr>
      <w:rPr>
        <w:rFonts w:hint="default"/>
      </w:rPr>
    </w:lvl>
    <w:lvl w:ilvl="6">
      <w:start w:val="1"/>
      <w:numFmt w:val="bullet"/>
      <w:lvlText w:val="•"/>
      <w:lvlJc w:val="left"/>
      <w:pPr>
        <w:ind w:left="1990" w:hanging="360"/>
      </w:pPr>
      <w:rPr>
        <w:rFonts w:hint="default"/>
      </w:rPr>
    </w:lvl>
    <w:lvl w:ilvl="7">
      <w:start w:val="1"/>
      <w:numFmt w:val="bullet"/>
      <w:lvlText w:val="•"/>
      <w:lvlJc w:val="left"/>
      <w:pPr>
        <w:ind w:left="2245" w:hanging="360"/>
      </w:pPr>
      <w:rPr>
        <w:rFonts w:hint="default"/>
      </w:rPr>
    </w:lvl>
    <w:lvl w:ilvl="8">
      <w:start w:val="1"/>
      <w:numFmt w:val="bullet"/>
      <w:lvlText w:val="•"/>
      <w:lvlJc w:val="left"/>
      <w:pPr>
        <w:ind w:left="2500" w:hanging="360"/>
      </w:pPr>
      <w:rPr>
        <w:rFonts w:hint="default"/>
      </w:rPr>
    </w:lvl>
  </w:abstractNum>
  <w:abstractNum w:abstractNumId="11">
    <w:multiLevelType w:val="hybridMultilevel"/>
    <w:lvl w:ilvl="0">
      <w:start w:val="2"/>
      <w:numFmt w:val="decimal"/>
      <w:lvlText w:val="%1"/>
      <w:lvlJc w:val="left"/>
      <w:pPr>
        <w:ind w:left="1295" w:hanging="361"/>
        <w:jc w:val="left"/>
      </w:pPr>
      <w:rPr>
        <w:rFonts w:hint="default"/>
      </w:rPr>
    </w:lvl>
    <w:lvl w:ilvl="1">
      <w:start w:val="2"/>
      <w:numFmt w:val="decimal"/>
      <w:lvlText w:val="%1.%2"/>
      <w:lvlJc w:val="left"/>
      <w:pPr>
        <w:ind w:left="1295" w:hanging="361"/>
        <w:jc w:val="right"/>
      </w:pPr>
      <w:rPr>
        <w:rFonts w:hint="default" w:ascii="Times New Roman" w:hAnsi="Times New Roman" w:eastAsia="Times New Roman" w:cs="Times New Roman"/>
        <w:b/>
        <w:bCs/>
        <w:w w:val="100"/>
        <w:sz w:val="24"/>
        <w:szCs w:val="24"/>
      </w:rPr>
    </w:lvl>
    <w:lvl w:ilvl="2">
      <w:start w:val="1"/>
      <w:numFmt w:val="decimal"/>
      <w:lvlText w:val="%1.%2.%3"/>
      <w:lvlJc w:val="left"/>
      <w:pPr>
        <w:ind w:left="1415" w:hanging="543"/>
        <w:jc w:val="left"/>
      </w:pPr>
      <w:rPr>
        <w:rFonts w:hint="default" w:ascii="Times New Roman" w:hAnsi="Times New Roman" w:eastAsia="Times New Roman" w:cs="Times New Roman"/>
        <w:b/>
        <w:bCs/>
        <w:w w:val="100"/>
        <w:sz w:val="24"/>
        <w:szCs w:val="24"/>
      </w:rPr>
    </w:lvl>
    <w:lvl w:ilvl="3">
      <w:start w:val="1"/>
      <w:numFmt w:val="bullet"/>
      <w:lvlText w:val="•"/>
      <w:lvlJc w:val="left"/>
      <w:pPr>
        <w:ind w:left="3126" w:hanging="543"/>
      </w:pPr>
      <w:rPr>
        <w:rFonts w:hint="default"/>
      </w:rPr>
    </w:lvl>
    <w:lvl w:ilvl="4">
      <w:start w:val="1"/>
      <w:numFmt w:val="bullet"/>
      <w:lvlText w:val="•"/>
      <w:lvlJc w:val="left"/>
      <w:pPr>
        <w:ind w:left="3980" w:hanging="543"/>
      </w:pPr>
      <w:rPr>
        <w:rFonts w:hint="default"/>
      </w:rPr>
    </w:lvl>
    <w:lvl w:ilvl="5">
      <w:start w:val="1"/>
      <w:numFmt w:val="bullet"/>
      <w:lvlText w:val="•"/>
      <w:lvlJc w:val="left"/>
      <w:pPr>
        <w:ind w:left="4833" w:hanging="543"/>
      </w:pPr>
      <w:rPr>
        <w:rFonts w:hint="default"/>
      </w:rPr>
    </w:lvl>
    <w:lvl w:ilvl="6">
      <w:start w:val="1"/>
      <w:numFmt w:val="bullet"/>
      <w:lvlText w:val="•"/>
      <w:lvlJc w:val="left"/>
      <w:pPr>
        <w:ind w:left="5686" w:hanging="543"/>
      </w:pPr>
      <w:rPr>
        <w:rFonts w:hint="default"/>
      </w:rPr>
    </w:lvl>
    <w:lvl w:ilvl="7">
      <w:start w:val="1"/>
      <w:numFmt w:val="bullet"/>
      <w:lvlText w:val="•"/>
      <w:lvlJc w:val="left"/>
      <w:pPr>
        <w:ind w:left="6540" w:hanging="543"/>
      </w:pPr>
      <w:rPr>
        <w:rFonts w:hint="default"/>
      </w:rPr>
    </w:lvl>
    <w:lvl w:ilvl="8">
      <w:start w:val="1"/>
      <w:numFmt w:val="bullet"/>
      <w:lvlText w:val="•"/>
      <w:lvlJc w:val="left"/>
      <w:pPr>
        <w:ind w:left="7393" w:hanging="543"/>
      </w:pPr>
      <w:rPr>
        <w:rFonts w:hint="default"/>
      </w:rPr>
    </w:lvl>
  </w:abstractNum>
  <w:abstractNum w:abstractNumId="10">
    <w:multiLevelType w:val="hybridMultilevel"/>
    <w:lvl w:ilvl="0">
      <w:start w:val="2"/>
      <w:numFmt w:val="decimal"/>
      <w:lvlText w:val="%1"/>
      <w:lvlJc w:val="left"/>
      <w:pPr>
        <w:ind w:left="1237" w:hanging="365"/>
        <w:jc w:val="left"/>
      </w:pPr>
      <w:rPr>
        <w:rFonts w:hint="default"/>
      </w:rPr>
    </w:lvl>
    <w:lvl w:ilvl="1">
      <w:start w:val="1"/>
      <w:numFmt w:val="decimal"/>
      <w:lvlText w:val="%1.%2"/>
      <w:lvlJc w:val="left"/>
      <w:pPr>
        <w:ind w:left="1237" w:hanging="365"/>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415" w:hanging="543"/>
        <w:jc w:val="left"/>
      </w:pPr>
      <w:rPr>
        <w:rFonts w:hint="default" w:ascii="Times New Roman" w:hAnsi="Times New Roman" w:eastAsia="Times New Roman" w:cs="Times New Roman"/>
        <w:b/>
        <w:bCs/>
        <w:w w:val="100"/>
        <w:sz w:val="24"/>
        <w:szCs w:val="24"/>
      </w:rPr>
    </w:lvl>
    <w:lvl w:ilvl="3">
      <w:start w:val="1"/>
      <w:numFmt w:val="bullet"/>
      <w:lvlText w:val="•"/>
      <w:lvlJc w:val="left"/>
      <w:pPr>
        <w:ind w:left="3126" w:hanging="543"/>
      </w:pPr>
      <w:rPr>
        <w:rFonts w:hint="default"/>
      </w:rPr>
    </w:lvl>
    <w:lvl w:ilvl="4">
      <w:start w:val="1"/>
      <w:numFmt w:val="bullet"/>
      <w:lvlText w:val="•"/>
      <w:lvlJc w:val="left"/>
      <w:pPr>
        <w:ind w:left="3980" w:hanging="543"/>
      </w:pPr>
      <w:rPr>
        <w:rFonts w:hint="default"/>
      </w:rPr>
    </w:lvl>
    <w:lvl w:ilvl="5">
      <w:start w:val="1"/>
      <w:numFmt w:val="bullet"/>
      <w:lvlText w:val="•"/>
      <w:lvlJc w:val="left"/>
      <w:pPr>
        <w:ind w:left="4833" w:hanging="543"/>
      </w:pPr>
      <w:rPr>
        <w:rFonts w:hint="default"/>
      </w:rPr>
    </w:lvl>
    <w:lvl w:ilvl="6">
      <w:start w:val="1"/>
      <w:numFmt w:val="bullet"/>
      <w:lvlText w:val="•"/>
      <w:lvlJc w:val="left"/>
      <w:pPr>
        <w:ind w:left="5686" w:hanging="543"/>
      </w:pPr>
      <w:rPr>
        <w:rFonts w:hint="default"/>
      </w:rPr>
    </w:lvl>
    <w:lvl w:ilvl="7">
      <w:start w:val="1"/>
      <w:numFmt w:val="bullet"/>
      <w:lvlText w:val="•"/>
      <w:lvlJc w:val="left"/>
      <w:pPr>
        <w:ind w:left="6540" w:hanging="543"/>
      </w:pPr>
      <w:rPr>
        <w:rFonts w:hint="default"/>
      </w:rPr>
    </w:lvl>
    <w:lvl w:ilvl="8">
      <w:start w:val="1"/>
      <w:numFmt w:val="bullet"/>
      <w:lvlText w:val="•"/>
      <w:lvlJc w:val="left"/>
      <w:pPr>
        <w:ind w:left="7393" w:hanging="543"/>
      </w:pPr>
      <w:rPr>
        <w:rFonts w:hint="default"/>
      </w:rPr>
    </w:lvl>
  </w:abstractNum>
  <w:abstractNum w:abstractNumId="9">
    <w:multiLevelType w:val="hybridMultilevel"/>
    <w:lvl w:ilvl="0">
      <w:start w:val="1"/>
      <w:numFmt w:val="decimal"/>
      <w:lvlText w:val="%1"/>
      <w:lvlJc w:val="left"/>
      <w:pPr>
        <w:ind w:left="232" w:hanging="370"/>
        <w:jc w:val="right"/>
      </w:pPr>
      <w:rPr>
        <w:rFonts w:hint="default"/>
      </w:rPr>
    </w:lvl>
    <w:lvl w:ilvl="1">
      <w:start w:val="4"/>
      <w:numFmt w:val="decimal"/>
      <w:lvlText w:val="%1.%2"/>
      <w:lvlJc w:val="left"/>
      <w:pPr>
        <w:ind w:left="522" w:hanging="370"/>
        <w:jc w:val="left"/>
      </w:pPr>
      <w:rPr>
        <w:rFonts w:hint="default" w:ascii="Times New Roman" w:hAnsi="Times New Roman" w:eastAsia="Times New Roman" w:cs="Times New Roman"/>
        <w:w w:val="100"/>
        <w:sz w:val="24"/>
        <w:szCs w:val="24"/>
      </w:rPr>
    </w:lvl>
    <w:lvl w:ilvl="2">
      <w:start w:val="1"/>
      <w:numFmt w:val="bullet"/>
      <w:lvlText w:val=""/>
      <w:lvlJc w:val="left"/>
      <w:pPr>
        <w:ind w:left="719" w:hanging="284"/>
      </w:pPr>
      <w:rPr>
        <w:rFonts w:hint="default" w:ascii="Wingdings" w:hAnsi="Wingdings" w:eastAsia="Wingdings" w:cs="Wingdings"/>
        <w:w w:val="100"/>
        <w:sz w:val="24"/>
        <w:szCs w:val="24"/>
      </w:rPr>
    </w:lvl>
    <w:lvl w:ilvl="3">
      <w:start w:val="1"/>
      <w:numFmt w:val="bullet"/>
      <w:lvlText w:val="•"/>
      <w:lvlJc w:val="left"/>
      <w:pPr>
        <w:ind w:left="1767" w:hanging="284"/>
      </w:pPr>
      <w:rPr>
        <w:rFonts w:hint="default"/>
      </w:rPr>
    </w:lvl>
    <w:lvl w:ilvl="4">
      <w:start w:val="1"/>
      <w:numFmt w:val="bullet"/>
      <w:lvlText w:val="•"/>
      <w:lvlJc w:val="left"/>
      <w:pPr>
        <w:ind w:left="2815" w:hanging="284"/>
      </w:pPr>
      <w:rPr>
        <w:rFonts w:hint="default"/>
      </w:rPr>
    </w:lvl>
    <w:lvl w:ilvl="5">
      <w:start w:val="1"/>
      <w:numFmt w:val="bullet"/>
      <w:lvlText w:val="•"/>
      <w:lvlJc w:val="left"/>
      <w:pPr>
        <w:ind w:left="3862" w:hanging="284"/>
      </w:pPr>
      <w:rPr>
        <w:rFonts w:hint="default"/>
      </w:rPr>
    </w:lvl>
    <w:lvl w:ilvl="6">
      <w:start w:val="1"/>
      <w:numFmt w:val="bullet"/>
      <w:lvlText w:val="•"/>
      <w:lvlJc w:val="left"/>
      <w:pPr>
        <w:ind w:left="4910" w:hanging="284"/>
      </w:pPr>
      <w:rPr>
        <w:rFonts w:hint="default"/>
      </w:rPr>
    </w:lvl>
    <w:lvl w:ilvl="7">
      <w:start w:val="1"/>
      <w:numFmt w:val="bullet"/>
      <w:lvlText w:val="•"/>
      <w:lvlJc w:val="left"/>
      <w:pPr>
        <w:ind w:left="5957" w:hanging="284"/>
      </w:pPr>
      <w:rPr>
        <w:rFonts w:hint="default"/>
      </w:rPr>
    </w:lvl>
    <w:lvl w:ilvl="8">
      <w:start w:val="1"/>
      <w:numFmt w:val="bullet"/>
      <w:lvlText w:val="•"/>
      <w:lvlJc w:val="left"/>
      <w:pPr>
        <w:ind w:left="7005" w:hanging="284"/>
      </w:pPr>
      <w:rPr>
        <w:rFonts w:hint="default"/>
      </w:rPr>
    </w:lvl>
  </w:abstractNum>
  <w:abstractNum w:abstractNumId="8">
    <w:multiLevelType w:val="hybridMultilevel"/>
    <w:lvl w:ilvl="0">
      <w:start w:val="8"/>
      <w:numFmt w:val="decimal"/>
      <w:lvlText w:val="%1"/>
      <w:lvlJc w:val="left"/>
      <w:pPr>
        <w:ind w:left="757" w:hanging="365"/>
        <w:jc w:val="left"/>
      </w:pPr>
      <w:rPr>
        <w:rFonts w:hint="default"/>
      </w:rPr>
    </w:lvl>
    <w:lvl w:ilvl="1">
      <w:start w:val="1"/>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bullet"/>
      <w:lvlText w:val="•"/>
      <w:lvlJc w:val="left"/>
      <w:pPr>
        <w:ind w:left="2484" w:hanging="365"/>
      </w:pPr>
      <w:rPr>
        <w:rFonts w:hint="default"/>
      </w:rPr>
    </w:lvl>
    <w:lvl w:ilvl="3">
      <w:start w:val="1"/>
      <w:numFmt w:val="bullet"/>
      <w:lvlText w:val="•"/>
      <w:lvlJc w:val="left"/>
      <w:pPr>
        <w:ind w:left="3346" w:hanging="365"/>
      </w:pPr>
      <w:rPr>
        <w:rFonts w:hint="default"/>
      </w:rPr>
    </w:lvl>
    <w:lvl w:ilvl="4">
      <w:start w:val="1"/>
      <w:numFmt w:val="bullet"/>
      <w:lvlText w:val="•"/>
      <w:lvlJc w:val="left"/>
      <w:pPr>
        <w:ind w:left="4208" w:hanging="365"/>
      </w:pPr>
      <w:rPr>
        <w:rFonts w:hint="default"/>
      </w:rPr>
    </w:lvl>
    <w:lvl w:ilvl="5">
      <w:start w:val="1"/>
      <w:numFmt w:val="bullet"/>
      <w:lvlText w:val="•"/>
      <w:lvlJc w:val="left"/>
      <w:pPr>
        <w:ind w:left="5070" w:hanging="365"/>
      </w:pPr>
      <w:rPr>
        <w:rFonts w:hint="default"/>
      </w:rPr>
    </w:lvl>
    <w:lvl w:ilvl="6">
      <w:start w:val="1"/>
      <w:numFmt w:val="bullet"/>
      <w:lvlText w:val="•"/>
      <w:lvlJc w:val="left"/>
      <w:pPr>
        <w:ind w:left="5932" w:hanging="365"/>
      </w:pPr>
      <w:rPr>
        <w:rFonts w:hint="default"/>
      </w:rPr>
    </w:lvl>
    <w:lvl w:ilvl="7">
      <w:start w:val="1"/>
      <w:numFmt w:val="bullet"/>
      <w:lvlText w:val="•"/>
      <w:lvlJc w:val="left"/>
      <w:pPr>
        <w:ind w:left="6794" w:hanging="365"/>
      </w:pPr>
      <w:rPr>
        <w:rFonts w:hint="default"/>
      </w:rPr>
    </w:lvl>
    <w:lvl w:ilvl="8">
      <w:start w:val="1"/>
      <w:numFmt w:val="bullet"/>
      <w:lvlText w:val="•"/>
      <w:lvlJc w:val="left"/>
      <w:pPr>
        <w:ind w:left="7656" w:hanging="365"/>
      </w:pPr>
      <w:rPr>
        <w:rFonts w:hint="default"/>
      </w:rPr>
    </w:lvl>
  </w:abstractNum>
  <w:abstractNum w:abstractNumId="7">
    <w:multiLevelType w:val="hybridMultilevel"/>
    <w:lvl w:ilvl="0">
      <w:start w:val="7"/>
      <w:numFmt w:val="decimal"/>
      <w:lvlText w:val="%1"/>
      <w:lvlJc w:val="left"/>
      <w:pPr>
        <w:ind w:left="757" w:hanging="365"/>
        <w:jc w:val="left"/>
      </w:pPr>
      <w:rPr>
        <w:rFonts w:hint="default"/>
      </w:rPr>
    </w:lvl>
    <w:lvl w:ilvl="1">
      <w:start w:val="1"/>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bullet"/>
      <w:lvlText w:val="•"/>
      <w:lvlJc w:val="left"/>
      <w:pPr>
        <w:ind w:left="2484" w:hanging="365"/>
      </w:pPr>
      <w:rPr>
        <w:rFonts w:hint="default"/>
      </w:rPr>
    </w:lvl>
    <w:lvl w:ilvl="3">
      <w:start w:val="1"/>
      <w:numFmt w:val="bullet"/>
      <w:lvlText w:val="•"/>
      <w:lvlJc w:val="left"/>
      <w:pPr>
        <w:ind w:left="3346" w:hanging="365"/>
      </w:pPr>
      <w:rPr>
        <w:rFonts w:hint="default"/>
      </w:rPr>
    </w:lvl>
    <w:lvl w:ilvl="4">
      <w:start w:val="1"/>
      <w:numFmt w:val="bullet"/>
      <w:lvlText w:val="•"/>
      <w:lvlJc w:val="left"/>
      <w:pPr>
        <w:ind w:left="4208" w:hanging="365"/>
      </w:pPr>
      <w:rPr>
        <w:rFonts w:hint="default"/>
      </w:rPr>
    </w:lvl>
    <w:lvl w:ilvl="5">
      <w:start w:val="1"/>
      <w:numFmt w:val="bullet"/>
      <w:lvlText w:val="•"/>
      <w:lvlJc w:val="left"/>
      <w:pPr>
        <w:ind w:left="5070" w:hanging="365"/>
      </w:pPr>
      <w:rPr>
        <w:rFonts w:hint="default"/>
      </w:rPr>
    </w:lvl>
    <w:lvl w:ilvl="6">
      <w:start w:val="1"/>
      <w:numFmt w:val="bullet"/>
      <w:lvlText w:val="•"/>
      <w:lvlJc w:val="left"/>
      <w:pPr>
        <w:ind w:left="5932" w:hanging="365"/>
      </w:pPr>
      <w:rPr>
        <w:rFonts w:hint="default"/>
      </w:rPr>
    </w:lvl>
    <w:lvl w:ilvl="7">
      <w:start w:val="1"/>
      <w:numFmt w:val="bullet"/>
      <w:lvlText w:val="•"/>
      <w:lvlJc w:val="left"/>
      <w:pPr>
        <w:ind w:left="6794" w:hanging="365"/>
      </w:pPr>
      <w:rPr>
        <w:rFonts w:hint="default"/>
      </w:rPr>
    </w:lvl>
    <w:lvl w:ilvl="8">
      <w:start w:val="1"/>
      <w:numFmt w:val="bullet"/>
      <w:lvlText w:val="•"/>
      <w:lvlJc w:val="left"/>
      <w:pPr>
        <w:ind w:left="7656" w:hanging="365"/>
      </w:pPr>
      <w:rPr>
        <w:rFonts w:hint="default"/>
      </w:rPr>
    </w:lvl>
  </w:abstractNum>
  <w:abstractNum w:abstractNumId="6">
    <w:multiLevelType w:val="hybridMultilevel"/>
    <w:lvl w:ilvl="0">
      <w:start w:val="6"/>
      <w:numFmt w:val="decimal"/>
      <w:lvlText w:val="%1"/>
      <w:lvlJc w:val="left"/>
      <w:pPr>
        <w:ind w:left="757" w:hanging="365"/>
        <w:jc w:val="left"/>
      </w:pPr>
      <w:rPr>
        <w:rFonts w:hint="default"/>
      </w:rPr>
    </w:lvl>
    <w:lvl w:ilvl="1">
      <w:start w:val="3"/>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bullet"/>
      <w:lvlText w:val="•"/>
      <w:lvlJc w:val="left"/>
      <w:pPr>
        <w:ind w:left="2484" w:hanging="365"/>
      </w:pPr>
      <w:rPr>
        <w:rFonts w:hint="default"/>
      </w:rPr>
    </w:lvl>
    <w:lvl w:ilvl="3">
      <w:start w:val="1"/>
      <w:numFmt w:val="bullet"/>
      <w:lvlText w:val="•"/>
      <w:lvlJc w:val="left"/>
      <w:pPr>
        <w:ind w:left="3346" w:hanging="365"/>
      </w:pPr>
      <w:rPr>
        <w:rFonts w:hint="default"/>
      </w:rPr>
    </w:lvl>
    <w:lvl w:ilvl="4">
      <w:start w:val="1"/>
      <w:numFmt w:val="bullet"/>
      <w:lvlText w:val="•"/>
      <w:lvlJc w:val="left"/>
      <w:pPr>
        <w:ind w:left="4208" w:hanging="365"/>
      </w:pPr>
      <w:rPr>
        <w:rFonts w:hint="default"/>
      </w:rPr>
    </w:lvl>
    <w:lvl w:ilvl="5">
      <w:start w:val="1"/>
      <w:numFmt w:val="bullet"/>
      <w:lvlText w:val="•"/>
      <w:lvlJc w:val="left"/>
      <w:pPr>
        <w:ind w:left="5070" w:hanging="365"/>
      </w:pPr>
      <w:rPr>
        <w:rFonts w:hint="default"/>
      </w:rPr>
    </w:lvl>
    <w:lvl w:ilvl="6">
      <w:start w:val="1"/>
      <w:numFmt w:val="bullet"/>
      <w:lvlText w:val="•"/>
      <w:lvlJc w:val="left"/>
      <w:pPr>
        <w:ind w:left="5932" w:hanging="365"/>
      </w:pPr>
      <w:rPr>
        <w:rFonts w:hint="default"/>
      </w:rPr>
    </w:lvl>
    <w:lvl w:ilvl="7">
      <w:start w:val="1"/>
      <w:numFmt w:val="bullet"/>
      <w:lvlText w:val="•"/>
      <w:lvlJc w:val="left"/>
      <w:pPr>
        <w:ind w:left="6794" w:hanging="365"/>
      </w:pPr>
      <w:rPr>
        <w:rFonts w:hint="default"/>
      </w:rPr>
    </w:lvl>
    <w:lvl w:ilvl="8">
      <w:start w:val="1"/>
      <w:numFmt w:val="bullet"/>
      <w:lvlText w:val="•"/>
      <w:lvlJc w:val="left"/>
      <w:pPr>
        <w:ind w:left="7656" w:hanging="365"/>
      </w:pPr>
      <w:rPr>
        <w:rFonts w:hint="default"/>
      </w:rPr>
    </w:lvl>
  </w:abstractNum>
  <w:abstractNum w:abstractNumId="5">
    <w:multiLevelType w:val="hybridMultilevel"/>
    <w:lvl w:ilvl="0">
      <w:start w:val="6"/>
      <w:numFmt w:val="decimal"/>
      <w:lvlText w:val="%1"/>
      <w:lvlJc w:val="left"/>
      <w:pPr>
        <w:ind w:left="757" w:hanging="365"/>
        <w:jc w:val="left"/>
      </w:pPr>
      <w:rPr>
        <w:rFonts w:hint="default"/>
      </w:rPr>
    </w:lvl>
    <w:lvl w:ilvl="1">
      <w:start w:val="1"/>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bullet"/>
      <w:lvlText w:val="•"/>
      <w:lvlJc w:val="left"/>
      <w:pPr>
        <w:ind w:left="1877" w:hanging="365"/>
      </w:pPr>
      <w:rPr>
        <w:rFonts w:hint="default"/>
      </w:rPr>
    </w:lvl>
    <w:lvl w:ilvl="3">
      <w:start w:val="1"/>
      <w:numFmt w:val="bullet"/>
      <w:lvlText w:val="•"/>
      <w:lvlJc w:val="left"/>
      <w:pPr>
        <w:ind w:left="2815" w:hanging="365"/>
      </w:pPr>
      <w:rPr>
        <w:rFonts w:hint="default"/>
      </w:rPr>
    </w:lvl>
    <w:lvl w:ilvl="4">
      <w:start w:val="1"/>
      <w:numFmt w:val="bullet"/>
      <w:lvlText w:val="•"/>
      <w:lvlJc w:val="left"/>
      <w:pPr>
        <w:ind w:left="3753" w:hanging="365"/>
      </w:pPr>
      <w:rPr>
        <w:rFonts w:hint="default"/>
      </w:rPr>
    </w:lvl>
    <w:lvl w:ilvl="5">
      <w:start w:val="1"/>
      <w:numFmt w:val="bullet"/>
      <w:lvlText w:val="•"/>
      <w:lvlJc w:val="left"/>
      <w:pPr>
        <w:ind w:left="4691" w:hanging="365"/>
      </w:pPr>
      <w:rPr>
        <w:rFonts w:hint="default"/>
      </w:rPr>
    </w:lvl>
    <w:lvl w:ilvl="6">
      <w:start w:val="1"/>
      <w:numFmt w:val="bullet"/>
      <w:lvlText w:val="•"/>
      <w:lvlJc w:val="left"/>
      <w:pPr>
        <w:ind w:left="5628" w:hanging="365"/>
      </w:pPr>
      <w:rPr>
        <w:rFonts w:hint="default"/>
      </w:rPr>
    </w:lvl>
    <w:lvl w:ilvl="7">
      <w:start w:val="1"/>
      <w:numFmt w:val="bullet"/>
      <w:lvlText w:val="•"/>
      <w:lvlJc w:val="left"/>
      <w:pPr>
        <w:ind w:left="6566" w:hanging="365"/>
      </w:pPr>
      <w:rPr>
        <w:rFonts w:hint="default"/>
      </w:rPr>
    </w:lvl>
    <w:lvl w:ilvl="8">
      <w:start w:val="1"/>
      <w:numFmt w:val="bullet"/>
      <w:lvlText w:val="•"/>
      <w:lvlJc w:val="left"/>
      <w:pPr>
        <w:ind w:left="7504" w:hanging="365"/>
      </w:pPr>
      <w:rPr>
        <w:rFonts w:hint="default"/>
      </w:rPr>
    </w:lvl>
  </w:abstractNum>
  <w:abstractNum w:abstractNumId="4">
    <w:multiLevelType w:val="hybridMultilevel"/>
    <w:lvl w:ilvl="0">
      <w:start w:val="2"/>
      <w:numFmt w:val="decimal"/>
      <w:lvlText w:val="%1"/>
      <w:lvlJc w:val="left"/>
      <w:pPr>
        <w:ind w:left="934" w:hanging="542"/>
        <w:jc w:val="left"/>
      </w:pPr>
      <w:rPr>
        <w:rFonts w:hint="default"/>
      </w:rPr>
    </w:lvl>
    <w:lvl w:ilvl="1">
      <w:start w:val="4"/>
      <w:numFmt w:val="decimal"/>
      <w:lvlText w:val="%1.%2"/>
      <w:lvlJc w:val="left"/>
      <w:pPr>
        <w:ind w:left="934" w:hanging="542"/>
        <w:jc w:val="left"/>
      </w:pPr>
      <w:rPr>
        <w:rFonts w:hint="default"/>
      </w:rPr>
    </w:lvl>
    <w:lvl w:ilvl="2">
      <w:start w:val="3"/>
      <w:numFmt w:val="decimal"/>
      <w:lvlText w:val="%1.%2.%3"/>
      <w:lvlJc w:val="left"/>
      <w:pPr>
        <w:ind w:left="934" w:hanging="542"/>
        <w:jc w:val="left"/>
      </w:pPr>
      <w:rPr>
        <w:rFonts w:hint="default" w:ascii="Times New Roman" w:hAnsi="Times New Roman" w:eastAsia="Times New Roman" w:cs="Times New Roman"/>
        <w:w w:val="100"/>
        <w:sz w:val="24"/>
        <w:szCs w:val="24"/>
      </w:rPr>
    </w:lvl>
    <w:lvl w:ilvl="3">
      <w:start w:val="1"/>
      <w:numFmt w:val="decimal"/>
      <w:lvlText w:val="%1.%2.%3.%4"/>
      <w:lvlJc w:val="left"/>
      <w:pPr>
        <w:ind w:left="1116" w:hanging="724"/>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873" w:hanging="724"/>
      </w:pPr>
      <w:rPr>
        <w:rFonts w:hint="default"/>
      </w:rPr>
    </w:lvl>
    <w:lvl w:ilvl="5">
      <w:start w:val="1"/>
      <w:numFmt w:val="bullet"/>
      <w:lvlText w:val="•"/>
      <w:lvlJc w:val="left"/>
      <w:pPr>
        <w:ind w:left="4791" w:hanging="724"/>
      </w:pPr>
      <w:rPr>
        <w:rFonts w:hint="default"/>
      </w:rPr>
    </w:lvl>
    <w:lvl w:ilvl="6">
      <w:start w:val="1"/>
      <w:numFmt w:val="bullet"/>
      <w:lvlText w:val="•"/>
      <w:lvlJc w:val="left"/>
      <w:pPr>
        <w:ind w:left="5708" w:hanging="724"/>
      </w:pPr>
      <w:rPr>
        <w:rFonts w:hint="default"/>
      </w:rPr>
    </w:lvl>
    <w:lvl w:ilvl="7">
      <w:start w:val="1"/>
      <w:numFmt w:val="bullet"/>
      <w:lvlText w:val="•"/>
      <w:lvlJc w:val="left"/>
      <w:pPr>
        <w:ind w:left="6626" w:hanging="724"/>
      </w:pPr>
      <w:rPr>
        <w:rFonts w:hint="default"/>
      </w:rPr>
    </w:lvl>
    <w:lvl w:ilvl="8">
      <w:start w:val="1"/>
      <w:numFmt w:val="bullet"/>
      <w:lvlText w:val="•"/>
      <w:lvlJc w:val="left"/>
      <w:pPr>
        <w:ind w:left="7544" w:hanging="724"/>
      </w:pPr>
      <w:rPr>
        <w:rFonts w:hint="default"/>
      </w:rPr>
    </w:lvl>
  </w:abstractNum>
  <w:abstractNum w:abstractNumId="3">
    <w:multiLevelType w:val="hybridMultilevel"/>
    <w:lvl w:ilvl="0">
      <w:start w:val="2"/>
      <w:numFmt w:val="decimal"/>
      <w:lvlText w:val="%1"/>
      <w:lvlJc w:val="left"/>
      <w:pPr>
        <w:ind w:left="934" w:hanging="542"/>
        <w:jc w:val="left"/>
      </w:pPr>
      <w:rPr>
        <w:rFonts w:hint="default"/>
      </w:rPr>
    </w:lvl>
    <w:lvl w:ilvl="1">
      <w:start w:val="4"/>
      <w:numFmt w:val="decimal"/>
      <w:lvlText w:val="%1.%2"/>
      <w:lvlJc w:val="left"/>
      <w:pPr>
        <w:ind w:left="934" w:hanging="542"/>
        <w:jc w:val="left"/>
      </w:pPr>
      <w:rPr>
        <w:rFonts w:hint="default"/>
      </w:rPr>
    </w:lvl>
    <w:lvl w:ilvl="2">
      <w:start w:val="2"/>
      <w:numFmt w:val="decimal"/>
      <w:lvlText w:val="%1.%2.%3"/>
      <w:lvlJc w:val="left"/>
      <w:pPr>
        <w:ind w:left="934" w:hanging="542"/>
        <w:jc w:val="left"/>
      </w:pPr>
      <w:rPr>
        <w:rFonts w:hint="default" w:ascii="Times New Roman" w:hAnsi="Times New Roman" w:eastAsia="Times New Roman" w:cs="Times New Roman"/>
        <w:w w:val="100"/>
        <w:sz w:val="24"/>
        <w:szCs w:val="24"/>
      </w:rPr>
    </w:lvl>
    <w:lvl w:ilvl="3">
      <w:start w:val="1"/>
      <w:numFmt w:val="decimal"/>
      <w:lvlText w:val="%1.%2.%3.%4"/>
      <w:lvlJc w:val="left"/>
      <w:pPr>
        <w:ind w:left="1116" w:hanging="724"/>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873" w:hanging="724"/>
      </w:pPr>
      <w:rPr>
        <w:rFonts w:hint="default"/>
      </w:rPr>
    </w:lvl>
    <w:lvl w:ilvl="5">
      <w:start w:val="1"/>
      <w:numFmt w:val="bullet"/>
      <w:lvlText w:val="•"/>
      <w:lvlJc w:val="left"/>
      <w:pPr>
        <w:ind w:left="4791" w:hanging="724"/>
      </w:pPr>
      <w:rPr>
        <w:rFonts w:hint="default"/>
      </w:rPr>
    </w:lvl>
    <w:lvl w:ilvl="6">
      <w:start w:val="1"/>
      <w:numFmt w:val="bullet"/>
      <w:lvlText w:val="•"/>
      <w:lvlJc w:val="left"/>
      <w:pPr>
        <w:ind w:left="5708" w:hanging="724"/>
      </w:pPr>
      <w:rPr>
        <w:rFonts w:hint="default"/>
      </w:rPr>
    </w:lvl>
    <w:lvl w:ilvl="7">
      <w:start w:val="1"/>
      <w:numFmt w:val="bullet"/>
      <w:lvlText w:val="•"/>
      <w:lvlJc w:val="left"/>
      <w:pPr>
        <w:ind w:left="6626" w:hanging="724"/>
      </w:pPr>
      <w:rPr>
        <w:rFonts w:hint="default"/>
      </w:rPr>
    </w:lvl>
    <w:lvl w:ilvl="8">
      <w:start w:val="1"/>
      <w:numFmt w:val="bullet"/>
      <w:lvlText w:val="•"/>
      <w:lvlJc w:val="left"/>
      <w:pPr>
        <w:ind w:left="7544" w:hanging="724"/>
      </w:pPr>
      <w:rPr>
        <w:rFonts w:hint="default"/>
      </w:rPr>
    </w:lvl>
  </w:abstractNum>
  <w:abstractNum w:abstractNumId="2">
    <w:multiLevelType w:val="hybridMultilevel"/>
    <w:lvl w:ilvl="0">
      <w:start w:val="2"/>
      <w:numFmt w:val="decimal"/>
      <w:lvlText w:val="%1"/>
      <w:lvlJc w:val="left"/>
      <w:pPr>
        <w:ind w:left="757" w:hanging="365"/>
        <w:jc w:val="left"/>
      </w:pPr>
      <w:rPr>
        <w:rFonts w:hint="default"/>
      </w:rPr>
    </w:lvl>
    <w:lvl w:ilvl="1">
      <w:start w:val="4"/>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decimal"/>
      <w:lvlText w:val="%1.%2.%3"/>
      <w:lvlJc w:val="left"/>
      <w:pPr>
        <w:ind w:left="934" w:hanging="542"/>
        <w:jc w:val="left"/>
      </w:pPr>
      <w:rPr>
        <w:rFonts w:hint="default" w:ascii="Times New Roman" w:hAnsi="Times New Roman" w:eastAsia="Times New Roman" w:cs="Times New Roman"/>
        <w:w w:val="100"/>
        <w:sz w:val="24"/>
        <w:szCs w:val="24"/>
      </w:rPr>
    </w:lvl>
    <w:lvl w:ilvl="3">
      <w:start w:val="1"/>
      <w:numFmt w:val="decimal"/>
      <w:lvlText w:val="%1.%2.%3.%4"/>
      <w:lvlJc w:val="left"/>
      <w:pPr>
        <w:ind w:left="1116" w:hanging="724"/>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185" w:hanging="724"/>
      </w:pPr>
      <w:rPr>
        <w:rFonts w:hint="default"/>
      </w:rPr>
    </w:lvl>
    <w:lvl w:ilvl="5">
      <w:start w:val="1"/>
      <w:numFmt w:val="bullet"/>
      <w:lvlText w:val="•"/>
      <w:lvlJc w:val="left"/>
      <w:pPr>
        <w:ind w:left="4217" w:hanging="724"/>
      </w:pPr>
      <w:rPr>
        <w:rFonts w:hint="default"/>
      </w:rPr>
    </w:lvl>
    <w:lvl w:ilvl="6">
      <w:start w:val="1"/>
      <w:numFmt w:val="bullet"/>
      <w:lvlText w:val="•"/>
      <w:lvlJc w:val="left"/>
      <w:pPr>
        <w:ind w:left="5250" w:hanging="724"/>
      </w:pPr>
      <w:rPr>
        <w:rFonts w:hint="default"/>
      </w:rPr>
    </w:lvl>
    <w:lvl w:ilvl="7">
      <w:start w:val="1"/>
      <w:numFmt w:val="bullet"/>
      <w:lvlText w:val="•"/>
      <w:lvlJc w:val="left"/>
      <w:pPr>
        <w:ind w:left="6282" w:hanging="724"/>
      </w:pPr>
      <w:rPr>
        <w:rFonts w:hint="default"/>
      </w:rPr>
    </w:lvl>
    <w:lvl w:ilvl="8">
      <w:start w:val="1"/>
      <w:numFmt w:val="bullet"/>
      <w:lvlText w:val="•"/>
      <w:lvlJc w:val="left"/>
      <w:pPr>
        <w:ind w:left="7315" w:hanging="724"/>
      </w:pPr>
      <w:rPr>
        <w:rFonts w:hint="default"/>
      </w:rPr>
    </w:lvl>
  </w:abstractNum>
  <w:abstractNum w:abstractNumId="1">
    <w:multiLevelType w:val="hybridMultilevel"/>
    <w:lvl w:ilvl="0">
      <w:start w:val="2"/>
      <w:numFmt w:val="decimal"/>
      <w:lvlText w:val="%1"/>
      <w:lvlJc w:val="left"/>
      <w:pPr>
        <w:ind w:left="757" w:hanging="365"/>
        <w:jc w:val="left"/>
      </w:pPr>
      <w:rPr>
        <w:rFonts w:hint="default"/>
      </w:rPr>
    </w:lvl>
    <w:lvl w:ilvl="1">
      <w:start w:val="2"/>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decimal"/>
      <w:lvlText w:val="%1.%2.%3"/>
      <w:lvlJc w:val="left"/>
      <w:pPr>
        <w:ind w:left="934" w:hanging="542"/>
        <w:jc w:val="left"/>
      </w:pPr>
      <w:rPr>
        <w:rFonts w:hint="default" w:ascii="Times New Roman" w:hAnsi="Times New Roman" w:eastAsia="Times New Roman" w:cs="Times New Roman"/>
        <w:w w:val="100"/>
        <w:sz w:val="24"/>
        <w:szCs w:val="24"/>
      </w:rPr>
    </w:lvl>
    <w:lvl w:ilvl="3">
      <w:start w:val="1"/>
      <w:numFmt w:val="bullet"/>
      <w:lvlText w:val="•"/>
      <w:lvlJc w:val="left"/>
      <w:pPr>
        <w:ind w:left="2815" w:hanging="542"/>
      </w:pPr>
      <w:rPr>
        <w:rFonts w:hint="default"/>
      </w:rPr>
    </w:lvl>
    <w:lvl w:ilvl="4">
      <w:start w:val="1"/>
      <w:numFmt w:val="bullet"/>
      <w:lvlText w:val="•"/>
      <w:lvlJc w:val="left"/>
      <w:pPr>
        <w:ind w:left="3753" w:hanging="542"/>
      </w:pPr>
      <w:rPr>
        <w:rFonts w:hint="default"/>
      </w:rPr>
    </w:lvl>
    <w:lvl w:ilvl="5">
      <w:start w:val="1"/>
      <w:numFmt w:val="bullet"/>
      <w:lvlText w:val="•"/>
      <w:lvlJc w:val="left"/>
      <w:pPr>
        <w:ind w:left="4691" w:hanging="542"/>
      </w:pPr>
      <w:rPr>
        <w:rFonts w:hint="default"/>
      </w:rPr>
    </w:lvl>
    <w:lvl w:ilvl="6">
      <w:start w:val="1"/>
      <w:numFmt w:val="bullet"/>
      <w:lvlText w:val="•"/>
      <w:lvlJc w:val="left"/>
      <w:pPr>
        <w:ind w:left="5628" w:hanging="542"/>
      </w:pPr>
      <w:rPr>
        <w:rFonts w:hint="default"/>
      </w:rPr>
    </w:lvl>
    <w:lvl w:ilvl="7">
      <w:start w:val="1"/>
      <w:numFmt w:val="bullet"/>
      <w:lvlText w:val="•"/>
      <w:lvlJc w:val="left"/>
      <w:pPr>
        <w:ind w:left="6566" w:hanging="542"/>
      </w:pPr>
      <w:rPr>
        <w:rFonts w:hint="default"/>
      </w:rPr>
    </w:lvl>
    <w:lvl w:ilvl="8">
      <w:start w:val="1"/>
      <w:numFmt w:val="bullet"/>
      <w:lvlText w:val="•"/>
      <w:lvlJc w:val="left"/>
      <w:pPr>
        <w:ind w:left="7504" w:hanging="542"/>
      </w:pPr>
      <w:rPr>
        <w:rFonts w:hint="default"/>
      </w:rPr>
    </w:lvl>
  </w:abstractNum>
  <w:abstractNum w:abstractNumId="0">
    <w:multiLevelType w:val="hybridMultilevel"/>
    <w:lvl w:ilvl="0">
      <w:start w:val="2"/>
      <w:numFmt w:val="decimal"/>
      <w:lvlText w:val="%1"/>
      <w:lvlJc w:val="left"/>
      <w:pPr>
        <w:ind w:left="757" w:hanging="365"/>
        <w:jc w:val="left"/>
      </w:pPr>
      <w:rPr>
        <w:rFonts w:hint="default"/>
      </w:rPr>
    </w:lvl>
    <w:lvl w:ilvl="1">
      <w:start w:val="1"/>
      <w:numFmt w:val="decimal"/>
      <w:lvlText w:val="%1.%2"/>
      <w:lvlJc w:val="left"/>
      <w:pPr>
        <w:ind w:left="757" w:hanging="365"/>
        <w:jc w:val="left"/>
      </w:pPr>
      <w:rPr>
        <w:rFonts w:hint="default" w:ascii="Times New Roman" w:hAnsi="Times New Roman" w:eastAsia="Times New Roman" w:cs="Times New Roman"/>
        <w:w w:val="100"/>
        <w:sz w:val="24"/>
        <w:szCs w:val="24"/>
      </w:rPr>
    </w:lvl>
    <w:lvl w:ilvl="2">
      <w:start w:val="1"/>
      <w:numFmt w:val="decimal"/>
      <w:lvlText w:val="%1.%2.%3"/>
      <w:lvlJc w:val="left"/>
      <w:pPr>
        <w:ind w:left="934" w:hanging="542"/>
        <w:jc w:val="left"/>
      </w:pPr>
      <w:rPr>
        <w:rFonts w:hint="default" w:ascii="Times New Roman" w:hAnsi="Times New Roman" w:eastAsia="Times New Roman" w:cs="Times New Roman"/>
        <w:w w:val="100"/>
        <w:sz w:val="24"/>
        <w:szCs w:val="24"/>
      </w:rPr>
    </w:lvl>
    <w:lvl w:ilvl="3">
      <w:start w:val="1"/>
      <w:numFmt w:val="bullet"/>
      <w:lvlText w:val="•"/>
      <w:lvlJc w:val="left"/>
      <w:pPr>
        <w:ind w:left="2815" w:hanging="542"/>
      </w:pPr>
      <w:rPr>
        <w:rFonts w:hint="default"/>
      </w:rPr>
    </w:lvl>
    <w:lvl w:ilvl="4">
      <w:start w:val="1"/>
      <w:numFmt w:val="bullet"/>
      <w:lvlText w:val="•"/>
      <w:lvlJc w:val="left"/>
      <w:pPr>
        <w:ind w:left="3753" w:hanging="542"/>
      </w:pPr>
      <w:rPr>
        <w:rFonts w:hint="default"/>
      </w:rPr>
    </w:lvl>
    <w:lvl w:ilvl="5">
      <w:start w:val="1"/>
      <w:numFmt w:val="bullet"/>
      <w:lvlText w:val="•"/>
      <w:lvlJc w:val="left"/>
      <w:pPr>
        <w:ind w:left="4691" w:hanging="542"/>
      </w:pPr>
      <w:rPr>
        <w:rFonts w:hint="default"/>
      </w:rPr>
    </w:lvl>
    <w:lvl w:ilvl="6">
      <w:start w:val="1"/>
      <w:numFmt w:val="bullet"/>
      <w:lvlText w:val="•"/>
      <w:lvlJc w:val="left"/>
      <w:pPr>
        <w:ind w:left="5628" w:hanging="542"/>
      </w:pPr>
      <w:rPr>
        <w:rFonts w:hint="default"/>
      </w:rPr>
    </w:lvl>
    <w:lvl w:ilvl="7">
      <w:start w:val="1"/>
      <w:numFmt w:val="bullet"/>
      <w:lvlText w:val="•"/>
      <w:lvlJc w:val="left"/>
      <w:pPr>
        <w:ind w:left="6566" w:hanging="542"/>
      </w:pPr>
      <w:rPr>
        <w:rFonts w:hint="default"/>
      </w:rPr>
    </w:lvl>
    <w:lvl w:ilvl="8">
      <w:start w:val="1"/>
      <w:numFmt w:val="bullet"/>
      <w:lvlText w:val="•"/>
      <w:lvlJc w:val="left"/>
      <w:pPr>
        <w:ind w:left="7504" w:hanging="542"/>
      </w:pPr>
      <w:rPr>
        <w:rFonts w:hint="default"/>
      </w:rPr>
    </w:lvl>
  </w:abstractNum>
  <w:num w:numId="30">
    <w:abstractNumId w:val="29"/>
  </w:num>
  <w:num w:numId="35">
    <w:abstractNumId w:val="34"/>
  </w:num>
  <w:num w:numId="34">
    <w:abstractNumId w:val="33"/>
  </w:num>
  <w:num w:numId="33">
    <w:abstractNumId w:val="32"/>
  </w:num>
  <w:num w:numId="32">
    <w:abstractNumId w:val="31"/>
  </w:num>
  <w:num w:numId="31">
    <w:abstractNumId w:val="30"/>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line="275" w:lineRule="exact"/>
      <w:ind w:left="152"/>
    </w:pPr>
    <w:rPr>
      <w:rFonts w:ascii="Times New Roman" w:hAnsi="Times New Roman" w:eastAsia="Times New Roman" w:cs="Times New Roman"/>
      <w:sz w:val="24"/>
      <w:szCs w:val="24"/>
    </w:rPr>
  </w:style>
  <w:style w:styleId="TOC2" w:type="paragraph">
    <w:name w:val="TOC 2"/>
    <w:basedOn w:val="Normal"/>
    <w:uiPriority w:val="1"/>
    <w:qFormat/>
    <w:pPr>
      <w:spacing w:line="275" w:lineRule="exact"/>
      <w:ind w:left="152"/>
    </w:pPr>
    <w:rPr>
      <w:rFonts w:ascii="Times New Roman" w:hAnsi="Times New Roman" w:eastAsia="Times New Roman" w:cs="Times New Roman"/>
      <w:b/>
      <w:bCs/>
      <w:i/>
    </w:rPr>
  </w:style>
  <w:style w:styleId="TOC3" w:type="paragraph">
    <w:name w:val="TOC 3"/>
    <w:basedOn w:val="Normal"/>
    <w:uiPriority w:val="1"/>
    <w:qFormat/>
    <w:pPr>
      <w:spacing w:line="275" w:lineRule="exact"/>
      <w:ind w:left="934" w:hanging="541"/>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1"/>
      <w:ind w:left="174" w:right="101"/>
      <w:jc w:val="right"/>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spacing w:before="69"/>
      <w:ind w:left="1415" w:hanging="542"/>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69"/>
      <w:ind w:left="832" w:hanging="720"/>
      <w:outlineLvl w:val="3"/>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69"/>
      <w:ind w:left="832" w:hanging="720"/>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image" Target="media/image2.jpeg"/><Relationship Id="rId12" Type="http://schemas.openxmlformats.org/officeDocument/2006/relationships/image" Target="media/image3.jpeg"/><Relationship Id="rId13" Type="http://schemas.openxmlformats.org/officeDocument/2006/relationships/image" Target="media/image4.png"/><Relationship Id="rId14" Type="http://schemas.openxmlformats.org/officeDocument/2006/relationships/footer" Target="footer6.xml"/><Relationship Id="rId15" Type="http://schemas.openxmlformats.org/officeDocument/2006/relationships/image" Target="media/image5.jpeg"/><Relationship Id="rId16" Type="http://schemas.openxmlformats.org/officeDocument/2006/relationships/footer" Target="footer7.xml"/><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image" Target="media/image8.jpeg"/><Relationship Id="rId20" Type="http://schemas.openxmlformats.org/officeDocument/2006/relationships/image" Target="media/image9.jpeg"/><Relationship Id="rId21" Type="http://schemas.openxmlformats.org/officeDocument/2006/relationships/image" Target="media/image10.png"/><Relationship Id="rId22" Type="http://schemas.openxmlformats.org/officeDocument/2006/relationships/image" Target="media/image11.jpeg"/><Relationship Id="rId23" Type="http://schemas.openxmlformats.org/officeDocument/2006/relationships/image" Target="media/image12.jpe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hyperlink" Target="mailto:VAAedoffice@wiley.com" TargetMode="External"/><Relationship Id="rId35" Type="http://schemas.openxmlformats.org/officeDocument/2006/relationships/hyperlink" Target="http://mc.manuscriptcentral.com/vaa" TargetMode="External"/><Relationship Id="rId36" Type="http://schemas.openxmlformats.org/officeDocument/2006/relationships/image" Target="media/image23.jpeg"/><Relationship Id="rId37" Type="http://schemas.openxmlformats.org/officeDocument/2006/relationships/hyperlink" Target="mailto:gublan@uady.mx" TargetMode="External"/><Relationship Id="rId38" Type="http://schemas.openxmlformats.org/officeDocument/2006/relationships/footer" Target="footer8.xml"/><Relationship Id="rId39" Type="http://schemas.openxmlformats.org/officeDocument/2006/relationships/footer" Target="footer9.xml"/><Relationship Id="rId40" Type="http://schemas.openxmlformats.org/officeDocument/2006/relationships/footer" Target="footer10.xml"/><Relationship Id="rId41" Type="http://schemas.openxmlformats.org/officeDocument/2006/relationships/hyperlink" Target="http://www.gla.ac.uk/schools/vet/research/painandwelfare/downloadacutepainquestionnair" TargetMode="External"/><Relationship Id="rId42" Type="http://schemas.openxmlformats.org/officeDocument/2006/relationships/footer" Target="footer11.xml"/><Relationship Id="rId43" Type="http://schemas.openxmlformats.org/officeDocument/2006/relationships/footer" Target="footer12.xml"/><Relationship Id="rId44" Type="http://schemas.openxmlformats.org/officeDocument/2006/relationships/footer" Target="footer13.xml"/><Relationship Id="rId45" Type="http://schemas.openxmlformats.org/officeDocument/2006/relationships/footer" Target="footer14.xml"/><Relationship Id="rId46" Type="http://schemas.openxmlformats.org/officeDocument/2006/relationships/footer" Target="footer15.xml"/><Relationship Id="rId47" Type="http://schemas.openxmlformats.org/officeDocument/2006/relationships/footer" Target="footer16.xml"/><Relationship Id="rId48" Type="http://schemas.openxmlformats.org/officeDocument/2006/relationships/footer" Target="footer17.xml"/><Relationship Id="rId49" Type="http://schemas.openxmlformats.org/officeDocument/2006/relationships/footer" Target="footer18.xml"/><Relationship Id="rId50" Type="http://schemas.openxmlformats.org/officeDocument/2006/relationships/footer" Target="footer19.xml"/><Relationship Id="rId51" Type="http://schemas.openxmlformats.org/officeDocument/2006/relationships/footer" Target="footer20.xml"/><Relationship Id="rId52" Type="http://schemas.openxmlformats.org/officeDocument/2006/relationships/footer" Target="footer21.xml"/><Relationship Id="rId53" Type="http://schemas.openxmlformats.org/officeDocument/2006/relationships/footer" Target="footer22.xml"/><Relationship Id="rId54" Type="http://schemas.openxmlformats.org/officeDocument/2006/relationships/footer" Target="footer23.xml"/><Relationship Id="rId55" Type="http://schemas.openxmlformats.org/officeDocument/2006/relationships/footer" Target="footer24.xml"/><Relationship Id="rId56" Type="http://schemas.openxmlformats.org/officeDocument/2006/relationships/footer" Target="footer25.xml"/><Relationship Id="rId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2017-05-23T21:14:46Z</dcterms:created>
  <dcterms:modified xsi:type="dcterms:W3CDTF">2017-05-23T21:14:46Z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