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11"/>
        <w:rPr>
          <w:sz w:val="20"/>
        </w:rPr>
      </w:pPr>
    </w:p>
    <w:p>
      <w:pPr>
        <w:spacing w:before="66"/>
        <w:ind w:left="2856" w:right="0" w:firstLine="9"/>
        <w:jc w:val="left"/>
        <w:rPr>
          <w:b/>
          <w:sz w:val="26"/>
        </w:rPr>
      </w:pPr>
      <w:r>
        <w:rPr/>
        <w:drawing>
          <wp:anchor distT="0" distB="0" distL="0" distR="0" allowOverlap="1" layoutInCell="1" locked="0" behindDoc="0" simplePos="0" relativeHeight="0">
            <wp:simplePos x="0" y="0"/>
            <wp:positionH relativeFrom="page">
              <wp:posOffset>304800</wp:posOffset>
            </wp:positionH>
            <wp:positionV relativeFrom="paragraph">
              <wp:posOffset>-117008</wp:posOffset>
            </wp:positionV>
            <wp:extent cx="1562100" cy="138430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562100" cy="1384300"/>
                    </a:xfrm>
                    <a:prstGeom prst="rect">
                      <a:avLst/>
                    </a:prstGeom>
                  </pic:spPr>
                </pic:pic>
              </a:graphicData>
            </a:graphic>
          </wp:anchor>
        </w:drawing>
      </w:r>
      <w:r>
        <w:rPr>
          <w:b/>
          <w:sz w:val="26"/>
        </w:rPr>
        <w:t>UNIVERSIDAD AUTÓNOMA DEL ESTADO DE MÉXICO</w:t>
      </w:r>
    </w:p>
    <w:p>
      <w:pPr>
        <w:pStyle w:val="BodyText"/>
        <w:rPr>
          <w:b/>
          <w:sz w:val="26"/>
        </w:rPr>
      </w:pPr>
    </w:p>
    <w:p>
      <w:pPr>
        <w:pStyle w:val="BodyText"/>
        <w:spacing w:before="1"/>
        <w:rPr>
          <w:b/>
          <w:sz w:val="36"/>
        </w:rPr>
      </w:pPr>
    </w:p>
    <w:p>
      <w:pPr>
        <w:spacing w:line="292" w:lineRule="exact" w:before="0"/>
        <w:ind w:left="3058" w:right="638" w:hanging="202"/>
        <w:jc w:val="left"/>
        <w:rPr>
          <w:b/>
          <w:sz w:val="26"/>
        </w:rPr>
      </w:pPr>
      <w:r>
        <w:rPr>
          <w:b/>
          <w:sz w:val="26"/>
        </w:rPr>
        <w:t>PROGRAMA MAESTRÍA Y DOCTORADO EN CIENCIAS AGROPECUARIAS Y RECURSOS NATURALES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9"/>
        </w:rPr>
      </w:pPr>
    </w:p>
    <w:p>
      <w:pPr>
        <w:pStyle w:val="BodyText"/>
        <w:spacing w:line="242" w:lineRule="auto" w:before="70"/>
        <w:ind w:left="2294" w:firstLine="787"/>
      </w:pPr>
      <w:r>
        <w:rPr/>
        <w:t>EVALUACIÓN DE LOS PARÁMETROS CARDIOVASCULARES DE LA ADMINISTRACIÓN DE LIDOCAÍNA Y DEXMEDETOMIDINA POR VÍA</w:t>
      </w:r>
    </w:p>
    <w:p>
      <w:pPr>
        <w:pStyle w:val="BodyText"/>
        <w:spacing w:line="271" w:lineRule="exact"/>
        <w:ind w:left="2566" w:right="386"/>
        <w:jc w:val="center"/>
      </w:pPr>
      <w:r>
        <w:rPr/>
        <w:t>INTRAVENOSA EN PERROS ANESTESIADOS CON SEVOFLURANO.</w:t>
      </w:r>
    </w:p>
    <w:p>
      <w:pPr>
        <w:pStyle w:val="BodyText"/>
      </w:pPr>
    </w:p>
    <w:p>
      <w:pPr>
        <w:pStyle w:val="BodyText"/>
      </w:pPr>
    </w:p>
    <w:p>
      <w:pPr>
        <w:pStyle w:val="BodyText"/>
      </w:pPr>
    </w:p>
    <w:p>
      <w:pPr>
        <w:pStyle w:val="BodyText"/>
        <w:spacing w:before="5"/>
        <w:rPr>
          <w:sz w:val="20"/>
        </w:rPr>
      </w:pPr>
    </w:p>
    <w:p>
      <w:pPr>
        <w:spacing w:before="0"/>
        <w:ind w:left="2566" w:right="379" w:firstLine="0"/>
        <w:jc w:val="center"/>
        <w:rPr>
          <w:b/>
          <w:sz w:val="40"/>
        </w:rPr>
      </w:pPr>
      <w:r>
        <w:rPr>
          <w:b/>
          <w:sz w:val="40"/>
        </w:rPr>
        <w:t>TESIS</w:t>
      </w:r>
    </w:p>
    <w:p>
      <w:pPr>
        <w:pStyle w:val="BodyText"/>
        <w:rPr>
          <w:b/>
          <w:sz w:val="40"/>
        </w:rPr>
      </w:pPr>
    </w:p>
    <w:p>
      <w:pPr>
        <w:spacing w:line="292" w:lineRule="exact" w:before="247"/>
        <w:ind w:left="3183" w:right="0" w:hanging="490"/>
        <w:jc w:val="left"/>
        <w:rPr>
          <w:sz w:val="26"/>
        </w:rPr>
      </w:pPr>
      <w:r>
        <w:rPr>
          <w:sz w:val="26"/>
        </w:rPr>
        <w:t>QUE PARA OBTENER EL GRADO DE DOCTOR EN CIENCIAS AGROPECUARIAS Y RECURSOS NATURALES</w:t>
      </w:r>
    </w:p>
    <w:p>
      <w:pPr>
        <w:pStyle w:val="BodyText"/>
        <w:rPr>
          <w:sz w:val="26"/>
        </w:rPr>
      </w:pPr>
    </w:p>
    <w:p>
      <w:pPr>
        <w:pStyle w:val="BodyText"/>
        <w:rPr>
          <w:sz w:val="26"/>
        </w:rPr>
      </w:pPr>
    </w:p>
    <w:p>
      <w:pPr>
        <w:pStyle w:val="BodyText"/>
        <w:rPr>
          <w:sz w:val="26"/>
        </w:rPr>
      </w:pPr>
    </w:p>
    <w:p>
      <w:pPr>
        <w:pStyle w:val="BodyText"/>
        <w:rPr>
          <w:sz w:val="26"/>
        </w:rPr>
      </w:pPr>
    </w:p>
    <w:p>
      <w:pPr>
        <w:spacing w:line="400" w:lineRule="auto" w:before="1"/>
        <w:ind w:left="4734" w:right="2388" w:firstLine="840"/>
        <w:jc w:val="left"/>
        <w:rPr>
          <w:sz w:val="26"/>
        </w:rPr>
      </w:pPr>
      <w:r>
        <w:rPr>
          <w:sz w:val="26"/>
        </w:rPr>
        <w:t>PRESENTA: RAFAEL MORÁN MUÑOZ</w:t>
      </w:r>
    </w:p>
    <w:p>
      <w:pPr>
        <w:pStyle w:val="BodyText"/>
        <w:rPr>
          <w:sz w:val="26"/>
        </w:rPr>
      </w:pPr>
    </w:p>
    <w:p>
      <w:pPr>
        <w:pStyle w:val="BodyText"/>
        <w:rPr>
          <w:sz w:val="26"/>
        </w:rPr>
      </w:pPr>
    </w:p>
    <w:p>
      <w:pPr>
        <w:pStyle w:val="BodyText"/>
        <w:spacing w:before="10"/>
        <w:rPr>
          <w:sz w:val="35"/>
        </w:rPr>
      </w:pPr>
    </w:p>
    <w:p>
      <w:pPr>
        <w:spacing w:before="0"/>
        <w:ind w:left="2566" w:right="368" w:firstLine="0"/>
        <w:jc w:val="center"/>
        <w:rPr>
          <w:sz w:val="26"/>
        </w:rPr>
      </w:pPr>
      <w:r>
        <w:rPr>
          <w:sz w:val="26"/>
        </w:rPr>
        <w:t>El Cerrillo Piedras Blancas, Toluca, Estado de México, junio 2015.</w:t>
      </w:r>
    </w:p>
    <w:p>
      <w:pPr>
        <w:spacing w:after="0"/>
        <w:jc w:val="center"/>
        <w:rPr>
          <w:sz w:val="26"/>
        </w:rPr>
        <w:sectPr>
          <w:type w:val="continuous"/>
          <w:pgSz w:w="12240" w:h="15840"/>
          <w:pgMar w:top="1500" w:bottom="280" w:left="380" w:right="1520"/>
        </w:sectPr>
      </w:pPr>
    </w:p>
    <w:p>
      <w:pPr>
        <w:pStyle w:val="BodyText"/>
        <w:spacing w:before="8"/>
        <w:rPr>
          <w:sz w:val="21"/>
        </w:rPr>
      </w:pPr>
    </w:p>
    <w:p>
      <w:pPr>
        <w:pStyle w:val="Heading1"/>
        <w:ind w:right="148"/>
      </w:pPr>
      <w:bookmarkStart w:name="_bookmark0" w:id="1"/>
      <w:bookmarkEnd w:id="1"/>
      <w:r>
        <w:rPr>
          <w:b w:val="0"/>
        </w:rPr>
      </w:r>
      <w:r>
        <w:rPr>
          <w:w w:val="95"/>
        </w:rPr>
        <w:t>INDICE</w:t>
      </w:r>
    </w:p>
    <w:p>
      <w:pPr>
        <w:pStyle w:val="BodyText"/>
        <w:rPr>
          <w:b/>
          <w:sz w:val="13"/>
        </w:rPr>
      </w:pPr>
      <w:r>
        <w:rPr/>
        <w:pict>
          <v:line style="position:absolute;mso-position-horizontal-relative:page;mso-position-vertical-relative:paragraph;z-index:1048;mso-wrap-distance-left:0;mso-wrap-distance-right:0" from="92.208pt,10.171667pt" to="537.098pt,10.171667pt" stroked="true" strokeweight="1.44pt" strokecolor="#000000">
            <w10:wrap type="topAndBottom"/>
          </v:line>
        </w:pict>
      </w:r>
    </w:p>
    <w:p>
      <w:pPr>
        <w:pStyle w:val="BodyText"/>
        <w:spacing w:before="5"/>
        <w:rPr>
          <w:b/>
          <w:sz w:val="2"/>
        </w:rPr>
      </w:pPr>
    </w:p>
    <w:p>
      <w:pPr>
        <w:pStyle w:val="BodyText"/>
        <w:spacing w:line="20" w:lineRule="exact"/>
        <w:ind w:left="116"/>
        <w:rPr>
          <w:sz w:val="2"/>
        </w:rPr>
      </w:pPr>
      <w:r>
        <w:rPr>
          <w:sz w:val="2"/>
        </w:rPr>
        <w:pict>
          <v:group style="width:445.65pt;height:.75pt;mso-position-horizontal-relative:char;mso-position-vertical-relative:line" coordorigin="0,0" coordsize="8913,15">
            <v:line style="position:absolute" from="8,8" to="8905,8" stroked="true" strokeweight=".72pt" strokecolor="#000000"/>
          </v:group>
        </w:pict>
      </w:r>
      <w:r>
        <w:rPr>
          <w:sz w:val="2"/>
        </w:rPr>
      </w:r>
    </w:p>
    <w:p>
      <w:pPr>
        <w:tabs>
          <w:tab w:pos="8660" w:val="right" w:leader="dot"/>
        </w:tabs>
        <w:spacing w:line="249" w:lineRule="exact" w:before="0"/>
        <w:ind w:left="152" w:right="0" w:firstLine="0"/>
        <w:jc w:val="left"/>
        <w:rPr>
          <w:b/>
          <w:i/>
          <w:sz w:val="22"/>
        </w:rPr>
      </w:pPr>
      <w:hyperlink w:history="true" w:anchor="_bookmark0">
        <w:r>
          <w:rPr>
            <w:b/>
            <w:i/>
            <w:sz w:val="22"/>
          </w:rPr>
          <w:t>INDICE</w:t>
          <w:tab/>
          <w:t>i</w:t>
        </w:r>
      </w:hyperlink>
    </w:p>
    <w:p>
      <w:pPr>
        <w:tabs>
          <w:tab w:pos="8661" w:val="right" w:leader="dot"/>
        </w:tabs>
        <w:spacing w:before="126"/>
        <w:ind w:left="152" w:right="0" w:firstLine="0"/>
        <w:jc w:val="left"/>
        <w:rPr>
          <w:b/>
          <w:i/>
          <w:sz w:val="22"/>
        </w:rPr>
      </w:pPr>
      <w:hyperlink w:history="true" w:anchor="_bookmark1">
        <w:r>
          <w:rPr>
            <w:b/>
            <w:i/>
            <w:sz w:val="22"/>
          </w:rPr>
          <w:t>CAPITULO</w:t>
        </w:r>
        <w:r>
          <w:rPr>
            <w:b/>
            <w:i/>
            <w:spacing w:val="-4"/>
            <w:sz w:val="22"/>
          </w:rPr>
          <w:t> </w:t>
        </w:r>
        <w:r>
          <w:rPr>
            <w:b/>
            <w:i/>
            <w:sz w:val="22"/>
          </w:rPr>
          <w:t>I</w:t>
          <w:tab/>
          <w:t>1</w:t>
        </w:r>
      </w:hyperlink>
    </w:p>
    <w:p>
      <w:pPr>
        <w:pStyle w:val="ListParagraph"/>
        <w:numPr>
          <w:ilvl w:val="0"/>
          <w:numId w:val="1"/>
        </w:numPr>
        <w:tabs>
          <w:tab w:pos="599" w:val="left" w:leader="none"/>
          <w:tab w:pos="8661" w:val="right" w:leader="dot"/>
        </w:tabs>
        <w:spacing w:line="240" w:lineRule="auto" w:before="121" w:after="0"/>
        <w:ind w:left="599" w:right="0" w:hanging="226"/>
        <w:jc w:val="left"/>
        <w:rPr>
          <w:sz w:val="22"/>
        </w:rPr>
      </w:pPr>
      <w:hyperlink w:history="true" w:anchor="_bookmark2">
        <w:r>
          <w:rPr>
            <w:sz w:val="22"/>
          </w:rPr>
          <w:t>Introducción</w:t>
          <w:tab/>
          <w:t>1</w:t>
        </w:r>
      </w:hyperlink>
    </w:p>
    <w:p>
      <w:pPr>
        <w:tabs>
          <w:tab w:pos="8661" w:val="right" w:leader="dot"/>
        </w:tabs>
        <w:spacing w:before="131"/>
        <w:ind w:left="152" w:right="0" w:firstLine="0"/>
        <w:jc w:val="left"/>
        <w:rPr>
          <w:b/>
          <w:i/>
          <w:sz w:val="22"/>
        </w:rPr>
      </w:pPr>
      <w:hyperlink w:history="true" w:anchor="_bookmark3">
        <w:r>
          <w:rPr>
            <w:b/>
            <w:i/>
            <w:sz w:val="22"/>
          </w:rPr>
          <w:t>CAPITULO</w:t>
        </w:r>
        <w:r>
          <w:rPr>
            <w:b/>
            <w:i/>
            <w:spacing w:val="-4"/>
            <w:sz w:val="22"/>
          </w:rPr>
          <w:t> </w:t>
        </w:r>
        <w:r>
          <w:rPr>
            <w:b/>
            <w:i/>
            <w:sz w:val="22"/>
          </w:rPr>
          <w:t>II</w:t>
          <w:tab/>
          <w:t>5</w:t>
        </w:r>
      </w:hyperlink>
    </w:p>
    <w:p>
      <w:pPr>
        <w:pStyle w:val="ListParagraph"/>
        <w:numPr>
          <w:ilvl w:val="0"/>
          <w:numId w:val="1"/>
        </w:numPr>
        <w:tabs>
          <w:tab w:pos="595" w:val="left" w:leader="none"/>
          <w:tab w:pos="8661" w:val="right" w:leader="dot"/>
        </w:tabs>
        <w:spacing w:line="240" w:lineRule="auto" w:before="121" w:after="0"/>
        <w:ind w:left="594" w:right="0" w:hanging="221"/>
        <w:jc w:val="left"/>
        <w:rPr>
          <w:sz w:val="22"/>
        </w:rPr>
      </w:pPr>
      <w:hyperlink w:history="true" w:anchor="_bookmark4">
        <w:r>
          <w:rPr>
            <w:sz w:val="22"/>
          </w:rPr>
          <w:t>Revisión</w:t>
        </w:r>
        <w:r>
          <w:rPr>
            <w:spacing w:val="-4"/>
            <w:sz w:val="22"/>
          </w:rPr>
          <w:t> </w:t>
        </w:r>
        <w:r>
          <w:rPr>
            <w:sz w:val="22"/>
          </w:rPr>
          <w:t>de</w:t>
        </w:r>
        <w:r>
          <w:rPr>
            <w:spacing w:val="-1"/>
            <w:sz w:val="22"/>
          </w:rPr>
          <w:t> </w:t>
        </w:r>
        <w:r>
          <w:rPr>
            <w:sz w:val="22"/>
          </w:rPr>
          <w:t>literatura</w:t>
          <w:tab/>
          <w:t>5</w:t>
        </w:r>
      </w:hyperlink>
    </w:p>
    <w:p>
      <w:pPr>
        <w:pStyle w:val="ListParagraph"/>
        <w:numPr>
          <w:ilvl w:val="1"/>
          <w:numId w:val="1"/>
        </w:numPr>
        <w:tabs>
          <w:tab w:pos="710" w:val="left" w:leader="none"/>
          <w:tab w:pos="8661" w:val="right" w:leader="dot"/>
        </w:tabs>
        <w:spacing w:line="240" w:lineRule="auto" w:before="126" w:after="0"/>
        <w:ind w:left="709" w:right="0" w:hanging="336"/>
        <w:jc w:val="left"/>
        <w:rPr>
          <w:sz w:val="22"/>
        </w:rPr>
      </w:pPr>
      <w:hyperlink w:history="true" w:anchor="_bookmark5">
        <w:r>
          <w:rPr>
            <w:sz w:val="22"/>
          </w:rPr>
          <w:t>Gasto</w:t>
        </w:r>
        <w:r>
          <w:rPr>
            <w:spacing w:val="-4"/>
            <w:sz w:val="22"/>
          </w:rPr>
          <w:t> </w:t>
        </w:r>
        <w:r>
          <w:rPr>
            <w:sz w:val="22"/>
          </w:rPr>
          <w:t>cardíaco</w:t>
          <w:tab/>
          <w:t>5</w:t>
        </w:r>
      </w:hyperlink>
    </w:p>
    <w:p>
      <w:pPr>
        <w:pStyle w:val="ListParagraph"/>
        <w:numPr>
          <w:ilvl w:val="1"/>
          <w:numId w:val="1"/>
        </w:numPr>
        <w:tabs>
          <w:tab w:pos="705" w:val="left" w:leader="none"/>
          <w:tab w:pos="8661" w:val="right" w:leader="dot"/>
        </w:tabs>
        <w:spacing w:line="240" w:lineRule="auto" w:before="126" w:after="0"/>
        <w:ind w:left="704" w:right="0" w:hanging="331"/>
        <w:jc w:val="left"/>
        <w:rPr>
          <w:sz w:val="22"/>
        </w:rPr>
      </w:pPr>
      <w:hyperlink w:history="true" w:anchor="_bookmark6">
        <w:r>
          <w:rPr>
            <w:sz w:val="22"/>
          </w:rPr>
          <w:t>Precarga</w:t>
          <w:tab/>
          <w:t>5</w:t>
        </w:r>
      </w:hyperlink>
    </w:p>
    <w:p>
      <w:pPr>
        <w:pStyle w:val="ListParagraph"/>
        <w:numPr>
          <w:ilvl w:val="1"/>
          <w:numId w:val="1"/>
        </w:numPr>
        <w:tabs>
          <w:tab w:pos="705" w:val="left" w:leader="none"/>
          <w:tab w:pos="8661" w:val="right" w:leader="dot"/>
        </w:tabs>
        <w:spacing w:line="240" w:lineRule="auto" w:before="126" w:after="0"/>
        <w:ind w:left="704" w:right="0" w:hanging="331"/>
        <w:jc w:val="left"/>
        <w:rPr>
          <w:sz w:val="22"/>
        </w:rPr>
      </w:pPr>
      <w:hyperlink w:history="true" w:anchor="_bookmark7">
        <w:r>
          <w:rPr>
            <w:sz w:val="22"/>
          </w:rPr>
          <w:t>Medición de</w:t>
        </w:r>
        <w:r>
          <w:rPr>
            <w:spacing w:val="-4"/>
            <w:sz w:val="22"/>
          </w:rPr>
          <w:t> </w:t>
        </w:r>
        <w:r>
          <w:rPr>
            <w:sz w:val="22"/>
          </w:rPr>
          <w:t>la</w:t>
        </w:r>
        <w:r>
          <w:rPr>
            <w:spacing w:val="4"/>
            <w:sz w:val="22"/>
          </w:rPr>
          <w:t> </w:t>
        </w:r>
        <w:r>
          <w:rPr>
            <w:sz w:val="22"/>
          </w:rPr>
          <w:t>precarga</w:t>
          <w:tab/>
          <w:t>6</w:t>
        </w:r>
      </w:hyperlink>
    </w:p>
    <w:p>
      <w:pPr>
        <w:pStyle w:val="ListParagraph"/>
        <w:numPr>
          <w:ilvl w:val="1"/>
          <w:numId w:val="1"/>
        </w:numPr>
        <w:tabs>
          <w:tab w:pos="710" w:val="left" w:leader="none"/>
          <w:tab w:pos="8661" w:val="right" w:leader="dot"/>
        </w:tabs>
        <w:spacing w:line="240" w:lineRule="auto" w:before="126" w:after="0"/>
        <w:ind w:left="709" w:right="0" w:hanging="336"/>
        <w:jc w:val="left"/>
        <w:rPr>
          <w:sz w:val="22"/>
        </w:rPr>
      </w:pPr>
      <w:hyperlink w:history="true" w:anchor="_bookmark8">
        <w:r>
          <w:rPr>
            <w:spacing w:val="-3"/>
            <w:sz w:val="22"/>
          </w:rPr>
          <w:t>La</w:t>
        </w:r>
        <w:r>
          <w:rPr>
            <w:spacing w:val="-1"/>
            <w:sz w:val="22"/>
          </w:rPr>
          <w:t> </w:t>
        </w:r>
        <w:r>
          <w:rPr>
            <w:sz w:val="22"/>
          </w:rPr>
          <w:t>Postcarga</w:t>
          <w:tab/>
          <w:t>7</w:t>
        </w:r>
      </w:hyperlink>
    </w:p>
    <w:p>
      <w:pPr>
        <w:pStyle w:val="ListParagraph"/>
        <w:numPr>
          <w:ilvl w:val="1"/>
          <w:numId w:val="1"/>
        </w:numPr>
        <w:tabs>
          <w:tab w:pos="705" w:val="left" w:leader="none"/>
          <w:tab w:pos="8661" w:val="right" w:leader="dot"/>
        </w:tabs>
        <w:spacing w:line="240" w:lineRule="auto" w:before="127" w:after="0"/>
        <w:ind w:left="704" w:right="0" w:hanging="331"/>
        <w:jc w:val="left"/>
        <w:rPr>
          <w:sz w:val="22"/>
        </w:rPr>
      </w:pPr>
      <w:hyperlink w:history="true" w:anchor="_bookmark9">
        <w:r>
          <w:rPr>
            <w:sz w:val="22"/>
          </w:rPr>
          <w:t>Medición de</w:t>
        </w:r>
        <w:r>
          <w:rPr>
            <w:spacing w:val="-4"/>
            <w:sz w:val="22"/>
          </w:rPr>
          <w:t> </w:t>
        </w:r>
        <w:r>
          <w:rPr>
            <w:sz w:val="22"/>
          </w:rPr>
          <w:t>la</w:t>
        </w:r>
        <w:r>
          <w:rPr>
            <w:spacing w:val="4"/>
            <w:sz w:val="22"/>
          </w:rPr>
          <w:t> </w:t>
        </w:r>
        <w:r>
          <w:rPr>
            <w:sz w:val="22"/>
          </w:rPr>
          <w:t>postcarga</w:t>
          <w:tab/>
          <w:t>7</w:t>
        </w:r>
      </w:hyperlink>
    </w:p>
    <w:p>
      <w:pPr>
        <w:pStyle w:val="ListParagraph"/>
        <w:numPr>
          <w:ilvl w:val="1"/>
          <w:numId w:val="1"/>
        </w:numPr>
        <w:tabs>
          <w:tab w:pos="705" w:val="left" w:leader="none"/>
          <w:tab w:pos="8661" w:val="right" w:leader="dot"/>
        </w:tabs>
        <w:spacing w:line="240" w:lineRule="auto" w:before="126" w:after="0"/>
        <w:ind w:left="704" w:right="0" w:hanging="331"/>
        <w:jc w:val="left"/>
        <w:rPr>
          <w:sz w:val="22"/>
        </w:rPr>
      </w:pPr>
      <w:hyperlink w:history="true" w:anchor="_bookmark11">
        <w:r>
          <w:rPr>
            <w:sz w:val="22"/>
          </w:rPr>
          <w:t>Monitorización de la</w:t>
        </w:r>
        <w:r>
          <w:rPr>
            <w:spacing w:val="1"/>
            <w:sz w:val="22"/>
          </w:rPr>
          <w:t> </w:t>
        </w:r>
        <w:r>
          <w:rPr>
            <w:sz w:val="22"/>
          </w:rPr>
          <w:t>presión</w:t>
        </w:r>
        <w:r>
          <w:rPr>
            <w:spacing w:val="-4"/>
            <w:sz w:val="22"/>
          </w:rPr>
          <w:t> </w:t>
        </w:r>
        <w:r>
          <w:rPr>
            <w:sz w:val="22"/>
          </w:rPr>
          <w:t>arterial</w:t>
          <w:tab/>
          <w:t>8</w:t>
        </w:r>
      </w:hyperlink>
    </w:p>
    <w:p>
      <w:pPr>
        <w:pStyle w:val="ListParagraph"/>
        <w:numPr>
          <w:ilvl w:val="1"/>
          <w:numId w:val="1"/>
        </w:numPr>
        <w:tabs>
          <w:tab w:pos="710" w:val="left" w:leader="none"/>
          <w:tab w:pos="8661" w:val="right" w:leader="dot"/>
        </w:tabs>
        <w:spacing w:line="240" w:lineRule="auto" w:before="126" w:after="0"/>
        <w:ind w:left="709" w:right="0" w:hanging="336"/>
        <w:jc w:val="left"/>
        <w:rPr>
          <w:sz w:val="22"/>
        </w:rPr>
      </w:pPr>
      <w:hyperlink w:history="true" w:anchor="_bookmark13">
        <w:r>
          <w:rPr>
            <w:spacing w:val="-3"/>
            <w:sz w:val="22"/>
          </w:rPr>
          <w:t>Efectos </w:t>
        </w:r>
        <w:r>
          <w:rPr>
            <w:sz w:val="22"/>
          </w:rPr>
          <w:t>de la anestesia sobre la regulación de la</w:t>
        </w:r>
        <w:r>
          <w:rPr>
            <w:spacing w:val="14"/>
            <w:sz w:val="22"/>
          </w:rPr>
          <w:t> </w:t>
        </w:r>
        <w:r>
          <w:rPr>
            <w:sz w:val="22"/>
          </w:rPr>
          <w:t>presión</w:t>
        </w:r>
        <w:r>
          <w:rPr>
            <w:spacing w:val="-4"/>
            <w:sz w:val="22"/>
          </w:rPr>
          <w:t> </w:t>
        </w:r>
        <w:r>
          <w:rPr>
            <w:sz w:val="22"/>
          </w:rPr>
          <w:t>arterial</w:t>
          <w:tab/>
          <w:t>10</w:t>
        </w:r>
      </w:hyperlink>
    </w:p>
    <w:p>
      <w:pPr>
        <w:pStyle w:val="ListParagraph"/>
        <w:numPr>
          <w:ilvl w:val="1"/>
          <w:numId w:val="1"/>
        </w:numPr>
        <w:tabs>
          <w:tab w:pos="705" w:val="left" w:leader="none"/>
          <w:tab w:pos="8661" w:val="right" w:leader="dot"/>
        </w:tabs>
        <w:spacing w:line="240" w:lineRule="auto" w:before="126" w:after="0"/>
        <w:ind w:left="704" w:right="0" w:hanging="331"/>
        <w:jc w:val="left"/>
        <w:rPr>
          <w:sz w:val="22"/>
        </w:rPr>
      </w:pPr>
      <w:hyperlink w:history="true" w:anchor="_bookmark14">
        <w:r>
          <w:rPr>
            <w:sz w:val="22"/>
          </w:rPr>
          <w:t>Sevoflurano-Isoflurano</w:t>
          <w:tab/>
          <w:t>11</w:t>
        </w:r>
      </w:hyperlink>
    </w:p>
    <w:p>
      <w:pPr>
        <w:pStyle w:val="ListParagraph"/>
        <w:numPr>
          <w:ilvl w:val="1"/>
          <w:numId w:val="1"/>
        </w:numPr>
        <w:tabs>
          <w:tab w:pos="705" w:val="left" w:leader="none"/>
          <w:tab w:pos="8661" w:val="right" w:leader="dot"/>
        </w:tabs>
        <w:spacing w:line="240" w:lineRule="auto" w:before="126" w:after="0"/>
        <w:ind w:left="704" w:right="0" w:hanging="331"/>
        <w:jc w:val="left"/>
        <w:rPr>
          <w:sz w:val="22"/>
        </w:rPr>
      </w:pPr>
      <w:hyperlink w:history="true" w:anchor="_bookmark15">
        <w:r>
          <w:rPr>
            <w:sz w:val="22"/>
          </w:rPr>
          <w:t>Curvas</w:t>
        </w:r>
        <w:r>
          <w:rPr>
            <w:spacing w:val="1"/>
            <w:sz w:val="22"/>
          </w:rPr>
          <w:t> </w:t>
        </w:r>
        <w:r>
          <w:rPr>
            <w:sz w:val="22"/>
          </w:rPr>
          <w:t>ventriculares</w:t>
          <w:tab/>
          <w:t>11</w:t>
        </w:r>
      </w:hyperlink>
    </w:p>
    <w:p>
      <w:pPr>
        <w:pStyle w:val="ListParagraph"/>
        <w:numPr>
          <w:ilvl w:val="2"/>
          <w:numId w:val="1"/>
        </w:numPr>
        <w:tabs>
          <w:tab w:pos="1094" w:val="left" w:leader="none"/>
          <w:tab w:pos="8661" w:val="right" w:leader="dot"/>
        </w:tabs>
        <w:spacing w:line="240" w:lineRule="auto" w:before="126" w:after="0"/>
        <w:ind w:left="1093" w:right="0" w:hanging="499"/>
        <w:jc w:val="left"/>
        <w:rPr>
          <w:sz w:val="22"/>
        </w:rPr>
      </w:pPr>
      <w:hyperlink w:history="true" w:anchor="_bookmark17">
        <w:r>
          <w:rPr>
            <w:sz w:val="22"/>
          </w:rPr>
          <w:t>Medidas de las presiones y</w:t>
        </w:r>
        <w:r>
          <w:rPr>
            <w:spacing w:val="-5"/>
            <w:sz w:val="22"/>
          </w:rPr>
          <w:t> </w:t>
        </w:r>
        <w:r>
          <w:rPr>
            <w:sz w:val="22"/>
          </w:rPr>
          <w:t>volúmenes</w:t>
        </w:r>
        <w:r>
          <w:rPr>
            <w:spacing w:val="1"/>
            <w:sz w:val="22"/>
          </w:rPr>
          <w:t> </w:t>
        </w:r>
        <w:r>
          <w:rPr>
            <w:sz w:val="22"/>
          </w:rPr>
          <w:t>ventriculares</w:t>
          <w:tab/>
          <w:t>12</w:t>
        </w:r>
      </w:hyperlink>
    </w:p>
    <w:p>
      <w:pPr>
        <w:pStyle w:val="ListParagraph"/>
        <w:numPr>
          <w:ilvl w:val="1"/>
          <w:numId w:val="1"/>
        </w:numPr>
        <w:tabs>
          <w:tab w:pos="816" w:val="left" w:leader="none"/>
          <w:tab w:pos="8661" w:val="right" w:leader="dot"/>
        </w:tabs>
        <w:spacing w:line="240" w:lineRule="auto" w:before="126" w:after="0"/>
        <w:ind w:left="815" w:right="0" w:hanging="442"/>
        <w:jc w:val="left"/>
        <w:rPr>
          <w:sz w:val="22"/>
        </w:rPr>
      </w:pPr>
      <w:hyperlink w:history="true" w:anchor="_bookmark18">
        <w:r>
          <w:rPr>
            <w:sz w:val="22"/>
          </w:rPr>
          <w:t>Monitorización del</w:t>
        </w:r>
        <w:r>
          <w:rPr>
            <w:spacing w:val="-1"/>
            <w:sz w:val="22"/>
          </w:rPr>
          <w:t> </w:t>
        </w:r>
        <w:r>
          <w:rPr>
            <w:sz w:val="22"/>
          </w:rPr>
          <w:t>gasto</w:t>
        </w:r>
        <w:r>
          <w:rPr>
            <w:spacing w:val="-4"/>
            <w:sz w:val="22"/>
          </w:rPr>
          <w:t> </w:t>
        </w:r>
        <w:r>
          <w:rPr>
            <w:sz w:val="22"/>
          </w:rPr>
          <w:t>cardiaco</w:t>
          <w:tab/>
          <w:t>13</w:t>
        </w:r>
      </w:hyperlink>
    </w:p>
    <w:p>
      <w:pPr>
        <w:pStyle w:val="ListParagraph"/>
        <w:numPr>
          <w:ilvl w:val="2"/>
          <w:numId w:val="1"/>
        </w:numPr>
        <w:tabs>
          <w:tab w:pos="1204" w:val="left" w:leader="none"/>
          <w:tab w:pos="8661" w:val="right" w:leader="dot"/>
        </w:tabs>
        <w:spacing w:line="240" w:lineRule="auto" w:before="126" w:after="0"/>
        <w:ind w:left="1203" w:right="0" w:hanging="609"/>
        <w:jc w:val="left"/>
        <w:rPr>
          <w:sz w:val="22"/>
        </w:rPr>
      </w:pPr>
      <w:hyperlink w:history="true" w:anchor="_bookmark19">
        <w:r>
          <w:rPr>
            <w:sz w:val="22"/>
          </w:rPr>
          <w:t>Gasto cardiaco</w:t>
        </w:r>
        <w:r>
          <w:rPr>
            <w:spacing w:val="-7"/>
            <w:sz w:val="22"/>
          </w:rPr>
          <w:t> </w:t>
        </w:r>
        <w:r>
          <w:rPr>
            <w:sz w:val="22"/>
          </w:rPr>
          <w:t>por</w:t>
        </w:r>
        <w:r>
          <w:rPr>
            <w:spacing w:val="4"/>
            <w:sz w:val="22"/>
          </w:rPr>
          <w:t> </w:t>
        </w:r>
        <w:r>
          <w:rPr>
            <w:sz w:val="22"/>
          </w:rPr>
          <w:t>dilución</w:t>
          <w:tab/>
          <w:t>14</w:t>
        </w:r>
      </w:hyperlink>
    </w:p>
    <w:p>
      <w:pPr>
        <w:pStyle w:val="ListParagraph"/>
        <w:numPr>
          <w:ilvl w:val="2"/>
          <w:numId w:val="1"/>
        </w:numPr>
        <w:tabs>
          <w:tab w:pos="1204" w:val="left" w:leader="none"/>
          <w:tab w:pos="8661" w:val="right" w:leader="dot"/>
        </w:tabs>
        <w:spacing w:line="240" w:lineRule="auto" w:before="131" w:after="0"/>
        <w:ind w:left="1203" w:right="0" w:hanging="609"/>
        <w:jc w:val="left"/>
        <w:rPr>
          <w:sz w:val="22"/>
        </w:rPr>
      </w:pPr>
      <w:hyperlink w:history="true" w:anchor="_bookmark20">
        <w:r>
          <w:rPr>
            <w:sz w:val="22"/>
          </w:rPr>
          <w:t>Gasto</w:t>
        </w:r>
        <w:r>
          <w:rPr>
            <w:spacing w:val="-4"/>
            <w:sz w:val="22"/>
          </w:rPr>
          <w:t> </w:t>
        </w:r>
        <w:r>
          <w:rPr>
            <w:sz w:val="22"/>
          </w:rPr>
          <w:t>cardiaco</w:t>
        </w:r>
        <w:r>
          <w:rPr>
            <w:spacing w:val="-4"/>
            <w:sz w:val="22"/>
          </w:rPr>
          <w:t> </w:t>
        </w:r>
        <w:r>
          <w:rPr>
            <w:sz w:val="22"/>
          </w:rPr>
          <w:t>continuo</w:t>
          <w:tab/>
          <w:t>15</w:t>
        </w:r>
      </w:hyperlink>
    </w:p>
    <w:p>
      <w:pPr>
        <w:pStyle w:val="ListParagraph"/>
        <w:numPr>
          <w:ilvl w:val="2"/>
          <w:numId w:val="1"/>
        </w:numPr>
        <w:tabs>
          <w:tab w:pos="1204" w:val="left" w:leader="none"/>
          <w:tab w:pos="8661" w:val="right" w:leader="dot"/>
        </w:tabs>
        <w:spacing w:line="240" w:lineRule="auto" w:before="126" w:after="0"/>
        <w:ind w:left="1203" w:right="0" w:hanging="609"/>
        <w:jc w:val="left"/>
        <w:rPr>
          <w:sz w:val="22"/>
        </w:rPr>
      </w:pPr>
      <w:hyperlink w:history="true" w:anchor="_bookmark21">
        <w:r>
          <w:rPr>
            <w:sz w:val="22"/>
          </w:rPr>
          <w:t>Gasto cardíaco</w:t>
        </w:r>
        <w:r>
          <w:rPr>
            <w:spacing w:val="-2"/>
            <w:sz w:val="22"/>
          </w:rPr>
          <w:t> </w:t>
        </w:r>
        <w:r>
          <w:rPr>
            <w:sz w:val="22"/>
          </w:rPr>
          <w:t>mediante</w:t>
        </w:r>
        <w:r>
          <w:rPr>
            <w:spacing w:val="-6"/>
            <w:sz w:val="22"/>
          </w:rPr>
          <w:t> </w:t>
        </w:r>
        <w:r>
          <w:rPr>
            <w:sz w:val="22"/>
          </w:rPr>
          <w:t>termodilución</w:t>
          <w:tab/>
          <w:t>16</w:t>
        </w:r>
      </w:hyperlink>
    </w:p>
    <w:p>
      <w:pPr>
        <w:pStyle w:val="ListParagraph"/>
        <w:numPr>
          <w:ilvl w:val="2"/>
          <w:numId w:val="1"/>
        </w:numPr>
        <w:tabs>
          <w:tab w:pos="1204" w:val="left" w:leader="none"/>
          <w:tab w:pos="8661" w:val="right" w:leader="dot"/>
        </w:tabs>
        <w:spacing w:line="240" w:lineRule="auto" w:before="126" w:after="0"/>
        <w:ind w:left="1203" w:right="0" w:hanging="609"/>
        <w:jc w:val="left"/>
        <w:rPr>
          <w:sz w:val="22"/>
        </w:rPr>
      </w:pPr>
      <w:hyperlink w:history="true" w:anchor="_bookmark22">
        <w:r>
          <w:rPr>
            <w:sz w:val="22"/>
          </w:rPr>
          <w:t>Presión capilar</w:t>
        </w:r>
        <w:r>
          <w:rPr>
            <w:spacing w:val="1"/>
            <w:sz w:val="22"/>
          </w:rPr>
          <w:t> </w:t>
        </w:r>
        <w:r>
          <w:rPr>
            <w:sz w:val="22"/>
          </w:rPr>
          <w:t>pulmonar</w:t>
        </w:r>
        <w:r>
          <w:rPr>
            <w:spacing w:val="4"/>
            <w:sz w:val="22"/>
          </w:rPr>
          <w:t> </w:t>
        </w:r>
        <w:r>
          <w:rPr>
            <w:sz w:val="22"/>
          </w:rPr>
          <w:t>(PCP)</w:t>
          <w:tab/>
          <w:t>20</w:t>
        </w:r>
      </w:hyperlink>
    </w:p>
    <w:p>
      <w:pPr>
        <w:pStyle w:val="ListParagraph"/>
        <w:numPr>
          <w:ilvl w:val="2"/>
          <w:numId w:val="1"/>
        </w:numPr>
        <w:tabs>
          <w:tab w:pos="1204" w:val="left" w:leader="none"/>
          <w:tab w:pos="8661" w:val="right" w:leader="dot"/>
        </w:tabs>
        <w:spacing w:line="240" w:lineRule="auto" w:before="126" w:after="0"/>
        <w:ind w:left="1203" w:right="0" w:hanging="609"/>
        <w:jc w:val="left"/>
        <w:rPr>
          <w:sz w:val="22"/>
        </w:rPr>
      </w:pPr>
      <w:hyperlink w:history="true" w:anchor="_bookmark25">
        <w:r>
          <w:rPr>
            <w:sz w:val="22"/>
          </w:rPr>
          <w:t>Efectos adversos del catéter</w:t>
        </w:r>
        <w:r>
          <w:rPr>
            <w:spacing w:val="10"/>
            <w:sz w:val="22"/>
          </w:rPr>
          <w:t> </w:t>
        </w:r>
        <w:r>
          <w:rPr>
            <w:sz w:val="22"/>
          </w:rPr>
          <w:t>de</w:t>
        </w:r>
        <w:r>
          <w:rPr>
            <w:spacing w:val="-6"/>
            <w:sz w:val="22"/>
          </w:rPr>
          <w:t> </w:t>
        </w:r>
        <w:r>
          <w:rPr>
            <w:sz w:val="22"/>
          </w:rPr>
          <w:t>Swan-Ganz</w:t>
          <w:tab/>
          <w:t>22</w:t>
        </w:r>
      </w:hyperlink>
    </w:p>
    <w:p>
      <w:pPr>
        <w:pStyle w:val="ListParagraph"/>
        <w:numPr>
          <w:ilvl w:val="1"/>
          <w:numId w:val="1"/>
        </w:numPr>
        <w:tabs>
          <w:tab w:pos="816" w:val="left" w:leader="none"/>
          <w:tab w:pos="8661" w:val="right" w:leader="dot"/>
        </w:tabs>
        <w:spacing w:line="240" w:lineRule="auto" w:before="126" w:after="0"/>
        <w:ind w:left="815" w:right="0" w:hanging="442"/>
        <w:jc w:val="left"/>
        <w:rPr>
          <w:sz w:val="22"/>
        </w:rPr>
      </w:pPr>
      <w:hyperlink w:history="true" w:anchor="_bookmark26">
        <w:r>
          <w:rPr>
            <w:sz w:val="22"/>
          </w:rPr>
          <w:t>Técnicas alternativas a la utilización del catéter</w:t>
        </w:r>
        <w:r>
          <w:rPr>
            <w:spacing w:val="7"/>
            <w:sz w:val="22"/>
          </w:rPr>
          <w:t> </w:t>
        </w:r>
        <w:r>
          <w:rPr>
            <w:sz w:val="22"/>
          </w:rPr>
          <w:t>de</w:t>
        </w:r>
        <w:r>
          <w:rPr>
            <w:spacing w:val="-1"/>
            <w:sz w:val="22"/>
          </w:rPr>
          <w:t> </w:t>
        </w:r>
        <w:r>
          <w:rPr>
            <w:sz w:val="22"/>
          </w:rPr>
          <w:t>Swan-Ganz</w:t>
          <w:tab/>
          <w:t>22</w:t>
        </w:r>
      </w:hyperlink>
    </w:p>
    <w:p>
      <w:pPr>
        <w:pStyle w:val="ListParagraph"/>
        <w:numPr>
          <w:ilvl w:val="1"/>
          <w:numId w:val="1"/>
        </w:numPr>
        <w:tabs>
          <w:tab w:pos="816" w:val="left" w:leader="none"/>
          <w:tab w:pos="8661" w:val="right" w:leader="dot"/>
        </w:tabs>
        <w:spacing w:line="240" w:lineRule="auto" w:before="127" w:after="0"/>
        <w:ind w:left="815" w:right="0" w:hanging="442"/>
        <w:jc w:val="left"/>
        <w:rPr>
          <w:sz w:val="22"/>
        </w:rPr>
      </w:pPr>
      <w:hyperlink w:history="true" w:anchor="_bookmark27">
        <w:r>
          <w:rPr>
            <w:sz w:val="22"/>
          </w:rPr>
          <w:t>Sistema NICO2 (Non-Invasive Cardiac</w:t>
        </w:r>
        <w:r>
          <w:rPr>
            <w:spacing w:val="-1"/>
            <w:sz w:val="22"/>
          </w:rPr>
          <w:t> </w:t>
        </w:r>
        <w:r>
          <w:rPr>
            <w:sz w:val="22"/>
          </w:rPr>
          <w:t>Output,</w:t>
        </w:r>
        <w:r>
          <w:rPr>
            <w:spacing w:val="-2"/>
            <w:sz w:val="22"/>
          </w:rPr>
          <w:t> </w:t>
        </w:r>
        <w:r>
          <w:rPr>
            <w:sz w:val="22"/>
          </w:rPr>
          <w:t>Respinonics)</w:t>
          <w:tab/>
          <w:t>22</w:t>
        </w:r>
      </w:hyperlink>
    </w:p>
    <w:p>
      <w:pPr>
        <w:pStyle w:val="ListParagraph"/>
        <w:numPr>
          <w:ilvl w:val="2"/>
          <w:numId w:val="1"/>
        </w:numPr>
        <w:tabs>
          <w:tab w:pos="1204" w:val="left" w:leader="none"/>
          <w:tab w:pos="8661" w:val="right" w:leader="dot"/>
        </w:tabs>
        <w:spacing w:line="240" w:lineRule="auto" w:before="126" w:after="0"/>
        <w:ind w:left="1203" w:right="0" w:hanging="609"/>
        <w:jc w:val="left"/>
        <w:rPr>
          <w:sz w:val="22"/>
        </w:rPr>
      </w:pPr>
      <w:hyperlink w:history="true" w:anchor="_bookmark29">
        <w:r>
          <w:rPr>
            <w:sz w:val="22"/>
          </w:rPr>
          <w:t>Sistema </w:t>
        </w:r>
        <w:r>
          <w:rPr>
            <w:i/>
            <w:sz w:val="22"/>
          </w:rPr>
          <w:t>PiCCO </w:t>
        </w:r>
        <w:r>
          <w:rPr>
            <w:sz w:val="22"/>
          </w:rPr>
          <w:t>(Pulsed-induced Contour</w:t>
        </w:r>
        <w:r>
          <w:rPr>
            <w:spacing w:val="6"/>
            <w:sz w:val="22"/>
          </w:rPr>
          <w:t> </w:t>
        </w:r>
        <w:r>
          <w:rPr>
            <w:sz w:val="22"/>
          </w:rPr>
          <w:t>Cardiac</w:t>
        </w:r>
        <w:r>
          <w:rPr>
            <w:spacing w:val="-1"/>
            <w:sz w:val="22"/>
          </w:rPr>
          <w:t> </w:t>
        </w:r>
        <w:r>
          <w:rPr>
            <w:sz w:val="22"/>
          </w:rPr>
          <w:t>output)</w:t>
          <w:tab/>
          <w:t>23</w:t>
        </w:r>
      </w:hyperlink>
    </w:p>
    <w:p>
      <w:pPr>
        <w:pStyle w:val="ListParagraph"/>
        <w:numPr>
          <w:ilvl w:val="2"/>
          <w:numId w:val="1"/>
        </w:numPr>
        <w:tabs>
          <w:tab w:pos="1204" w:val="left" w:leader="none"/>
          <w:tab w:pos="8661" w:val="right" w:leader="dot"/>
        </w:tabs>
        <w:spacing w:line="240" w:lineRule="auto" w:before="126" w:after="0"/>
        <w:ind w:left="1203" w:right="0" w:hanging="609"/>
        <w:jc w:val="left"/>
        <w:rPr>
          <w:sz w:val="22"/>
        </w:rPr>
      </w:pPr>
      <w:hyperlink w:history="true" w:anchor="_bookmark31">
        <w:r>
          <w:rPr>
            <w:sz w:val="22"/>
          </w:rPr>
          <w:t>Bioimpedancia</w:t>
        </w:r>
        <w:r>
          <w:rPr>
            <w:spacing w:val="4"/>
            <w:sz w:val="22"/>
          </w:rPr>
          <w:t> </w:t>
        </w:r>
        <w:r>
          <w:rPr>
            <w:sz w:val="22"/>
          </w:rPr>
          <w:t>eléctrica</w:t>
          <w:tab/>
          <w:t>24</w:t>
        </w:r>
      </w:hyperlink>
    </w:p>
    <w:p>
      <w:pPr>
        <w:pStyle w:val="ListParagraph"/>
        <w:numPr>
          <w:ilvl w:val="2"/>
          <w:numId w:val="1"/>
        </w:numPr>
        <w:tabs>
          <w:tab w:pos="1204" w:val="left" w:leader="none"/>
          <w:tab w:pos="8661" w:val="right" w:leader="dot"/>
        </w:tabs>
        <w:spacing w:line="240" w:lineRule="auto" w:before="126" w:after="0"/>
        <w:ind w:left="1203" w:right="0" w:hanging="609"/>
        <w:jc w:val="left"/>
        <w:rPr>
          <w:sz w:val="22"/>
        </w:rPr>
      </w:pPr>
      <w:hyperlink w:history="true" w:anchor="_bookmark33">
        <w:r>
          <w:rPr>
            <w:sz w:val="22"/>
          </w:rPr>
          <w:t>Doppler</w:t>
        </w:r>
        <w:r>
          <w:rPr>
            <w:spacing w:val="4"/>
            <w:sz w:val="22"/>
          </w:rPr>
          <w:t> </w:t>
        </w:r>
        <w:r>
          <w:rPr>
            <w:sz w:val="22"/>
          </w:rPr>
          <w:t>transesofágico</w:t>
          <w:tab/>
          <w:t>25</w:t>
        </w:r>
      </w:hyperlink>
    </w:p>
    <w:p>
      <w:pPr>
        <w:pStyle w:val="ListParagraph"/>
        <w:numPr>
          <w:ilvl w:val="1"/>
          <w:numId w:val="1"/>
        </w:numPr>
        <w:tabs>
          <w:tab w:pos="816" w:val="left" w:leader="none"/>
          <w:tab w:pos="8661" w:val="right" w:leader="dot"/>
        </w:tabs>
        <w:spacing w:line="240" w:lineRule="auto" w:before="126" w:after="0"/>
        <w:ind w:left="815" w:right="0" w:hanging="442"/>
        <w:jc w:val="left"/>
        <w:rPr>
          <w:sz w:val="22"/>
        </w:rPr>
      </w:pPr>
      <w:hyperlink w:history="true" w:anchor="_bookmark34">
        <w:r>
          <w:rPr>
            <w:sz w:val="22"/>
          </w:rPr>
          <w:t>Parámetros</w:t>
        </w:r>
        <w:r>
          <w:rPr>
            <w:spacing w:val="1"/>
            <w:sz w:val="22"/>
          </w:rPr>
          <w:t> </w:t>
        </w:r>
        <w:r>
          <w:rPr>
            <w:sz w:val="22"/>
          </w:rPr>
          <w:t>cardiovasculares</w:t>
          <w:tab/>
          <w:t>26</w:t>
        </w:r>
      </w:hyperlink>
    </w:p>
    <w:p>
      <w:pPr>
        <w:pStyle w:val="ListParagraph"/>
        <w:numPr>
          <w:ilvl w:val="2"/>
          <w:numId w:val="1"/>
        </w:numPr>
        <w:tabs>
          <w:tab w:pos="1204" w:val="left" w:leader="none"/>
          <w:tab w:pos="8661" w:val="right" w:leader="dot"/>
        </w:tabs>
        <w:spacing w:line="240" w:lineRule="auto" w:before="126" w:after="0"/>
        <w:ind w:left="1203" w:right="0" w:hanging="609"/>
        <w:jc w:val="left"/>
        <w:rPr>
          <w:sz w:val="22"/>
        </w:rPr>
      </w:pPr>
      <w:hyperlink w:history="true" w:anchor="_bookmark35">
        <w:r>
          <w:rPr>
            <w:sz w:val="22"/>
          </w:rPr>
          <w:t>Índice</w:t>
        </w:r>
        <w:r>
          <w:rPr>
            <w:spacing w:val="-6"/>
            <w:sz w:val="22"/>
          </w:rPr>
          <w:t> </w:t>
        </w:r>
        <w:r>
          <w:rPr>
            <w:sz w:val="22"/>
          </w:rPr>
          <w:t>cardiaco</w:t>
        </w:r>
        <w:r>
          <w:rPr>
            <w:spacing w:val="-4"/>
            <w:sz w:val="22"/>
          </w:rPr>
          <w:t> </w:t>
        </w:r>
        <w:r>
          <w:rPr>
            <w:sz w:val="22"/>
          </w:rPr>
          <w:t>(CI)</w:t>
          <w:tab/>
          <w:t>26</w:t>
        </w:r>
      </w:hyperlink>
    </w:p>
    <w:p>
      <w:pPr>
        <w:pStyle w:val="ListParagraph"/>
        <w:numPr>
          <w:ilvl w:val="2"/>
          <w:numId w:val="1"/>
        </w:numPr>
        <w:tabs>
          <w:tab w:pos="1204" w:val="left" w:leader="none"/>
          <w:tab w:pos="8661" w:val="right" w:leader="dot"/>
        </w:tabs>
        <w:spacing w:line="240" w:lineRule="auto" w:before="126" w:after="0"/>
        <w:ind w:left="1203" w:right="0" w:hanging="609"/>
        <w:jc w:val="left"/>
        <w:rPr>
          <w:sz w:val="22"/>
        </w:rPr>
      </w:pPr>
      <w:hyperlink w:history="true" w:anchor="_bookmark36">
        <w:r>
          <w:rPr>
            <w:sz w:val="22"/>
          </w:rPr>
          <w:t>Índice del</w:t>
        </w:r>
        <w:r>
          <w:rPr>
            <w:spacing w:val="-3"/>
            <w:sz w:val="22"/>
          </w:rPr>
          <w:t> </w:t>
        </w:r>
        <w:r>
          <w:rPr>
            <w:sz w:val="22"/>
          </w:rPr>
          <w:t>volumen</w:t>
        </w:r>
        <w:r>
          <w:rPr>
            <w:spacing w:val="-4"/>
            <w:sz w:val="22"/>
          </w:rPr>
          <w:t> </w:t>
        </w:r>
        <w:r>
          <w:rPr>
            <w:sz w:val="22"/>
          </w:rPr>
          <w:t>sistólico</w:t>
          <w:tab/>
          <w:t>27</w:t>
        </w:r>
      </w:hyperlink>
    </w:p>
    <w:p>
      <w:pPr>
        <w:pStyle w:val="ListParagraph"/>
        <w:numPr>
          <w:ilvl w:val="2"/>
          <w:numId w:val="1"/>
        </w:numPr>
        <w:tabs>
          <w:tab w:pos="1204" w:val="left" w:leader="none"/>
          <w:tab w:pos="8661" w:val="right" w:leader="dot"/>
        </w:tabs>
        <w:spacing w:line="240" w:lineRule="auto" w:before="125" w:after="0"/>
        <w:ind w:left="1203" w:right="0" w:hanging="609"/>
        <w:jc w:val="left"/>
        <w:rPr>
          <w:sz w:val="22"/>
        </w:rPr>
      </w:pPr>
      <w:hyperlink w:history="true" w:anchor="_bookmark37">
        <w:r>
          <w:rPr>
            <w:position w:val="2"/>
            <w:sz w:val="22"/>
          </w:rPr>
          <w:t>Saturación venosa de</w:t>
        </w:r>
        <w:r>
          <w:rPr>
            <w:spacing w:val="4"/>
            <w:position w:val="2"/>
            <w:sz w:val="22"/>
          </w:rPr>
          <w:t> </w:t>
        </w:r>
        <w:r>
          <w:rPr>
            <w:position w:val="2"/>
            <w:sz w:val="22"/>
          </w:rPr>
          <w:t>oxígeno</w:t>
        </w:r>
        <w:r>
          <w:rPr>
            <w:spacing w:val="-4"/>
            <w:position w:val="2"/>
            <w:sz w:val="22"/>
          </w:rPr>
          <w:t> </w:t>
        </w:r>
        <w:r>
          <w:rPr>
            <w:position w:val="2"/>
            <w:sz w:val="22"/>
          </w:rPr>
          <w:t>(S</w:t>
        </w:r>
        <w:r>
          <w:rPr>
            <w:sz w:val="14"/>
          </w:rPr>
          <w:t>v</w:t>
        </w:r>
        <w:r>
          <w:rPr>
            <w:position w:val="2"/>
            <w:sz w:val="22"/>
          </w:rPr>
          <w:t>O</w:t>
        </w:r>
        <w:r>
          <w:rPr>
            <w:sz w:val="14"/>
          </w:rPr>
          <w:t>2</w:t>
        </w:r>
        <w:r>
          <w:rPr>
            <w:position w:val="2"/>
            <w:sz w:val="22"/>
          </w:rPr>
          <w:t>)</w:t>
          <w:tab/>
          <w:t>27</w:t>
        </w:r>
      </w:hyperlink>
    </w:p>
    <w:p>
      <w:pPr>
        <w:spacing w:after="0" w:line="240" w:lineRule="auto"/>
        <w:jc w:val="left"/>
        <w:rPr>
          <w:sz w:val="22"/>
        </w:rPr>
        <w:sectPr>
          <w:footerReference w:type="default" r:id="rId6"/>
          <w:pgSz w:w="12240" w:h="15840"/>
          <w:pgMar w:footer="1651" w:header="0" w:top="1500" w:bottom="1840" w:left="1720" w:right="1380"/>
          <w:pgNumType w:start="1"/>
        </w:sectPr>
      </w:pPr>
    </w:p>
    <w:sdt>
      <w:sdtPr>
        <w:docPartObj>
          <w:docPartGallery w:val="Table of Contents"/>
          <w:docPartUnique/>
        </w:docPartObj>
      </w:sdtPr>
      <w:sdtEndPr/>
      <w:sdtContent>
        <w:p>
          <w:pPr>
            <w:pStyle w:val="TOC3"/>
            <w:numPr>
              <w:ilvl w:val="2"/>
              <w:numId w:val="1"/>
            </w:numPr>
            <w:tabs>
              <w:tab w:pos="1204" w:val="left" w:leader="none"/>
              <w:tab w:pos="8661" w:val="right" w:leader="dot"/>
            </w:tabs>
            <w:spacing w:line="240" w:lineRule="auto" w:before="310" w:after="0"/>
            <w:ind w:left="1203" w:right="0" w:hanging="609"/>
            <w:jc w:val="left"/>
          </w:pPr>
          <w:hyperlink w:history="true" w:anchor="_bookmark38">
            <w:r>
              <w:rPr>
                <w:position w:val="2"/>
              </w:rPr>
              <w:t>Liberación de oxígeno hacia los</w:t>
            </w:r>
            <w:r>
              <w:rPr>
                <w:spacing w:val="8"/>
                <w:position w:val="2"/>
              </w:rPr>
              <w:t> </w:t>
            </w:r>
            <w:r>
              <w:rPr>
                <w:position w:val="2"/>
              </w:rPr>
              <w:t>tejidos</w:t>
            </w:r>
            <w:r>
              <w:rPr>
                <w:spacing w:val="1"/>
                <w:position w:val="2"/>
              </w:rPr>
              <w:t> </w:t>
            </w:r>
            <w:r>
              <w:rPr>
                <w:position w:val="2"/>
              </w:rPr>
              <w:t>(DO</w:t>
            </w:r>
            <w:r>
              <w:rPr>
                <w:sz w:val="14"/>
              </w:rPr>
              <w:t>2</w:t>
            </w:r>
            <w:r>
              <w:rPr>
                <w:position w:val="2"/>
              </w:rPr>
              <w:t>)</w:t>
              <w:tab/>
              <w:t>28</w:t>
            </w:r>
          </w:hyperlink>
        </w:p>
        <w:p>
          <w:pPr>
            <w:pStyle w:val="TOC3"/>
            <w:numPr>
              <w:ilvl w:val="2"/>
              <w:numId w:val="1"/>
            </w:numPr>
            <w:tabs>
              <w:tab w:pos="1204" w:val="left" w:leader="none"/>
              <w:tab w:pos="8661" w:val="right" w:leader="dot"/>
            </w:tabs>
            <w:spacing w:line="240" w:lineRule="auto" w:before="124" w:after="0"/>
            <w:ind w:left="1203" w:right="0" w:hanging="609"/>
            <w:jc w:val="left"/>
          </w:pPr>
          <w:hyperlink w:history="true" w:anchor="_bookmark39">
            <w:r>
              <w:rPr/>
              <w:t>Contenido de oxígeno de sangre venosa</w:t>
            </w:r>
            <w:r>
              <w:rPr>
                <w:spacing w:val="-13"/>
              </w:rPr>
              <w:t> </w:t>
            </w:r>
            <w:r>
              <w:rPr/>
              <w:t>mixta</w:t>
            </w:r>
            <w:r>
              <w:rPr>
                <w:spacing w:val="9"/>
              </w:rPr>
              <w:t> </w:t>
            </w:r>
            <w:r>
              <w:rPr/>
              <w:t>(CvO2)</w:t>
              <w:tab/>
              <w:t>30</w:t>
            </w:r>
          </w:hyperlink>
        </w:p>
        <w:p>
          <w:pPr>
            <w:pStyle w:val="TOC3"/>
            <w:numPr>
              <w:ilvl w:val="2"/>
              <w:numId w:val="1"/>
            </w:numPr>
            <w:tabs>
              <w:tab w:pos="1204" w:val="left" w:leader="none"/>
              <w:tab w:pos="8661" w:val="right" w:leader="dot"/>
            </w:tabs>
            <w:spacing w:line="240" w:lineRule="auto" w:before="127" w:after="0"/>
            <w:ind w:left="1203" w:right="0" w:hanging="609"/>
            <w:jc w:val="left"/>
          </w:pPr>
          <w:hyperlink w:history="true" w:anchor="_bookmark40">
            <w:r>
              <w:rPr/>
              <w:t>Presión venosa</w:t>
            </w:r>
            <w:r>
              <w:rPr>
                <w:spacing w:val="1"/>
              </w:rPr>
              <w:t> </w:t>
            </w:r>
            <w:r>
              <w:rPr/>
              <w:t>central</w:t>
            </w:r>
            <w:r>
              <w:rPr>
                <w:spacing w:val="-3"/>
              </w:rPr>
              <w:t> </w:t>
            </w:r>
            <w:r>
              <w:rPr/>
              <w:t>(PVC)</w:t>
              <w:tab/>
              <w:t>30</w:t>
            </w:r>
          </w:hyperlink>
        </w:p>
        <w:p>
          <w:pPr>
            <w:pStyle w:val="TOC3"/>
            <w:numPr>
              <w:ilvl w:val="2"/>
              <w:numId w:val="1"/>
            </w:numPr>
            <w:tabs>
              <w:tab w:pos="1204" w:val="left" w:leader="none"/>
              <w:tab w:pos="8661" w:val="right" w:leader="dot"/>
            </w:tabs>
            <w:spacing w:line="240" w:lineRule="auto" w:before="126" w:after="0"/>
            <w:ind w:left="1203" w:right="0" w:hanging="609"/>
            <w:jc w:val="left"/>
          </w:pPr>
          <w:hyperlink w:history="true" w:anchor="_bookmark41">
            <w:r>
              <w:rPr/>
              <w:t>Presión de oclusión de la arteria</w:t>
            </w:r>
            <w:r>
              <w:rPr>
                <w:spacing w:val="1"/>
              </w:rPr>
              <w:t> </w:t>
            </w:r>
            <w:r>
              <w:rPr/>
              <w:t>pulmonar</w:t>
            </w:r>
            <w:r>
              <w:rPr>
                <w:spacing w:val="4"/>
              </w:rPr>
              <w:t> </w:t>
            </w:r>
            <w:r>
              <w:rPr/>
              <w:t>(PAOP)</w:t>
              <w:tab/>
              <w:t>31</w:t>
            </w:r>
          </w:hyperlink>
        </w:p>
        <w:p>
          <w:pPr>
            <w:pStyle w:val="TOC3"/>
            <w:numPr>
              <w:ilvl w:val="2"/>
              <w:numId w:val="1"/>
            </w:numPr>
            <w:tabs>
              <w:tab w:pos="1204" w:val="left" w:leader="none"/>
              <w:tab w:pos="8661" w:val="right" w:leader="dot"/>
            </w:tabs>
            <w:spacing w:line="240" w:lineRule="auto" w:before="126" w:after="0"/>
            <w:ind w:left="1203" w:right="0" w:hanging="609"/>
            <w:jc w:val="left"/>
          </w:pPr>
          <w:hyperlink w:history="true" w:anchor="_bookmark43">
            <w:r>
              <w:rPr/>
              <w:t>Índice de resistencia vascular</w:t>
            </w:r>
            <w:r>
              <w:rPr>
                <w:spacing w:val="3"/>
              </w:rPr>
              <w:t> </w:t>
            </w:r>
            <w:r>
              <w:rPr/>
              <w:t>sistémica</w:t>
            </w:r>
            <w:r>
              <w:rPr>
                <w:spacing w:val="4"/>
              </w:rPr>
              <w:t> </w:t>
            </w:r>
            <w:r>
              <w:rPr/>
              <w:t>(IRVS)</w:t>
              <w:tab/>
              <w:t>32</w:t>
            </w:r>
          </w:hyperlink>
        </w:p>
        <w:p>
          <w:pPr>
            <w:pStyle w:val="TOC3"/>
            <w:numPr>
              <w:ilvl w:val="2"/>
              <w:numId w:val="1"/>
            </w:numPr>
            <w:tabs>
              <w:tab w:pos="1204" w:val="left" w:leader="none"/>
              <w:tab w:pos="8661" w:val="right" w:leader="dot"/>
            </w:tabs>
            <w:spacing w:line="240" w:lineRule="auto" w:before="126" w:after="0"/>
            <w:ind w:left="1203" w:right="0" w:hanging="609"/>
            <w:jc w:val="left"/>
          </w:pPr>
          <w:hyperlink w:history="true" w:anchor="_bookmark44">
            <w:r>
              <w:rPr/>
              <w:t>Índice de trabajo sistólico ventricular</w:t>
            </w:r>
            <w:r>
              <w:rPr>
                <w:spacing w:val="-4"/>
              </w:rPr>
              <w:t> </w:t>
            </w:r>
            <w:r>
              <w:rPr/>
              <w:t>izquierdo</w:t>
            </w:r>
            <w:r>
              <w:rPr>
                <w:spacing w:val="-4"/>
              </w:rPr>
              <w:t> </w:t>
            </w:r>
            <w:r>
              <w:rPr/>
              <w:t>(ITSVI)</w:t>
              <w:tab/>
              <w:t>33</w:t>
            </w:r>
          </w:hyperlink>
        </w:p>
        <w:p>
          <w:pPr>
            <w:pStyle w:val="TOC3"/>
            <w:numPr>
              <w:ilvl w:val="2"/>
              <w:numId w:val="1"/>
            </w:numPr>
            <w:tabs>
              <w:tab w:pos="1314" w:val="left" w:leader="none"/>
              <w:tab w:pos="8661" w:val="right" w:leader="dot"/>
            </w:tabs>
            <w:spacing w:line="240" w:lineRule="auto" w:before="126" w:after="0"/>
            <w:ind w:left="1313" w:right="0" w:hanging="719"/>
            <w:jc w:val="left"/>
          </w:pPr>
          <w:hyperlink w:history="true" w:anchor="_bookmark45">
            <w:r>
              <w:rPr/>
              <w:t>Índice de trabajo sistólico ventricular</w:t>
            </w:r>
            <w:r>
              <w:rPr>
                <w:spacing w:val="-8"/>
              </w:rPr>
              <w:t> </w:t>
            </w:r>
            <w:r>
              <w:rPr/>
              <w:t>derecho</w:t>
            </w:r>
            <w:r>
              <w:rPr>
                <w:spacing w:val="-4"/>
              </w:rPr>
              <w:t> </w:t>
            </w:r>
            <w:r>
              <w:rPr/>
              <w:t>(ITSVD)</w:t>
              <w:tab/>
              <w:t>33</w:t>
            </w:r>
          </w:hyperlink>
        </w:p>
        <w:p>
          <w:pPr>
            <w:pStyle w:val="TOC3"/>
            <w:numPr>
              <w:ilvl w:val="2"/>
              <w:numId w:val="1"/>
            </w:numPr>
            <w:tabs>
              <w:tab w:pos="1314" w:val="left" w:leader="none"/>
              <w:tab w:pos="8661" w:val="right" w:leader="dot"/>
            </w:tabs>
            <w:spacing w:line="240" w:lineRule="auto" w:before="126" w:after="0"/>
            <w:ind w:left="1313" w:right="0" w:hanging="719"/>
            <w:jc w:val="left"/>
          </w:pPr>
          <w:hyperlink w:history="true" w:anchor="_bookmark46">
            <w:r>
              <w:rPr/>
              <w:t>Índice de resistencia vascular</w:t>
            </w:r>
            <w:r>
              <w:rPr>
                <w:spacing w:val="-2"/>
              </w:rPr>
              <w:t> </w:t>
            </w:r>
            <w:r>
              <w:rPr/>
              <w:t>pulmonar</w:t>
            </w:r>
            <w:r>
              <w:rPr>
                <w:spacing w:val="4"/>
              </w:rPr>
              <w:t> </w:t>
            </w:r>
            <w:r>
              <w:rPr/>
              <w:t>(IRVP)</w:t>
              <w:tab/>
              <w:t>34</w:t>
            </w:r>
          </w:hyperlink>
        </w:p>
        <w:p>
          <w:pPr>
            <w:pStyle w:val="TOC1"/>
            <w:tabs>
              <w:tab w:pos="8661" w:val="right" w:leader="dot"/>
            </w:tabs>
            <w:rPr>
              <w:i/>
            </w:rPr>
          </w:pPr>
          <w:hyperlink w:history="true" w:anchor="_bookmark47">
            <w:r>
              <w:rPr>
                <w:i/>
              </w:rPr>
              <w:t>CAPITULO</w:t>
            </w:r>
            <w:r>
              <w:rPr>
                <w:i/>
                <w:spacing w:val="-4"/>
              </w:rPr>
              <w:t> </w:t>
            </w:r>
            <w:r>
              <w:rPr>
                <w:i/>
              </w:rPr>
              <w:t>III</w:t>
              <w:tab/>
              <w:t>35</w:t>
            </w:r>
          </w:hyperlink>
        </w:p>
        <w:p>
          <w:pPr>
            <w:pStyle w:val="TOC2"/>
            <w:numPr>
              <w:ilvl w:val="0"/>
              <w:numId w:val="1"/>
            </w:numPr>
            <w:tabs>
              <w:tab w:pos="599" w:val="left" w:leader="none"/>
              <w:tab w:pos="8661" w:val="right" w:leader="dot"/>
            </w:tabs>
            <w:spacing w:line="240" w:lineRule="auto" w:before="121" w:after="0"/>
            <w:ind w:left="599" w:right="0" w:hanging="226"/>
            <w:jc w:val="left"/>
          </w:pPr>
          <w:hyperlink w:history="true" w:anchor="_bookmark48">
            <w:r>
              <w:rPr/>
              <w:t>Justificación</w:t>
              <w:tab/>
              <w:t>35</w:t>
            </w:r>
          </w:hyperlink>
        </w:p>
        <w:p>
          <w:pPr>
            <w:pStyle w:val="TOC1"/>
            <w:tabs>
              <w:tab w:pos="8661" w:val="right" w:leader="dot"/>
            </w:tabs>
            <w:rPr>
              <w:i/>
            </w:rPr>
          </w:pPr>
          <w:hyperlink w:history="true" w:anchor="_bookmark49">
            <w:r>
              <w:rPr>
                <w:i/>
              </w:rPr>
              <w:t>CAPITULO</w:t>
            </w:r>
            <w:r>
              <w:rPr>
                <w:i/>
                <w:spacing w:val="-4"/>
              </w:rPr>
              <w:t> </w:t>
            </w:r>
            <w:r>
              <w:rPr>
                <w:i/>
              </w:rPr>
              <w:t>IV</w:t>
              <w:tab/>
              <w:t>36</w:t>
            </w:r>
          </w:hyperlink>
        </w:p>
        <w:p>
          <w:pPr>
            <w:pStyle w:val="TOC2"/>
            <w:numPr>
              <w:ilvl w:val="0"/>
              <w:numId w:val="1"/>
            </w:numPr>
            <w:tabs>
              <w:tab w:pos="599" w:val="left" w:leader="none"/>
              <w:tab w:pos="8661" w:val="right" w:leader="dot"/>
            </w:tabs>
            <w:spacing w:line="240" w:lineRule="auto" w:before="127" w:after="0"/>
            <w:ind w:left="599" w:right="0" w:hanging="226"/>
            <w:jc w:val="left"/>
          </w:pPr>
          <w:hyperlink w:history="true" w:anchor="_bookmark50">
            <w:r>
              <w:rPr/>
              <w:t>Hipótesis</w:t>
              <w:tab/>
              <w:t>36</w:t>
            </w:r>
          </w:hyperlink>
        </w:p>
        <w:p>
          <w:pPr>
            <w:pStyle w:val="TOC1"/>
            <w:tabs>
              <w:tab w:pos="8661" w:val="right" w:leader="dot"/>
            </w:tabs>
            <w:rPr>
              <w:i/>
            </w:rPr>
          </w:pPr>
          <w:hyperlink w:history="true" w:anchor="_bookmark51">
            <w:r>
              <w:rPr>
                <w:i/>
              </w:rPr>
              <w:t>CAPITULO V</w:t>
              <w:tab/>
              <w:t>37</w:t>
            </w:r>
          </w:hyperlink>
        </w:p>
        <w:p>
          <w:pPr>
            <w:pStyle w:val="TOC2"/>
            <w:numPr>
              <w:ilvl w:val="0"/>
              <w:numId w:val="1"/>
            </w:numPr>
            <w:tabs>
              <w:tab w:pos="599" w:val="left" w:leader="none"/>
              <w:tab w:pos="8661" w:val="right" w:leader="dot"/>
            </w:tabs>
            <w:spacing w:line="240" w:lineRule="auto" w:before="121" w:after="0"/>
            <w:ind w:left="599" w:right="0" w:hanging="226"/>
            <w:jc w:val="left"/>
          </w:pPr>
          <w:hyperlink w:history="true" w:anchor="_bookmark52">
            <w:r>
              <w:rPr/>
              <w:t>Objetivo</w:t>
              <w:tab/>
              <w:t>37</w:t>
            </w:r>
          </w:hyperlink>
        </w:p>
        <w:p>
          <w:pPr>
            <w:pStyle w:val="TOC1"/>
            <w:tabs>
              <w:tab w:pos="8661" w:val="right" w:leader="dot"/>
            </w:tabs>
            <w:rPr>
              <w:i/>
            </w:rPr>
          </w:pPr>
          <w:hyperlink w:history="true" w:anchor="_bookmark53">
            <w:r>
              <w:rPr>
                <w:i/>
              </w:rPr>
              <w:t>CAPITULO </w:t>
            </w:r>
            <w:r>
              <w:rPr>
                <w:i/>
                <w:spacing w:val="-5"/>
              </w:rPr>
              <w:t>VI</w:t>
              <w:tab/>
            </w:r>
            <w:r>
              <w:rPr>
                <w:i/>
              </w:rPr>
              <w:t>38</w:t>
            </w:r>
          </w:hyperlink>
        </w:p>
        <w:p>
          <w:pPr>
            <w:pStyle w:val="TOC2"/>
            <w:numPr>
              <w:ilvl w:val="0"/>
              <w:numId w:val="1"/>
            </w:numPr>
            <w:tabs>
              <w:tab w:pos="599" w:val="left" w:leader="none"/>
              <w:tab w:pos="8661" w:val="right" w:leader="dot"/>
            </w:tabs>
            <w:spacing w:line="240" w:lineRule="auto" w:before="122" w:after="0"/>
            <w:ind w:left="599" w:right="0" w:hanging="226"/>
            <w:jc w:val="left"/>
          </w:pPr>
          <w:hyperlink w:history="true" w:anchor="_bookmark54">
            <w:r>
              <w:rPr/>
              <w:t>Material</w:t>
            </w:r>
            <w:r>
              <w:rPr>
                <w:spacing w:val="-3"/>
              </w:rPr>
              <w:t> </w:t>
            </w:r>
            <w:r>
              <w:rPr/>
              <w:t>y</w:t>
            </w:r>
            <w:r>
              <w:rPr>
                <w:spacing w:val="-4"/>
              </w:rPr>
              <w:t> </w:t>
            </w:r>
            <w:r>
              <w:rPr/>
              <w:t>Método</w:t>
              <w:tab/>
              <w:t>38</w:t>
            </w:r>
          </w:hyperlink>
        </w:p>
        <w:p>
          <w:pPr>
            <w:pStyle w:val="TOC3"/>
            <w:numPr>
              <w:ilvl w:val="1"/>
              <w:numId w:val="1"/>
            </w:numPr>
            <w:tabs>
              <w:tab w:pos="931" w:val="left" w:leader="none"/>
              <w:tab w:pos="8661" w:val="right" w:leader="dot"/>
            </w:tabs>
            <w:spacing w:line="240" w:lineRule="auto" w:before="126" w:after="0"/>
            <w:ind w:left="930" w:right="0" w:hanging="336"/>
            <w:jc w:val="left"/>
          </w:pPr>
          <w:hyperlink w:history="true" w:anchor="_bookmark55">
            <w:r>
              <w:rPr>
                <w:spacing w:val="-3"/>
              </w:rPr>
              <w:t>Animales</w:t>
              <w:tab/>
            </w:r>
            <w:r>
              <w:rPr/>
              <w:t>38</w:t>
            </w:r>
          </w:hyperlink>
        </w:p>
        <w:p>
          <w:pPr>
            <w:pStyle w:val="TOC3"/>
            <w:numPr>
              <w:ilvl w:val="1"/>
              <w:numId w:val="1"/>
            </w:numPr>
            <w:tabs>
              <w:tab w:pos="926" w:val="left" w:leader="none"/>
              <w:tab w:pos="8661" w:val="right" w:leader="dot"/>
            </w:tabs>
            <w:spacing w:line="240" w:lineRule="auto" w:before="126" w:after="0"/>
            <w:ind w:left="925" w:right="0" w:hanging="331"/>
            <w:jc w:val="left"/>
          </w:pPr>
          <w:hyperlink w:history="true" w:anchor="_bookmark56">
            <w:r>
              <w:rPr/>
              <w:t>Procedimiento</w:t>
            </w:r>
            <w:r>
              <w:rPr>
                <w:spacing w:val="1"/>
              </w:rPr>
              <w:t> </w:t>
            </w:r>
            <w:r>
              <w:rPr/>
              <w:t>Anestésico</w:t>
              <w:tab/>
              <w:t>39</w:t>
            </w:r>
          </w:hyperlink>
        </w:p>
        <w:p>
          <w:pPr>
            <w:pStyle w:val="TOC3"/>
            <w:numPr>
              <w:ilvl w:val="1"/>
              <w:numId w:val="1"/>
            </w:numPr>
            <w:tabs>
              <w:tab w:pos="931" w:val="left" w:leader="none"/>
              <w:tab w:pos="8661" w:val="right" w:leader="dot"/>
            </w:tabs>
            <w:spacing w:line="240" w:lineRule="auto" w:before="126" w:after="0"/>
            <w:ind w:left="930" w:right="0" w:hanging="336"/>
            <w:jc w:val="left"/>
          </w:pPr>
          <w:hyperlink w:history="true" w:anchor="_bookmark58">
            <w:r>
              <w:rPr/>
              <w:t>Instrumentación</w:t>
              <w:tab/>
              <w:t>39</w:t>
            </w:r>
          </w:hyperlink>
        </w:p>
        <w:p>
          <w:pPr>
            <w:pStyle w:val="TOC3"/>
            <w:numPr>
              <w:ilvl w:val="1"/>
              <w:numId w:val="1"/>
            </w:numPr>
            <w:tabs>
              <w:tab w:pos="926" w:val="left" w:leader="none"/>
              <w:tab w:pos="8661" w:val="right" w:leader="dot"/>
            </w:tabs>
            <w:spacing w:line="240" w:lineRule="auto" w:before="126" w:after="0"/>
            <w:ind w:left="925" w:right="0" w:hanging="331"/>
            <w:jc w:val="left"/>
          </w:pPr>
          <w:hyperlink w:history="true" w:anchor="_bookmark60">
            <w:r>
              <w:rPr/>
              <w:t>Monitorización</w:t>
            </w:r>
            <w:r>
              <w:rPr>
                <w:spacing w:val="-4"/>
              </w:rPr>
              <w:t> </w:t>
            </w:r>
            <w:r>
              <w:rPr/>
              <w:t>General</w:t>
              <w:tab/>
              <w:t>40</w:t>
            </w:r>
          </w:hyperlink>
        </w:p>
        <w:p>
          <w:pPr>
            <w:pStyle w:val="TOC3"/>
            <w:numPr>
              <w:ilvl w:val="1"/>
              <w:numId w:val="1"/>
            </w:numPr>
            <w:tabs>
              <w:tab w:pos="926" w:val="left" w:leader="none"/>
              <w:tab w:pos="8661" w:val="right" w:leader="dot"/>
            </w:tabs>
            <w:spacing w:line="240" w:lineRule="auto" w:before="126" w:after="0"/>
            <w:ind w:left="925" w:right="0" w:hanging="331"/>
            <w:jc w:val="left"/>
          </w:pPr>
          <w:hyperlink w:history="true" w:anchor="_bookmark61">
            <w:r>
              <w:rPr/>
              <w:t>Monitorización de la presión</w:t>
            </w:r>
            <w:r>
              <w:rPr>
                <w:spacing w:val="-2"/>
              </w:rPr>
              <w:t> </w:t>
            </w:r>
            <w:r>
              <w:rPr/>
              <w:t>arterial</w:t>
            </w:r>
            <w:r>
              <w:rPr>
                <w:spacing w:val="-3"/>
              </w:rPr>
              <w:t> </w:t>
            </w:r>
            <w:r>
              <w:rPr/>
              <w:t>sistémica</w:t>
              <w:tab/>
              <w:t>40</w:t>
            </w:r>
          </w:hyperlink>
        </w:p>
        <w:p>
          <w:pPr>
            <w:pStyle w:val="TOC3"/>
            <w:numPr>
              <w:ilvl w:val="1"/>
              <w:numId w:val="1"/>
            </w:numPr>
            <w:tabs>
              <w:tab w:pos="926" w:val="left" w:leader="none"/>
              <w:tab w:pos="8661" w:val="right" w:leader="dot"/>
            </w:tabs>
            <w:spacing w:line="240" w:lineRule="auto" w:before="126" w:after="0"/>
            <w:ind w:left="925" w:right="0" w:hanging="331"/>
            <w:jc w:val="left"/>
          </w:pPr>
          <w:hyperlink w:history="true" w:anchor="_bookmark64">
            <w:r>
              <w:rPr/>
              <w:t>Monitorización del</w:t>
            </w:r>
            <w:r>
              <w:rPr>
                <w:spacing w:val="-1"/>
              </w:rPr>
              <w:t> </w:t>
            </w:r>
            <w:r>
              <w:rPr/>
              <w:t>Gasto</w:t>
            </w:r>
            <w:r>
              <w:rPr>
                <w:spacing w:val="-4"/>
              </w:rPr>
              <w:t> </w:t>
            </w:r>
            <w:r>
              <w:rPr/>
              <w:t>Cardiaco</w:t>
              <w:tab/>
              <w:t>42</w:t>
            </w:r>
          </w:hyperlink>
        </w:p>
        <w:p>
          <w:pPr>
            <w:pStyle w:val="TOC3"/>
            <w:numPr>
              <w:ilvl w:val="2"/>
              <w:numId w:val="1"/>
            </w:numPr>
            <w:tabs>
              <w:tab w:pos="1094" w:val="left" w:leader="none"/>
              <w:tab w:pos="8661" w:val="right" w:leader="dot"/>
            </w:tabs>
            <w:spacing w:line="240" w:lineRule="auto" w:before="126" w:after="0"/>
            <w:ind w:left="1093" w:right="0" w:hanging="499"/>
            <w:jc w:val="left"/>
          </w:pPr>
          <w:hyperlink w:history="true" w:anchor="_bookmark74">
            <w:r>
              <w:rPr/>
              <w:t>Cálculos y Mediciones de los</w:t>
            </w:r>
            <w:r>
              <w:rPr>
                <w:spacing w:val="-1"/>
              </w:rPr>
              <w:t> </w:t>
            </w:r>
            <w:r>
              <w:rPr/>
              <w:t>Parámetros</w:t>
            </w:r>
            <w:r>
              <w:rPr>
                <w:spacing w:val="1"/>
              </w:rPr>
              <w:t> </w:t>
            </w:r>
            <w:r>
              <w:rPr/>
              <w:t>Cardiovasculares</w:t>
              <w:tab/>
              <w:t>49</w:t>
            </w:r>
          </w:hyperlink>
        </w:p>
        <w:p>
          <w:pPr>
            <w:pStyle w:val="TOC2"/>
            <w:numPr>
              <w:ilvl w:val="1"/>
              <w:numId w:val="1"/>
            </w:numPr>
            <w:tabs>
              <w:tab w:pos="710" w:val="left" w:leader="none"/>
              <w:tab w:pos="8661" w:val="right" w:leader="dot"/>
            </w:tabs>
            <w:spacing w:line="240" w:lineRule="auto" w:before="126" w:after="0"/>
            <w:ind w:left="709" w:right="0" w:hanging="336"/>
            <w:jc w:val="left"/>
          </w:pPr>
          <w:hyperlink w:history="true" w:anchor="_bookmark75">
            <w:r>
              <w:rPr/>
              <w:t>Grupos</w:t>
            </w:r>
            <w:r>
              <w:rPr>
                <w:spacing w:val="1"/>
              </w:rPr>
              <w:t> </w:t>
            </w:r>
            <w:r>
              <w:rPr>
                <w:spacing w:val="-3"/>
              </w:rPr>
              <w:t>de</w:t>
            </w:r>
            <w:r>
              <w:rPr>
                <w:spacing w:val="-6"/>
              </w:rPr>
              <w:t> </w:t>
            </w:r>
            <w:r>
              <w:rPr/>
              <w:t>Experimentación</w:t>
              <w:tab/>
              <w:t>50</w:t>
            </w:r>
          </w:hyperlink>
        </w:p>
        <w:p>
          <w:pPr>
            <w:pStyle w:val="TOC2"/>
            <w:numPr>
              <w:ilvl w:val="1"/>
              <w:numId w:val="1"/>
            </w:numPr>
            <w:tabs>
              <w:tab w:pos="710" w:val="left" w:leader="none"/>
              <w:tab w:pos="8661" w:val="right" w:leader="dot"/>
            </w:tabs>
            <w:spacing w:line="240" w:lineRule="auto" w:before="127" w:after="0"/>
            <w:ind w:left="709" w:right="0" w:hanging="336"/>
            <w:jc w:val="left"/>
          </w:pPr>
          <w:hyperlink w:history="true" w:anchor="_bookmark76">
            <w:r>
              <w:rPr>
                <w:spacing w:val="-3"/>
              </w:rPr>
              <w:t>Análisis</w:t>
            </w:r>
            <w:r>
              <w:rPr>
                <w:spacing w:val="2"/>
              </w:rPr>
              <w:t> </w:t>
            </w:r>
            <w:r>
              <w:rPr/>
              <w:t>Estadístico</w:t>
              <w:tab/>
              <w:t>52</w:t>
            </w:r>
          </w:hyperlink>
        </w:p>
        <w:p>
          <w:pPr>
            <w:pStyle w:val="TOC1"/>
            <w:tabs>
              <w:tab w:pos="8661" w:val="right" w:leader="dot"/>
            </w:tabs>
            <w:rPr>
              <w:i/>
            </w:rPr>
          </w:pPr>
          <w:hyperlink w:history="true" w:anchor="_bookmark77">
            <w:r>
              <w:rPr>
                <w:i/>
              </w:rPr>
              <w:t>CAPITULO </w:t>
            </w:r>
            <w:r>
              <w:rPr>
                <w:i/>
                <w:spacing w:val="-3"/>
              </w:rPr>
              <w:t>VII</w:t>
              <w:tab/>
            </w:r>
            <w:r>
              <w:rPr>
                <w:i/>
              </w:rPr>
              <w:t>53</w:t>
            </w:r>
          </w:hyperlink>
        </w:p>
        <w:p>
          <w:pPr>
            <w:pStyle w:val="TOC2"/>
            <w:numPr>
              <w:ilvl w:val="0"/>
              <w:numId w:val="1"/>
            </w:numPr>
            <w:tabs>
              <w:tab w:pos="595" w:val="left" w:leader="none"/>
              <w:tab w:pos="8661" w:val="right" w:leader="dot"/>
            </w:tabs>
            <w:spacing w:line="240" w:lineRule="auto" w:before="121" w:after="0"/>
            <w:ind w:left="594" w:right="0" w:hanging="221"/>
            <w:jc w:val="left"/>
          </w:pPr>
          <w:hyperlink w:history="true" w:anchor="_bookmark78">
            <w:r>
              <w:rPr/>
              <w:t>Resultados</w:t>
              <w:tab/>
              <w:t>53</w:t>
            </w:r>
          </w:hyperlink>
        </w:p>
        <w:p>
          <w:pPr>
            <w:pStyle w:val="TOC2"/>
            <w:numPr>
              <w:ilvl w:val="1"/>
              <w:numId w:val="1"/>
            </w:numPr>
            <w:tabs>
              <w:tab w:pos="710" w:val="left" w:leader="none"/>
              <w:tab w:pos="8661" w:val="right" w:leader="dot"/>
            </w:tabs>
            <w:spacing w:line="240" w:lineRule="auto" w:before="126" w:after="0"/>
            <w:ind w:left="709" w:right="0" w:hanging="336"/>
            <w:jc w:val="left"/>
          </w:pPr>
          <w:hyperlink w:history="true" w:anchor="_bookmark79">
            <w:r>
              <w:rPr/>
              <w:t>Artículo Científico</w:t>
            </w:r>
            <w:r>
              <w:rPr>
                <w:spacing w:val="-2"/>
              </w:rPr>
              <w:t> </w:t>
            </w:r>
            <w:r>
              <w:rPr/>
              <w:t>número</w:t>
            </w:r>
            <w:r>
              <w:rPr>
                <w:spacing w:val="-4"/>
              </w:rPr>
              <w:t> </w:t>
            </w:r>
            <w:r>
              <w:rPr/>
              <w:t>1</w:t>
              <w:tab/>
              <w:t>53</w:t>
            </w:r>
          </w:hyperlink>
        </w:p>
        <w:p>
          <w:pPr>
            <w:pStyle w:val="TOC2"/>
            <w:numPr>
              <w:ilvl w:val="1"/>
              <w:numId w:val="1"/>
            </w:numPr>
            <w:tabs>
              <w:tab w:pos="710" w:val="left" w:leader="none"/>
              <w:tab w:pos="8661" w:val="right" w:leader="dot"/>
            </w:tabs>
            <w:spacing w:line="240" w:lineRule="auto" w:before="126" w:after="0"/>
            <w:ind w:left="709" w:right="0" w:hanging="336"/>
            <w:jc w:val="left"/>
          </w:pPr>
          <w:hyperlink w:history="true" w:anchor="_bookmark80">
            <w:r>
              <w:rPr/>
              <w:t>Artículo científico 2. Correo</w:t>
            </w:r>
            <w:r>
              <w:rPr>
                <w:spacing w:val="-2"/>
              </w:rPr>
              <w:t> </w:t>
            </w:r>
            <w:r>
              <w:rPr/>
              <w:t>del</w:t>
            </w:r>
            <w:r>
              <w:rPr>
                <w:spacing w:val="2"/>
              </w:rPr>
              <w:t> </w:t>
            </w:r>
            <w:r>
              <w:rPr/>
              <w:t>editor</w:t>
              <w:tab/>
              <w:t>60</w:t>
            </w:r>
          </w:hyperlink>
        </w:p>
        <w:p>
          <w:pPr>
            <w:pStyle w:val="TOC1"/>
            <w:tabs>
              <w:tab w:pos="8661" w:val="right" w:leader="dot"/>
            </w:tabs>
            <w:spacing w:before="136"/>
            <w:rPr>
              <w:i/>
            </w:rPr>
          </w:pPr>
          <w:hyperlink w:history="true" w:anchor="_bookmark81">
            <w:r>
              <w:rPr>
                <w:i/>
              </w:rPr>
              <w:t>CAPITULO </w:t>
            </w:r>
            <w:r>
              <w:rPr>
                <w:i/>
                <w:spacing w:val="-3"/>
              </w:rPr>
              <w:t>VIII</w:t>
              <w:tab/>
            </w:r>
            <w:r>
              <w:rPr>
                <w:i/>
              </w:rPr>
              <w:t>79</w:t>
            </w:r>
          </w:hyperlink>
        </w:p>
        <w:p>
          <w:pPr>
            <w:pStyle w:val="TOC2"/>
            <w:numPr>
              <w:ilvl w:val="0"/>
              <w:numId w:val="1"/>
            </w:numPr>
            <w:tabs>
              <w:tab w:pos="599" w:val="left" w:leader="none"/>
              <w:tab w:pos="8661" w:val="right" w:leader="dot"/>
            </w:tabs>
            <w:spacing w:line="240" w:lineRule="auto" w:before="121" w:after="0"/>
            <w:ind w:left="599" w:right="0" w:hanging="226"/>
            <w:jc w:val="left"/>
          </w:pPr>
          <w:hyperlink w:history="true" w:anchor="_bookmark82">
            <w:r>
              <w:rPr/>
              <w:t>Discusión</w:t>
              <w:tab/>
              <w:t>79</w:t>
            </w:r>
          </w:hyperlink>
        </w:p>
        <w:p>
          <w:pPr>
            <w:pStyle w:val="TOC3"/>
            <w:numPr>
              <w:ilvl w:val="1"/>
              <w:numId w:val="1"/>
            </w:numPr>
            <w:tabs>
              <w:tab w:pos="931" w:val="left" w:leader="none"/>
              <w:tab w:pos="8661" w:val="right" w:leader="dot"/>
            </w:tabs>
            <w:spacing w:line="240" w:lineRule="auto" w:before="126" w:after="0"/>
            <w:ind w:left="930" w:right="0" w:hanging="336"/>
            <w:jc w:val="left"/>
          </w:pPr>
          <w:hyperlink w:history="true" w:anchor="_bookmark83">
            <w:r>
              <w:rPr>
                <w:spacing w:val="-3"/>
              </w:rPr>
              <w:t>Efectos</w:t>
            </w:r>
            <w:r>
              <w:rPr>
                <w:spacing w:val="2"/>
              </w:rPr>
              <w:t> </w:t>
            </w:r>
            <w:r>
              <w:rPr/>
              <w:t>cardiovasculares</w:t>
              <w:tab/>
              <w:t>79</w:t>
            </w:r>
          </w:hyperlink>
        </w:p>
        <w:p>
          <w:pPr>
            <w:pStyle w:val="TOC3"/>
            <w:numPr>
              <w:ilvl w:val="1"/>
              <w:numId w:val="1"/>
            </w:numPr>
            <w:tabs>
              <w:tab w:pos="931" w:val="left" w:leader="none"/>
              <w:tab w:pos="8661" w:val="right" w:leader="dot"/>
            </w:tabs>
            <w:spacing w:line="240" w:lineRule="auto" w:before="311" w:after="0"/>
            <w:ind w:left="930" w:right="0" w:hanging="336"/>
            <w:jc w:val="left"/>
          </w:pPr>
          <w:hyperlink w:history="true" w:anchor="_bookmark84">
            <w:r>
              <w:rPr/>
              <w:t>Gasto Cardiaco e</w:t>
            </w:r>
            <w:r>
              <w:rPr>
                <w:spacing w:val="-12"/>
              </w:rPr>
              <w:t> </w:t>
            </w:r>
            <w:r>
              <w:rPr/>
              <w:t>Índice</w:t>
            </w:r>
            <w:r>
              <w:rPr>
                <w:spacing w:val="-6"/>
              </w:rPr>
              <w:t> </w:t>
            </w:r>
            <w:r>
              <w:rPr/>
              <w:t>Cardiaco</w:t>
              <w:tab/>
              <w:t>79</w:t>
            </w:r>
          </w:hyperlink>
        </w:p>
        <w:p>
          <w:pPr>
            <w:pStyle w:val="TOC3"/>
            <w:numPr>
              <w:ilvl w:val="1"/>
              <w:numId w:val="1"/>
            </w:numPr>
            <w:tabs>
              <w:tab w:pos="926" w:val="left" w:leader="none"/>
              <w:tab w:pos="8661" w:val="right" w:leader="dot"/>
            </w:tabs>
            <w:spacing w:line="240" w:lineRule="auto" w:before="126" w:after="0"/>
            <w:ind w:left="925" w:right="0" w:hanging="331"/>
            <w:jc w:val="left"/>
          </w:pPr>
          <w:hyperlink w:history="true" w:anchor="_bookmark85">
            <w:r>
              <w:rPr/>
              <w:t>Presión de oclusión de la arteria</w:t>
            </w:r>
            <w:r>
              <w:rPr>
                <w:spacing w:val="1"/>
              </w:rPr>
              <w:t> </w:t>
            </w:r>
            <w:r>
              <w:rPr/>
              <w:t>pulmonar</w:t>
            </w:r>
            <w:r>
              <w:rPr>
                <w:spacing w:val="4"/>
              </w:rPr>
              <w:t> </w:t>
            </w:r>
            <w:r>
              <w:rPr/>
              <w:t>(PAOP)</w:t>
              <w:tab/>
              <w:t>81</w:t>
            </w:r>
          </w:hyperlink>
        </w:p>
        <w:p>
          <w:pPr>
            <w:pStyle w:val="TOC3"/>
            <w:numPr>
              <w:ilvl w:val="1"/>
              <w:numId w:val="1"/>
            </w:numPr>
            <w:tabs>
              <w:tab w:pos="926" w:val="left" w:leader="none"/>
              <w:tab w:pos="8661" w:val="right" w:leader="dot"/>
            </w:tabs>
            <w:spacing w:line="240" w:lineRule="auto" w:before="127" w:after="0"/>
            <w:ind w:left="925" w:right="0" w:hanging="331"/>
            <w:jc w:val="left"/>
          </w:pPr>
          <w:hyperlink w:history="true" w:anchor="_bookmark86">
            <w:r>
              <w:rPr/>
              <w:t>Frecuencia</w:t>
            </w:r>
            <w:r>
              <w:rPr>
                <w:spacing w:val="4"/>
              </w:rPr>
              <w:t> </w:t>
            </w:r>
            <w:r>
              <w:rPr/>
              <w:t>cardiaca</w:t>
              <w:tab/>
              <w:t>82</w:t>
            </w:r>
          </w:hyperlink>
        </w:p>
        <w:p>
          <w:pPr>
            <w:pStyle w:val="TOC3"/>
            <w:numPr>
              <w:ilvl w:val="1"/>
              <w:numId w:val="1"/>
            </w:numPr>
            <w:tabs>
              <w:tab w:pos="926" w:val="left" w:leader="none"/>
              <w:tab w:pos="8661" w:val="right" w:leader="dot"/>
            </w:tabs>
            <w:spacing w:line="240" w:lineRule="auto" w:before="126" w:after="0"/>
            <w:ind w:left="925" w:right="0" w:hanging="331"/>
            <w:jc w:val="left"/>
          </w:pPr>
          <w:hyperlink w:history="true" w:anchor="_bookmark87">
            <w:r>
              <w:rPr/>
              <w:t>Resistencia</w:t>
            </w:r>
            <w:r>
              <w:rPr>
                <w:spacing w:val="4"/>
              </w:rPr>
              <w:t> </w:t>
            </w:r>
            <w:r>
              <w:rPr/>
              <w:t>vascular</w:t>
            </w:r>
            <w:r>
              <w:rPr>
                <w:spacing w:val="4"/>
              </w:rPr>
              <w:t> </w:t>
            </w:r>
            <w:r>
              <w:rPr/>
              <w:t>sistémica</w:t>
              <w:tab/>
              <w:t>83</w:t>
            </w:r>
          </w:hyperlink>
        </w:p>
        <w:p>
          <w:pPr>
            <w:pStyle w:val="TOC3"/>
            <w:numPr>
              <w:ilvl w:val="1"/>
              <w:numId w:val="1"/>
            </w:numPr>
            <w:tabs>
              <w:tab w:pos="931" w:val="left" w:leader="none"/>
              <w:tab w:pos="8661" w:val="right" w:leader="dot"/>
            </w:tabs>
            <w:spacing w:line="240" w:lineRule="auto" w:before="125" w:after="0"/>
            <w:ind w:left="930" w:right="0" w:hanging="336"/>
            <w:jc w:val="left"/>
          </w:pPr>
          <w:hyperlink w:history="true" w:anchor="_bookmark88">
            <w:r>
              <w:rPr>
                <w:position w:val="2"/>
              </w:rPr>
              <w:t>Liberación de oxígeno a </w:t>
            </w:r>
            <w:r>
              <w:rPr>
                <w:spacing w:val="-3"/>
                <w:position w:val="2"/>
              </w:rPr>
              <w:t>los </w:t>
            </w:r>
            <w:r>
              <w:rPr>
                <w:position w:val="2"/>
              </w:rPr>
              <w:t>tejidos DO</w:t>
            </w:r>
            <w:r>
              <w:rPr>
                <w:sz w:val="14"/>
              </w:rPr>
              <w:t>2</w:t>
            </w:r>
            <w:r>
              <w:rPr>
                <w:position w:val="2"/>
              </w:rPr>
              <w:t>/ Consumo de</w:t>
            </w:r>
            <w:r>
              <w:rPr>
                <w:spacing w:val="4"/>
                <w:position w:val="2"/>
              </w:rPr>
              <w:t> </w:t>
            </w:r>
            <w:r>
              <w:rPr>
                <w:position w:val="2"/>
              </w:rPr>
              <w:t>oxígeno</w:t>
            </w:r>
            <w:r>
              <w:rPr>
                <w:spacing w:val="-4"/>
                <w:position w:val="2"/>
              </w:rPr>
              <w:t> </w:t>
            </w:r>
            <w:r>
              <w:rPr>
                <w:position w:val="2"/>
              </w:rPr>
              <w:t>tisularVO</w:t>
            </w:r>
            <w:r>
              <w:rPr>
                <w:sz w:val="14"/>
              </w:rPr>
              <w:t>2</w:t>
            </w:r>
            <w:r>
              <w:rPr>
                <w:position w:val="2"/>
              </w:rPr>
              <w:tab/>
              <w:t>83</w:t>
            </w:r>
          </w:hyperlink>
        </w:p>
        <w:p>
          <w:pPr>
            <w:pStyle w:val="TOC2"/>
            <w:numPr>
              <w:ilvl w:val="1"/>
              <w:numId w:val="1"/>
            </w:numPr>
            <w:tabs>
              <w:tab w:pos="710" w:val="left" w:leader="none"/>
              <w:tab w:pos="8661" w:val="right" w:leader="dot"/>
            </w:tabs>
            <w:spacing w:line="240" w:lineRule="auto" w:before="124" w:after="0"/>
            <w:ind w:left="709" w:right="0" w:hanging="336"/>
            <w:jc w:val="left"/>
          </w:pPr>
          <w:hyperlink w:history="true" w:anchor="_bookmark89">
            <w:r>
              <w:rPr>
                <w:spacing w:val="-3"/>
              </w:rPr>
              <w:t>Efectos </w:t>
            </w:r>
            <w:r>
              <w:rPr/>
              <w:t>sobre la concentración alveolar</w:t>
            </w:r>
            <w:r>
              <w:rPr>
                <w:spacing w:val="7"/>
              </w:rPr>
              <w:t> </w:t>
            </w:r>
            <w:r>
              <w:rPr>
                <w:spacing w:val="-3"/>
              </w:rPr>
              <w:t>mínima</w:t>
            </w:r>
            <w:r>
              <w:rPr>
                <w:spacing w:val="5"/>
              </w:rPr>
              <w:t> </w:t>
            </w:r>
            <w:r>
              <w:rPr/>
              <w:t>(CAM)</w:t>
              <w:tab/>
              <w:t>84</w:t>
            </w:r>
          </w:hyperlink>
        </w:p>
        <w:p>
          <w:pPr>
            <w:pStyle w:val="TOC1"/>
            <w:tabs>
              <w:tab w:pos="8661" w:val="right" w:leader="dot"/>
            </w:tabs>
            <w:rPr>
              <w:i/>
            </w:rPr>
          </w:pPr>
          <w:hyperlink w:history="true" w:anchor="_bookmark90">
            <w:r>
              <w:rPr>
                <w:i/>
              </w:rPr>
              <w:t>CAPITULO</w:t>
            </w:r>
            <w:r>
              <w:rPr>
                <w:i/>
                <w:spacing w:val="-4"/>
              </w:rPr>
              <w:t> </w:t>
            </w:r>
            <w:r>
              <w:rPr>
                <w:i/>
              </w:rPr>
              <w:t>IX</w:t>
              <w:tab/>
              <w:t>88</w:t>
            </w:r>
          </w:hyperlink>
        </w:p>
        <w:p>
          <w:pPr>
            <w:pStyle w:val="TOC2"/>
            <w:numPr>
              <w:ilvl w:val="0"/>
              <w:numId w:val="1"/>
            </w:numPr>
            <w:tabs>
              <w:tab w:pos="595" w:val="left" w:leader="none"/>
              <w:tab w:pos="8661" w:val="right" w:leader="dot"/>
            </w:tabs>
            <w:spacing w:line="240" w:lineRule="auto" w:before="121" w:after="0"/>
            <w:ind w:left="594" w:right="0" w:hanging="221"/>
            <w:jc w:val="left"/>
          </w:pPr>
          <w:hyperlink w:history="true" w:anchor="_bookmark91">
            <w:r>
              <w:rPr/>
              <w:t>Conclusiones</w:t>
              <w:tab/>
              <w:t>88</w:t>
            </w:r>
          </w:hyperlink>
        </w:p>
        <w:p>
          <w:pPr>
            <w:pStyle w:val="TOC1"/>
            <w:tabs>
              <w:tab w:pos="8661" w:val="right" w:leader="dot"/>
            </w:tabs>
            <w:rPr>
              <w:i/>
            </w:rPr>
          </w:pPr>
          <w:hyperlink w:history="true" w:anchor="_bookmark92">
            <w:r>
              <w:rPr>
                <w:i/>
              </w:rPr>
              <w:t>CAPITULO</w:t>
            </w:r>
            <w:r>
              <w:rPr>
                <w:i/>
                <w:spacing w:val="-3"/>
              </w:rPr>
              <w:t> </w:t>
            </w:r>
            <w:r>
              <w:rPr>
                <w:i/>
              </w:rPr>
              <w:t>X</w:t>
              <w:tab/>
              <w:t>89</w:t>
            </w:r>
          </w:hyperlink>
        </w:p>
        <w:p>
          <w:pPr>
            <w:pStyle w:val="TOC2"/>
            <w:numPr>
              <w:ilvl w:val="0"/>
              <w:numId w:val="1"/>
            </w:numPr>
            <w:tabs>
              <w:tab w:pos="705" w:val="left" w:leader="none"/>
              <w:tab w:pos="8661" w:val="right" w:leader="dot"/>
            </w:tabs>
            <w:spacing w:line="240" w:lineRule="auto" w:before="121" w:after="0"/>
            <w:ind w:left="704" w:right="0" w:hanging="331"/>
            <w:jc w:val="left"/>
          </w:pPr>
          <w:hyperlink w:history="true" w:anchor="_bookmark93">
            <w:r>
              <w:rPr/>
              <w:t>Referencias</w:t>
            </w:r>
            <w:r>
              <w:rPr>
                <w:spacing w:val="1"/>
              </w:rPr>
              <w:t> </w:t>
            </w:r>
            <w:r>
              <w:rPr/>
              <w:t>Bibliográficas</w:t>
              <w:tab/>
              <w:t>89</w:t>
            </w:r>
          </w:hyperlink>
        </w:p>
      </w:sdtContent>
    </w:sdt>
    <w:p>
      <w:pPr>
        <w:spacing w:after="0" w:line="240" w:lineRule="auto"/>
        <w:jc w:val="left"/>
        <w:sectPr>
          <w:pgSz w:w="12240" w:h="15840"/>
          <w:pgMar w:header="0" w:footer="1651" w:top="1500" w:bottom="2007" w:left="1720" w:right="1420"/>
        </w:sectPr>
      </w:pPr>
    </w:p>
    <w:p>
      <w:pPr>
        <w:pStyle w:val="Heading2"/>
        <w:spacing w:before="305"/>
        <w:ind w:left="152" w:firstLine="0"/>
        <w:rPr>
          <w:rFonts w:ascii="Arial"/>
        </w:rPr>
      </w:pPr>
      <w:r>
        <w:rPr>
          <w:rFonts w:ascii="Arial"/>
        </w:rPr>
        <w:t>LISTA DE TABLAS</w:t>
      </w:r>
    </w:p>
    <w:p>
      <w:pPr>
        <w:tabs>
          <w:tab w:pos="8551" w:val="left" w:leader="dot"/>
        </w:tabs>
        <w:spacing w:before="469"/>
        <w:ind w:left="152" w:right="0" w:firstLine="0"/>
        <w:jc w:val="left"/>
        <w:rPr>
          <w:sz w:val="22"/>
        </w:rPr>
      </w:pPr>
      <w:r>
        <w:rPr>
          <w:sz w:val="22"/>
        </w:rPr>
        <w:t>Tabla </w:t>
      </w:r>
      <w:r>
        <w:rPr>
          <w:spacing w:val="-3"/>
          <w:sz w:val="22"/>
        </w:rPr>
        <w:t>1. </w:t>
      </w:r>
      <w:r>
        <w:rPr>
          <w:sz w:val="22"/>
        </w:rPr>
        <w:t>Evaluación de la</w:t>
      </w:r>
      <w:r>
        <w:rPr>
          <w:spacing w:val="2"/>
          <w:sz w:val="22"/>
        </w:rPr>
        <w:t> </w:t>
      </w:r>
      <w:r>
        <w:rPr>
          <w:sz w:val="22"/>
        </w:rPr>
        <w:t>Función</w:t>
      </w:r>
      <w:r>
        <w:rPr>
          <w:spacing w:val="-6"/>
          <w:sz w:val="22"/>
        </w:rPr>
        <w:t> </w:t>
      </w:r>
      <w:r>
        <w:rPr>
          <w:sz w:val="22"/>
        </w:rPr>
        <w:t>Cardiovascular</w:t>
        <w:tab/>
        <w:t>2</w:t>
      </w:r>
    </w:p>
    <w:p>
      <w:pPr>
        <w:spacing w:after="0"/>
        <w:jc w:val="left"/>
        <w:rPr>
          <w:sz w:val="22"/>
        </w:rPr>
        <w:sectPr>
          <w:footerReference w:type="default" r:id="rId7"/>
          <w:pgSz w:w="12240" w:h="15840"/>
          <w:pgMar w:footer="1591" w:header="0" w:top="1500" w:bottom="1780" w:left="1720" w:right="1420"/>
          <w:pgNumType w:start="1"/>
        </w:sectPr>
      </w:pPr>
    </w:p>
    <w:p>
      <w:pPr>
        <w:pStyle w:val="BodyText"/>
        <w:spacing w:before="310"/>
        <w:ind w:left="312"/>
        <w:rPr>
          <w:rFonts w:ascii="Arial"/>
        </w:rPr>
      </w:pPr>
      <w:r>
        <w:rPr>
          <w:rFonts w:ascii="Arial"/>
        </w:rPr>
        <w:t>LISTA DE ABREVIATURAS</w:t>
      </w:r>
    </w:p>
    <w:p>
      <w:pPr>
        <w:pStyle w:val="BodyText"/>
        <w:rPr>
          <w:rFonts w:ascii="Arial"/>
          <w:sz w:val="20"/>
        </w:rPr>
      </w:pPr>
    </w:p>
    <w:p>
      <w:pPr>
        <w:pStyle w:val="BodyText"/>
        <w:spacing w:before="7"/>
        <w:rPr>
          <w:rFonts w:ascii="Arial"/>
          <w:sz w:val="23"/>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00"/>
        <w:gridCol w:w="4722"/>
      </w:tblGrid>
      <w:tr>
        <w:trPr>
          <w:trHeight w:val="300" w:hRule="exact"/>
        </w:trPr>
        <w:tc>
          <w:tcPr>
            <w:tcW w:w="1000" w:type="dxa"/>
          </w:tcPr>
          <w:p>
            <w:pPr>
              <w:pStyle w:val="TableParagraph"/>
              <w:spacing w:line="225" w:lineRule="exact" w:before="0"/>
              <w:ind w:right="315"/>
              <w:rPr>
                <w:b/>
                <w:sz w:val="22"/>
              </w:rPr>
            </w:pPr>
            <w:r>
              <w:rPr>
                <w:b/>
                <w:sz w:val="22"/>
              </w:rPr>
              <w:t>LID</w:t>
            </w:r>
          </w:p>
        </w:tc>
        <w:tc>
          <w:tcPr>
            <w:tcW w:w="4722" w:type="dxa"/>
          </w:tcPr>
          <w:p>
            <w:pPr>
              <w:pStyle w:val="TableParagraph"/>
              <w:spacing w:line="225" w:lineRule="exact" w:before="0"/>
              <w:ind w:left="106" w:right="2695"/>
              <w:rPr>
                <w:b/>
                <w:sz w:val="22"/>
              </w:rPr>
            </w:pPr>
            <w:r>
              <w:rPr>
                <w:b/>
                <w:sz w:val="22"/>
              </w:rPr>
              <w:t>Lidocaína</w:t>
            </w:r>
          </w:p>
        </w:tc>
      </w:tr>
      <w:tr>
        <w:trPr>
          <w:trHeight w:val="758" w:hRule="exact"/>
        </w:trPr>
        <w:tc>
          <w:tcPr>
            <w:tcW w:w="1000" w:type="dxa"/>
          </w:tcPr>
          <w:p>
            <w:pPr>
              <w:pStyle w:val="TableParagraph"/>
              <w:spacing w:line="360" w:lineRule="auto"/>
              <w:ind w:right="315"/>
              <w:rPr>
                <w:b/>
                <w:sz w:val="22"/>
              </w:rPr>
            </w:pPr>
            <w:r>
              <w:rPr>
                <w:b/>
                <w:sz w:val="22"/>
              </w:rPr>
              <w:t>DEX FC</w:t>
            </w:r>
          </w:p>
        </w:tc>
        <w:tc>
          <w:tcPr>
            <w:tcW w:w="4722" w:type="dxa"/>
          </w:tcPr>
          <w:p>
            <w:pPr>
              <w:pStyle w:val="TableParagraph"/>
              <w:spacing w:line="360" w:lineRule="auto"/>
              <w:ind w:left="106" w:right="2695"/>
              <w:rPr>
                <w:b/>
                <w:sz w:val="22"/>
              </w:rPr>
            </w:pPr>
            <w:r>
              <w:rPr>
                <w:b/>
                <w:sz w:val="22"/>
              </w:rPr>
              <w:t>Dexmedetomidina Frecuencia cardiaca</w:t>
            </w:r>
          </w:p>
        </w:tc>
      </w:tr>
      <w:tr>
        <w:trPr>
          <w:trHeight w:val="379" w:hRule="exact"/>
        </w:trPr>
        <w:tc>
          <w:tcPr>
            <w:tcW w:w="1000" w:type="dxa"/>
          </w:tcPr>
          <w:p>
            <w:pPr>
              <w:pStyle w:val="TableParagraph"/>
              <w:ind w:right="315"/>
              <w:rPr>
                <w:b/>
                <w:sz w:val="22"/>
              </w:rPr>
            </w:pPr>
            <w:r>
              <w:rPr>
                <w:b/>
                <w:sz w:val="22"/>
              </w:rPr>
              <w:t>IC</w:t>
            </w:r>
          </w:p>
        </w:tc>
        <w:tc>
          <w:tcPr>
            <w:tcW w:w="4722" w:type="dxa"/>
          </w:tcPr>
          <w:p>
            <w:pPr>
              <w:pStyle w:val="TableParagraph"/>
              <w:ind w:left="106" w:right="2695"/>
              <w:rPr>
                <w:b/>
                <w:sz w:val="22"/>
              </w:rPr>
            </w:pPr>
            <w:r>
              <w:rPr>
                <w:b/>
                <w:sz w:val="22"/>
              </w:rPr>
              <w:t>Infusión continua</w:t>
            </w:r>
          </w:p>
        </w:tc>
      </w:tr>
      <w:tr>
        <w:trPr>
          <w:trHeight w:val="379" w:hRule="exact"/>
        </w:trPr>
        <w:tc>
          <w:tcPr>
            <w:tcW w:w="1000" w:type="dxa"/>
          </w:tcPr>
          <w:p>
            <w:pPr>
              <w:pStyle w:val="TableParagraph"/>
              <w:ind w:right="315"/>
              <w:rPr>
                <w:b/>
                <w:sz w:val="22"/>
              </w:rPr>
            </w:pPr>
            <w:r>
              <w:rPr>
                <w:b/>
                <w:sz w:val="22"/>
              </w:rPr>
              <w:t>PA</w:t>
            </w:r>
          </w:p>
        </w:tc>
        <w:tc>
          <w:tcPr>
            <w:tcW w:w="4722" w:type="dxa"/>
          </w:tcPr>
          <w:p>
            <w:pPr>
              <w:pStyle w:val="TableParagraph"/>
              <w:ind w:left="106"/>
              <w:rPr>
                <w:b/>
                <w:sz w:val="22"/>
              </w:rPr>
            </w:pPr>
            <w:r>
              <w:rPr>
                <w:b/>
                <w:sz w:val="22"/>
              </w:rPr>
              <w:t>Presión arterial sistólica</w:t>
            </w:r>
          </w:p>
        </w:tc>
      </w:tr>
      <w:tr>
        <w:trPr>
          <w:trHeight w:val="379" w:hRule="exact"/>
        </w:trPr>
        <w:tc>
          <w:tcPr>
            <w:tcW w:w="1000" w:type="dxa"/>
          </w:tcPr>
          <w:p>
            <w:pPr>
              <w:pStyle w:val="TableParagraph"/>
              <w:rPr>
                <w:b/>
                <w:sz w:val="22"/>
              </w:rPr>
            </w:pPr>
            <w:r>
              <w:rPr>
                <w:b/>
                <w:sz w:val="22"/>
              </w:rPr>
              <w:t>PAD</w:t>
            </w:r>
          </w:p>
        </w:tc>
        <w:tc>
          <w:tcPr>
            <w:tcW w:w="4722" w:type="dxa"/>
          </w:tcPr>
          <w:p>
            <w:pPr>
              <w:pStyle w:val="TableParagraph"/>
              <w:ind w:left="106"/>
              <w:rPr>
                <w:b/>
                <w:sz w:val="22"/>
              </w:rPr>
            </w:pPr>
            <w:r>
              <w:rPr>
                <w:b/>
                <w:sz w:val="22"/>
              </w:rPr>
              <w:t>Presión arterial diastólica</w:t>
            </w:r>
          </w:p>
        </w:tc>
      </w:tr>
      <w:tr>
        <w:trPr>
          <w:trHeight w:val="379" w:hRule="exact"/>
        </w:trPr>
        <w:tc>
          <w:tcPr>
            <w:tcW w:w="1000" w:type="dxa"/>
          </w:tcPr>
          <w:p>
            <w:pPr>
              <w:pStyle w:val="TableParagraph"/>
              <w:rPr>
                <w:b/>
                <w:sz w:val="22"/>
              </w:rPr>
            </w:pPr>
            <w:r>
              <w:rPr>
                <w:b/>
                <w:sz w:val="22"/>
              </w:rPr>
              <w:t>PAM</w:t>
            </w:r>
          </w:p>
        </w:tc>
        <w:tc>
          <w:tcPr>
            <w:tcW w:w="4722" w:type="dxa"/>
          </w:tcPr>
          <w:p>
            <w:pPr>
              <w:pStyle w:val="TableParagraph"/>
              <w:ind w:left="106"/>
              <w:rPr>
                <w:b/>
                <w:sz w:val="22"/>
              </w:rPr>
            </w:pPr>
            <w:r>
              <w:rPr>
                <w:b/>
                <w:sz w:val="22"/>
              </w:rPr>
              <w:t>Presión arterial media</w:t>
            </w:r>
          </w:p>
        </w:tc>
      </w:tr>
      <w:tr>
        <w:trPr>
          <w:trHeight w:val="379" w:hRule="exact"/>
        </w:trPr>
        <w:tc>
          <w:tcPr>
            <w:tcW w:w="1000" w:type="dxa"/>
          </w:tcPr>
          <w:p>
            <w:pPr>
              <w:pStyle w:val="TableParagraph"/>
              <w:rPr>
                <w:b/>
                <w:sz w:val="22"/>
              </w:rPr>
            </w:pPr>
            <w:r>
              <w:rPr>
                <w:b/>
                <w:sz w:val="22"/>
              </w:rPr>
              <w:t>PVC</w:t>
            </w:r>
          </w:p>
        </w:tc>
        <w:tc>
          <w:tcPr>
            <w:tcW w:w="4722" w:type="dxa"/>
          </w:tcPr>
          <w:p>
            <w:pPr>
              <w:pStyle w:val="TableParagraph"/>
              <w:ind w:left="106"/>
              <w:rPr>
                <w:b/>
                <w:sz w:val="22"/>
              </w:rPr>
            </w:pPr>
            <w:r>
              <w:rPr>
                <w:b/>
                <w:sz w:val="22"/>
              </w:rPr>
              <w:t>Presión venosa central</w:t>
            </w:r>
          </w:p>
        </w:tc>
      </w:tr>
      <w:tr>
        <w:trPr>
          <w:trHeight w:val="382" w:hRule="exact"/>
        </w:trPr>
        <w:tc>
          <w:tcPr>
            <w:tcW w:w="1000" w:type="dxa"/>
          </w:tcPr>
          <w:p>
            <w:pPr>
              <w:pStyle w:val="TableParagraph"/>
              <w:rPr>
                <w:b/>
                <w:sz w:val="22"/>
              </w:rPr>
            </w:pPr>
            <w:r>
              <w:rPr>
                <w:b/>
                <w:sz w:val="22"/>
              </w:rPr>
              <w:t>POAP</w:t>
            </w:r>
          </w:p>
        </w:tc>
        <w:tc>
          <w:tcPr>
            <w:tcW w:w="4722" w:type="dxa"/>
          </w:tcPr>
          <w:p>
            <w:pPr>
              <w:pStyle w:val="TableParagraph"/>
              <w:ind w:left="106"/>
              <w:rPr>
                <w:b/>
                <w:sz w:val="22"/>
              </w:rPr>
            </w:pPr>
            <w:r>
              <w:rPr>
                <w:b/>
                <w:sz w:val="22"/>
              </w:rPr>
              <w:t>Presión de oclusión de la arteria pulmonar</w:t>
            </w:r>
          </w:p>
        </w:tc>
      </w:tr>
      <w:tr>
        <w:trPr>
          <w:trHeight w:val="382" w:hRule="exact"/>
        </w:trPr>
        <w:tc>
          <w:tcPr>
            <w:tcW w:w="1000" w:type="dxa"/>
          </w:tcPr>
          <w:p>
            <w:pPr>
              <w:pStyle w:val="TableParagraph"/>
              <w:spacing w:before="54"/>
              <w:ind w:right="315"/>
              <w:rPr>
                <w:b/>
                <w:sz w:val="22"/>
              </w:rPr>
            </w:pPr>
            <w:r>
              <w:rPr>
                <w:b/>
                <w:sz w:val="22"/>
              </w:rPr>
              <w:t>CI</w:t>
            </w:r>
          </w:p>
        </w:tc>
        <w:tc>
          <w:tcPr>
            <w:tcW w:w="4722" w:type="dxa"/>
          </w:tcPr>
          <w:p>
            <w:pPr>
              <w:pStyle w:val="TableParagraph"/>
              <w:spacing w:before="54"/>
              <w:ind w:left="106" w:right="2695"/>
              <w:rPr>
                <w:b/>
                <w:sz w:val="22"/>
              </w:rPr>
            </w:pPr>
            <w:r>
              <w:rPr>
                <w:b/>
                <w:sz w:val="22"/>
              </w:rPr>
              <w:t>Índice cardíaco</w:t>
            </w:r>
          </w:p>
        </w:tc>
      </w:tr>
      <w:tr>
        <w:trPr>
          <w:trHeight w:val="379" w:hRule="exact"/>
        </w:trPr>
        <w:tc>
          <w:tcPr>
            <w:tcW w:w="1000" w:type="dxa"/>
          </w:tcPr>
          <w:p>
            <w:pPr>
              <w:pStyle w:val="TableParagraph"/>
              <w:ind w:right="315"/>
              <w:rPr>
                <w:b/>
                <w:sz w:val="22"/>
              </w:rPr>
            </w:pPr>
            <w:r>
              <w:rPr>
                <w:b/>
                <w:sz w:val="22"/>
              </w:rPr>
              <w:t>GC</w:t>
            </w:r>
          </w:p>
        </w:tc>
        <w:tc>
          <w:tcPr>
            <w:tcW w:w="4722" w:type="dxa"/>
          </w:tcPr>
          <w:p>
            <w:pPr>
              <w:pStyle w:val="TableParagraph"/>
              <w:ind w:left="106" w:right="2695"/>
              <w:rPr>
                <w:b/>
                <w:sz w:val="22"/>
              </w:rPr>
            </w:pPr>
            <w:r>
              <w:rPr>
                <w:b/>
                <w:sz w:val="22"/>
              </w:rPr>
              <w:t>Gasto cardiaco</w:t>
            </w:r>
          </w:p>
        </w:tc>
      </w:tr>
      <w:tr>
        <w:trPr>
          <w:trHeight w:val="379" w:hRule="exact"/>
        </w:trPr>
        <w:tc>
          <w:tcPr>
            <w:tcW w:w="1000" w:type="dxa"/>
          </w:tcPr>
          <w:p>
            <w:pPr>
              <w:pStyle w:val="TableParagraph"/>
              <w:rPr>
                <w:b/>
                <w:sz w:val="22"/>
              </w:rPr>
            </w:pPr>
            <w:r>
              <w:rPr>
                <w:b/>
                <w:sz w:val="22"/>
              </w:rPr>
              <w:t>LVSW</w:t>
            </w:r>
          </w:p>
        </w:tc>
        <w:tc>
          <w:tcPr>
            <w:tcW w:w="4722" w:type="dxa"/>
          </w:tcPr>
          <w:p>
            <w:pPr>
              <w:pStyle w:val="TableParagraph"/>
              <w:ind w:left="106"/>
              <w:rPr>
                <w:b/>
                <w:sz w:val="22"/>
              </w:rPr>
            </w:pPr>
            <w:r>
              <w:rPr>
                <w:b/>
                <w:sz w:val="22"/>
              </w:rPr>
              <w:t>Trabajo sistólico del ventrículo izquierdo</w:t>
            </w:r>
          </w:p>
        </w:tc>
      </w:tr>
      <w:tr>
        <w:trPr>
          <w:trHeight w:val="379" w:hRule="exact"/>
        </w:trPr>
        <w:tc>
          <w:tcPr>
            <w:tcW w:w="1000" w:type="dxa"/>
          </w:tcPr>
          <w:p>
            <w:pPr>
              <w:pStyle w:val="TableParagraph"/>
              <w:rPr>
                <w:b/>
                <w:sz w:val="22"/>
              </w:rPr>
            </w:pPr>
            <w:r>
              <w:rPr>
                <w:b/>
                <w:sz w:val="22"/>
              </w:rPr>
              <w:t>IRVS</w:t>
            </w:r>
          </w:p>
        </w:tc>
        <w:tc>
          <w:tcPr>
            <w:tcW w:w="4722" w:type="dxa"/>
          </w:tcPr>
          <w:p>
            <w:pPr>
              <w:pStyle w:val="TableParagraph"/>
              <w:ind w:left="106"/>
              <w:rPr>
                <w:b/>
                <w:sz w:val="22"/>
              </w:rPr>
            </w:pPr>
            <w:r>
              <w:rPr>
                <w:b/>
                <w:sz w:val="22"/>
              </w:rPr>
              <w:t>Índice de resistencia vascular sistémica</w:t>
            </w:r>
          </w:p>
        </w:tc>
      </w:tr>
      <w:tr>
        <w:trPr>
          <w:trHeight w:val="379" w:hRule="exact"/>
        </w:trPr>
        <w:tc>
          <w:tcPr>
            <w:tcW w:w="1000" w:type="dxa"/>
          </w:tcPr>
          <w:p>
            <w:pPr>
              <w:pStyle w:val="TableParagraph"/>
              <w:ind w:right="315"/>
              <w:rPr>
                <w:b/>
                <w:sz w:val="22"/>
              </w:rPr>
            </w:pPr>
            <w:r>
              <w:rPr>
                <w:b/>
                <w:sz w:val="22"/>
              </w:rPr>
              <w:t>BAS</w:t>
            </w:r>
          </w:p>
        </w:tc>
        <w:tc>
          <w:tcPr>
            <w:tcW w:w="4722" w:type="dxa"/>
          </w:tcPr>
          <w:p>
            <w:pPr>
              <w:pStyle w:val="TableParagraph"/>
              <w:ind w:left="106" w:right="2695"/>
              <w:rPr>
                <w:b/>
                <w:sz w:val="22"/>
              </w:rPr>
            </w:pPr>
            <w:r>
              <w:rPr>
                <w:b/>
                <w:sz w:val="22"/>
              </w:rPr>
              <w:t>Basal</w:t>
            </w:r>
          </w:p>
        </w:tc>
      </w:tr>
      <w:tr>
        <w:trPr>
          <w:trHeight w:val="379" w:hRule="exact"/>
        </w:trPr>
        <w:tc>
          <w:tcPr>
            <w:tcW w:w="1000" w:type="dxa"/>
          </w:tcPr>
          <w:p>
            <w:pPr>
              <w:pStyle w:val="TableParagraph"/>
              <w:ind w:right="315"/>
              <w:rPr>
                <w:b/>
                <w:sz w:val="22"/>
              </w:rPr>
            </w:pPr>
            <w:r>
              <w:rPr>
                <w:b/>
                <w:sz w:val="22"/>
              </w:rPr>
              <w:t>SVI</w:t>
            </w:r>
          </w:p>
        </w:tc>
        <w:tc>
          <w:tcPr>
            <w:tcW w:w="4722" w:type="dxa"/>
          </w:tcPr>
          <w:p>
            <w:pPr>
              <w:pStyle w:val="TableParagraph"/>
              <w:ind w:left="106"/>
              <w:rPr>
                <w:b/>
                <w:sz w:val="22"/>
              </w:rPr>
            </w:pPr>
            <w:r>
              <w:rPr>
                <w:b/>
                <w:sz w:val="22"/>
              </w:rPr>
              <w:t>Índice del volumen sistólico</w:t>
            </w:r>
          </w:p>
        </w:tc>
      </w:tr>
      <w:tr>
        <w:trPr>
          <w:trHeight w:val="381" w:hRule="exact"/>
        </w:trPr>
        <w:tc>
          <w:tcPr>
            <w:tcW w:w="1000" w:type="dxa"/>
          </w:tcPr>
          <w:p>
            <w:pPr>
              <w:pStyle w:val="TableParagraph"/>
              <w:spacing w:before="50"/>
              <w:ind w:right="315"/>
              <w:rPr>
                <w:b/>
                <w:sz w:val="14"/>
              </w:rPr>
            </w:pPr>
            <w:r>
              <w:rPr>
                <w:b/>
                <w:position w:val="2"/>
                <w:sz w:val="22"/>
              </w:rPr>
              <w:t>DO</w:t>
            </w:r>
            <w:r>
              <w:rPr>
                <w:b/>
                <w:sz w:val="14"/>
              </w:rPr>
              <w:t>2</w:t>
            </w:r>
          </w:p>
        </w:tc>
        <w:tc>
          <w:tcPr>
            <w:tcW w:w="4722" w:type="dxa"/>
          </w:tcPr>
          <w:p>
            <w:pPr>
              <w:pStyle w:val="TableParagraph"/>
              <w:ind w:left="106"/>
              <w:rPr>
                <w:b/>
                <w:sz w:val="22"/>
              </w:rPr>
            </w:pPr>
            <w:r>
              <w:rPr>
                <w:b/>
                <w:sz w:val="22"/>
              </w:rPr>
              <w:t>Liberación de oxígeno hacia los tejidos</w:t>
            </w:r>
          </w:p>
        </w:tc>
      </w:tr>
      <w:tr>
        <w:trPr>
          <w:trHeight w:val="379" w:hRule="exact"/>
        </w:trPr>
        <w:tc>
          <w:tcPr>
            <w:tcW w:w="1000" w:type="dxa"/>
          </w:tcPr>
          <w:p>
            <w:pPr>
              <w:pStyle w:val="TableParagraph"/>
              <w:spacing w:before="49"/>
              <w:ind w:right="315"/>
              <w:rPr>
                <w:b/>
                <w:sz w:val="14"/>
              </w:rPr>
            </w:pPr>
            <w:r>
              <w:rPr>
                <w:b/>
                <w:position w:val="2"/>
                <w:sz w:val="22"/>
              </w:rPr>
              <w:t>VO</w:t>
            </w:r>
            <w:r>
              <w:rPr>
                <w:b/>
                <w:sz w:val="14"/>
              </w:rPr>
              <w:t>2</w:t>
            </w:r>
          </w:p>
        </w:tc>
        <w:tc>
          <w:tcPr>
            <w:tcW w:w="4722" w:type="dxa"/>
          </w:tcPr>
          <w:p>
            <w:pPr>
              <w:pStyle w:val="TableParagraph"/>
              <w:spacing w:before="50"/>
              <w:ind w:left="106"/>
              <w:rPr>
                <w:b/>
                <w:sz w:val="22"/>
              </w:rPr>
            </w:pPr>
            <w:r>
              <w:rPr>
                <w:b/>
                <w:sz w:val="22"/>
              </w:rPr>
              <w:t>Consumo máximo de oxígeno</w:t>
            </w:r>
          </w:p>
        </w:tc>
      </w:tr>
      <w:tr>
        <w:trPr>
          <w:trHeight w:val="378" w:hRule="exact"/>
        </w:trPr>
        <w:tc>
          <w:tcPr>
            <w:tcW w:w="1000" w:type="dxa"/>
          </w:tcPr>
          <w:p>
            <w:pPr>
              <w:pStyle w:val="TableParagraph"/>
              <w:spacing w:before="50"/>
              <w:ind w:right="315"/>
              <w:rPr>
                <w:b/>
                <w:sz w:val="22"/>
              </w:rPr>
            </w:pPr>
            <w:r>
              <w:rPr>
                <w:b/>
                <w:sz w:val="22"/>
              </w:rPr>
              <w:t>Ea</w:t>
            </w:r>
          </w:p>
        </w:tc>
        <w:tc>
          <w:tcPr>
            <w:tcW w:w="4722" w:type="dxa"/>
          </w:tcPr>
          <w:p>
            <w:pPr>
              <w:pStyle w:val="TableParagraph"/>
              <w:spacing w:before="50"/>
              <w:ind w:left="106"/>
              <w:rPr>
                <w:b/>
                <w:sz w:val="22"/>
              </w:rPr>
            </w:pPr>
            <w:r>
              <w:rPr>
                <w:b/>
                <w:sz w:val="22"/>
              </w:rPr>
              <w:t>Complianza arterial efectiva</w:t>
            </w:r>
          </w:p>
        </w:tc>
      </w:tr>
      <w:tr>
        <w:trPr>
          <w:trHeight w:val="379" w:hRule="exact"/>
        </w:trPr>
        <w:tc>
          <w:tcPr>
            <w:tcW w:w="1000" w:type="dxa"/>
          </w:tcPr>
          <w:p>
            <w:pPr>
              <w:pStyle w:val="TableParagraph"/>
              <w:ind w:right="315"/>
              <w:rPr>
                <w:b/>
                <w:sz w:val="22"/>
              </w:rPr>
            </w:pPr>
            <w:r>
              <w:rPr>
                <w:b/>
                <w:sz w:val="22"/>
              </w:rPr>
              <w:t>VS</w:t>
            </w:r>
          </w:p>
        </w:tc>
        <w:tc>
          <w:tcPr>
            <w:tcW w:w="4722" w:type="dxa"/>
          </w:tcPr>
          <w:p>
            <w:pPr>
              <w:pStyle w:val="TableParagraph"/>
              <w:ind w:left="106" w:right="2695"/>
              <w:rPr>
                <w:b/>
                <w:sz w:val="22"/>
              </w:rPr>
            </w:pPr>
            <w:r>
              <w:rPr>
                <w:b/>
                <w:sz w:val="22"/>
              </w:rPr>
              <w:t>Volumen sistólico</w:t>
            </w:r>
          </w:p>
        </w:tc>
      </w:tr>
      <w:tr>
        <w:trPr>
          <w:trHeight w:val="379" w:hRule="exact"/>
        </w:trPr>
        <w:tc>
          <w:tcPr>
            <w:tcW w:w="1000" w:type="dxa"/>
          </w:tcPr>
          <w:p>
            <w:pPr>
              <w:pStyle w:val="TableParagraph"/>
              <w:rPr>
                <w:b/>
                <w:sz w:val="22"/>
              </w:rPr>
            </w:pPr>
            <w:r>
              <w:rPr>
                <w:b/>
                <w:sz w:val="22"/>
              </w:rPr>
              <w:t>ECG</w:t>
            </w:r>
          </w:p>
        </w:tc>
        <w:tc>
          <w:tcPr>
            <w:tcW w:w="4722" w:type="dxa"/>
          </w:tcPr>
          <w:p>
            <w:pPr>
              <w:pStyle w:val="TableParagraph"/>
              <w:ind w:left="106"/>
              <w:rPr>
                <w:b/>
                <w:sz w:val="22"/>
              </w:rPr>
            </w:pPr>
            <w:r>
              <w:rPr>
                <w:b/>
                <w:sz w:val="22"/>
              </w:rPr>
              <w:t>Electrocardiograma</w:t>
            </w:r>
          </w:p>
        </w:tc>
      </w:tr>
      <w:tr>
        <w:trPr>
          <w:trHeight w:val="379" w:hRule="exact"/>
        </w:trPr>
        <w:tc>
          <w:tcPr>
            <w:tcW w:w="1000" w:type="dxa"/>
          </w:tcPr>
          <w:p>
            <w:pPr>
              <w:pStyle w:val="TableParagraph"/>
              <w:rPr>
                <w:b/>
                <w:sz w:val="22"/>
              </w:rPr>
            </w:pPr>
            <w:r>
              <w:rPr>
                <w:b/>
                <w:sz w:val="22"/>
              </w:rPr>
              <w:t>CAM</w:t>
            </w:r>
          </w:p>
        </w:tc>
        <w:tc>
          <w:tcPr>
            <w:tcW w:w="4722" w:type="dxa"/>
          </w:tcPr>
          <w:p>
            <w:pPr>
              <w:pStyle w:val="TableParagraph"/>
              <w:ind w:left="106"/>
              <w:rPr>
                <w:b/>
                <w:sz w:val="22"/>
              </w:rPr>
            </w:pPr>
            <w:r>
              <w:rPr>
                <w:b/>
                <w:sz w:val="22"/>
              </w:rPr>
              <w:t>Concentración alveolar mínima</w:t>
            </w:r>
          </w:p>
        </w:tc>
      </w:tr>
      <w:tr>
        <w:trPr>
          <w:trHeight w:val="380" w:hRule="exact"/>
        </w:trPr>
        <w:tc>
          <w:tcPr>
            <w:tcW w:w="1000" w:type="dxa"/>
          </w:tcPr>
          <w:p>
            <w:pPr>
              <w:pStyle w:val="TableParagraph"/>
              <w:ind w:right="315"/>
              <w:rPr>
                <w:b/>
                <w:sz w:val="22"/>
              </w:rPr>
            </w:pPr>
            <w:r>
              <w:rPr>
                <w:b/>
                <w:sz w:val="22"/>
              </w:rPr>
              <w:t>VI</w:t>
            </w:r>
          </w:p>
        </w:tc>
        <w:tc>
          <w:tcPr>
            <w:tcW w:w="4722" w:type="dxa"/>
          </w:tcPr>
          <w:p>
            <w:pPr>
              <w:pStyle w:val="TableParagraph"/>
              <w:ind w:left="106"/>
              <w:rPr>
                <w:b/>
                <w:sz w:val="22"/>
              </w:rPr>
            </w:pPr>
            <w:r>
              <w:rPr>
                <w:b/>
                <w:sz w:val="22"/>
              </w:rPr>
              <w:t>Ventrículo izquierdo</w:t>
            </w:r>
          </w:p>
        </w:tc>
      </w:tr>
      <w:tr>
        <w:trPr>
          <w:trHeight w:val="379" w:hRule="exact"/>
        </w:trPr>
        <w:tc>
          <w:tcPr>
            <w:tcW w:w="1000" w:type="dxa"/>
          </w:tcPr>
          <w:p>
            <w:pPr>
              <w:pStyle w:val="TableParagraph"/>
              <w:ind w:right="315"/>
              <w:rPr>
                <w:b/>
                <w:sz w:val="22"/>
              </w:rPr>
            </w:pPr>
            <w:r>
              <w:rPr>
                <w:b/>
                <w:sz w:val="22"/>
              </w:rPr>
              <w:t>PCP</w:t>
            </w:r>
          </w:p>
        </w:tc>
        <w:tc>
          <w:tcPr>
            <w:tcW w:w="4722" w:type="dxa"/>
          </w:tcPr>
          <w:p>
            <w:pPr>
              <w:pStyle w:val="TableParagraph"/>
              <w:ind w:left="106"/>
              <w:rPr>
                <w:b/>
                <w:sz w:val="22"/>
              </w:rPr>
            </w:pPr>
            <w:r>
              <w:rPr>
                <w:b/>
                <w:sz w:val="22"/>
              </w:rPr>
              <w:t>Presión capilar pulmonar</w:t>
            </w:r>
          </w:p>
        </w:tc>
      </w:tr>
      <w:tr>
        <w:trPr>
          <w:trHeight w:val="379" w:hRule="exact"/>
        </w:trPr>
        <w:tc>
          <w:tcPr>
            <w:tcW w:w="1000" w:type="dxa"/>
          </w:tcPr>
          <w:p>
            <w:pPr>
              <w:pStyle w:val="TableParagraph"/>
              <w:ind w:right="315"/>
              <w:rPr>
                <w:b/>
                <w:sz w:val="22"/>
              </w:rPr>
            </w:pPr>
            <w:r>
              <w:rPr>
                <w:b/>
                <w:sz w:val="22"/>
              </w:rPr>
              <w:t>SG</w:t>
            </w:r>
          </w:p>
        </w:tc>
        <w:tc>
          <w:tcPr>
            <w:tcW w:w="4722" w:type="dxa"/>
          </w:tcPr>
          <w:p>
            <w:pPr>
              <w:pStyle w:val="TableParagraph"/>
              <w:ind w:left="106" w:right="2695"/>
              <w:rPr>
                <w:b/>
                <w:sz w:val="22"/>
              </w:rPr>
            </w:pPr>
            <w:r>
              <w:rPr>
                <w:b/>
                <w:sz w:val="22"/>
              </w:rPr>
              <w:t>Swan-Ganz</w:t>
            </w:r>
          </w:p>
        </w:tc>
      </w:tr>
      <w:tr>
        <w:trPr>
          <w:trHeight w:val="379" w:hRule="exact"/>
        </w:trPr>
        <w:tc>
          <w:tcPr>
            <w:tcW w:w="1000" w:type="dxa"/>
          </w:tcPr>
          <w:p>
            <w:pPr>
              <w:pStyle w:val="TableParagraph"/>
              <w:rPr>
                <w:b/>
                <w:sz w:val="22"/>
              </w:rPr>
            </w:pPr>
            <w:r>
              <w:rPr>
                <w:b/>
                <w:sz w:val="22"/>
              </w:rPr>
              <w:t>CAP</w:t>
            </w:r>
          </w:p>
        </w:tc>
        <w:tc>
          <w:tcPr>
            <w:tcW w:w="4722" w:type="dxa"/>
          </w:tcPr>
          <w:p>
            <w:pPr>
              <w:pStyle w:val="TableParagraph"/>
              <w:ind w:left="106"/>
              <w:rPr>
                <w:b/>
                <w:sz w:val="22"/>
              </w:rPr>
            </w:pPr>
            <w:r>
              <w:rPr>
                <w:b/>
                <w:sz w:val="22"/>
              </w:rPr>
              <w:t>Catéter de la arteria pulmonar</w:t>
            </w:r>
          </w:p>
        </w:tc>
      </w:tr>
      <w:tr>
        <w:trPr>
          <w:trHeight w:val="379" w:hRule="exact"/>
        </w:trPr>
        <w:tc>
          <w:tcPr>
            <w:tcW w:w="1000" w:type="dxa"/>
          </w:tcPr>
          <w:p>
            <w:pPr>
              <w:pStyle w:val="TableParagraph"/>
              <w:rPr>
                <w:b/>
                <w:sz w:val="22"/>
              </w:rPr>
            </w:pPr>
            <w:r>
              <w:rPr>
                <w:b/>
                <w:sz w:val="22"/>
              </w:rPr>
              <w:t>NICO</w:t>
            </w:r>
          </w:p>
        </w:tc>
        <w:tc>
          <w:tcPr>
            <w:tcW w:w="4722" w:type="dxa"/>
          </w:tcPr>
          <w:p>
            <w:pPr>
              <w:pStyle w:val="TableParagraph"/>
              <w:ind w:left="106"/>
              <w:rPr>
                <w:b/>
                <w:sz w:val="22"/>
              </w:rPr>
            </w:pPr>
            <w:r>
              <w:rPr>
                <w:b/>
                <w:sz w:val="22"/>
              </w:rPr>
              <w:t>Non-invasive cardiac output</w:t>
            </w:r>
          </w:p>
        </w:tc>
      </w:tr>
      <w:tr>
        <w:trPr>
          <w:trHeight w:val="382" w:hRule="exact"/>
        </w:trPr>
        <w:tc>
          <w:tcPr>
            <w:tcW w:w="1000" w:type="dxa"/>
          </w:tcPr>
          <w:p>
            <w:pPr>
              <w:pStyle w:val="TableParagraph"/>
              <w:rPr>
                <w:b/>
                <w:sz w:val="22"/>
              </w:rPr>
            </w:pPr>
            <w:r>
              <w:rPr>
                <w:b/>
                <w:sz w:val="22"/>
              </w:rPr>
              <w:t>PiCCO</w:t>
            </w:r>
          </w:p>
        </w:tc>
        <w:tc>
          <w:tcPr>
            <w:tcW w:w="4722" w:type="dxa"/>
          </w:tcPr>
          <w:p>
            <w:pPr>
              <w:pStyle w:val="TableParagraph"/>
              <w:ind w:left="106"/>
              <w:rPr>
                <w:b/>
                <w:sz w:val="22"/>
              </w:rPr>
            </w:pPr>
            <w:r>
              <w:rPr>
                <w:b/>
                <w:sz w:val="22"/>
              </w:rPr>
              <w:t>Pulsed-induced contour cardiac output</w:t>
            </w:r>
          </w:p>
        </w:tc>
      </w:tr>
      <w:tr>
        <w:trPr>
          <w:trHeight w:val="383" w:hRule="exact"/>
        </w:trPr>
        <w:tc>
          <w:tcPr>
            <w:tcW w:w="1000" w:type="dxa"/>
          </w:tcPr>
          <w:p>
            <w:pPr>
              <w:pStyle w:val="TableParagraph"/>
              <w:spacing w:before="53"/>
              <w:ind w:right="315"/>
              <w:rPr>
                <w:b/>
                <w:sz w:val="14"/>
              </w:rPr>
            </w:pPr>
            <w:r>
              <w:rPr>
                <w:b/>
                <w:position w:val="2"/>
                <w:sz w:val="22"/>
              </w:rPr>
              <w:t>CO</w:t>
            </w:r>
            <w:r>
              <w:rPr>
                <w:b/>
                <w:sz w:val="14"/>
              </w:rPr>
              <w:t>2</w:t>
            </w:r>
          </w:p>
        </w:tc>
        <w:tc>
          <w:tcPr>
            <w:tcW w:w="4722" w:type="dxa"/>
          </w:tcPr>
          <w:p>
            <w:pPr>
              <w:pStyle w:val="TableParagraph"/>
              <w:spacing w:before="54"/>
              <w:ind w:left="106" w:right="2695"/>
              <w:rPr>
                <w:b/>
                <w:sz w:val="22"/>
              </w:rPr>
            </w:pPr>
            <w:r>
              <w:rPr>
                <w:b/>
                <w:sz w:val="22"/>
              </w:rPr>
              <w:t>Bióxido de carbon</w:t>
            </w:r>
          </w:p>
        </w:tc>
      </w:tr>
      <w:tr>
        <w:trPr>
          <w:trHeight w:val="302" w:hRule="exact"/>
        </w:trPr>
        <w:tc>
          <w:tcPr>
            <w:tcW w:w="1000" w:type="dxa"/>
          </w:tcPr>
          <w:p>
            <w:pPr>
              <w:pStyle w:val="TableParagraph"/>
              <w:spacing w:before="49"/>
              <w:rPr>
                <w:b/>
                <w:sz w:val="14"/>
              </w:rPr>
            </w:pPr>
            <w:r>
              <w:rPr>
                <w:b/>
                <w:position w:val="2"/>
                <w:sz w:val="22"/>
              </w:rPr>
              <w:t>ETCO</w:t>
            </w:r>
            <w:r>
              <w:rPr>
                <w:b/>
                <w:sz w:val="14"/>
              </w:rPr>
              <w:t>2</w:t>
            </w:r>
          </w:p>
        </w:tc>
        <w:tc>
          <w:tcPr>
            <w:tcW w:w="4722" w:type="dxa"/>
          </w:tcPr>
          <w:p>
            <w:pPr>
              <w:pStyle w:val="TableParagraph"/>
              <w:spacing w:before="50"/>
              <w:ind w:left="106"/>
              <w:rPr>
                <w:b/>
                <w:sz w:val="22"/>
              </w:rPr>
            </w:pPr>
            <w:r>
              <w:rPr>
                <w:b/>
                <w:sz w:val="22"/>
              </w:rPr>
              <w:t>Concentración espirada de bióxido de carbono.</w:t>
            </w:r>
          </w:p>
        </w:tc>
      </w:tr>
    </w:tbl>
    <w:p>
      <w:pPr>
        <w:spacing w:after="0"/>
        <w:rPr>
          <w:sz w:val="22"/>
        </w:rPr>
        <w:sectPr>
          <w:pgSz w:w="12240" w:h="15840"/>
          <w:pgMar w:header="0" w:footer="1591" w:top="1500" w:bottom="1840" w:left="1560" w:right="1420"/>
        </w:sectPr>
      </w:pPr>
    </w:p>
    <w:p>
      <w:pPr>
        <w:pStyle w:val="BodyText"/>
        <w:spacing w:before="10"/>
        <w:rPr>
          <w:sz w:val="29"/>
        </w:rPr>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94"/>
        <w:gridCol w:w="5880"/>
      </w:tblGrid>
      <w:tr>
        <w:trPr>
          <w:trHeight w:val="302" w:hRule="exact"/>
        </w:trPr>
        <w:tc>
          <w:tcPr>
            <w:tcW w:w="994" w:type="dxa"/>
          </w:tcPr>
          <w:p>
            <w:pPr>
              <w:pStyle w:val="TableParagraph"/>
              <w:spacing w:line="227" w:lineRule="exact" w:before="0"/>
              <w:rPr>
                <w:b/>
                <w:sz w:val="14"/>
              </w:rPr>
            </w:pPr>
            <w:r>
              <w:rPr>
                <w:b/>
                <w:position w:val="2"/>
                <w:sz w:val="22"/>
              </w:rPr>
              <w:t>SpO</w:t>
            </w:r>
            <w:r>
              <w:rPr>
                <w:b/>
                <w:sz w:val="14"/>
              </w:rPr>
              <w:t>2</w:t>
            </w:r>
          </w:p>
        </w:tc>
        <w:tc>
          <w:tcPr>
            <w:tcW w:w="5880" w:type="dxa"/>
          </w:tcPr>
          <w:p>
            <w:pPr>
              <w:pStyle w:val="TableParagraph"/>
              <w:spacing w:line="225" w:lineRule="exact" w:before="0"/>
              <w:ind w:left="113"/>
              <w:rPr>
                <w:b/>
                <w:sz w:val="22"/>
              </w:rPr>
            </w:pPr>
            <w:r>
              <w:rPr>
                <w:b/>
                <w:sz w:val="22"/>
              </w:rPr>
              <w:t>Saturación de hemoglobina al oxígeno detectada en el pulso</w:t>
            </w:r>
          </w:p>
        </w:tc>
      </w:tr>
      <w:tr>
        <w:trPr>
          <w:trHeight w:val="380" w:hRule="exact"/>
        </w:trPr>
        <w:tc>
          <w:tcPr>
            <w:tcW w:w="994" w:type="dxa"/>
          </w:tcPr>
          <w:p>
            <w:pPr>
              <w:pStyle w:val="TableParagraph"/>
              <w:spacing w:before="49"/>
              <w:rPr>
                <w:b/>
                <w:sz w:val="14"/>
              </w:rPr>
            </w:pPr>
            <w:r>
              <w:rPr>
                <w:b/>
                <w:position w:val="2"/>
                <w:sz w:val="22"/>
              </w:rPr>
              <w:t>FiO</w:t>
            </w:r>
            <w:r>
              <w:rPr>
                <w:b/>
                <w:sz w:val="14"/>
              </w:rPr>
              <w:t>2</w:t>
            </w:r>
          </w:p>
        </w:tc>
        <w:tc>
          <w:tcPr>
            <w:tcW w:w="5880" w:type="dxa"/>
          </w:tcPr>
          <w:p>
            <w:pPr>
              <w:pStyle w:val="TableParagraph"/>
              <w:spacing w:before="50"/>
              <w:ind w:left="113"/>
              <w:rPr>
                <w:b/>
                <w:sz w:val="22"/>
              </w:rPr>
            </w:pPr>
            <w:r>
              <w:rPr>
                <w:b/>
                <w:sz w:val="22"/>
              </w:rPr>
              <w:t>Fracción inspirada de oxígeno</w:t>
            </w:r>
          </w:p>
        </w:tc>
      </w:tr>
      <w:tr>
        <w:trPr>
          <w:trHeight w:val="378" w:hRule="exact"/>
        </w:trPr>
        <w:tc>
          <w:tcPr>
            <w:tcW w:w="994" w:type="dxa"/>
          </w:tcPr>
          <w:p>
            <w:pPr>
              <w:pStyle w:val="TableParagraph"/>
              <w:spacing w:before="50"/>
              <w:rPr>
                <w:b/>
                <w:sz w:val="22"/>
              </w:rPr>
            </w:pPr>
            <w:r>
              <w:rPr>
                <w:b/>
                <w:sz w:val="22"/>
              </w:rPr>
              <w:t>AP</w:t>
            </w:r>
          </w:p>
        </w:tc>
        <w:tc>
          <w:tcPr>
            <w:tcW w:w="5880" w:type="dxa"/>
          </w:tcPr>
          <w:p>
            <w:pPr>
              <w:pStyle w:val="TableParagraph"/>
              <w:spacing w:before="50"/>
              <w:ind w:left="113"/>
              <w:rPr>
                <w:b/>
                <w:sz w:val="22"/>
              </w:rPr>
            </w:pPr>
            <w:r>
              <w:rPr>
                <w:b/>
                <w:sz w:val="22"/>
              </w:rPr>
              <w:t>Aceleración pico</w:t>
            </w:r>
          </w:p>
        </w:tc>
      </w:tr>
      <w:tr>
        <w:trPr>
          <w:trHeight w:val="379" w:hRule="exact"/>
        </w:trPr>
        <w:tc>
          <w:tcPr>
            <w:tcW w:w="994" w:type="dxa"/>
          </w:tcPr>
          <w:p>
            <w:pPr>
              <w:pStyle w:val="TableParagraph"/>
              <w:rPr>
                <w:b/>
                <w:sz w:val="22"/>
              </w:rPr>
            </w:pPr>
            <w:r>
              <w:rPr>
                <w:b/>
                <w:sz w:val="22"/>
              </w:rPr>
              <w:t>VP</w:t>
            </w:r>
          </w:p>
        </w:tc>
        <w:tc>
          <w:tcPr>
            <w:tcW w:w="5880" w:type="dxa"/>
          </w:tcPr>
          <w:p>
            <w:pPr>
              <w:pStyle w:val="TableParagraph"/>
              <w:ind w:left="113"/>
              <w:rPr>
                <w:b/>
                <w:sz w:val="22"/>
              </w:rPr>
            </w:pPr>
            <w:r>
              <w:rPr>
                <w:b/>
                <w:sz w:val="22"/>
              </w:rPr>
              <w:t>Velocidad pico</w:t>
            </w:r>
          </w:p>
        </w:tc>
      </w:tr>
      <w:tr>
        <w:trPr>
          <w:trHeight w:val="379" w:hRule="exact"/>
        </w:trPr>
        <w:tc>
          <w:tcPr>
            <w:tcW w:w="994" w:type="dxa"/>
          </w:tcPr>
          <w:p>
            <w:pPr>
              <w:pStyle w:val="TableParagraph"/>
              <w:rPr>
                <w:b/>
                <w:sz w:val="22"/>
              </w:rPr>
            </w:pPr>
            <w:r>
              <w:rPr>
                <w:b/>
                <w:sz w:val="22"/>
              </w:rPr>
              <w:t>BSA</w:t>
            </w:r>
          </w:p>
        </w:tc>
        <w:tc>
          <w:tcPr>
            <w:tcW w:w="5880" w:type="dxa"/>
          </w:tcPr>
          <w:p>
            <w:pPr>
              <w:pStyle w:val="TableParagraph"/>
              <w:ind w:left="113"/>
              <w:rPr>
                <w:b/>
                <w:sz w:val="22"/>
              </w:rPr>
            </w:pPr>
            <w:r>
              <w:rPr>
                <w:b/>
                <w:sz w:val="22"/>
              </w:rPr>
              <w:t>Superficie corporal</w:t>
            </w:r>
          </w:p>
        </w:tc>
      </w:tr>
      <w:tr>
        <w:trPr>
          <w:trHeight w:val="381" w:hRule="exact"/>
        </w:trPr>
        <w:tc>
          <w:tcPr>
            <w:tcW w:w="994" w:type="dxa"/>
          </w:tcPr>
          <w:p>
            <w:pPr>
              <w:pStyle w:val="TableParagraph"/>
              <w:spacing w:before="50"/>
              <w:rPr>
                <w:b/>
                <w:sz w:val="14"/>
              </w:rPr>
            </w:pPr>
            <w:r>
              <w:rPr>
                <w:b/>
                <w:position w:val="2"/>
                <w:sz w:val="22"/>
              </w:rPr>
              <w:t>SVO</w:t>
            </w:r>
            <w:r>
              <w:rPr>
                <w:b/>
                <w:sz w:val="14"/>
              </w:rPr>
              <w:t>2</w:t>
            </w:r>
          </w:p>
        </w:tc>
        <w:tc>
          <w:tcPr>
            <w:tcW w:w="5880" w:type="dxa"/>
          </w:tcPr>
          <w:p>
            <w:pPr>
              <w:pStyle w:val="TableParagraph"/>
              <w:ind w:left="113"/>
              <w:rPr>
                <w:b/>
                <w:sz w:val="22"/>
              </w:rPr>
            </w:pPr>
            <w:r>
              <w:rPr>
                <w:b/>
                <w:sz w:val="22"/>
              </w:rPr>
              <w:t>Saturación venosa de oxígeno</w:t>
            </w:r>
          </w:p>
        </w:tc>
      </w:tr>
      <w:tr>
        <w:trPr>
          <w:trHeight w:val="378" w:hRule="exact"/>
        </w:trPr>
        <w:tc>
          <w:tcPr>
            <w:tcW w:w="994" w:type="dxa"/>
          </w:tcPr>
          <w:p>
            <w:pPr>
              <w:pStyle w:val="TableParagraph"/>
              <w:spacing w:before="50"/>
              <w:rPr>
                <w:b/>
                <w:sz w:val="22"/>
              </w:rPr>
            </w:pPr>
            <w:r>
              <w:rPr>
                <w:b/>
                <w:sz w:val="22"/>
              </w:rPr>
              <w:t>Hb</w:t>
            </w:r>
          </w:p>
        </w:tc>
        <w:tc>
          <w:tcPr>
            <w:tcW w:w="5880" w:type="dxa"/>
          </w:tcPr>
          <w:p>
            <w:pPr>
              <w:pStyle w:val="TableParagraph"/>
              <w:spacing w:before="50"/>
              <w:ind w:left="113"/>
              <w:rPr>
                <w:b/>
                <w:sz w:val="22"/>
              </w:rPr>
            </w:pPr>
            <w:r>
              <w:rPr>
                <w:b/>
                <w:sz w:val="22"/>
              </w:rPr>
              <w:t>Hemoglobina</w:t>
            </w:r>
          </w:p>
        </w:tc>
      </w:tr>
      <w:tr>
        <w:trPr>
          <w:trHeight w:val="381" w:hRule="exact"/>
        </w:trPr>
        <w:tc>
          <w:tcPr>
            <w:tcW w:w="994" w:type="dxa"/>
          </w:tcPr>
          <w:p>
            <w:pPr>
              <w:pStyle w:val="TableParagraph"/>
              <w:spacing w:before="50"/>
              <w:rPr>
                <w:b/>
                <w:sz w:val="14"/>
              </w:rPr>
            </w:pPr>
            <w:r>
              <w:rPr>
                <w:b/>
                <w:position w:val="2"/>
                <w:sz w:val="22"/>
              </w:rPr>
              <w:t>CaO</w:t>
            </w:r>
            <w:r>
              <w:rPr>
                <w:b/>
                <w:sz w:val="14"/>
              </w:rPr>
              <w:t>2</w:t>
            </w:r>
          </w:p>
        </w:tc>
        <w:tc>
          <w:tcPr>
            <w:tcW w:w="5880" w:type="dxa"/>
          </w:tcPr>
          <w:p>
            <w:pPr>
              <w:pStyle w:val="TableParagraph"/>
              <w:ind w:left="113"/>
              <w:rPr>
                <w:b/>
                <w:sz w:val="22"/>
              </w:rPr>
            </w:pPr>
            <w:r>
              <w:rPr>
                <w:b/>
                <w:sz w:val="22"/>
              </w:rPr>
              <w:t>Contenido arterial de oxígeno</w:t>
            </w:r>
          </w:p>
        </w:tc>
      </w:tr>
      <w:tr>
        <w:trPr>
          <w:trHeight w:val="378" w:hRule="exact"/>
        </w:trPr>
        <w:tc>
          <w:tcPr>
            <w:tcW w:w="994" w:type="dxa"/>
          </w:tcPr>
          <w:p>
            <w:pPr>
              <w:pStyle w:val="TableParagraph"/>
              <w:spacing w:before="50"/>
              <w:rPr>
                <w:b/>
                <w:sz w:val="22"/>
              </w:rPr>
            </w:pPr>
            <w:r>
              <w:rPr>
                <w:b/>
                <w:sz w:val="22"/>
              </w:rPr>
              <w:t>PEEP</w:t>
            </w:r>
          </w:p>
        </w:tc>
        <w:tc>
          <w:tcPr>
            <w:tcW w:w="5880" w:type="dxa"/>
          </w:tcPr>
          <w:p>
            <w:pPr>
              <w:pStyle w:val="TableParagraph"/>
              <w:spacing w:before="50"/>
              <w:ind w:left="113"/>
              <w:rPr>
                <w:b/>
                <w:sz w:val="22"/>
              </w:rPr>
            </w:pPr>
            <w:r>
              <w:rPr>
                <w:b/>
                <w:sz w:val="22"/>
              </w:rPr>
              <w:t>Presión teleespiratoria al final de la espiración</w:t>
            </w:r>
          </w:p>
        </w:tc>
      </w:tr>
      <w:tr>
        <w:trPr>
          <w:trHeight w:val="379" w:hRule="exact"/>
        </w:trPr>
        <w:tc>
          <w:tcPr>
            <w:tcW w:w="994" w:type="dxa"/>
          </w:tcPr>
          <w:p>
            <w:pPr>
              <w:pStyle w:val="TableParagraph"/>
              <w:rPr>
                <w:b/>
                <w:sz w:val="22"/>
              </w:rPr>
            </w:pPr>
            <w:r>
              <w:rPr>
                <w:b/>
                <w:sz w:val="22"/>
              </w:rPr>
              <w:t>PAI</w:t>
            </w:r>
          </w:p>
        </w:tc>
        <w:tc>
          <w:tcPr>
            <w:tcW w:w="5880" w:type="dxa"/>
          </w:tcPr>
          <w:p>
            <w:pPr>
              <w:pStyle w:val="TableParagraph"/>
              <w:ind w:left="113"/>
              <w:rPr>
                <w:b/>
                <w:sz w:val="22"/>
              </w:rPr>
            </w:pPr>
            <w:r>
              <w:rPr>
                <w:b/>
                <w:sz w:val="22"/>
              </w:rPr>
              <w:t>Presión de la aurícula izquierda</w:t>
            </w:r>
          </w:p>
        </w:tc>
      </w:tr>
      <w:tr>
        <w:trPr>
          <w:trHeight w:val="382" w:hRule="exact"/>
        </w:trPr>
        <w:tc>
          <w:tcPr>
            <w:tcW w:w="994" w:type="dxa"/>
          </w:tcPr>
          <w:p>
            <w:pPr>
              <w:pStyle w:val="TableParagraph"/>
              <w:rPr>
                <w:b/>
                <w:sz w:val="22"/>
              </w:rPr>
            </w:pPr>
            <w:r>
              <w:rPr>
                <w:b/>
                <w:sz w:val="22"/>
              </w:rPr>
              <w:t>PTDVI</w:t>
            </w:r>
          </w:p>
        </w:tc>
        <w:tc>
          <w:tcPr>
            <w:tcW w:w="5880" w:type="dxa"/>
          </w:tcPr>
          <w:p>
            <w:pPr>
              <w:pStyle w:val="TableParagraph"/>
              <w:ind w:left="113"/>
              <w:rPr>
                <w:b/>
                <w:sz w:val="22"/>
              </w:rPr>
            </w:pPr>
            <w:r>
              <w:rPr>
                <w:b/>
                <w:sz w:val="22"/>
              </w:rPr>
              <w:t>Presión telediastólica en el ventrículo izquierdo</w:t>
            </w:r>
          </w:p>
        </w:tc>
      </w:tr>
      <w:tr>
        <w:trPr>
          <w:trHeight w:val="382" w:hRule="exact"/>
        </w:trPr>
        <w:tc>
          <w:tcPr>
            <w:tcW w:w="994" w:type="dxa"/>
          </w:tcPr>
          <w:p>
            <w:pPr>
              <w:pStyle w:val="TableParagraph"/>
              <w:spacing w:before="54"/>
              <w:rPr>
                <w:b/>
                <w:sz w:val="22"/>
              </w:rPr>
            </w:pPr>
            <w:r>
              <w:rPr>
                <w:b/>
                <w:sz w:val="22"/>
              </w:rPr>
              <w:t>ITSVI</w:t>
            </w:r>
          </w:p>
        </w:tc>
        <w:tc>
          <w:tcPr>
            <w:tcW w:w="5880" w:type="dxa"/>
          </w:tcPr>
          <w:p>
            <w:pPr>
              <w:pStyle w:val="TableParagraph"/>
              <w:spacing w:before="54"/>
              <w:ind w:left="113"/>
              <w:rPr>
                <w:b/>
                <w:sz w:val="22"/>
              </w:rPr>
            </w:pPr>
            <w:r>
              <w:rPr>
                <w:b/>
                <w:sz w:val="22"/>
              </w:rPr>
              <w:t>Índice de trabajo sistólico en el ventrículo izquierdo</w:t>
            </w:r>
          </w:p>
        </w:tc>
      </w:tr>
      <w:tr>
        <w:trPr>
          <w:trHeight w:val="379" w:hRule="exact"/>
        </w:trPr>
        <w:tc>
          <w:tcPr>
            <w:tcW w:w="994" w:type="dxa"/>
          </w:tcPr>
          <w:p>
            <w:pPr>
              <w:pStyle w:val="TableParagraph"/>
              <w:rPr>
                <w:b/>
                <w:sz w:val="22"/>
              </w:rPr>
            </w:pPr>
            <w:r>
              <w:rPr>
                <w:b/>
                <w:sz w:val="22"/>
              </w:rPr>
              <w:t>ITSVD</w:t>
            </w:r>
          </w:p>
        </w:tc>
        <w:tc>
          <w:tcPr>
            <w:tcW w:w="5880" w:type="dxa"/>
          </w:tcPr>
          <w:p>
            <w:pPr>
              <w:pStyle w:val="TableParagraph"/>
              <w:ind w:left="113"/>
              <w:rPr>
                <w:b/>
                <w:sz w:val="22"/>
              </w:rPr>
            </w:pPr>
            <w:r>
              <w:rPr>
                <w:b/>
                <w:sz w:val="22"/>
              </w:rPr>
              <w:t>Índice de trabajo sistólico en el ventrículo derecho</w:t>
            </w:r>
          </w:p>
        </w:tc>
      </w:tr>
      <w:tr>
        <w:trPr>
          <w:trHeight w:val="379" w:hRule="exact"/>
        </w:trPr>
        <w:tc>
          <w:tcPr>
            <w:tcW w:w="994" w:type="dxa"/>
          </w:tcPr>
          <w:p>
            <w:pPr>
              <w:pStyle w:val="TableParagraph"/>
              <w:rPr>
                <w:b/>
                <w:sz w:val="22"/>
              </w:rPr>
            </w:pPr>
            <w:r>
              <w:rPr>
                <w:b/>
                <w:sz w:val="22"/>
              </w:rPr>
              <w:t>IRVP</w:t>
            </w:r>
          </w:p>
        </w:tc>
        <w:tc>
          <w:tcPr>
            <w:tcW w:w="5880" w:type="dxa"/>
          </w:tcPr>
          <w:p>
            <w:pPr>
              <w:pStyle w:val="TableParagraph"/>
              <w:ind w:left="113"/>
              <w:rPr>
                <w:b/>
                <w:sz w:val="22"/>
              </w:rPr>
            </w:pPr>
            <w:r>
              <w:rPr>
                <w:b/>
                <w:sz w:val="22"/>
              </w:rPr>
              <w:t>Índice de resistencia vascular pulmonar</w:t>
            </w:r>
          </w:p>
        </w:tc>
      </w:tr>
      <w:tr>
        <w:trPr>
          <w:trHeight w:val="379" w:hRule="exact"/>
        </w:trPr>
        <w:tc>
          <w:tcPr>
            <w:tcW w:w="994" w:type="dxa"/>
          </w:tcPr>
          <w:p>
            <w:pPr>
              <w:pStyle w:val="TableParagraph"/>
              <w:rPr>
                <w:b/>
                <w:sz w:val="22"/>
              </w:rPr>
            </w:pPr>
            <w:r>
              <w:rPr>
                <w:b/>
                <w:sz w:val="22"/>
              </w:rPr>
              <w:t>FAS</w:t>
            </w:r>
          </w:p>
        </w:tc>
        <w:tc>
          <w:tcPr>
            <w:tcW w:w="5880" w:type="dxa"/>
          </w:tcPr>
          <w:p>
            <w:pPr>
              <w:pStyle w:val="TableParagraph"/>
              <w:ind w:left="113"/>
              <w:rPr>
                <w:b/>
                <w:sz w:val="22"/>
              </w:rPr>
            </w:pPr>
            <w:r>
              <w:rPr>
                <w:b/>
                <w:sz w:val="22"/>
              </w:rPr>
              <w:t>Fosfatasa alcalina sérica</w:t>
            </w:r>
          </w:p>
        </w:tc>
      </w:tr>
      <w:tr>
        <w:trPr>
          <w:trHeight w:val="379" w:hRule="exact"/>
        </w:trPr>
        <w:tc>
          <w:tcPr>
            <w:tcW w:w="994" w:type="dxa"/>
          </w:tcPr>
          <w:p>
            <w:pPr>
              <w:pStyle w:val="TableParagraph"/>
              <w:rPr>
                <w:b/>
                <w:sz w:val="22"/>
              </w:rPr>
            </w:pPr>
            <w:r>
              <w:rPr>
                <w:b/>
                <w:sz w:val="22"/>
              </w:rPr>
              <w:t>AST</w:t>
            </w:r>
          </w:p>
        </w:tc>
        <w:tc>
          <w:tcPr>
            <w:tcW w:w="5880" w:type="dxa"/>
          </w:tcPr>
          <w:p>
            <w:pPr>
              <w:pStyle w:val="TableParagraph"/>
              <w:ind w:left="113"/>
              <w:rPr>
                <w:b/>
                <w:sz w:val="22"/>
              </w:rPr>
            </w:pPr>
            <w:r>
              <w:rPr>
                <w:b/>
                <w:sz w:val="22"/>
              </w:rPr>
              <w:t>Aspartato amino transferasa</w:t>
            </w:r>
          </w:p>
        </w:tc>
      </w:tr>
      <w:tr>
        <w:trPr>
          <w:trHeight w:val="379" w:hRule="exact"/>
        </w:trPr>
        <w:tc>
          <w:tcPr>
            <w:tcW w:w="994" w:type="dxa"/>
          </w:tcPr>
          <w:p>
            <w:pPr>
              <w:pStyle w:val="TableParagraph"/>
              <w:rPr>
                <w:b/>
                <w:sz w:val="22"/>
              </w:rPr>
            </w:pPr>
            <w:r>
              <w:rPr>
                <w:b/>
                <w:sz w:val="22"/>
              </w:rPr>
              <w:t>ALT</w:t>
            </w:r>
          </w:p>
        </w:tc>
        <w:tc>
          <w:tcPr>
            <w:tcW w:w="5880" w:type="dxa"/>
          </w:tcPr>
          <w:p>
            <w:pPr>
              <w:pStyle w:val="TableParagraph"/>
              <w:ind w:left="113"/>
              <w:rPr>
                <w:b/>
                <w:sz w:val="22"/>
              </w:rPr>
            </w:pPr>
            <w:r>
              <w:rPr>
                <w:b/>
                <w:sz w:val="22"/>
              </w:rPr>
              <w:t>Alanino amino transferasa</w:t>
            </w:r>
          </w:p>
        </w:tc>
      </w:tr>
      <w:tr>
        <w:trPr>
          <w:trHeight w:val="300" w:hRule="exact"/>
        </w:trPr>
        <w:tc>
          <w:tcPr>
            <w:tcW w:w="994" w:type="dxa"/>
          </w:tcPr>
          <w:p>
            <w:pPr>
              <w:pStyle w:val="TableParagraph"/>
              <w:rPr>
                <w:b/>
                <w:sz w:val="22"/>
              </w:rPr>
            </w:pPr>
            <w:r>
              <w:rPr>
                <w:b/>
                <w:sz w:val="22"/>
              </w:rPr>
              <w:t>GGT</w:t>
            </w:r>
          </w:p>
        </w:tc>
        <w:tc>
          <w:tcPr>
            <w:tcW w:w="5880" w:type="dxa"/>
          </w:tcPr>
          <w:p>
            <w:pPr>
              <w:pStyle w:val="TableParagraph"/>
              <w:ind w:left="113"/>
              <w:rPr>
                <w:b/>
                <w:sz w:val="22"/>
              </w:rPr>
            </w:pPr>
            <w:r>
              <w:rPr>
                <w:b/>
                <w:sz w:val="22"/>
              </w:rPr>
              <w:t>Gamma glutamil transpeptidasa</w:t>
            </w:r>
          </w:p>
        </w:tc>
      </w:tr>
    </w:tbl>
    <w:p>
      <w:pPr>
        <w:spacing w:after="0"/>
        <w:rPr>
          <w:sz w:val="22"/>
        </w:rPr>
        <w:sectPr>
          <w:pgSz w:w="12240" w:h="15840"/>
          <w:pgMar w:header="0" w:footer="1591" w:top="1500" w:bottom="1780" w:left="1560" w:right="1420"/>
        </w:sectPr>
      </w:pPr>
    </w:p>
    <w:p>
      <w:pPr>
        <w:pStyle w:val="BodyText"/>
        <w:spacing w:before="10"/>
        <w:rPr>
          <w:sz w:val="23"/>
        </w:rPr>
      </w:pPr>
    </w:p>
    <w:p>
      <w:pPr>
        <w:pStyle w:val="Heading2"/>
        <w:ind w:left="152" w:right="109" w:firstLine="0"/>
        <w:rPr>
          <w:rFonts w:ascii="Arial" w:hAnsi="Arial"/>
        </w:rPr>
      </w:pPr>
      <w:r>
        <w:rPr>
          <w:rFonts w:ascii="Arial" w:hAnsi="Arial"/>
        </w:rPr>
        <w:t>LISTA DE FIGURA E IMÁGENES</w:t>
      </w:r>
    </w:p>
    <w:p>
      <w:pPr>
        <w:tabs>
          <w:tab w:pos="9228" w:val="right" w:leader="dot"/>
        </w:tabs>
        <w:spacing w:before="468"/>
        <w:ind w:left="633" w:right="109" w:hanging="481"/>
        <w:jc w:val="left"/>
        <w:rPr>
          <w:sz w:val="20"/>
        </w:rPr>
      </w:pPr>
      <w:hyperlink w:history="true" w:anchor="_bookmark10">
        <w:r>
          <w:rPr>
            <w:sz w:val="20"/>
          </w:rPr>
          <w:t>FIGURA 1. C</w:t>
        </w:r>
        <w:r>
          <w:rPr>
            <w:sz w:val="16"/>
          </w:rPr>
          <w:t>ÁLCULO DE LA ELASTICIDAD ARTERIAL EFECTIVA </w:t>
        </w:r>
        <w:r>
          <w:rPr>
            <w:sz w:val="20"/>
          </w:rPr>
          <w:t>(E</w:t>
        </w:r>
        <w:r>
          <w:rPr>
            <w:sz w:val="16"/>
          </w:rPr>
          <w:t>A</w:t>
        </w:r>
        <w:r>
          <w:rPr>
            <w:sz w:val="20"/>
          </w:rPr>
          <w:t>) </w:t>
        </w:r>
        <w:r>
          <w:rPr>
            <w:sz w:val="16"/>
          </w:rPr>
          <w:t>A PARTIR DE LA PRESIÓN TELESISTÓLICA Y</w:t>
        </w:r>
      </w:hyperlink>
      <w:r>
        <w:rPr>
          <w:sz w:val="16"/>
        </w:rPr>
        <w:t> </w:t>
      </w:r>
      <w:hyperlink w:history="true" w:anchor="_bookmark10">
        <w:r>
          <w:rPr>
            <w:sz w:val="16"/>
          </w:rPr>
          <w:t>DEL VOLUMEN  SISTÓLICO</w:t>
        </w:r>
        <w:r>
          <w:rPr>
            <w:sz w:val="20"/>
          </w:rPr>
          <w:t>. U</w:t>
        </w:r>
        <w:r>
          <w:rPr>
            <w:sz w:val="16"/>
          </w:rPr>
          <w:t>NA  RECTA  QUE  PASA  POR  LOS  PUNTOS  TELESISTÓLICO  Y  TELEDIASTÓLICO</w:t>
        </w:r>
      </w:hyperlink>
      <w:r>
        <w:rPr>
          <w:sz w:val="16"/>
        </w:rPr>
        <w:t> </w:t>
      </w:r>
      <w:hyperlink w:history="true" w:anchor="_bookmark10">
        <w:r>
          <w:rPr>
            <w:sz w:val="16"/>
          </w:rPr>
          <w:t>DEL DIAGRAMA PRESIÓN VOLUMEN REPRESENTA</w:t>
        </w:r>
        <w:r>
          <w:rPr>
            <w:spacing w:val="-3"/>
            <w:sz w:val="16"/>
          </w:rPr>
          <w:t> </w:t>
        </w:r>
        <w:r>
          <w:rPr>
            <w:spacing w:val="3"/>
            <w:sz w:val="16"/>
          </w:rPr>
          <w:t>LA</w:t>
        </w:r>
        <w:r>
          <w:rPr>
            <w:spacing w:val="-7"/>
            <w:sz w:val="16"/>
          </w:rPr>
          <w:t> </w:t>
        </w:r>
        <w:r>
          <w:rPr>
            <w:spacing w:val="3"/>
            <w:sz w:val="20"/>
          </w:rPr>
          <w:t>E</w:t>
        </w:r>
        <w:r>
          <w:rPr>
            <w:spacing w:val="3"/>
            <w:sz w:val="16"/>
          </w:rPr>
          <w:t>A</w:t>
        </w:r>
        <w:r>
          <w:rPr>
            <w:spacing w:val="3"/>
            <w:sz w:val="20"/>
          </w:rPr>
          <w:tab/>
        </w:r>
        <w:r>
          <w:rPr>
            <w:sz w:val="20"/>
          </w:rPr>
          <w:t>8</w:t>
        </w:r>
      </w:hyperlink>
    </w:p>
    <w:p>
      <w:pPr>
        <w:spacing w:before="451"/>
        <w:ind w:left="633" w:right="349" w:hanging="481"/>
        <w:jc w:val="left"/>
        <w:rPr>
          <w:sz w:val="20"/>
        </w:rPr>
      </w:pPr>
      <w:hyperlink w:history="true" w:anchor="_bookmark12">
        <w:r>
          <w:rPr>
            <w:sz w:val="20"/>
          </w:rPr>
          <w:t>FIGURA 2.O</w:t>
        </w:r>
        <w:r>
          <w:rPr>
            <w:sz w:val="16"/>
          </w:rPr>
          <w:t>NDA NORMAL DE PRESIÓN ARTERIAL Y SU RELACIÓN CON LA ONDA </w:t>
        </w:r>
        <w:r>
          <w:rPr>
            <w:sz w:val="20"/>
          </w:rPr>
          <w:t>R </w:t>
        </w:r>
        <w:r>
          <w:rPr>
            <w:sz w:val="16"/>
          </w:rPr>
          <w:t>DEL</w:t>
        </w:r>
      </w:hyperlink>
      <w:r>
        <w:rPr>
          <w:sz w:val="16"/>
        </w:rPr>
        <w:t> </w:t>
      </w:r>
      <w:hyperlink w:history="true" w:anchor="_bookmark12">
        <w:r>
          <w:rPr>
            <w:sz w:val="16"/>
          </w:rPr>
          <w:t>ELECTROCARDIOGRAMA</w:t>
        </w:r>
        <w:r>
          <w:rPr>
            <w:sz w:val="20"/>
          </w:rPr>
          <w:t>, 1, </w:t>
        </w:r>
        <w:r>
          <w:rPr>
            <w:sz w:val="16"/>
          </w:rPr>
          <w:t>ASCENSO SISTÓLICO</w:t>
        </w:r>
        <w:r>
          <w:rPr>
            <w:sz w:val="20"/>
          </w:rPr>
          <w:t>; 2 </w:t>
        </w:r>
        <w:r>
          <w:rPr>
            <w:sz w:val="16"/>
          </w:rPr>
          <w:t>PICO SISTÓLICO DE PRESIÓN</w:t>
        </w:r>
        <w:r>
          <w:rPr>
            <w:sz w:val="20"/>
          </w:rPr>
          <w:t>; 3, </w:t>
        </w:r>
        <w:r>
          <w:rPr>
            <w:sz w:val="16"/>
          </w:rPr>
          <w:t>DESCENSO SISTÓLICO</w:t>
        </w:r>
        <w:r>
          <w:rPr>
            <w:sz w:val="20"/>
          </w:rPr>
          <w:t>;</w:t>
        </w:r>
      </w:hyperlink>
    </w:p>
    <w:p>
      <w:pPr>
        <w:tabs>
          <w:tab w:pos="9228" w:val="right" w:leader="dot"/>
        </w:tabs>
        <w:spacing w:before="0"/>
        <w:ind w:left="633" w:right="0" w:firstLine="0"/>
        <w:jc w:val="left"/>
        <w:rPr>
          <w:sz w:val="20"/>
        </w:rPr>
      </w:pPr>
      <w:hyperlink w:history="true" w:anchor="_bookmark12">
        <w:r>
          <w:rPr>
            <w:sz w:val="20"/>
          </w:rPr>
          <w:t>4,</w:t>
        </w:r>
        <w:r>
          <w:rPr>
            <w:spacing w:val="-11"/>
            <w:sz w:val="20"/>
          </w:rPr>
          <w:t> </w:t>
        </w:r>
        <w:r>
          <w:rPr>
            <w:sz w:val="16"/>
          </w:rPr>
          <w:t>HENDIDURA</w:t>
        </w:r>
        <w:r>
          <w:rPr>
            <w:spacing w:val="-7"/>
            <w:sz w:val="16"/>
          </w:rPr>
          <w:t> </w:t>
        </w:r>
        <w:r>
          <w:rPr>
            <w:sz w:val="16"/>
          </w:rPr>
          <w:t>DÍCROTICA</w:t>
        </w:r>
        <w:r>
          <w:rPr>
            <w:sz w:val="20"/>
          </w:rPr>
          <w:t>;</w:t>
        </w:r>
        <w:r>
          <w:rPr>
            <w:spacing w:val="-11"/>
            <w:sz w:val="20"/>
          </w:rPr>
          <w:t> </w:t>
        </w:r>
        <w:r>
          <w:rPr>
            <w:sz w:val="20"/>
          </w:rPr>
          <w:t>5,</w:t>
        </w:r>
        <w:r>
          <w:rPr>
            <w:spacing w:val="-11"/>
            <w:sz w:val="20"/>
          </w:rPr>
          <w:t> </w:t>
        </w:r>
        <w:r>
          <w:rPr>
            <w:sz w:val="16"/>
          </w:rPr>
          <w:t>DESCENSO</w:t>
        </w:r>
        <w:r>
          <w:rPr>
            <w:spacing w:val="2"/>
            <w:sz w:val="16"/>
          </w:rPr>
          <w:t> </w:t>
        </w:r>
        <w:r>
          <w:rPr>
            <w:sz w:val="16"/>
          </w:rPr>
          <w:t>DIASTÓLICO</w:t>
        </w:r>
        <w:r>
          <w:rPr>
            <w:sz w:val="20"/>
          </w:rPr>
          <w:t>;</w:t>
        </w:r>
        <w:r>
          <w:rPr>
            <w:spacing w:val="-11"/>
            <w:sz w:val="20"/>
          </w:rPr>
          <w:t> </w:t>
        </w:r>
        <w:r>
          <w:rPr>
            <w:sz w:val="20"/>
          </w:rPr>
          <w:t>6,</w:t>
        </w:r>
        <w:r>
          <w:rPr>
            <w:spacing w:val="-11"/>
            <w:sz w:val="20"/>
          </w:rPr>
          <w:t> </w:t>
        </w:r>
        <w:r>
          <w:rPr>
            <w:sz w:val="16"/>
          </w:rPr>
          <w:t>PRESIÓN</w:t>
        </w:r>
        <w:r>
          <w:rPr>
            <w:spacing w:val="-3"/>
            <w:sz w:val="16"/>
          </w:rPr>
          <w:t> </w:t>
        </w:r>
        <w:r>
          <w:rPr>
            <w:sz w:val="16"/>
          </w:rPr>
          <w:t>TELEDIASTÓLICA</w:t>
        </w:r>
        <w:r>
          <w:rPr>
            <w:sz w:val="20"/>
          </w:rPr>
          <w:tab/>
          <w:t>10</w:t>
        </w:r>
      </w:hyperlink>
    </w:p>
    <w:p>
      <w:pPr>
        <w:spacing w:line="228" w:lineRule="exact" w:before="456"/>
        <w:ind w:left="152" w:right="109" w:firstLine="0"/>
        <w:jc w:val="left"/>
        <w:rPr>
          <w:sz w:val="16"/>
        </w:rPr>
      </w:pPr>
      <w:hyperlink w:history="true" w:anchor="_bookmark16">
        <w:r>
          <w:rPr>
            <w:sz w:val="20"/>
          </w:rPr>
          <w:t>FIGURA 3. L</w:t>
        </w:r>
        <w:r>
          <w:rPr>
            <w:sz w:val="16"/>
          </w:rPr>
          <w:t>AS MÚLTIPLES MEDICIONES DEL GASTO CARDÍACO Y LOS DATOS QUE DE ESTE SE DERIVAN</w:t>
        </w:r>
        <w:r>
          <w:rPr>
            <w:sz w:val="20"/>
          </w:rPr>
          <w:t>, </w:t>
        </w:r>
        <w:r>
          <w:rPr>
            <w:sz w:val="16"/>
          </w:rPr>
          <w:t>JUNTO</w:t>
        </w:r>
      </w:hyperlink>
    </w:p>
    <w:p>
      <w:pPr>
        <w:tabs>
          <w:tab w:pos="9228" w:val="right" w:leader="dot"/>
        </w:tabs>
        <w:spacing w:line="228" w:lineRule="exact" w:before="0"/>
        <w:ind w:left="633" w:right="0" w:firstLine="0"/>
        <w:jc w:val="left"/>
        <w:rPr>
          <w:sz w:val="20"/>
        </w:rPr>
      </w:pPr>
      <w:hyperlink w:history="true" w:anchor="_bookmark16">
        <w:r>
          <w:rPr>
            <w:sz w:val="16"/>
          </w:rPr>
          <w:t>A LAS PRESIONES DE LLENADO</w:t>
        </w:r>
        <w:r>
          <w:rPr>
            <w:sz w:val="20"/>
          </w:rPr>
          <w:t>, </w:t>
        </w:r>
        <w:r>
          <w:rPr>
            <w:sz w:val="16"/>
          </w:rPr>
          <w:t>HACEN POSIBLE CONSTRUIR LAS CURVAS DE</w:t>
        </w:r>
        <w:r>
          <w:rPr>
            <w:spacing w:val="-23"/>
            <w:sz w:val="16"/>
          </w:rPr>
          <w:t> </w:t>
        </w:r>
        <w:r>
          <w:rPr>
            <w:sz w:val="16"/>
          </w:rPr>
          <w:t>FUNCIÓN</w:t>
        </w:r>
        <w:r>
          <w:rPr>
            <w:spacing w:val="5"/>
            <w:sz w:val="16"/>
          </w:rPr>
          <w:t> </w:t>
        </w:r>
        <w:r>
          <w:rPr>
            <w:sz w:val="16"/>
          </w:rPr>
          <w:t>VENTRICULAR</w:t>
        </w:r>
        <w:r>
          <w:rPr>
            <w:sz w:val="20"/>
          </w:rPr>
          <w:tab/>
          <w:t>12</w:t>
        </w:r>
      </w:hyperlink>
    </w:p>
    <w:p>
      <w:pPr>
        <w:tabs>
          <w:tab w:pos="9228" w:val="right" w:leader="dot"/>
        </w:tabs>
        <w:spacing w:before="457"/>
        <w:ind w:left="633" w:right="109" w:hanging="481"/>
        <w:jc w:val="left"/>
        <w:rPr>
          <w:sz w:val="20"/>
        </w:rPr>
      </w:pPr>
      <w:hyperlink w:history="true" w:anchor="_bookmark23">
        <w:r>
          <w:rPr>
            <w:sz w:val="20"/>
          </w:rPr>
          <w:t>FIGURA 4. C</w:t>
        </w:r>
        <w:r>
          <w:rPr>
            <w:sz w:val="16"/>
          </w:rPr>
          <w:t>UANDO ENCLAVAMOS UN CATÉTER EN LA CIRCULACIÓN PULMONAR</w:t>
        </w:r>
        <w:r>
          <w:rPr>
            <w:sz w:val="20"/>
          </w:rPr>
          <w:t>, </w:t>
        </w:r>
        <w:r>
          <w:rPr>
            <w:sz w:val="16"/>
          </w:rPr>
          <w:t>OBTENEMOS UNA PRESIÓN</w:t>
        </w:r>
      </w:hyperlink>
      <w:r>
        <w:rPr>
          <w:sz w:val="16"/>
        </w:rPr>
        <w:t> </w:t>
      </w:r>
      <w:hyperlink w:history="true" w:anchor="_bookmark23">
        <w:r>
          <w:rPr>
            <w:sz w:val="16"/>
          </w:rPr>
          <w:t>DENOMINADA PRESIÓN CAPILAR PULMONAR </w:t>
        </w:r>
        <w:r>
          <w:rPr>
            <w:sz w:val="20"/>
          </w:rPr>
          <w:t>(PCP) P</w:t>
        </w:r>
        <w:r>
          <w:rPr>
            <w:sz w:val="16"/>
          </w:rPr>
          <w:t>RESIÓN EN LA ARTERIA</w:t>
        </w:r>
        <w:r>
          <w:rPr>
            <w:spacing w:val="-22"/>
            <w:sz w:val="16"/>
          </w:rPr>
          <w:t> </w:t>
        </w:r>
        <w:r>
          <w:rPr>
            <w:sz w:val="16"/>
          </w:rPr>
          <w:t>PULMONAR</w:t>
        </w:r>
        <w:r>
          <w:rPr>
            <w:spacing w:val="-2"/>
            <w:sz w:val="16"/>
          </w:rPr>
          <w:t> </w:t>
        </w:r>
        <w:r>
          <w:rPr>
            <w:sz w:val="20"/>
          </w:rPr>
          <w:t>(PAP)</w:t>
          <w:tab/>
          <w:t>21</w:t>
        </w:r>
      </w:hyperlink>
    </w:p>
    <w:p>
      <w:pPr>
        <w:tabs>
          <w:tab w:pos="9228" w:val="right" w:leader="dot"/>
        </w:tabs>
        <w:spacing w:before="451"/>
        <w:ind w:left="152" w:right="0" w:firstLine="0"/>
        <w:jc w:val="left"/>
        <w:rPr>
          <w:sz w:val="20"/>
        </w:rPr>
      </w:pPr>
      <w:hyperlink w:history="true" w:anchor="_bookmark24">
        <w:r>
          <w:rPr>
            <w:sz w:val="20"/>
          </w:rPr>
          <w:t>FIGURA 5. E</w:t>
        </w:r>
        <w:r>
          <w:rPr>
            <w:sz w:val="16"/>
          </w:rPr>
          <w:t>NCLAVAMIENTO </w:t>
        </w:r>
        <w:r>
          <w:rPr>
            <w:spacing w:val="2"/>
            <w:sz w:val="16"/>
          </w:rPr>
          <w:t>DE </w:t>
        </w:r>
        <w:r>
          <w:rPr>
            <w:sz w:val="16"/>
          </w:rPr>
          <w:t>UN CATÉTER EN</w:t>
        </w:r>
        <w:r>
          <w:rPr>
            <w:spacing w:val="-24"/>
            <w:sz w:val="16"/>
          </w:rPr>
          <w:t> </w:t>
        </w:r>
        <w:r>
          <w:rPr>
            <w:sz w:val="16"/>
          </w:rPr>
          <w:t>LA</w:t>
        </w:r>
        <w:r>
          <w:rPr>
            <w:spacing w:val="-6"/>
            <w:sz w:val="16"/>
          </w:rPr>
          <w:t> </w:t>
        </w:r>
        <w:r>
          <w:rPr>
            <w:spacing w:val="3"/>
            <w:sz w:val="20"/>
          </w:rPr>
          <w:t>AP</w:t>
          <w:tab/>
        </w:r>
        <w:r>
          <w:rPr>
            <w:sz w:val="20"/>
          </w:rPr>
          <w:t>21</w:t>
        </w:r>
      </w:hyperlink>
    </w:p>
    <w:p>
      <w:pPr>
        <w:tabs>
          <w:tab w:pos="9228" w:val="right" w:leader="dot"/>
        </w:tabs>
        <w:spacing w:before="452"/>
        <w:ind w:left="633" w:right="109" w:hanging="481"/>
        <w:jc w:val="left"/>
        <w:rPr>
          <w:sz w:val="20"/>
        </w:rPr>
      </w:pPr>
      <w:hyperlink w:history="true" w:anchor="_bookmark28">
        <w:r>
          <w:rPr>
            <w:sz w:val="20"/>
          </w:rPr>
          <w:t>FIGURA 6. M</w:t>
        </w:r>
        <w:r>
          <w:rPr>
            <w:sz w:val="16"/>
          </w:rPr>
          <w:t>ONITOR SISTEMA </w:t>
        </w:r>
        <w:r>
          <w:rPr>
            <w:sz w:val="20"/>
          </w:rPr>
          <w:t>N</w:t>
        </w:r>
        <w:r>
          <w:rPr>
            <w:sz w:val="16"/>
          </w:rPr>
          <w:t>I</w:t>
        </w:r>
        <w:r>
          <w:rPr>
            <w:sz w:val="20"/>
          </w:rPr>
          <w:t>CO ® N</w:t>
        </w:r>
        <w:r>
          <w:rPr>
            <w:sz w:val="16"/>
          </w:rPr>
          <w:t>OVAMETRIX </w:t>
        </w:r>
        <w:r>
          <w:rPr>
            <w:sz w:val="20"/>
          </w:rPr>
          <w:t>N</w:t>
        </w:r>
        <w:r>
          <w:rPr>
            <w:sz w:val="16"/>
          </w:rPr>
          <w:t>ON</w:t>
        </w:r>
        <w:r>
          <w:rPr>
            <w:sz w:val="20"/>
          </w:rPr>
          <w:t>-I</w:t>
        </w:r>
        <w:r>
          <w:rPr>
            <w:sz w:val="16"/>
          </w:rPr>
          <w:t>NVASIVE </w:t>
        </w:r>
        <w:r>
          <w:rPr>
            <w:sz w:val="20"/>
          </w:rPr>
          <w:t>C</w:t>
        </w:r>
        <w:r>
          <w:rPr>
            <w:sz w:val="16"/>
          </w:rPr>
          <w:t>ARDIAC  </w:t>
        </w:r>
        <w:r>
          <w:rPr>
            <w:sz w:val="20"/>
          </w:rPr>
          <w:t>O</w:t>
        </w:r>
        <w:r>
          <w:rPr>
            <w:sz w:val="16"/>
          </w:rPr>
          <w:t>UTPUT  </w:t>
        </w:r>
        <w:r>
          <w:rPr>
            <w:sz w:val="20"/>
          </w:rPr>
          <w:t>M</w:t>
        </w:r>
        <w:r>
          <w:rPr>
            <w:sz w:val="16"/>
          </w:rPr>
          <w:t>ONITOR  </w:t>
        </w:r>
        <w:r>
          <w:rPr>
            <w:sz w:val="20"/>
          </w:rPr>
          <w:t>S</w:t>
        </w:r>
        <w:r>
          <w:rPr>
            <w:sz w:val="16"/>
          </w:rPr>
          <w:t>ET</w:t>
        </w:r>
        <w:r>
          <w:rPr>
            <w:sz w:val="20"/>
          </w:rPr>
          <w:t>,</w:t>
        </w:r>
      </w:hyperlink>
      <w:r>
        <w:rPr>
          <w:sz w:val="20"/>
        </w:rPr>
        <w:t> </w:t>
      </w:r>
      <w:hyperlink w:history="true" w:anchor="_bookmark28">
        <w:r>
          <w:rPr>
            <w:sz w:val="20"/>
          </w:rPr>
          <w:t>NICO2,</w:t>
        </w:r>
        <w:r>
          <w:rPr>
            <w:spacing w:val="-9"/>
            <w:sz w:val="20"/>
          </w:rPr>
          <w:t> </w:t>
        </w:r>
        <w:r>
          <w:rPr>
            <w:sz w:val="20"/>
          </w:rPr>
          <w:t>M</w:t>
        </w:r>
        <w:r>
          <w:rPr>
            <w:sz w:val="16"/>
          </w:rPr>
          <w:t>ODEL</w:t>
        </w:r>
        <w:r>
          <w:rPr>
            <w:spacing w:val="-2"/>
            <w:sz w:val="16"/>
          </w:rPr>
          <w:t> </w:t>
        </w:r>
        <w:r>
          <w:rPr>
            <w:sz w:val="20"/>
          </w:rPr>
          <w:t>7300.</w:t>
          <w:tab/>
          <w:t>23</w:t>
        </w:r>
      </w:hyperlink>
    </w:p>
    <w:p>
      <w:pPr>
        <w:tabs>
          <w:tab w:pos="9228" w:val="right" w:leader="dot"/>
        </w:tabs>
        <w:spacing w:before="451"/>
        <w:ind w:left="152" w:right="0" w:firstLine="0"/>
        <w:jc w:val="left"/>
        <w:rPr>
          <w:sz w:val="20"/>
        </w:rPr>
      </w:pPr>
      <w:hyperlink w:history="true" w:anchor="_bookmark30">
        <w:r>
          <w:rPr>
            <w:sz w:val="20"/>
          </w:rPr>
          <w:t>FIGURA</w:t>
        </w:r>
        <w:r>
          <w:rPr>
            <w:spacing w:val="-16"/>
            <w:sz w:val="20"/>
          </w:rPr>
          <w:t> </w:t>
        </w:r>
        <w:r>
          <w:rPr>
            <w:sz w:val="20"/>
          </w:rPr>
          <w:t>7.</w:t>
        </w:r>
        <w:r>
          <w:rPr>
            <w:spacing w:val="-12"/>
            <w:sz w:val="20"/>
          </w:rPr>
          <w:t> </w:t>
        </w:r>
        <w:r>
          <w:rPr>
            <w:sz w:val="20"/>
          </w:rPr>
          <w:t>M</w:t>
        </w:r>
        <w:r>
          <w:rPr>
            <w:sz w:val="16"/>
          </w:rPr>
          <w:t>ONITOR</w:t>
        </w:r>
        <w:r>
          <w:rPr>
            <w:spacing w:val="-4"/>
            <w:sz w:val="16"/>
          </w:rPr>
          <w:t> </w:t>
        </w:r>
        <w:r>
          <w:rPr>
            <w:sz w:val="16"/>
          </w:rPr>
          <w:t>HEMODINÁMICO</w:t>
        </w:r>
        <w:r>
          <w:rPr>
            <w:spacing w:val="-4"/>
            <w:sz w:val="16"/>
          </w:rPr>
          <w:t> </w:t>
        </w:r>
        <w:r>
          <w:rPr>
            <w:sz w:val="16"/>
          </w:rPr>
          <w:t>DE MEDICIÓN</w:t>
        </w:r>
        <w:r>
          <w:rPr>
            <w:spacing w:val="3"/>
            <w:sz w:val="16"/>
          </w:rPr>
          <w:t> </w:t>
        </w:r>
        <w:r>
          <w:rPr>
            <w:sz w:val="16"/>
          </w:rPr>
          <w:t>DEL</w:t>
        </w:r>
        <w:r>
          <w:rPr>
            <w:spacing w:val="-5"/>
            <w:sz w:val="16"/>
          </w:rPr>
          <w:t> </w:t>
        </w:r>
        <w:r>
          <w:rPr>
            <w:spacing w:val="2"/>
            <w:sz w:val="16"/>
          </w:rPr>
          <w:t>GASTO</w:t>
        </w:r>
        <w:r>
          <w:rPr>
            <w:spacing w:val="-4"/>
            <w:sz w:val="16"/>
          </w:rPr>
          <w:t> </w:t>
        </w:r>
        <w:r>
          <w:rPr>
            <w:sz w:val="16"/>
          </w:rPr>
          <w:t>CARDIACO</w:t>
        </w:r>
        <w:r>
          <w:rPr>
            <w:sz w:val="20"/>
          </w:rPr>
          <w:t>,</w:t>
        </w:r>
        <w:r>
          <w:rPr>
            <w:spacing w:val="-12"/>
            <w:sz w:val="20"/>
          </w:rPr>
          <w:t> </w:t>
        </w:r>
        <w:r>
          <w:rPr>
            <w:sz w:val="16"/>
          </w:rPr>
          <w:t>MODELO</w:t>
        </w:r>
        <w:r>
          <w:rPr>
            <w:spacing w:val="2"/>
            <w:sz w:val="16"/>
          </w:rPr>
          <w:t> </w:t>
        </w:r>
        <w:r>
          <w:rPr>
            <w:sz w:val="20"/>
          </w:rPr>
          <w:t>P</w:t>
        </w:r>
        <w:r>
          <w:rPr>
            <w:sz w:val="16"/>
          </w:rPr>
          <w:t>HILIPS </w:t>
        </w:r>
        <w:r>
          <w:rPr>
            <w:sz w:val="20"/>
          </w:rPr>
          <w:t>1.3,</w:t>
        </w:r>
        <w:r>
          <w:rPr>
            <w:spacing w:val="-11"/>
            <w:sz w:val="20"/>
          </w:rPr>
          <w:t> </w:t>
        </w:r>
        <w:r>
          <w:rPr>
            <w:sz w:val="20"/>
          </w:rPr>
          <w:t>P</w:t>
        </w:r>
        <w:r>
          <w:rPr>
            <w:sz w:val="16"/>
          </w:rPr>
          <w:t>I</w:t>
        </w:r>
        <w:r>
          <w:rPr>
            <w:sz w:val="20"/>
          </w:rPr>
          <w:t>CCO®</w:t>
          <w:tab/>
          <w:t>24</w:t>
        </w:r>
      </w:hyperlink>
    </w:p>
    <w:p>
      <w:pPr>
        <w:spacing w:before="456"/>
        <w:ind w:left="152" w:right="109" w:firstLine="0"/>
        <w:jc w:val="left"/>
        <w:rPr>
          <w:sz w:val="16"/>
        </w:rPr>
      </w:pPr>
      <w:hyperlink w:history="true" w:anchor="_bookmark32">
        <w:r>
          <w:rPr>
            <w:sz w:val="20"/>
          </w:rPr>
          <w:t>FIGURA 8. A</w:t>
        </w:r>
        <w:r>
          <w:rPr>
            <w:sz w:val="16"/>
          </w:rPr>
          <w:t>NALIZADOR  DE  BIOIMPEDANCIA  ELÉCTRICA</w:t>
        </w:r>
        <w:r>
          <w:rPr>
            <w:sz w:val="20"/>
          </w:rPr>
          <w:t>, </w:t>
        </w:r>
        <w:r>
          <w:rPr>
            <w:sz w:val="16"/>
          </w:rPr>
          <w:t>EQUIPO  </w:t>
        </w:r>
        <w:r>
          <w:rPr>
            <w:sz w:val="20"/>
          </w:rPr>
          <w:t>B</w:t>
        </w:r>
        <w:r>
          <w:rPr>
            <w:sz w:val="16"/>
          </w:rPr>
          <w:t>ODY</w:t>
        </w:r>
        <w:r>
          <w:rPr>
            <w:sz w:val="20"/>
          </w:rPr>
          <w:t>- </w:t>
        </w:r>
        <w:r>
          <w:rPr>
            <w:sz w:val="16"/>
          </w:rPr>
          <w:t>STAT</w:t>
        </w:r>
        <w:r>
          <w:rPr>
            <w:sz w:val="20"/>
          </w:rPr>
          <w:t>, </w:t>
        </w:r>
        <w:r>
          <w:rPr>
            <w:sz w:val="16"/>
          </w:rPr>
          <w:t>MODELO  </w:t>
        </w:r>
        <w:r>
          <w:rPr>
            <w:sz w:val="20"/>
          </w:rPr>
          <w:t>15-MOD,    </w:t>
        </w:r>
        <w:r>
          <w:rPr>
            <w:sz w:val="16"/>
          </w:rPr>
          <w:t>FIRMA</w:t>
        </w:r>
      </w:hyperlink>
    </w:p>
    <w:p>
      <w:pPr>
        <w:tabs>
          <w:tab w:pos="9228" w:val="right" w:leader="dot"/>
        </w:tabs>
        <w:spacing w:before="1"/>
        <w:ind w:left="633" w:right="0" w:firstLine="0"/>
        <w:jc w:val="left"/>
        <w:rPr>
          <w:sz w:val="20"/>
        </w:rPr>
      </w:pPr>
      <w:hyperlink w:history="true" w:anchor="_bookmark32">
        <w:r>
          <w:rPr>
            <w:sz w:val="20"/>
          </w:rPr>
          <w:t>B</w:t>
        </w:r>
        <w:r>
          <w:rPr>
            <w:sz w:val="16"/>
          </w:rPr>
          <w:t>ODYSTAT</w:t>
        </w:r>
        <w:r>
          <w:rPr>
            <w:spacing w:val="2"/>
            <w:sz w:val="16"/>
          </w:rPr>
          <w:t> </w:t>
        </w:r>
        <w:r>
          <w:rPr>
            <w:sz w:val="20"/>
          </w:rPr>
          <w:t>EE.UU</w:t>
          <w:tab/>
          <w:t>25</w:t>
        </w:r>
      </w:hyperlink>
    </w:p>
    <w:p>
      <w:pPr>
        <w:spacing w:before="451"/>
        <w:ind w:left="152" w:right="109" w:firstLine="0"/>
        <w:jc w:val="left"/>
        <w:rPr>
          <w:sz w:val="20"/>
        </w:rPr>
      </w:pPr>
      <w:hyperlink w:history="true" w:anchor="_bookmark42">
        <w:r>
          <w:rPr>
            <w:sz w:val="20"/>
          </w:rPr>
          <w:t>FIGURA 9. E</w:t>
        </w:r>
        <w:r>
          <w:rPr>
            <w:sz w:val="16"/>
          </w:rPr>
          <w:t>L EXTREMO DEL CATÉTER  ARTERIAL  PULMONAR  DEBE  ENCLAVARSE  EN LA ZONA PULMONAR  </w:t>
        </w:r>
        <w:r>
          <w:rPr>
            <w:sz w:val="20"/>
          </w:rPr>
          <w:t>3</w:t>
        </w:r>
      </w:hyperlink>
    </w:p>
    <w:p>
      <w:pPr>
        <w:spacing w:before="0"/>
        <w:ind w:left="633" w:right="345" w:firstLine="0"/>
        <w:jc w:val="both"/>
        <w:rPr>
          <w:sz w:val="20"/>
        </w:rPr>
      </w:pPr>
      <w:hyperlink w:history="true" w:anchor="_bookmark42">
        <w:r>
          <w:rPr>
            <w:sz w:val="16"/>
          </w:rPr>
          <w:t>PARA PROPORCIONAR UNA DETERMINACIÓN PRECISA DE LA PRESIÓN VENOSA PULMONAR </w:t>
        </w:r>
        <w:r>
          <w:rPr>
            <w:sz w:val="20"/>
          </w:rPr>
          <w:t>(P</w:t>
        </w:r>
        <w:r>
          <w:rPr>
            <w:sz w:val="16"/>
          </w:rPr>
          <w:t>V</w:t>
        </w:r>
        <w:r>
          <w:rPr>
            <w:sz w:val="20"/>
          </w:rPr>
          <w:t>) </w:t>
        </w:r>
        <w:r>
          <w:rPr>
            <w:sz w:val="16"/>
          </w:rPr>
          <w:t>O</w:t>
        </w:r>
      </w:hyperlink>
      <w:r>
        <w:rPr>
          <w:sz w:val="16"/>
        </w:rPr>
        <w:t> </w:t>
      </w:r>
      <w:hyperlink w:history="true" w:anchor="_bookmark42">
        <w:r>
          <w:rPr>
            <w:sz w:val="16"/>
          </w:rPr>
          <w:t>AURÍCULA IZQUIERDA </w:t>
        </w:r>
        <w:r>
          <w:rPr>
            <w:sz w:val="20"/>
          </w:rPr>
          <w:t>(AI). C</w:t>
        </w:r>
        <w:r>
          <w:rPr>
            <w:sz w:val="16"/>
          </w:rPr>
          <w:t>UANDO LA PRESIÓN ALVEOLAR </w:t>
        </w:r>
        <w:r>
          <w:rPr>
            <w:sz w:val="20"/>
          </w:rPr>
          <w:t>(P</w:t>
        </w:r>
        <w:r>
          <w:rPr>
            <w:sz w:val="16"/>
          </w:rPr>
          <w:t>A</w:t>
        </w:r>
        <w:r>
          <w:rPr>
            <w:sz w:val="20"/>
          </w:rPr>
          <w:t>) </w:t>
        </w:r>
        <w:r>
          <w:rPr>
            <w:sz w:val="16"/>
          </w:rPr>
          <w:t>AUMENTA POR ENCIMA DE </w:t>
        </w:r>
        <w:r>
          <w:rPr>
            <w:sz w:val="20"/>
          </w:rPr>
          <w:t>P</w:t>
        </w:r>
        <w:r>
          <w:rPr>
            <w:sz w:val="16"/>
          </w:rPr>
          <w:t>V EN LA</w:t>
        </w:r>
      </w:hyperlink>
      <w:r>
        <w:rPr>
          <w:sz w:val="16"/>
        </w:rPr>
        <w:t> </w:t>
      </w:r>
      <w:hyperlink w:history="true" w:anchor="_bookmark42">
        <w:r>
          <w:rPr>
            <w:sz w:val="16"/>
          </w:rPr>
          <w:t>ZONA PULMONAR </w:t>
        </w:r>
        <w:r>
          <w:rPr>
            <w:sz w:val="20"/>
          </w:rPr>
          <w:t>2 </w:t>
        </w:r>
        <w:r>
          <w:rPr>
            <w:sz w:val="16"/>
          </w:rPr>
          <w:t>O POR ENCIMA DE LA PRESIÓN ARTERIAL PULMONAR </w:t>
        </w:r>
        <w:r>
          <w:rPr>
            <w:sz w:val="20"/>
          </w:rPr>
          <w:t>(P</w:t>
        </w:r>
        <w:r>
          <w:rPr>
            <w:sz w:val="16"/>
          </w:rPr>
          <w:t>A</w:t>
        </w:r>
        <w:r>
          <w:rPr>
            <w:sz w:val="20"/>
          </w:rPr>
          <w:t>) </w:t>
        </w:r>
        <w:r>
          <w:rPr>
            <w:sz w:val="16"/>
          </w:rPr>
          <w:t>EN LA ZONA PULMONAR   </w:t>
        </w:r>
        <w:r>
          <w:rPr>
            <w:sz w:val="20"/>
          </w:rPr>
          <w:t>1,</w:t>
        </w:r>
      </w:hyperlink>
    </w:p>
    <w:p>
      <w:pPr>
        <w:tabs>
          <w:tab w:pos="9228" w:val="right" w:leader="dot"/>
        </w:tabs>
        <w:spacing w:line="242" w:lineRule="auto" w:before="38"/>
        <w:ind w:left="633" w:right="109" w:firstLine="0"/>
        <w:jc w:val="left"/>
        <w:rPr>
          <w:sz w:val="20"/>
        </w:rPr>
      </w:pPr>
      <w:hyperlink w:history="true" w:anchor="_bookmark42">
        <w:r>
          <w:rPr>
            <w:sz w:val="16"/>
          </w:rPr>
          <w:t>LA PRESENCIA DE ENCLAVAMIENTO REFLEJARÁ LA PRESIÓN ALVEOLAR EN LUGAR DE LA PRESIÓN</w:t>
        </w:r>
      </w:hyperlink>
      <w:r>
        <w:rPr>
          <w:sz w:val="16"/>
        </w:rPr>
        <w:t> </w:t>
      </w:r>
      <w:hyperlink w:history="true" w:anchor="_bookmark42">
        <w:r>
          <w:rPr>
            <w:sz w:val="16"/>
          </w:rPr>
          <w:t>INTRAVASCULAR</w:t>
        </w:r>
        <w:r>
          <w:rPr>
            <w:sz w:val="20"/>
          </w:rPr>
          <w:t>. AD, </w:t>
        </w:r>
        <w:r>
          <w:rPr>
            <w:sz w:val="16"/>
          </w:rPr>
          <w:t>AURÍCULA DERECHA</w:t>
        </w:r>
        <w:r>
          <w:rPr>
            <w:sz w:val="20"/>
          </w:rPr>
          <w:t>; AP, </w:t>
        </w:r>
        <w:r>
          <w:rPr>
            <w:sz w:val="16"/>
          </w:rPr>
          <w:t>ARTERIA PULMONAR</w:t>
        </w:r>
        <w:r>
          <w:rPr>
            <w:sz w:val="20"/>
          </w:rPr>
          <w:t>; VD, </w:t>
        </w:r>
        <w:r>
          <w:rPr>
            <w:sz w:val="16"/>
          </w:rPr>
          <w:t>VENTRÍCULO DERECHO</w:t>
        </w:r>
        <w:r>
          <w:rPr>
            <w:sz w:val="20"/>
          </w:rPr>
          <w:t>; VI,</w:t>
        </w:r>
      </w:hyperlink>
      <w:r>
        <w:rPr>
          <w:sz w:val="20"/>
        </w:rPr>
        <w:t> </w:t>
      </w:r>
      <w:hyperlink w:history="true" w:anchor="_bookmark42">
        <w:r>
          <w:rPr>
            <w:sz w:val="16"/>
          </w:rPr>
          <w:t>VENTRÍCULO</w:t>
        </w:r>
        <w:r>
          <w:rPr>
            <w:spacing w:val="-3"/>
            <w:sz w:val="16"/>
          </w:rPr>
          <w:t> </w:t>
        </w:r>
        <w:r>
          <w:rPr>
            <w:sz w:val="16"/>
          </w:rPr>
          <w:t>IZQUIERDO</w:t>
        </w:r>
        <w:r>
          <w:rPr>
            <w:sz w:val="20"/>
          </w:rPr>
          <w:tab/>
          <w:t>32</w:t>
        </w:r>
      </w:hyperlink>
    </w:p>
    <w:p>
      <w:pPr>
        <w:tabs>
          <w:tab w:pos="9228" w:val="right" w:leader="dot"/>
        </w:tabs>
        <w:spacing w:before="454"/>
        <w:ind w:left="152" w:right="0" w:firstLine="0"/>
        <w:jc w:val="left"/>
        <w:rPr>
          <w:sz w:val="20"/>
        </w:rPr>
      </w:pPr>
      <w:hyperlink w:history="true" w:anchor="_bookmark57">
        <w:r>
          <w:rPr>
            <w:sz w:val="20"/>
          </w:rPr>
          <w:t>IMAGEN</w:t>
        </w:r>
        <w:r>
          <w:rPr>
            <w:spacing w:val="-15"/>
            <w:sz w:val="20"/>
          </w:rPr>
          <w:t> </w:t>
        </w:r>
        <w:r>
          <w:rPr>
            <w:sz w:val="20"/>
          </w:rPr>
          <w:t>1.</w:t>
        </w:r>
        <w:r>
          <w:rPr>
            <w:spacing w:val="-12"/>
            <w:sz w:val="20"/>
          </w:rPr>
          <w:t> </w:t>
        </w:r>
        <w:r>
          <w:rPr>
            <w:sz w:val="20"/>
          </w:rPr>
          <w:t>C</w:t>
        </w:r>
        <w:r>
          <w:rPr>
            <w:sz w:val="16"/>
          </w:rPr>
          <w:t>ATETERIZACIÓN</w:t>
        </w:r>
        <w:r>
          <w:rPr>
            <w:spacing w:val="-4"/>
            <w:sz w:val="16"/>
          </w:rPr>
          <w:t> </w:t>
        </w:r>
        <w:r>
          <w:rPr>
            <w:spacing w:val="2"/>
            <w:sz w:val="16"/>
          </w:rPr>
          <w:t>DE</w:t>
        </w:r>
        <w:r>
          <w:rPr>
            <w:spacing w:val="-5"/>
            <w:sz w:val="16"/>
          </w:rPr>
          <w:t> </w:t>
        </w:r>
        <w:r>
          <w:rPr>
            <w:sz w:val="16"/>
          </w:rPr>
          <w:t>LA</w:t>
        </w:r>
        <w:r>
          <w:rPr>
            <w:spacing w:val="4"/>
            <w:sz w:val="16"/>
          </w:rPr>
          <w:t> </w:t>
        </w:r>
        <w:r>
          <w:rPr>
            <w:sz w:val="16"/>
          </w:rPr>
          <w:t>VENA</w:t>
        </w:r>
        <w:r>
          <w:rPr>
            <w:spacing w:val="-4"/>
            <w:sz w:val="16"/>
          </w:rPr>
          <w:t> </w:t>
        </w:r>
        <w:r>
          <w:rPr>
            <w:sz w:val="16"/>
          </w:rPr>
          <w:t>CEFÁLICA</w:t>
        </w:r>
        <w:r>
          <w:rPr>
            <w:spacing w:val="-3"/>
            <w:sz w:val="16"/>
          </w:rPr>
          <w:t> </w:t>
        </w:r>
        <w:r>
          <w:rPr>
            <w:sz w:val="16"/>
          </w:rPr>
          <w:t>PARA</w:t>
        </w:r>
        <w:r>
          <w:rPr>
            <w:spacing w:val="-3"/>
            <w:sz w:val="16"/>
          </w:rPr>
          <w:t> </w:t>
        </w:r>
        <w:r>
          <w:rPr>
            <w:spacing w:val="3"/>
            <w:sz w:val="16"/>
          </w:rPr>
          <w:t>LA</w:t>
        </w:r>
        <w:r>
          <w:rPr>
            <w:spacing w:val="-3"/>
            <w:sz w:val="16"/>
          </w:rPr>
          <w:t> </w:t>
        </w:r>
        <w:r>
          <w:rPr>
            <w:sz w:val="16"/>
          </w:rPr>
          <w:t>ADMINISTRACIÓN</w:t>
        </w:r>
        <w:r>
          <w:rPr>
            <w:spacing w:val="-4"/>
            <w:sz w:val="16"/>
          </w:rPr>
          <w:t> </w:t>
        </w:r>
        <w:r>
          <w:rPr>
            <w:spacing w:val="2"/>
            <w:sz w:val="16"/>
          </w:rPr>
          <w:t>DE </w:t>
        </w:r>
        <w:r>
          <w:rPr>
            <w:sz w:val="16"/>
          </w:rPr>
          <w:t>LÍQUIDOS</w:t>
        </w:r>
        <w:r>
          <w:rPr>
            <w:spacing w:val="-6"/>
            <w:sz w:val="16"/>
          </w:rPr>
          <w:t> </w:t>
        </w:r>
        <w:r>
          <w:rPr>
            <w:sz w:val="16"/>
          </w:rPr>
          <w:t>Y</w:t>
        </w:r>
        <w:r>
          <w:rPr>
            <w:spacing w:val="1"/>
            <w:sz w:val="16"/>
          </w:rPr>
          <w:t> </w:t>
        </w:r>
        <w:r>
          <w:rPr>
            <w:sz w:val="16"/>
          </w:rPr>
          <w:t>FÁRMACOS</w:t>
        </w:r>
        <w:r>
          <w:rPr>
            <w:sz w:val="20"/>
          </w:rPr>
          <w:tab/>
          <w:t>39</w:t>
        </w:r>
      </w:hyperlink>
    </w:p>
    <w:p>
      <w:pPr>
        <w:spacing w:before="0"/>
        <w:ind w:left="152" w:right="109" w:firstLine="0"/>
        <w:jc w:val="left"/>
        <w:rPr>
          <w:sz w:val="20"/>
        </w:rPr>
      </w:pPr>
      <w:hyperlink w:history="true" w:anchor="_bookmark59">
        <w:r>
          <w:rPr>
            <w:sz w:val="20"/>
          </w:rPr>
          <w:t>IMAGEN 2. I</w:t>
        </w:r>
        <w:r>
          <w:rPr>
            <w:sz w:val="16"/>
          </w:rPr>
          <w:t>NDUCCIÓN CON MASCARILLA FACIAL UTILIZANDO SEVOFLURANO A UNA CONCENTRACIÓN DE </w:t>
        </w:r>
        <w:r>
          <w:rPr>
            <w:sz w:val="20"/>
          </w:rPr>
          <w:t>5%</w:t>
        </w:r>
      </w:hyperlink>
    </w:p>
    <w:p>
      <w:pPr>
        <w:tabs>
          <w:tab w:pos="9228" w:val="right" w:leader="dot"/>
        </w:tabs>
        <w:spacing w:before="1"/>
        <w:ind w:left="633" w:right="0" w:firstLine="0"/>
        <w:jc w:val="left"/>
        <w:rPr>
          <w:sz w:val="20"/>
        </w:rPr>
      </w:pPr>
      <w:hyperlink w:history="true" w:anchor="_bookmark59">
        <w:r>
          <w:rPr>
            <w:sz w:val="16"/>
          </w:rPr>
          <w:t>VAPORIZADO EN OXÍGENO AL </w:t>
        </w:r>
        <w:r>
          <w:rPr>
            <w:sz w:val="20"/>
          </w:rPr>
          <w:t>100% </w:t>
        </w:r>
        <w:r>
          <w:rPr>
            <w:sz w:val="16"/>
          </w:rPr>
          <w:t>A UN FLUJO </w:t>
        </w:r>
        <w:r>
          <w:rPr>
            <w:spacing w:val="2"/>
            <w:sz w:val="16"/>
          </w:rPr>
          <w:t>DE</w:t>
        </w:r>
        <w:r>
          <w:rPr>
            <w:spacing w:val="-3"/>
            <w:sz w:val="16"/>
          </w:rPr>
          <w:t> </w:t>
        </w:r>
        <w:r>
          <w:rPr>
            <w:sz w:val="20"/>
          </w:rPr>
          <w:t>5</w:t>
        </w:r>
        <w:r>
          <w:rPr>
            <w:spacing w:val="-8"/>
            <w:sz w:val="20"/>
          </w:rPr>
          <w:t> </w:t>
        </w:r>
        <w:r>
          <w:rPr>
            <w:sz w:val="20"/>
          </w:rPr>
          <w:t>L/</w:t>
        </w:r>
        <w:r>
          <w:rPr>
            <w:sz w:val="16"/>
          </w:rPr>
          <w:t>MIN</w:t>
        </w:r>
        <w:r>
          <w:rPr>
            <w:sz w:val="20"/>
          </w:rPr>
          <w:tab/>
          <w:t>40</w:t>
        </w:r>
      </w:hyperlink>
    </w:p>
    <w:p>
      <w:pPr>
        <w:spacing w:before="451"/>
        <w:ind w:left="633" w:right="335" w:hanging="481"/>
        <w:jc w:val="left"/>
        <w:rPr>
          <w:sz w:val="16"/>
        </w:rPr>
      </w:pPr>
      <w:hyperlink w:history="true" w:anchor="_bookmark62">
        <w:r>
          <w:rPr>
            <w:sz w:val="20"/>
          </w:rPr>
          <w:t>IMAGEN 3. C</w:t>
        </w:r>
        <w:r>
          <w:rPr>
            <w:sz w:val="16"/>
          </w:rPr>
          <w:t>ATETERIZACIÓN DE LA ARTERIA DORSAL METATARSIANA PARA MEDICIÓN DE LA PRESIÓN</w:t>
        </w:r>
      </w:hyperlink>
      <w:r>
        <w:rPr>
          <w:sz w:val="16"/>
        </w:rPr>
        <w:t> </w:t>
      </w:r>
      <w:hyperlink w:history="true" w:anchor="_bookmark62">
        <w:r>
          <w:rPr>
            <w:sz w:val="16"/>
          </w:rPr>
          <w:t>ARTERIAL  SISTÓLICA</w:t>
        </w:r>
        <w:r>
          <w:rPr>
            <w:sz w:val="20"/>
          </w:rPr>
          <w:t>, </w:t>
        </w:r>
        <w:r>
          <w:rPr>
            <w:sz w:val="16"/>
          </w:rPr>
          <w:t>DIASTÓLICA Y  MEDIA</w:t>
        </w:r>
        <w:r>
          <w:rPr>
            <w:sz w:val="20"/>
          </w:rPr>
          <w:t>, </w:t>
        </w:r>
        <w:r>
          <w:rPr>
            <w:sz w:val="16"/>
          </w:rPr>
          <w:t>ASÍ  COMO  PARA  LA OBTENCIÓN DE  MUESTRAS  DE SANGRE</w:t>
        </w:r>
      </w:hyperlink>
    </w:p>
    <w:p>
      <w:pPr>
        <w:spacing w:after="0"/>
        <w:jc w:val="left"/>
        <w:rPr>
          <w:sz w:val="16"/>
        </w:rPr>
        <w:sectPr>
          <w:pgSz w:w="12240" w:h="15840"/>
          <w:pgMar w:header="0" w:footer="1591" w:top="1500" w:bottom="1780" w:left="1720" w:right="1180"/>
        </w:sectPr>
      </w:pPr>
    </w:p>
    <w:p>
      <w:pPr>
        <w:tabs>
          <w:tab w:pos="9228" w:val="right" w:leader="dot"/>
        </w:tabs>
        <w:spacing w:before="305"/>
        <w:ind w:left="633" w:right="109" w:firstLine="0"/>
        <w:jc w:val="left"/>
        <w:rPr>
          <w:sz w:val="20"/>
        </w:rPr>
      </w:pPr>
      <w:hyperlink w:history="true" w:anchor="_bookmark62">
        <w:r>
          <w:rPr>
            <w:sz w:val="16"/>
          </w:rPr>
          <w:t>ARTERIAL PARA SU ANÁLISIS GASOMÉTRICO</w:t>
        </w:r>
        <w:r>
          <w:rPr>
            <w:sz w:val="20"/>
          </w:rPr>
          <w:t>: </w:t>
        </w:r>
        <w:r>
          <w:rPr>
            <w:sz w:val="16"/>
          </w:rPr>
          <w:t>A</w:t>
        </w:r>
        <w:r>
          <w:rPr>
            <w:sz w:val="20"/>
          </w:rPr>
          <w:t>, </w:t>
        </w:r>
        <w:r>
          <w:rPr>
            <w:sz w:val="16"/>
          </w:rPr>
          <w:t>B</w:t>
        </w:r>
        <w:r>
          <w:rPr>
            <w:sz w:val="20"/>
          </w:rPr>
          <w:t>) </w:t>
        </w:r>
        <w:r>
          <w:rPr>
            <w:sz w:val="16"/>
          </w:rPr>
          <w:t>ANTISEPSIA C</w:t>
        </w:r>
        <w:r>
          <w:rPr>
            <w:sz w:val="20"/>
          </w:rPr>
          <w:t>) </w:t>
        </w:r>
        <w:r>
          <w:rPr>
            <w:sz w:val="16"/>
          </w:rPr>
          <w:t>CATETERIZACIÓN D</w:t>
        </w:r>
        <w:r>
          <w:rPr>
            <w:sz w:val="20"/>
          </w:rPr>
          <w:t>) </w:t>
        </w:r>
        <w:r>
          <w:rPr>
            <w:sz w:val="16"/>
          </w:rPr>
          <w:t>CONEXIÓN AL</w:t>
        </w:r>
      </w:hyperlink>
      <w:r>
        <w:rPr>
          <w:sz w:val="16"/>
        </w:rPr>
        <w:t> </w:t>
      </w:r>
      <w:hyperlink w:history="true" w:anchor="_bookmark62">
        <w:r>
          <w:rPr>
            <w:sz w:val="16"/>
          </w:rPr>
          <w:t>TRANSDUCTOR</w:t>
        </w:r>
        <w:r>
          <w:rPr>
            <w:sz w:val="20"/>
          </w:rPr>
          <w:tab/>
          <w:t>41</w:t>
        </w:r>
      </w:hyperlink>
    </w:p>
    <w:p>
      <w:pPr>
        <w:tabs>
          <w:tab w:pos="9228" w:val="right" w:leader="dot"/>
        </w:tabs>
        <w:spacing w:before="452"/>
        <w:ind w:left="633" w:right="109" w:hanging="481"/>
        <w:jc w:val="left"/>
        <w:rPr>
          <w:sz w:val="20"/>
        </w:rPr>
      </w:pPr>
      <w:hyperlink w:history="true" w:anchor="_bookmark63">
        <w:r>
          <w:rPr>
            <w:sz w:val="20"/>
          </w:rPr>
          <w:t>IMAGEN 4. </w:t>
        </w:r>
        <w:r>
          <w:rPr>
            <w:sz w:val="16"/>
          </w:rPr>
          <w:t>A</w:t>
        </w:r>
        <w:r>
          <w:rPr>
            <w:sz w:val="20"/>
          </w:rPr>
          <w:t>) C</w:t>
        </w:r>
        <w:r>
          <w:rPr>
            <w:sz w:val="16"/>
          </w:rPr>
          <w:t>OMPONENTES </w:t>
        </w:r>
        <w:r>
          <w:rPr>
            <w:spacing w:val="2"/>
            <w:sz w:val="16"/>
          </w:rPr>
          <w:t>DE </w:t>
        </w:r>
        <w:r>
          <w:rPr>
            <w:sz w:val="16"/>
          </w:rPr>
          <w:t>LA CABEZA DE TRANSDUCTOR PARA LA MEDICIÓN DE </w:t>
        </w:r>
        <w:r>
          <w:rPr>
            <w:spacing w:val="3"/>
            <w:sz w:val="16"/>
          </w:rPr>
          <w:t>LA </w:t>
        </w:r>
        <w:r>
          <w:rPr>
            <w:sz w:val="16"/>
          </w:rPr>
          <w:t>PRESIÓN ARTERIAL</w:t>
        </w:r>
      </w:hyperlink>
      <w:r>
        <w:rPr>
          <w:sz w:val="16"/>
        </w:rPr>
        <w:t> </w:t>
      </w:r>
      <w:hyperlink w:history="true" w:anchor="_bookmark63">
        <w:r>
          <w:rPr>
            <w:sz w:val="16"/>
          </w:rPr>
          <w:t>SISTÉMICA</w:t>
        </w:r>
        <w:r>
          <w:rPr>
            <w:sz w:val="20"/>
          </w:rPr>
          <w:t>, </w:t>
        </w:r>
        <w:r>
          <w:rPr>
            <w:sz w:val="16"/>
          </w:rPr>
          <w:t>B</w:t>
        </w:r>
        <w:r>
          <w:rPr>
            <w:sz w:val="20"/>
          </w:rPr>
          <w:t>) </w:t>
        </w:r>
        <w:r>
          <w:rPr>
            <w:sz w:val="16"/>
          </w:rPr>
          <w:t>CON CALIBRACIÓN CERO A NIVEL</w:t>
        </w:r>
        <w:r>
          <w:rPr>
            <w:spacing w:val="-16"/>
            <w:sz w:val="16"/>
          </w:rPr>
          <w:t> </w:t>
        </w:r>
        <w:r>
          <w:rPr>
            <w:sz w:val="16"/>
          </w:rPr>
          <w:t>DEL</w:t>
        </w:r>
        <w:r>
          <w:rPr>
            <w:spacing w:val="-4"/>
            <w:sz w:val="16"/>
          </w:rPr>
          <w:t> </w:t>
        </w:r>
        <w:r>
          <w:rPr>
            <w:sz w:val="16"/>
          </w:rPr>
          <w:t>CORAZÓN</w:t>
        </w:r>
        <w:r>
          <w:rPr>
            <w:sz w:val="20"/>
          </w:rPr>
          <w:tab/>
          <w:t>41</w:t>
        </w:r>
      </w:hyperlink>
    </w:p>
    <w:p>
      <w:pPr>
        <w:spacing w:line="256" w:lineRule="auto" w:before="451"/>
        <w:ind w:left="633" w:right="345" w:hanging="481"/>
        <w:jc w:val="both"/>
        <w:rPr>
          <w:sz w:val="16"/>
        </w:rPr>
      </w:pPr>
      <w:hyperlink w:history="true" w:anchor="_bookmark65">
        <w:r>
          <w:rPr>
            <w:sz w:val="20"/>
          </w:rPr>
          <w:t>IMAGEN 5. (</w:t>
        </w:r>
        <w:r>
          <w:rPr>
            <w:sz w:val="16"/>
          </w:rPr>
          <w:t>A</w:t>
        </w:r>
        <w:r>
          <w:rPr>
            <w:sz w:val="20"/>
          </w:rPr>
          <w:t>) C</w:t>
        </w:r>
        <w:r>
          <w:rPr>
            <w:sz w:val="16"/>
          </w:rPr>
          <w:t>ARACTERÍSTICAS DEL CATÉTER DE TERMODILUCIÓN DE </w:t>
        </w:r>
        <w:r>
          <w:rPr>
            <w:sz w:val="20"/>
          </w:rPr>
          <w:t>110 </w:t>
        </w:r>
        <w:r>
          <w:rPr>
            <w:sz w:val="16"/>
          </w:rPr>
          <w:t>CENTÍMETROS PARA LA</w:t>
        </w:r>
      </w:hyperlink>
      <w:r>
        <w:rPr>
          <w:sz w:val="16"/>
        </w:rPr>
        <w:t> </w:t>
      </w:r>
      <w:hyperlink w:history="true" w:anchor="_bookmark65">
        <w:r>
          <w:rPr>
            <w:sz w:val="16"/>
          </w:rPr>
          <w:t>MEDICIÓN DEL GASTO CARDIACO</w:t>
        </w:r>
        <w:r>
          <w:rPr>
            <w:sz w:val="20"/>
          </w:rPr>
          <w:t>. D</w:t>
        </w:r>
        <w:r>
          <w:rPr>
            <w:sz w:val="16"/>
          </w:rPr>
          <w:t>ONDE SE OBSERVAN LOS DIFERENTES PUERTOS</w:t>
        </w:r>
        <w:r>
          <w:rPr>
            <w:sz w:val="20"/>
          </w:rPr>
          <w:t>: </w:t>
        </w:r>
        <w:r>
          <w:rPr>
            <w:sz w:val="16"/>
          </w:rPr>
          <w:t>PUERTO AMARILLO O</w:t>
        </w:r>
      </w:hyperlink>
      <w:r>
        <w:rPr>
          <w:sz w:val="16"/>
        </w:rPr>
        <w:t> </w:t>
      </w:r>
      <w:hyperlink w:history="true" w:anchor="_bookmark65">
        <w:r>
          <w:rPr>
            <w:sz w:val="16"/>
          </w:rPr>
          <w:t>DISTAL PARA EVALUAR LA PRESIÓN DE LA ARTERIA PULMONAR Y OBTENER MUESTRAS DE SANGRE</w:t>
        </w:r>
      </w:hyperlink>
      <w:r>
        <w:rPr>
          <w:sz w:val="16"/>
        </w:rPr>
        <w:t> </w:t>
      </w:r>
      <w:hyperlink w:history="true" w:anchor="_bookmark65">
        <w:r>
          <w:rPr>
            <w:sz w:val="16"/>
          </w:rPr>
          <w:t>VENOSA MIXTA</w:t>
        </w:r>
        <w:r>
          <w:rPr>
            <w:sz w:val="20"/>
          </w:rPr>
          <w:t>, </w:t>
        </w:r>
        <w:r>
          <w:rPr>
            <w:sz w:val="16"/>
          </w:rPr>
          <w:t>PUERTO AZUL O PROXIMAL PARA LA EVALUACIÓN DE LA PRESIÓN VENOSA CENTRAL Y</w:t>
        </w:r>
      </w:hyperlink>
    </w:p>
    <w:p>
      <w:pPr>
        <w:spacing w:line="215" w:lineRule="exact" w:before="0"/>
        <w:ind w:left="633" w:right="109" w:firstLine="0"/>
        <w:jc w:val="left"/>
        <w:rPr>
          <w:sz w:val="16"/>
        </w:rPr>
      </w:pPr>
      <w:hyperlink w:history="true" w:anchor="_bookmark65">
        <w:r>
          <w:rPr>
            <w:sz w:val="16"/>
          </w:rPr>
          <w:t>ADMINISTRAR  SOLUCIÓN  SALINA FISIOLÓGICA</w:t>
        </w:r>
        <w:r>
          <w:rPr>
            <w:sz w:val="20"/>
          </w:rPr>
          <w:t>, </w:t>
        </w:r>
        <w:r>
          <w:rPr>
            <w:sz w:val="16"/>
          </w:rPr>
          <w:t>PUERTO ROJO PARA LA INSUFLACIÓN DEL BALÓN</w:t>
        </w:r>
        <w:r>
          <w:rPr>
            <w:sz w:val="20"/>
          </w:rPr>
          <w:t>,    </w:t>
        </w:r>
        <w:r>
          <w:rPr>
            <w:sz w:val="16"/>
          </w:rPr>
          <w:t>PARA</w:t>
        </w:r>
      </w:hyperlink>
    </w:p>
    <w:p>
      <w:pPr>
        <w:tabs>
          <w:tab w:pos="9228" w:val="right" w:leader="dot"/>
        </w:tabs>
        <w:spacing w:before="0"/>
        <w:ind w:left="633" w:right="109" w:firstLine="0"/>
        <w:jc w:val="left"/>
        <w:rPr>
          <w:sz w:val="20"/>
        </w:rPr>
      </w:pPr>
      <w:hyperlink w:history="true" w:anchor="_bookmark65">
        <w:r>
          <w:rPr>
            <w:sz w:val="16"/>
          </w:rPr>
          <w:t>EVALUAR LA PRESIÓN PULMONAR POR OCLUSIÓN  </w:t>
        </w:r>
        <w:r>
          <w:rPr>
            <w:sz w:val="20"/>
          </w:rPr>
          <w:t>(</w:t>
        </w:r>
        <w:r>
          <w:rPr>
            <w:sz w:val="16"/>
          </w:rPr>
          <w:t>B</w:t>
        </w:r>
        <w:r>
          <w:rPr>
            <w:sz w:val="20"/>
          </w:rPr>
          <w:t>), </w:t>
        </w:r>
        <w:r>
          <w:rPr>
            <w:sz w:val="16"/>
          </w:rPr>
          <w:t>EL PUERTO BLANCO O TERMISTOR PARA EVALUAR</w:t>
        </w:r>
      </w:hyperlink>
      <w:r>
        <w:rPr>
          <w:sz w:val="16"/>
        </w:rPr>
        <w:t>     </w:t>
      </w:r>
      <w:hyperlink w:history="true" w:anchor="_bookmark65">
        <w:r>
          <w:rPr>
            <w:sz w:val="16"/>
          </w:rPr>
          <w:t>LA TEMPERATURA CORPORAL Y LLEVAR A CABO LA TÉCNICA DE TERMODILUCIÓN </w:t>
        </w:r>
        <w:r>
          <w:rPr>
            <w:sz w:val="20"/>
          </w:rPr>
          <w:t>(</w:t>
        </w:r>
        <w:r>
          <w:rPr>
            <w:sz w:val="16"/>
          </w:rPr>
          <w:t>C</w:t>
        </w:r>
        <w:r>
          <w:rPr>
            <w:sz w:val="20"/>
          </w:rPr>
          <w:t>), (</w:t>
        </w:r>
        <w:r>
          <w:rPr>
            <w:sz w:val="16"/>
          </w:rPr>
          <w:t>D</w:t>
        </w:r>
        <w:r>
          <w:rPr>
            <w:sz w:val="20"/>
          </w:rPr>
          <w:t>) </w:t>
        </w:r>
        <w:r>
          <w:rPr>
            <w:sz w:val="16"/>
          </w:rPr>
          <w:t>BALÓN DE</w:t>
        </w:r>
      </w:hyperlink>
      <w:r>
        <w:rPr>
          <w:sz w:val="16"/>
        </w:rPr>
        <w:t> </w:t>
      </w:r>
      <w:hyperlink w:history="true" w:anchor="_bookmark65">
        <w:r>
          <w:rPr>
            <w:sz w:val="16"/>
          </w:rPr>
          <w:t>OCLUSIÓN DE LA</w:t>
        </w:r>
        <w:r>
          <w:rPr>
            <w:spacing w:val="3"/>
            <w:sz w:val="16"/>
          </w:rPr>
          <w:t> </w:t>
        </w:r>
        <w:r>
          <w:rPr>
            <w:sz w:val="16"/>
          </w:rPr>
          <w:t>ARTERIA</w:t>
        </w:r>
        <w:r>
          <w:rPr>
            <w:spacing w:val="-2"/>
            <w:sz w:val="16"/>
          </w:rPr>
          <w:t> </w:t>
        </w:r>
        <w:r>
          <w:rPr>
            <w:sz w:val="16"/>
          </w:rPr>
          <w:t>PULMONAR</w:t>
        </w:r>
        <w:r>
          <w:rPr>
            <w:sz w:val="20"/>
          </w:rPr>
          <w:tab/>
          <w:t>42</w:t>
        </w:r>
      </w:hyperlink>
    </w:p>
    <w:p>
      <w:pPr>
        <w:spacing w:before="452"/>
        <w:ind w:left="152" w:right="109" w:firstLine="0"/>
        <w:jc w:val="left"/>
        <w:rPr>
          <w:sz w:val="20"/>
        </w:rPr>
      </w:pPr>
      <w:hyperlink w:history="true" w:anchor="_bookmark66">
        <w:r>
          <w:rPr>
            <w:sz w:val="20"/>
          </w:rPr>
          <w:t>IMAGEN 6. C</w:t>
        </w:r>
        <w:r>
          <w:rPr>
            <w:sz w:val="16"/>
          </w:rPr>
          <w:t>ATETERIZACIÓN DE LA VENA YUGULAR DERECHA POR MEDIO DE UN CATÉTER DEL NUMERO </w:t>
        </w:r>
        <w:r>
          <w:rPr>
            <w:sz w:val="20"/>
          </w:rPr>
          <w:t>17 G,</w:t>
        </w:r>
      </w:hyperlink>
    </w:p>
    <w:p>
      <w:pPr>
        <w:tabs>
          <w:tab w:pos="9228" w:val="right" w:leader="dot"/>
        </w:tabs>
        <w:spacing w:before="0"/>
        <w:ind w:left="633" w:right="0" w:firstLine="0"/>
        <w:jc w:val="left"/>
        <w:rPr>
          <w:sz w:val="20"/>
        </w:rPr>
      </w:pPr>
      <w:hyperlink w:history="true" w:anchor="_bookmark66">
        <w:r>
          <w:rPr>
            <w:sz w:val="16"/>
          </w:rPr>
          <w:t>PREVIA ANTISEPSIA DE</w:t>
        </w:r>
        <w:r>
          <w:rPr>
            <w:spacing w:val="5"/>
            <w:sz w:val="16"/>
          </w:rPr>
          <w:t> </w:t>
        </w:r>
        <w:r>
          <w:rPr>
            <w:sz w:val="16"/>
          </w:rPr>
          <w:t>LA</w:t>
        </w:r>
        <w:r>
          <w:rPr>
            <w:spacing w:val="-2"/>
            <w:sz w:val="16"/>
          </w:rPr>
          <w:t> </w:t>
        </w:r>
        <w:r>
          <w:rPr>
            <w:sz w:val="16"/>
          </w:rPr>
          <w:t>ZONA</w:t>
        </w:r>
        <w:r>
          <w:rPr>
            <w:sz w:val="20"/>
          </w:rPr>
          <w:tab/>
          <w:t>43</w:t>
        </w:r>
      </w:hyperlink>
    </w:p>
    <w:p>
      <w:pPr>
        <w:tabs>
          <w:tab w:pos="9228" w:val="right" w:leader="dot"/>
        </w:tabs>
        <w:spacing w:before="451"/>
        <w:ind w:left="633" w:right="109" w:hanging="481"/>
        <w:jc w:val="left"/>
        <w:rPr>
          <w:sz w:val="20"/>
        </w:rPr>
      </w:pPr>
      <w:hyperlink w:history="true" w:anchor="_bookmark67">
        <w:r>
          <w:rPr>
            <w:sz w:val="20"/>
          </w:rPr>
          <w:t>IMAGEN 7. I</w:t>
        </w:r>
        <w:r>
          <w:rPr>
            <w:sz w:val="16"/>
          </w:rPr>
          <w:t>NTRODUCCIÓN DEL FIADOR A TRAVÉS DEL CATÉTER ENDOVENOSO PARA LA REALIZACIÓN DE LA</w:t>
        </w:r>
      </w:hyperlink>
      <w:r>
        <w:rPr>
          <w:sz w:val="16"/>
        </w:rPr>
        <w:t> </w:t>
      </w:r>
      <w:hyperlink w:history="true" w:anchor="_bookmark67">
        <w:r>
          <w:rPr>
            <w:sz w:val="16"/>
          </w:rPr>
          <w:t>TÉCNICA DE </w:t>
        </w:r>
        <w:r>
          <w:rPr>
            <w:sz w:val="20"/>
          </w:rPr>
          <w:t>S</w:t>
        </w:r>
        <w:r>
          <w:rPr>
            <w:sz w:val="16"/>
          </w:rPr>
          <w:t>ELDINGER PARA LA INTRODUCCIÓN DEL DILATADOR</w:t>
        </w:r>
        <w:r>
          <w:rPr>
            <w:spacing w:val="1"/>
            <w:sz w:val="16"/>
          </w:rPr>
          <w:t> </w:t>
        </w:r>
        <w:r>
          <w:rPr>
            <w:sz w:val="16"/>
          </w:rPr>
          <w:t>VASCULAR</w:t>
        </w:r>
        <w:r>
          <w:rPr>
            <w:sz w:val="20"/>
          </w:rPr>
          <w:tab/>
          <w:t>43</w:t>
        </w:r>
      </w:hyperlink>
    </w:p>
    <w:p>
      <w:pPr>
        <w:tabs>
          <w:tab w:pos="9228" w:val="right" w:leader="dot"/>
        </w:tabs>
        <w:spacing w:before="447"/>
        <w:ind w:left="633" w:right="109" w:hanging="481"/>
        <w:jc w:val="left"/>
        <w:rPr>
          <w:sz w:val="20"/>
        </w:rPr>
      </w:pPr>
      <w:hyperlink w:history="true" w:anchor="_bookmark68">
        <w:r>
          <w:rPr>
            <w:sz w:val="20"/>
          </w:rPr>
          <w:t>IMAGEN 8. I</w:t>
        </w:r>
        <w:r>
          <w:rPr>
            <w:sz w:val="16"/>
          </w:rPr>
          <w:t>NTRODUCTOR  ARMADO  </w:t>
        </w:r>
        <w:r>
          <w:rPr>
            <w:sz w:val="20"/>
          </w:rPr>
          <w:t>(I</w:t>
        </w:r>
        <w:r>
          <w:rPr>
            <w:sz w:val="16"/>
          </w:rPr>
          <w:t>NTRODUCER  </w:t>
        </w:r>
        <w:r>
          <w:rPr>
            <w:sz w:val="20"/>
          </w:rPr>
          <w:t>K</w:t>
        </w:r>
        <w:r>
          <w:rPr>
            <w:sz w:val="16"/>
          </w:rPr>
          <w:t>IT  </w:t>
        </w:r>
        <w:r>
          <w:rPr>
            <w:sz w:val="20"/>
          </w:rPr>
          <w:t>A</w:t>
        </w:r>
        <w:r>
          <w:rPr>
            <w:sz w:val="16"/>
          </w:rPr>
          <w:t>RROW  </w:t>
        </w:r>
        <w:r>
          <w:rPr>
            <w:sz w:val="20"/>
          </w:rPr>
          <w:t>I</w:t>
        </w:r>
        <w:r>
          <w:rPr>
            <w:sz w:val="16"/>
          </w:rPr>
          <w:t>NTERNATIONAL</w:t>
        </w:r>
        <w:r>
          <w:rPr>
            <w:position w:val="7"/>
            <w:sz w:val="13"/>
          </w:rPr>
          <w:t>®</w:t>
        </w:r>
        <w:r>
          <w:rPr>
            <w:sz w:val="20"/>
          </w:rPr>
          <w:t>) </w:t>
        </w:r>
        <w:r>
          <w:rPr>
            <w:sz w:val="16"/>
          </w:rPr>
          <w:t>Y  COLOCADO  POR  MEDIO</w:t>
        </w:r>
      </w:hyperlink>
      <w:r>
        <w:rPr>
          <w:sz w:val="16"/>
        </w:rPr>
        <w:t> </w:t>
      </w:r>
      <w:hyperlink w:history="true" w:anchor="_bookmark68">
        <w:r>
          <w:rPr>
            <w:sz w:val="16"/>
          </w:rPr>
          <w:t>DE LA TÉCNICA</w:t>
        </w:r>
        <w:r>
          <w:rPr>
            <w:spacing w:val="-11"/>
            <w:sz w:val="16"/>
          </w:rPr>
          <w:t> </w:t>
        </w:r>
        <w:r>
          <w:rPr>
            <w:spacing w:val="2"/>
            <w:sz w:val="16"/>
          </w:rPr>
          <w:t>DE</w:t>
        </w:r>
        <w:r>
          <w:rPr>
            <w:spacing w:val="-2"/>
            <w:sz w:val="16"/>
          </w:rPr>
          <w:t> </w:t>
        </w:r>
        <w:r>
          <w:rPr>
            <w:sz w:val="20"/>
          </w:rPr>
          <w:t>S</w:t>
        </w:r>
        <w:r>
          <w:rPr>
            <w:sz w:val="16"/>
          </w:rPr>
          <w:t>ELDINGER</w:t>
        </w:r>
        <w:r>
          <w:rPr>
            <w:sz w:val="20"/>
          </w:rPr>
          <w:tab/>
          <w:t>44</w:t>
        </w:r>
      </w:hyperlink>
    </w:p>
    <w:p>
      <w:pPr>
        <w:spacing w:line="680" w:lineRule="atLeast" w:before="6"/>
        <w:ind w:left="152" w:right="0" w:firstLine="0"/>
        <w:jc w:val="left"/>
        <w:rPr>
          <w:sz w:val="16"/>
        </w:rPr>
      </w:pPr>
      <w:hyperlink w:history="true" w:anchor="_bookmark69">
        <w:r>
          <w:rPr>
            <w:sz w:val="20"/>
          </w:rPr>
          <w:t>IMAGEN 9. P</w:t>
        </w:r>
        <w:r>
          <w:rPr>
            <w:sz w:val="16"/>
          </w:rPr>
          <w:t>ASO DEL CATÉTER DE </w:t>
        </w:r>
        <w:r>
          <w:rPr>
            <w:sz w:val="20"/>
          </w:rPr>
          <w:t>S</w:t>
        </w:r>
        <w:r>
          <w:rPr>
            <w:sz w:val="16"/>
          </w:rPr>
          <w:t>WAN</w:t>
        </w:r>
        <w:r>
          <w:rPr>
            <w:sz w:val="20"/>
          </w:rPr>
          <w:t>-G</w:t>
        </w:r>
        <w:r>
          <w:rPr>
            <w:sz w:val="16"/>
          </w:rPr>
          <w:t>ANZ A TRAVÉS DE LA VÁLVULA HEMOSTÁTICA DEL INTRODUCTOR</w:t>
        </w:r>
        <w:r>
          <w:rPr>
            <w:sz w:val="20"/>
          </w:rPr>
          <w:t>. 44</w:t>
        </w:r>
      </w:hyperlink>
      <w:r>
        <w:rPr>
          <w:sz w:val="20"/>
        </w:rPr>
        <w:t> </w:t>
      </w:r>
      <w:hyperlink w:history="true" w:anchor="_bookmark70">
        <w:r>
          <w:rPr>
            <w:sz w:val="20"/>
          </w:rPr>
          <w:t>IMAGEN 10. L</w:t>
        </w:r>
        <w:r>
          <w:rPr>
            <w:sz w:val="16"/>
          </w:rPr>
          <w:t>A LÍNEA ROJA  MUESTRA  LAS  CARACTERÍSTICAS  DE  PRESIÓN  AL INTRODUCIR  EL CATÉTER  DE</w:t>
        </w:r>
      </w:hyperlink>
    </w:p>
    <w:p>
      <w:pPr>
        <w:tabs>
          <w:tab w:pos="9228" w:val="right" w:leader="dot"/>
        </w:tabs>
        <w:spacing w:before="0"/>
        <w:ind w:left="633" w:right="109" w:firstLine="0"/>
        <w:jc w:val="left"/>
        <w:rPr>
          <w:sz w:val="20"/>
        </w:rPr>
      </w:pPr>
      <w:hyperlink w:history="true" w:anchor="_bookmark70">
        <w:r>
          <w:rPr>
            <w:sz w:val="16"/>
          </w:rPr>
          <w:t>TERMODILUCIÓN </w:t>
        </w:r>
        <w:r>
          <w:rPr>
            <w:sz w:val="20"/>
          </w:rPr>
          <w:t>S</w:t>
        </w:r>
        <w:r>
          <w:rPr>
            <w:sz w:val="16"/>
          </w:rPr>
          <w:t>WAN</w:t>
        </w:r>
        <w:r>
          <w:rPr>
            <w:sz w:val="20"/>
          </w:rPr>
          <w:t>-G</w:t>
        </w:r>
        <w:r>
          <w:rPr>
            <w:sz w:val="16"/>
          </w:rPr>
          <w:t>ANZ </w:t>
        </w:r>
        <w:r>
          <w:rPr>
            <w:sz w:val="20"/>
          </w:rPr>
          <w:t>(</w:t>
        </w:r>
        <w:r>
          <w:rPr>
            <w:sz w:val="16"/>
          </w:rPr>
          <w:t>A</w:t>
        </w:r>
        <w:r>
          <w:rPr>
            <w:sz w:val="20"/>
          </w:rPr>
          <w:t>), </w:t>
        </w:r>
        <w:r>
          <w:rPr>
            <w:sz w:val="16"/>
          </w:rPr>
          <w:t>AL PASAR POR EL ATRIO DERECHO </w:t>
        </w:r>
        <w:r>
          <w:rPr>
            <w:sz w:val="20"/>
          </w:rPr>
          <w:t>(</w:t>
        </w:r>
        <w:r>
          <w:rPr>
            <w:sz w:val="16"/>
          </w:rPr>
          <w:t>B</w:t>
        </w:r>
        <w:r>
          <w:rPr>
            <w:sz w:val="20"/>
          </w:rPr>
          <w:t>), </w:t>
        </w:r>
        <w:r>
          <w:rPr>
            <w:sz w:val="16"/>
          </w:rPr>
          <w:t>VENTRÍCULO DERECHO</w:t>
        </w:r>
        <w:r>
          <w:rPr>
            <w:sz w:val="20"/>
          </w:rPr>
          <w:t>(</w:t>
        </w:r>
        <w:r>
          <w:rPr>
            <w:sz w:val="16"/>
          </w:rPr>
          <w:t>C</w:t>
        </w:r>
        <w:r>
          <w:rPr>
            <w:sz w:val="20"/>
          </w:rPr>
          <w:t>) </w:t>
        </w:r>
        <w:r>
          <w:rPr>
            <w:sz w:val="16"/>
          </w:rPr>
          <w:t>Y AL</w:t>
        </w:r>
      </w:hyperlink>
      <w:r>
        <w:rPr>
          <w:sz w:val="16"/>
        </w:rPr>
        <w:t> </w:t>
      </w:r>
      <w:hyperlink w:history="true" w:anchor="_bookmark70">
        <w:r>
          <w:rPr>
            <w:sz w:val="16"/>
          </w:rPr>
          <w:t>ENTRAR A LA ARTERIA PULMONAR </w:t>
        </w:r>
        <w:r>
          <w:rPr>
            <w:sz w:val="20"/>
          </w:rPr>
          <w:t>(</w:t>
        </w:r>
        <w:r>
          <w:rPr>
            <w:sz w:val="16"/>
          </w:rPr>
          <w:t>D</w:t>
        </w:r>
        <w:r>
          <w:rPr>
            <w:sz w:val="20"/>
          </w:rPr>
          <w:t>), </w:t>
        </w:r>
        <w:r>
          <w:rPr>
            <w:sz w:val="16"/>
          </w:rPr>
          <w:t>AL INSUFLAR EL BALÓN PODEMOS OBSERVAR LA GRAFICA</w:t>
        </w:r>
      </w:hyperlink>
      <w:r>
        <w:rPr>
          <w:sz w:val="16"/>
        </w:rPr>
        <w:t> </w:t>
      </w:r>
      <w:hyperlink w:history="true" w:anchor="_bookmark70">
        <w:r>
          <w:rPr>
            <w:sz w:val="16"/>
          </w:rPr>
          <w:t>CARACTERÍSTICA DE LA PRESIÓN </w:t>
        </w:r>
        <w:r>
          <w:rPr>
            <w:spacing w:val="2"/>
            <w:sz w:val="16"/>
          </w:rPr>
          <w:t>DE </w:t>
        </w:r>
        <w:r>
          <w:rPr>
            <w:sz w:val="16"/>
          </w:rPr>
          <w:t>OCLUSIÓN DE LA ARTERIA</w:t>
        </w:r>
        <w:r>
          <w:rPr>
            <w:spacing w:val="-4"/>
            <w:sz w:val="16"/>
          </w:rPr>
          <w:t> </w:t>
        </w:r>
        <w:r>
          <w:rPr>
            <w:sz w:val="16"/>
          </w:rPr>
          <w:t>PULMONAR</w:t>
        </w:r>
        <w:r>
          <w:rPr>
            <w:spacing w:val="2"/>
            <w:sz w:val="16"/>
          </w:rPr>
          <w:t> </w:t>
        </w:r>
        <w:r>
          <w:rPr>
            <w:sz w:val="20"/>
          </w:rPr>
          <w:t>(</w:t>
        </w:r>
        <w:r>
          <w:rPr>
            <w:sz w:val="16"/>
          </w:rPr>
          <w:t>E</w:t>
        </w:r>
        <w:r>
          <w:rPr>
            <w:sz w:val="20"/>
          </w:rPr>
          <w:t>).</w:t>
          <w:tab/>
          <w:t>46</w:t>
        </w:r>
      </w:hyperlink>
    </w:p>
    <w:p>
      <w:pPr>
        <w:tabs>
          <w:tab w:pos="9228" w:val="right" w:leader="dot"/>
        </w:tabs>
        <w:spacing w:before="452"/>
        <w:ind w:left="633" w:right="109" w:hanging="481"/>
        <w:jc w:val="left"/>
        <w:rPr>
          <w:sz w:val="20"/>
        </w:rPr>
      </w:pPr>
      <w:hyperlink w:history="true" w:anchor="_bookmark71">
        <w:r>
          <w:rPr>
            <w:sz w:val="20"/>
          </w:rPr>
          <w:t>IMAGEN 11. E</w:t>
        </w:r>
        <w:r>
          <w:rPr>
            <w:sz w:val="16"/>
          </w:rPr>
          <w:t>STUDIO RADIOGRÁFICO QUE CONFIRMA LA POSICIÓN DEL CATÉTER DE  FLOTACIÓN  DE  LA</w:t>
        </w:r>
      </w:hyperlink>
      <w:r>
        <w:rPr>
          <w:sz w:val="16"/>
        </w:rPr>
        <w:t>  </w:t>
      </w:r>
      <w:hyperlink w:history="true" w:anchor="_bookmark71">
        <w:r>
          <w:rPr>
            <w:sz w:val="16"/>
          </w:rPr>
          <w:t>ARTERIA PULMONAR </w:t>
        </w:r>
        <w:r>
          <w:rPr>
            <w:sz w:val="20"/>
          </w:rPr>
          <w:t>(S</w:t>
        </w:r>
        <w:r>
          <w:rPr>
            <w:sz w:val="16"/>
          </w:rPr>
          <w:t>WAN</w:t>
        </w:r>
        <w:r>
          <w:rPr>
            <w:sz w:val="20"/>
          </w:rPr>
          <w:t>-G</w:t>
        </w:r>
        <w:r>
          <w:rPr>
            <w:sz w:val="16"/>
          </w:rPr>
          <w:t>ANZ</w:t>
        </w:r>
        <w:r>
          <w:rPr>
            <w:sz w:val="20"/>
          </w:rPr>
          <w:t>) </w:t>
        </w:r>
        <w:r>
          <w:rPr>
            <w:sz w:val="16"/>
          </w:rPr>
          <w:t>ANCLADO A LA</w:t>
        </w:r>
        <w:r>
          <w:rPr>
            <w:spacing w:val="-7"/>
            <w:sz w:val="16"/>
          </w:rPr>
          <w:t> </w:t>
        </w:r>
        <w:r>
          <w:rPr>
            <w:sz w:val="16"/>
          </w:rPr>
          <w:t>ARTERIA</w:t>
        </w:r>
        <w:r>
          <w:rPr>
            <w:spacing w:val="2"/>
            <w:sz w:val="16"/>
          </w:rPr>
          <w:t> </w:t>
        </w:r>
        <w:r>
          <w:rPr>
            <w:sz w:val="16"/>
          </w:rPr>
          <w:t>PULMONAR</w:t>
        </w:r>
        <w:r>
          <w:rPr>
            <w:sz w:val="20"/>
          </w:rPr>
          <w:tab/>
          <w:t>47</w:t>
        </w:r>
      </w:hyperlink>
    </w:p>
    <w:p>
      <w:pPr>
        <w:tabs>
          <w:tab w:pos="9228" w:val="right" w:leader="dot"/>
        </w:tabs>
        <w:spacing w:before="451"/>
        <w:ind w:left="633" w:right="109" w:hanging="481"/>
        <w:jc w:val="left"/>
        <w:rPr>
          <w:sz w:val="20"/>
        </w:rPr>
      </w:pPr>
      <w:hyperlink w:history="true" w:anchor="_bookmark72">
        <w:r>
          <w:rPr>
            <w:sz w:val="20"/>
          </w:rPr>
          <w:t>IMAGEN 12. A</w:t>
        </w:r>
        <w:r>
          <w:rPr>
            <w:sz w:val="16"/>
          </w:rPr>
          <w:t>DMINISTRACIÓN RÁPIDA </w:t>
        </w:r>
        <w:r>
          <w:rPr>
            <w:spacing w:val="2"/>
            <w:sz w:val="16"/>
          </w:rPr>
          <w:t>DE </w:t>
        </w:r>
        <w:r>
          <w:rPr>
            <w:sz w:val="20"/>
          </w:rPr>
          <w:t>10 </w:t>
        </w:r>
        <w:r>
          <w:rPr>
            <w:sz w:val="16"/>
          </w:rPr>
          <w:t>M</w:t>
        </w:r>
        <w:r>
          <w:rPr>
            <w:sz w:val="20"/>
          </w:rPr>
          <w:t>L </w:t>
        </w:r>
        <w:r>
          <w:rPr>
            <w:spacing w:val="2"/>
            <w:sz w:val="16"/>
          </w:rPr>
          <w:t>DE </w:t>
        </w:r>
        <w:r>
          <w:rPr>
            <w:sz w:val="16"/>
          </w:rPr>
          <w:t>SUERO SALINO FISIOLÓGICO A TRAVÉS DEL PUERTO</w:t>
        </w:r>
      </w:hyperlink>
      <w:r>
        <w:rPr>
          <w:sz w:val="16"/>
        </w:rPr>
        <w:t> </w:t>
      </w:r>
      <w:hyperlink w:history="true" w:anchor="_bookmark72">
        <w:r>
          <w:rPr>
            <w:sz w:val="16"/>
          </w:rPr>
          <w:t>PROXIMAL</w:t>
        </w:r>
        <w:r>
          <w:rPr>
            <w:spacing w:val="-4"/>
            <w:sz w:val="16"/>
          </w:rPr>
          <w:t> </w:t>
        </w:r>
        <w:r>
          <w:rPr>
            <w:sz w:val="16"/>
          </w:rPr>
          <w:t>O</w:t>
        </w:r>
        <w:r>
          <w:rPr>
            <w:spacing w:val="7"/>
            <w:sz w:val="16"/>
          </w:rPr>
          <w:t> </w:t>
        </w:r>
        <w:r>
          <w:rPr>
            <w:sz w:val="16"/>
          </w:rPr>
          <w:t>AZUL</w:t>
        </w:r>
        <w:r>
          <w:rPr>
            <w:sz w:val="20"/>
          </w:rPr>
          <w:tab/>
          <w:t>48</w:t>
        </w:r>
      </w:hyperlink>
    </w:p>
    <w:p>
      <w:pPr>
        <w:tabs>
          <w:tab w:pos="9228" w:val="right" w:leader="dot"/>
        </w:tabs>
        <w:spacing w:before="452"/>
        <w:ind w:left="633" w:right="109" w:hanging="481"/>
        <w:jc w:val="left"/>
        <w:rPr>
          <w:sz w:val="20"/>
        </w:rPr>
      </w:pPr>
      <w:hyperlink w:history="true" w:anchor="_bookmark73">
        <w:r>
          <w:rPr>
            <w:sz w:val="20"/>
          </w:rPr>
          <w:t>IMAGEN 13. (</w:t>
        </w:r>
        <w:r>
          <w:rPr>
            <w:sz w:val="16"/>
          </w:rPr>
          <w:t>A</w:t>
        </w:r>
        <w:r>
          <w:rPr>
            <w:sz w:val="20"/>
          </w:rPr>
          <w:t>) J</w:t>
        </w:r>
        <w:r>
          <w:rPr>
            <w:sz w:val="16"/>
          </w:rPr>
          <w:t>ERINGA DE </w:t>
        </w:r>
        <w:r>
          <w:rPr>
            <w:sz w:val="20"/>
          </w:rPr>
          <w:t>3 </w:t>
        </w:r>
        <w:r>
          <w:rPr>
            <w:sz w:val="16"/>
          </w:rPr>
          <w:t>MILILITROS CON HEPARINA </w:t>
        </w:r>
        <w:r>
          <w:rPr>
            <w:spacing w:val="2"/>
            <w:sz w:val="16"/>
          </w:rPr>
          <w:t>DE </w:t>
        </w:r>
        <w:r>
          <w:rPr>
            <w:sz w:val="16"/>
          </w:rPr>
          <w:t>LITIO </w:t>
        </w:r>
        <w:r>
          <w:rPr>
            <w:sz w:val="20"/>
          </w:rPr>
          <w:t>(</w:t>
        </w:r>
        <w:r>
          <w:rPr>
            <w:sz w:val="16"/>
          </w:rPr>
          <w:t>B</w:t>
        </w:r>
        <w:r>
          <w:rPr>
            <w:sz w:val="20"/>
          </w:rPr>
          <w:t>) O</w:t>
        </w:r>
        <w:r>
          <w:rPr>
            <w:sz w:val="16"/>
          </w:rPr>
          <w:t>BTENCIÓN DE SANGRE DE LA ARTERIA</w:t>
        </w:r>
      </w:hyperlink>
      <w:r>
        <w:rPr>
          <w:sz w:val="16"/>
        </w:rPr>
        <w:t> </w:t>
      </w:r>
      <w:hyperlink w:history="true" w:anchor="_bookmark73">
        <w:r>
          <w:rPr>
            <w:sz w:val="16"/>
          </w:rPr>
          <w:t>DORSAL METATARSIANA PARA SU</w:t>
        </w:r>
        <w:r>
          <w:rPr>
            <w:spacing w:val="-4"/>
            <w:sz w:val="16"/>
          </w:rPr>
          <w:t> </w:t>
        </w:r>
        <w:r>
          <w:rPr>
            <w:sz w:val="16"/>
          </w:rPr>
          <w:t>ANÁLISIS</w:t>
        </w:r>
        <w:r>
          <w:rPr>
            <w:spacing w:val="-5"/>
            <w:sz w:val="16"/>
          </w:rPr>
          <w:t> </w:t>
        </w:r>
        <w:r>
          <w:rPr>
            <w:sz w:val="16"/>
          </w:rPr>
          <w:t>GASOMÉTRICO</w:t>
        </w:r>
        <w:r>
          <w:rPr>
            <w:sz w:val="20"/>
          </w:rPr>
          <w:tab/>
          <w:t>49</w:t>
        </w:r>
      </w:hyperlink>
    </w:p>
    <w:p>
      <w:pPr>
        <w:spacing w:after="0"/>
        <w:jc w:val="left"/>
        <w:rPr>
          <w:sz w:val="20"/>
        </w:rPr>
        <w:sectPr>
          <w:pgSz w:w="12240" w:h="15840"/>
          <w:pgMar w:header="0" w:footer="1591" w:top="1500" w:bottom="1840" w:left="1720" w:right="1180"/>
        </w:sectPr>
      </w:pPr>
    </w:p>
    <w:p>
      <w:pPr>
        <w:pStyle w:val="BodyText"/>
        <w:spacing w:before="1"/>
        <w:rPr>
          <w:sz w:val="27"/>
        </w:rPr>
      </w:pPr>
    </w:p>
    <w:p>
      <w:pPr>
        <w:spacing w:before="0"/>
        <w:ind w:left="863" w:right="0" w:firstLine="0"/>
        <w:jc w:val="left"/>
        <w:rPr>
          <w:b/>
          <w:sz w:val="24"/>
        </w:rPr>
      </w:pPr>
      <w:r>
        <w:rPr>
          <w:b/>
          <w:sz w:val="24"/>
        </w:rPr>
        <w:t>Resumen</w:t>
      </w:r>
    </w:p>
    <w:p>
      <w:pPr>
        <w:pStyle w:val="BodyText"/>
        <w:spacing w:line="360" w:lineRule="auto" w:before="132"/>
        <w:ind w:left="152" w:right="103" w:firstLine="710"/>
        <w:jc w:val="both"/>
      </w:pPr>
      <w:r>
        <w:rPr/>
        <w:t>La administración de anestésicos inhalatorios deprime </w:t>
      </w:r>
      <w:r>
        <w:rPr>
          <w:spacing w:val="-3"/>
        </w:rPr>
        <w:t>la </w:t>
      </w:r>
      <w:r>
        <w:rPr/>
        <w:t>función cardio-respiratoria de manera dependiente de </w:t>
      </w:r>
      <w:r>
        <w:rPr>
          <w:spacing w:val="-3"/>
        </w:rPr>
        <w:t>la </w:t>
      </w:r>
      <w:r>
        <w:rPr/>
        <w:t>dosis. </w:t>
      </w:r>
      <w:r>
        <w:rPr>
          <w:spacing w:val="3"/>
        </w:rPr>
        <w:t>En </w:t>
      </w:r>
      <w:r>
        <w:rPr/>
        <w:t>el área de </w:t>
      </w:r>
      <w:r>
        <w:rPr>
          <w:spacing w:val="-3"/>
        </w:rPr>
        <w:t>la </w:t>
      </w:r>
      <w:r>
        <w:rPr/>
        <w:t>anestesiología existe un gran interés por </w:t>
      </w:r>
      <w:r>
        <w:rPr>
          <w:spacing w:val="-3"/>
        </w:rPr>
        <w:t>la </w:t>
      </w:r>
      <w:r>
        <w:rPr/>
        <w:t>utilización de fármacos capaces de disminuir los requerimientos de los anestésicos inhalatorios. El diseño de este estudio </w:t>
      </w:r>
      <w:r>
        <w:rPr>
          <w:spacing w:val="-3"/>
        </w:rPr>
        <w:t>fue </w:t>
      </w:r>
      <w:r>
        <w:rPr/>
        <w:t>cruzado aleatorio prospectivo y experimental. Se incluyeron 6 perros adultos de raza criolla, castrados con un peso de 21 ± 3 Kg. La inducción se llevó a cabo con sevoflurano a través de mascarilla facial. Una vez alcanzando el plano anestésico adecuado cada uno de los pacientes recibió cada uno de los siguientes tratamientos,(Grupo LID) dosis de carga 2 mg/Kg, IV, posteriormente se </w:t>
      </w:r>
      <w:r>
        <w:rPr>
          <w:spacing w:val="-3"/>
        </w:rPr>
        <w:t>inició </w:t>
      </w:r>
      <w:r>
        <w:rPr/>
        <w:t>una  infusión continua IC) de 100 µg/Kg, IV, (Grupo DEX) 2 µg/Kg, IV, posteriormente se </w:t>
      </w:r>
      <w:r>
        <w:rPr>
          <w:spacing w:val="-3"/>
        </w:rPr>
        <w:t>inició </w:t>
      </w:r>
      <w:r>
        <w:rPr/>
        <w:t>una IFC de 2 µg/Kg, IV, (Grupo LID-DEX), en este grupo recibieron una dosis de carga de LID y DEX, 2 mg/Kg y 2 µg/Kg, IV, durante un minuto y posteriormente se </w:t>
      </w:r>
      <w:r>
        <w:rPr>
          <w:spacing w:val="-3"/>
        </w:rPr>
        <w:t>inició </w:t>
      </w:r>
      <w:r>
        <w:rPr/>
        <w:t>IFC de LID a una dosis de 100 µg/Kg/min y (IFC) de DEX a una dosis de 2 µg/Kg/hora. La presión arterial sistólica, diastólica y media (PAS, PAD, PAM), presión venosa central (PVC), presión de oclusión de </w:t>
      </w:r>
      <w:r>
        <w:rPr>
          <w:spacing w:val="-3"/>
        </w:rPr>
        <w:t>la </w:t>
      </w:r>
      <w:r>
        <w:rPr/>
        <w:t>arteria pulmonar (POAP), gasto cardiaco (GC), trabajo sistólico del ventrículo izquierdo (LVSW), índice de resistencia vascular sistémica (IRVS), se evaluaron en cada tratamiento, </w:t>
      </w:r>
      <w:r>
        <w:rPr>
          <w:spacing w:val="-3"/>
        </w:rPr>
        <w:t>la </w:t>
      </w:r>
      <w:r>
        <w:rPr/>
        <w:t>concentración de sevoflurano se ajustó para cada uno de los tratamientos basados en un estudio</w:t>
      </w:r>
      <w:r>
        <w:rPr>
          <w:spacing w:val="-17"/>
        </w:rPr>
        <w:t> </w:t>
      </w:r>
      <w:r>
        <w:rPr/>
        <w:t>previo.</w:t>
      </w:r>
    </w:p>
    <w:p>
      <w:pPr>
        <w:pStyle w:val="BodyText"/>
        <w:spacing w:line="360" w:lineRule="auto" w:before="4"/>
        <w:ind w:left="152" w:right="100"/>
        <w:jc w:val="both"/>
      </w:pPr>
      <w:r>
        <w:rPr/>
        <w:t>La utilización de (DEX) sola o en combinación (LIDO-DEX) produce disminución de la (FC), e índice cardiaco IC de manera estadísticamente significativa en comparación con el grupo (LIDO) y el valor basal (BAS) (p &lt;0,0001).En el grupo (DEX) la presión de oclusión arterial pulmonar (POAP), (IRVS) aumento de manera estadísticamente significativa, en comparación con el grupo (LID) y el valor basal (BAS) (p &lt;0,0001). La presión (PAD), (IRVS), (POAP), (SVI) aumento de manera estadísticamente significativa en el grupo (LIDO-DEX) en comparación con el grupo (LID) y el valor basal (p &lt;0,0005); p &lt;0,0001; p</w:t>
      </w:r>
    </w:p>
    <w:p>
      <w:pPr>
        <w:pStyle w:val="BodyText"/>
        <w:spacing w:line="360" w:lineRule="auto" w:before="3"/>
        <w:ind w:left="152" w:right="105"/>
        <w:jc w:val="both"/>
      </w:pPr>
      <w:r>
        <w:rPr>
          <w:position w:val="2"/>
        </w:rPr>
        <w:t>&lt;0,0001; p &lt;0,001). La liberación de oxígeno a los tejidos (DO</w:t>
      </w:r>
      <w:r>
        <w:rPr>
          <w:sz w:val="16"/>
        </w:rPr>
        <w:t>2</w:t>
      </w:r>
      <w:r>
        <w:rPr>
          <w:position w:val="2"/>
        </w:rPr>
        <w:t>) disminuyo de manera </w:t>
      </w:r>
      <w:r>
        <w:rPr/>
        <w:t>estadísticamente significativa en los grupos DEX, y LIDO-DEX en comparación con el grupo LIDO y el valor basal (p &lt; 0.001). La utilización de dexmedetomidina y su combinación  con  lidocaína  con una  dosis de  impregnación  intravenosa  seguida  de  una</w:t>
      </w:r>
    </w:p>
    <w:p>
      <w:pPr>
        <w:spacing w:after="0" w:line="360" w:lineRule="auto"/>
        <w:jc w:val="both"/>
        <w:sectPr>
          <w:pgSz w:w="12240" w:h="15840"/>
          <w:pgMar w:header="0" w:footer="1591" w:top="1500" w:bottom="1840" w:left="1720" w:right="1420"/>
        </w:sectPr>
      </w:pPr>
    </w:p>
    <w:p>
      <w:pPr>
        <w:pStyle w:val="BodyText"/>
        <w:spacing w:before="7"/>
        <w:rPr>
          <w:sz w:val="20"/>
        </w:rPr>
      </w:pPr>
    </w:p>
    <w:p>
      <w:pPr>
        <w:pStyle w:val="BodyText"/>
        <w:spacing w:line="360" w:lineRule="auto" w:before="69"/>
        <w:ind w:left="152" w:right="106"/>
        <w:jc w:val="both"/>
      </w:pPr>
      <w:r>
        <w:rPr/>
        <w:t>infusión continua ocasiona cambios cardiovasculares significativos similares a los observados con la utilización de dexmedetomidina sola en perros anestesiados con sevoflurano.</w:t>
      </w:r>
    </w:p>
    <w:p>
      <w:pPr>
        <w:spacing w:after="0" w:line="360" w:lineRule="auto"/>
        <w:jc w:val="both"/>
        <w:sectPr>
          <w:pgSz w:w="12240" w:h="15840"/>
          <w:pgMar w:header="0" w:footer="1591" w:top="1500" w:bottom="1840" w:left="1720" w:right="1420"/>
        </w:sectPr>
      </w:pPr>
    </w:p>
    <w:p>
      <w:pPr>
        <w:pStyle w:val="BodyText"/>
        <w:spacing w:before="1"/>
        <w:rPr>
          <w:sz w:val="21"/>
        </w:rPr>
      </w:pPr>
    </w:p>
    <w:p>
      <w:pPr>
        <w:pStyle w:val="Heading2"/>
        <w:ind w:left="863" w:firstLine="0"/>
      </w:pPr>
      <w:r>
        <w:rPr/>
        <w:t>Abstract</w:t>
      </w:r>
    </w:p>
    <w:p>
      <w:pPr>
        <w:pStyle w:val="BodyText"/>
        <w:spacing w:line="360" w:lineRule="auto" w:before="132"/>
        <w:ind w:left="152" w:right="101" w:firstLine="710"/>
        <w:jc w:val="both"/>
      </w:pPr>
      <w:r>
        <w:rPr/>
        <w:t>The administration of anesthetics depresses cardiorespiratory function </w:t>
      </w:r>
      <w:r>
        <w:rPr>
          <w:spacing w:val="4"/>
        </w:rPr>
        <w:t>of </w:t>
      </w:r>
      <w:r>
        <w:rPr/>
        <w:t>dose dependent manner. In the area of anesthesiology there </w:t>
      </w:r>
      <w:r>
        <w:rPr>
          <w:spacing w:val="-3"/>
        </w:rPr>
        <w:t>is </w:t>
      </w:r>
      <w:r>
        <w:rPr/>
        <w:t>great interest </w:t>
      </w:r>
      <w:r>
        <w:rPr>
          <w:spacing w:val="-3"/>
        </w:rPr>
        <w:t>in </w:t>
      </w:r>
      <w:r>
        <w:rPr/>
        <w:t>the use of drugs capable of lowering the requirements </w:t>
      </w:r>
      <w:r>
        <w:rPr>
          <w:spacing w:val="4"/>
        </w:rPr>
        <w:t>of </w:t>
      </w:r>
      <w:r>
        <w:rPr/>
        <w:t>inhaled anesthetics. The study </w:t>
      </w:r>
      <w:r>
        <w:rPr>
          <w:spacing w:val="-3"/>
        </w:rPr>
        <w:t>is </w:t>
      </w:r>
      <w:r>
        <w:rPr/>
        <w:t>design  prospective randomized cross-over experimental study. 6 adult’s mongrel dogs, neutered weighing 21 ± 3 </w:t>
      </w:r>
      <w:r>
        <w:rPr>
          <w:spacing w:val="-3"/>
        </w:rPr>
        <w:t>Kg </w:t>
      </w:r>
      <w:r>
        <w:rPr/>
        <w:t>were included. The induction was carried out with sevoflurane. Once reaching suitable anesthetic plane, each of the patients received each of the following treatments (Group 1-LID) loading dose of 2 mg/Kg, IV, subsequently began a continuous infusion of lidocaine (CRI) 100 mg/Kg , IV, (Group 2-DEX) received a dose loading </w:t>
      </w:r>
      <w:r>
        <w:rPr>
          <w:spacing w:val="4"/>
        </w:rPr>
        <w:t>of </w:t>
      </w:r>
      <w:r>
        <w:rPr/>
        <w:t>dexmedetomidine 2 mg/Kg IV, subsequently initiated a CRI of dexmedetomidine 2 </w:t>
      </w:r>
      <w:r>
        <w:rPr>
          <w:spacing w:val="-3"/>
        </w:rPr>
        <w:t>mg/Kg </w:t>
      </w:r>
      <w:r>
        <w:rPr/>
        <w:t>IV (Group 3-LID-DEX), </w:t>
      </w:r>
      <w:r>
        <w:rPr>
          <w:spacing w:val="-3"/>
        </w:rPr>
        <w:t>in </w:t>
      </w:r>
      <w:r>
        <w:rPr/>
        <w:t>this group received a dose loading of LID and DEX , 2 mg/Kg and  2  mg/Kg,  IV,  for  one  minute  and  subsequently  CRI  LID  start  </w:t>
      </w:r>
      <w:r>
        <w:rPr>
          <w:spacing w:val="-3"/>
        </w:rPr>
        <w:t>at  </w:t>
      </w:r>
      <w:r>
        <w:rPr/>
        <w:t>a  dose  of</w:t>
      </w:r>
      <w:r>
        <w:rPr>
          <w:spacing w:val="58"/>
        </w:rPr>
        <w:t> </w:t>
      </w:r>
      <w:r>
        <w:rPr/>
        <w:t>100</w:t>
      </w:r>
    </w:p>
    <w:p>
      <w:pPr>
        <w:pStyle w:val="BodyText"/>
        <w:spacing w:line="360" w:lineRule="auto" w:before="4"/>
        <w:ind w:left="152" w:right="111"/>
        <w:jc w:val="both"/>
      </w:pPr>
      <w:r>
        <w:rPr/>
        <w:t>µg/Kg/min and CRI DEX at a dose </w:t>
      </w:r>
      <w:r>
        <w:rPr>
          <w:spacing w:val="4"/>
        </w:rPr>
        <w:t>of </w:t>
      </w:r>
      <w:r>
        <w:rPr/>
        <w:t>2 mg/Kg/hour. Systolic, diastolic and mean (SAP, DAP, MAP) invasive arterial blood pressure, central venous blood pressure (CVP), pulmonary artery occlusion pressure(PAOP), cardiac index(CI), </w:t>
      </w:r>
      <w:r>
        <w:rPr>
          <w:spacing w:val="-4"/>
        </w:rPr>
        <w:t>left </w:t>
      </w:r>
      <w:r>
        <w:rPr/>
        <w:t>ventricular stroke work (LVSW), systemic vascular resistance index (SVRI) were evaluated </w:t>
      </w:r>
      <w:r>
        <w:rPr>
          <w:spacing w:val="-3"/>
        </w:rPr>
        <w:t>in </w:t>
      </w:r>
      <w:r>
        <w:rPr/>
        <w:t>each treatment; sevoflurane concentration was adjusted for each of the treatments based on a previous study.</w:t>
      </w:r>
    </w:p>
    <w:p>
      <w:pPr>
        <w:pStyle w:val="BodyText"/>
        <w:spacing w:line="362" w:lineRule="auto" w:before="4"/>
        <w:ind w:left="152" w:firstLine="710"/>
      </w:pPr>
      <w:r>
        <w:rPr/>
        <w:t>Using (DEX) alone or </w:t>
      </w:r>
      <w:r>
        <w:rPr>
          <w:spacing w:val="-3"/>
        </w:rPr>
        <w:t>in </w:t>
      </w:r>
      <w:r>
        <w:rPr/>
        <w:t>combination (LIDO-DEX) results </w:t>
      </w:r>
      <w:r>
        <w:rPr>
          <w:spacing w:val="-3"/>
        </w:rPr>
        <w:t>in </w:t>
      </w:r>
      <w:r>
        <w:rPr/>
        <w:t>decreased (HR), and cardiac index (CI) statistically significant compared with the group (LID) and baseline   </w:t>
      </w:r>
      <w:r>
        <w:rPr>
          <w:spacing w:val="56"/>
        </w:rPr>
        <w:t> </w:t>
      </w:r>
      <w:r>
        <w:rPr/>
        <w:t>(p</w:t>
      </w:r>
    </w:p>
    <w:p>
      <w:pPr>
        <w:pStyle w:val="BodyText"/>
        <w:spacing w:line="360" w:lineRule="auto" w:before="1"/>
        <w:ind w:left="152" w:right="113"/>
        <w:jc w:val="both"/>
      </w:pPr>
      <w:r>
        <w:rPr/>
        <w:t>&lt;0.0001). In group (DEX) the pulmonary artery occlusion pressure (PAOP), (SVRI) there </w:t>
      </w:r>
      <w:r>
        <w:rPr>
          <w:spacing w:val="-3"/>
        </w:rPr>
        <w:t>is </w:t>
      </w:r>
      <w:r>
        <w:rPr/>
        <w:t>a statistically significant increase compared with the group (LIDO) and baseline value</w:t>
      </w:r>
      <w:r>
        <w:rPr>
          <w:spacing w:val="50"/>
        </w:rPr>
        <w:t> </w:t>
      </w:r>
      <w:r>
        <w:rPr/>
        <w:t>(p</w:t>
      </w:r>
    </w:p>
    <w:p>
      <w:pPr>
        <w:pStyle w:val="BodyText"/>
        <w:spacing w:line="360" w:lineRule="auto" w:before="4"/>
        <w:ind w:left="152" w:right="106"/>
        <w:jc w:val="both"/>
      </w:pPr>
      <w:r>
        <w:rPr/>
        <w:t>&lt;0.0001). The blood arterial pressure (DAP), (SVRI), (PAOP), (SVI),  increased statistically significantly </w:t>
      </w:r>
      <w:r>
        <w:rPr>
          <w:spacing w:val="-3"/>
        </w:rPr>
        <w:t>in </w:t>
      </w:r>
      <w:r>
        <w:rPr/>
        <w:t>the (LIDO-DEX) group compared with the group (LIDO) and baseline value (p &lt;0.0005); p &lt;0.0001; p &lt;0.0001; p &lt;0.001). The release </w:t>
      </w:r>
      <w:r>
        <w:rPr>
          <w:spacing w:val="4"/>
        </w:rPr>
        <w:t>of </w:t>
      </w:r>
      <w:r>
        <w:rPr/>
        <w:t>oxygen </w:t>
      </w:r>
      <w:r>
        <w:rPr>
          <w:spacing w:val="2"/>
        </w:rPr>
        <w:t>to </w:t>
      </w:r>
      <w:r>
        <w:rPr/>
        <w:t>the </w:t>
      </w:r>
      <w:r>
        <w:rPr>
          <w:position w:val="2"/>
        </w:rPr>
        <w:t>tissues (DO</w:t>
      </w:r>
      <w:r>
        <w:rPr>
          <w:sz w:val="16"/>
        </w:rPr>
        <w:t>2</w:t>
      </w:r>
      <w:r>
        <w:rPr>
          <w:position w:val="2"/>
        </w:rPr>
        <w:t>) statistically significantly decreased in DEX groups and LIDO-DEX compared </w:t>
      </w:r>
      <w:r>
        <w:rPr/>
        <w:t>to LIDO group and baseline value (p &lt;0.001). Lidocaine and dexmedetomidine using its combination with an  intravenous  dose  of impregnation  followed  by continuous </w:t>
      </w:r>
      <w:r>
        <w:rPr>
          <w:spacing w:val="11"/>
        </w:rPr>
        <w:t> </w:t>
      </w:r>
      <w:r>
        <w:rPr/>
        <w:t>infusion</w:t>
      </w:r>
    </w:p>
    <w:p>
      <w:pPr>
        <w:spacing w:after="0" w:line="360" w:lineRule="auto"/>
        <w:jc w:val="both"/>
        <w:sectPr>
          <w:pgSz w:w="12240" w:h="15840"/>
          <w:pgMar w:header="0" w:footer="1591" w:top="1500" w:bottom="1840" w:left="1720" w:right="1420"/>
        </w:sectPr>
      </w:pPr>
    </w:p>
    <w:p>
      <w:pPr>
        <w:pStyle w:val="BodyText"/>
        <w:spacing w:before="7"/>
        <w:rPr>
          <w:sz w:val="20"/>
        </w:rPr>
      </w:pPr>
    </w:p>
    <w:p>
      <w:pPr>
        <w:pStyle w:val="BodyText"/>
        <w:spacing w:line="360" w:lineRule="auto" w:before="69"/>
        <w:ind w:left="152"/>
      </w:pPr>
      <w:r>
        <w:rPr/>
        <w:t>causes significant cardiovascular changes, similar to those observed with the use of dexmedetomidine alone, in dogs anesthetized with sevoflurane.</w:t>
      </w:r>
    </w:p>
    <w:p>
      <w:pPr>
        <w:spacing w:after="0" w:line="360" w:lineRule="auto"/>
        <w:sectPr>
          <w:footerReference w:type="default" r:id="rId8"/>
          <w:pgSz w:w="12240" w:h="15840"/>
          <w:pgMar w:footer="1651" w:header="0" w:top="1500" w:bottom="1840" w:left="1720" w:right="1420"/>
          <w:pgNumType w:start="9"/>
        </w:sectPr>
      </w:pPr>
    </w:p>
    <w:p>
      <w:pPr>
        <w:pStyle w:val="BodyText"/>
        <w:spacing w:before="8"/>
        <w:rPr>
          <w:sz w:val="21"/>
        </w:rPr>
      </w:pPr>
    </w:p>
    <w:p>
      <w:pPr>
        <w:pStyle w:val="Heading1"/>
      </w:pPr>
      <w:bookmarkStart w:name="_bookmark1" w:id="2"/>
      <w:bookmarkEnd w:id="2"/>
      <w:r>
        <w:rPr>
          <w:b w:val="0"/>
        </w:rPr>
      </w:r>
      <w:r>
        <w:rPr/>
        <w:t>CAPITULO I</w:t>
      </w:r>
    </w:p>
    <w:p>
      <w:pPr>
        <w:pStyle w:val="BodyText"/>
        <w:rPr>
          <w:b/>
          <w:sz w:val="13"/>
        </w:rPr>
      </w:pPr>
      <w:r>
        <w:rPr/>
        <w:pict>
          <v:line style="position:absolute;mso-position-horizontal-relative:page;mso-position-vertical-relative:paragraph;z-index:1096;mso-wrap-distance-left:0;mso-wrap-distance-right:0" from="92.208pt,10.171667pt" to="537.098pt,10.171667pt" stroked="true" strokeweight="1.44pt" strokecolor="#000000">
            <w10:wrap type="topAndBottom"/>
          </v:line>
        </w:pict>
      </w:r>
    </w:p>
    <w:p>
      <w:pPr>
        <w:pStyle w:val="BodyText"/>
        <w:spacing w:before="5"/>
        <w:rPr>
          <w:b/>
          <w:sz w:val="2"/>
        </w:rPr>
      </w:pPr>
    </w:p>
    <w:p>
      <w:pPr>
        <w:pStyle w:val="BodyText"/>
        <w:spacing w:line="20" w:lineRule="exact"/>
        <w:ind w:left="116"/>
        <w:rPr>
          <w:sz w:val="2"/>
        </w:rPr>
      </w:pPr>
      <w:r>
        <w:rPr>
          <w:sz w:val="2"/>
        </w:rPr>
        <w:pict>
          <v:group style="width:445.65pt;height:.75pt;mso-position-horizontal-relative:char;mso-position-vertical-relative:line" coordorigin="0,0" coordsize="8913,15">
            <v:line style="position:absolute" from="8,8" to="8905,8" stroked="true" strokeweight=".72pt" strokecolor="#000000"/>
          </v:group>
        </w:pict>
      </w:r>
      <w:r>
        <w:rPr>
          <w:sz w:val="2"/>
        </w:rPr>
      </w:r>
    </w:p>
    <w:p>
      <w:pPr>
        <w:pStyle w:val="BodyText"/>
        <w:spacing w:before="2"/>
        <w:rPr>
          <w:b/>
          <w:sz w:val="29"/>
        </w:rPr>
      </w:pPr>
    </w:p>
    <w:p>
      <w:pPr>
        <w:pStyle w:val="Heading2"/>
        <w:numPr>
          <w:ilvl w:val="0"/>
          <w:numId w:val="2"/>
        </w:numPr>
        <w:tabs>
          <w:tab w:pos="398" w:val="left" w:leader="none"/>
        </w:tabs>
        <w:spacing w:line="240" w:lineRule="auto" w:before="69" w:after="0"/>
        <w:ind w:left="397" w:right="0" w:hanging="245"/>
        <w:jc w:val="left"/>
      </w:pPr>
      <w:bookmarkStart w:name="_bookmark2" w:id="3"/>
      <w:bookmarkEnd w:id="3"/>
      <w:r>
        <w:rPr>
          <w:b w:val="0"/>
        </w:rPr>
      </w:r>
      <w:bookmarkStart w:name="_bookmark2" w:id="4"/>
      <w:bookmarkEnd w:id="4"/>
      <w:r>
        <w:rPr/>
        <w:t>I</w:t>
      </w:r>
      <w:r>
        <w:rPr/>
        <w:t>ntroducción</w:t>
      </w:r>
    </w:p>
    <w:p>
      <w:pPr>
        <w:pStyle w:val="BodyText"/>
        <w:spacing w:line="362" w:lineRule="auto" w:before="132"/>
        <w:ind w:left="152" w:right="149" w:firstLine="710"/>
        <w:jc w:val="both"/>
      </w:pPr>
      <w:r>
        <w:rPr/>
        <w:t>La transición de la conciencia a la inconsciencia es una enorme imposición sobre la fisiología de cualquier individuo y por lo tanto, debería llevarse a cabo con gran cuidado y monitorización adecuada.</w:t>
      </w:r>
    </w:p>
    <w:p>
      <w:pPr>
        <w:pStyle w:val="BodyText"/>
        <w:spacing w:line="360" w:lineRule="auto" w:before="1"/>
        <w:ind w:left="152" w:right="145" w:firstLine="705"/>
        <w:jc w:val="both"/>
      </w:pPr>
      <w:r>
        <w:rPr/>
        <w:t>La administración de agentes anestésicos por </w:t>
      </w:r>
      <w:r>
        <w:rPr>
          <w:spacing w:val="-5"/>
        </w:rPr>
        <w:t>lo </w:t>
      </w:r>
      <w:r>
        <w:rPr/>
        <w:t>general es segura y bien tolerada </w:t>
      </w:r>
      <w:r>
        <w:rPr>
          <w:spacing w:val="4"/>
        </w:rPr>
        <w:t>en </w:t>
      </w:r>
      <w:r>
        <w:rPr/>
        <w:t>pacientes sanos. Sin embargo, en un paciente con alteraciones fisiológicas, se encuentran predispuestos a complicaciones, aumentando el riesgo anestésico debido principalmente a  </w:t>
      </w:r>
      <w:r>
        <w:rPr>
          <w:spacing w:val="-3"/>
        </w:rPr>
        <w:t>la </w:t>
      </w:r>
      <w:r>
        <w:rPr/>
        <w:t>interacción que existe entre los cambios fisiológicos del individuo y </w:t>
      </w:r>
      <w:r>
        <w:rPr>
          <w:spacing w:val="-3"/>
        </w:rPr>
        <w:t>la </w:t>
      </w:r>
      <w:r>
        <w:rPr/>
        <w:t>farmacodinamia  de los agentes</w:t>
      </w:r>
      <w:r>
        <w:rPr>
          <w:spacing w:val="-14"/>
        </w:rPr>
        <w:t> </w:t>
      </w:r>
      <w:r>
        <w:rPr/>
        <w:t>anestésicos.</w:t>
      </w:r>
    </w:p>
    <w:p>
      <w:pPr>
        <w:pStyle w:val="BodyText"/>
        <w:spacing w:line="360" w:lineRule="auto" w:before="4"/>
        <w:ind w:left="152" w:right="147" w:firstLine="705"/>
        <w:jc w:val="both"/>
      </w:pPr>
      <w:r>
        <w:rPr/>
        <w:t>Los anestésicos poseen diferentes efectos sobre la función del aparato cardiorrespiratorio, modificando la frecuencia cardiaca, la contractibilidad miocárdica, el gasto cardiaco, la presión sanguínea, el tono vasomotor, la perfusión tisular periférica, a su vez que disminuyen la función pulmonar, incrementado la mezcla de sangre venosa que se acompaña de disminución de la concentración de oxígeno en sangre (Haskins 2006).</w:t>
      </w:r>
    </w:p>
    <w:p>
      <w:pPr>
        <w:pStyle w:val="BodyText"/>
        <w:spacing w:line="360" w:lineRule="auto" w:before="4"/>
        <w:ind w:left="152" w:right="143" w:firstLine="705"/>
        <w:jc w:val="both"/>
      </w:pPr>
      <w:r>
        <w:rPr/>
        <w:t>La evaluación del estado cardiopulmonar, debe integrarse en todos los pacientes antes de ser sometidos a un procedimiento anestésico. No existe un parámetro único capaz de determinar la función cardiovascular en su totalidad. Por lo que es importante evaluar el mayor número de parámetros posibles con el objetivo de poder determinar el funcionamiento del aparato cardiovascular (Haskins </w:t>
      </w:r>
      <w:r>
        <w:rPr>
          <w:i/>
        </w:rPr>
        <w:t>et al </w:t>
      </w:r>
      <w:r>
        <w:rPr/>
        <w:t>2005).</w:t>
      </w:r>
    </w:p>
    <w:p>
      <w:pPr>
        <w:pStyle w:val="BodyText"/>
        <w:spacing w:line="360" w:lineRule="auto" w:before="4"/>
        <w:ind w:left="152" w:right="148" w:firstLine="705"/>
        <w:jc w:val="both"/>
      </w:pPr>
      <w:r>
        <w:rPr/>
        <w:t>Los agentes anestésicos poseen diferentes mecanismos de acción sobre el aparato cardiorrespiratorio. La evaluación del aparato cardiovascular por lo general siempre inicia con la evaluación del retorno venoso y de la presión de precarga, tabla 1.</w:t>
      </w:r>
    </w:p>
    <w:p>
      <w:pPr>
        <w:spacing w:after="0" w:line="360" w:lineRule="auto"/>
        <w:jc w:val="both"/>
        <w:sectPr>
          <w:footerReference w:type="default" r:id="rId9"/>
          <w:pgSz w:w="12240" w:h="15840"/>
          <w:pgMar w:footer="1651" w:header="0" w:top="1500" w:bottom="1840" w:left="1720" w:right="1380"/>
          <w:pgNumType w:start="1"/>
        </w:sectPr>
      </w:pPr>
    </w:p>
    <w:p>
      <w:pPr>
        <w:pStyle w:val="BodyText"/>
        <w:rPr>
          <w:sz w:val="20"/>
        </w:rPr>
      </w:pPr>
    </w:p>
    <w:p>
      <w:pPr>
        <w:pStyle w:val="BodyText"/>
        <w:rPr>
          <w:sz w:val="20"/>
        </w:rPr>
      </w:pPr>
    </w:p>
    <w:p>
      <w:pPr>
        <w:pStyle w:val="BodyText"/>
        <w:spacing w:before="8"/>
        <w:rPr>
          <w:sz w:val="18"/>
        </w:rPr>
      </w:pPr>
    </w:p>
    <w:p>
      <w:pPr>
        <w:spacing w:before="73"/>
        <w:ind w:left="2431" w:right="0" w:firstLine="0"/>
        <w:jc w:val="left"/>
        <w:rPr>
          <w:sz w:val="22"/>
        </w:rPr>
      </w:pPr>
      <w:r>
        <w:rPr>
          <w:sz w:val="22"/>
        </w:rPr>
        <w:t>Tabla 1. Evaluación de la Función Cardiovascular</w:t>
      </w:r>
    </w:p>
    <w:p>
      <w:pPr>
        <w:pStyle w:val="BodyText"/>
        <w:spacing w:before="8" w:after="1"/>
        <w:rPr>
          <w:sz w:val="11"/>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90"/>
        <w:gridCol w:w="4894"/>
      </w:tblGrid>
      <w:tr>
        <w:trPr>
          <w:trHeight w:val="2604" w:hRule="exact"/>
        </w:trPr>
        <w:tc>
          <w:tcPr>
            <w:tcW w:w="4090" w:type="dxa"/>
            <w:tcBorders>
              <w:left w:val="nil"/>
              <w:bottom w:val="nil"/>
              <w:right w:val="nil"/>
            </w:tcBorders>
          </w:tcPr>
          <w:p>
            <w:pPr>
              <w:pStyle w:val="TableParagraph"/>
              <w:spacing w:before="0"/>
              <w:ind w:left="0"/>
              <w:rPr>
                <w:sz w:val="22"/>
              </w:rPr>
            </w:pPr>
          </w:p>
          <w:p>
            <w:pPr>
              <w:pStyle w:val="TableParagraph"/>
              <w:spacing w:before="127"/>
              <w:ind w:left="0" w:right="593"/>
              <w:jc w:val="right"/>
              <w:rPr>
                <w:b/>
                <w:i/>
                <w:sz w:val="22"/>
              </w:rPr>
            </w:pPr>
            <w:r>
              <w:rPr>
                <w:b/>
                <w:i/>
                <w:sz w:val="22"/>
              </w:rPr>
              <w:t>Evaluación de la Precarga:</w:t>
            </w:r>
          </w:p>
        </w:tc>
        <w:tc>
          <w:tcPr>
            <w:tcW w:w="4894" w:type="dxa"/>
            <w:tcBorders>
              <w:left w:val="nil"/>
              <w:bottom w:val="nil"/>
              <w:right w:val="nil"/>
            </w:tcBorders>
          </w:tcPr>
          <w:p>
            <w:pPr>
              <w:pStyle w:val="TableParagraph"/>
              <w:spacing w:before="7"/>
              <w:ind w:left="0"/>
              <w:rPr>
                <w:sz w:val="32"/>
              </w:rPr>
            </w:pPr>
          </w:p>
          <w:p>
            <w:pPr>
              <w:pStyle w:val="TableParagraph"/>
              <w:spacing w:before="0"/>
              <w:ind w:left="509" w:right="109"/>
              <w:rPr>
                <w:sz w:val="22"/>
              </w:rPr>
            </w:pPr>
            <w:r>
              <w:rPr>
                <w:sz w:val="22"/>
              </w:rPr>
              <w:t>Estado de hidratación.</w:t>
            </w:r>
          </w:p>
          <w:p>
            <w:pPr>
              <w:pStyle w:val="TableParagraph"/>
              <w:spacing w:line="360" w:lineRule="auto" w:before="126"/>
              <w:ind w:left="509" w:right="109"/>
              <w:rPr>
                <w:sz w:val="22"/>
              </w:rPr>
            </w:pPr>
            <w:r>
              <w:rPr>
                <w:sz w:val="22"/>
              </w:rPr>
              <w:t>Fácil visualización de distención de la vena yugular.</w:t>
            </w:r>
          </w:p>
          <w:p>
            <w:pPr>
              <w:pStyle w:val="TableParagraph"/>
              <w:spacing w:before="5"/>
              <w:ind w:left="509" w:right="109"/>
              <w:rPr>
                <w:sz w:val="22"/>
              </w:rPr>
            </w:pPr>
            <w:r>
              <w:rPr>
                <w:sz w:val="22"/>
              </w:rPr>
              <w:t>Presión venosa central.</w:t>
            </w:r>
          </w:p>
          <w:p>
            <w:pPr>
              <w:pStyle w:val="TableParagraph"/>
              <w:spacing w:line="360" w:lineRule="auto" w:before="126"/>
              <w:ind w:left="509" w:right="109"/>
              <w:rPr>
                <w:sz w:val="22"/>
              </w:rPr>
            </w:pPr>
            <w:r>
              <w:rPr>
                <w:sz w:val="22"/>
              </w:rPr>
              <w:t>Presión de oclusión de la arteria pulmonar (POAP).</w:t>
            </w:r>
          </w:p>
        </w:tc>
      </w:tr>
      <w:tr>
        <w:trPr>
          <w:trHeight w:val="1517" w:hRule="exact"/>
        </w:trPr>
        <w:tc>
          <w:tcPr>
            <w:tcW w:w="4090" w:type="dxa"/>
            <w:tcBorders>
              <w:top w:val="nil"/>
              <w:left w:val="nil"/>
              <w:bottom w:val="nil"/>
              <w:right w:val="nil"/>
            </w:tcBorders>
          </w:tcPr>
          <w:p>
            <w:pPr/>
          </w:p>
        </w:tc>
        <w:tc>
          <w:tcPr>
            <w:tcW w:w="4894" w:type="dxa"/>
            <w:tcBorders>
              <w:top w:val="nil"/>
              <w:left w:val="nil"/>
              <w:bottom w:val="nil"/>
              <w:right w:val="nil"/>
            </w:tcBorders>
          </w:tcPr>
          <w:p>
            <w:pPr>
              <w:pStyle w:val="TableParagraph"/>
              <w:spacing w:line="360" w:lineRule="auto"/>
              <w:ind w:left="509" w:right="109"/>
              <w:rPr>
                <w:sz w:val="22"/>
              </w:rPr>
            </w:pPr>
            <w:r>
              <w:rPr>
                <w:sz w:val="22"/>
              </w:rPr>
              <w:t>Diámetro de la vena cava por medio de estudio radiográfico.</w:t>
            </w:r>
          </w:p>
          <w:p>
            <w:pPr>
              <w:pStyle w:val="TableParagraph"/>
              <w:tabs>
                <w:tab w:pos="1564" w:val="left" w:leader="none"/>
                <w:tab w:pos="2646" w:val="left" w:leader="none"/>
                <w:tab w:pos="3274" w:val="left" w:leader="none"/>
                <w:tab w:pos="3801" w:val="left" w:leader="none"/>
                <w:tab w:pos="4574" w:val="left" w:leader="none"/>
              </w:tabs>
              <w:spacing w:line="360" w:lineRule="auto" w:before="4"/>
              <w:ind w:left="509" w:right="109"/>
              <w:rPr>
                <w:sz w:val="22"/>
              </w:rPr>
            </w:pPr>
            <w:r>
              <w:rPr>
                <w:sz w:val="22"/>
              </w:rPr>
              <w:t>Diámetro</w:t>
              <w:tab/>
              <w:t>diastólico</w:t>
              <w:tab/>
              <w:t>final</w:t>
              <w:tab/>
              <w:t>por</w:t>
              <w:tab/>
              <w:t>medio</w:t>
              <w:tab/>
              <w:t>de ecocardiografía.</w:t>
            </w:r>
          </w:p>
        </w:tc>
      </w:tr>
      <w:tr>
        <w:trPr>
          <w:trHeight w:val="2089" w:hRule="exact"/>
        </w:trPr>
        <w:tc>
          <w:tcPr>
            <w:tcW w:w="4090" w:type="dxa"/>
            <w:tcBorders>
              <w:top w:val="nil"/>
              <w:left w:val="nil"/>
              <w:bottom w:val="nil"/>
              <w:right w:val="nil"/>
            </w:tcBorders>
          </w:tcPr>
          <w:p>
            <w:pPr>
              <w:pStyle w:val="TableParagraph"/>
              <w:spacing w:before="56"/>
              <w:ind w:left="0" w:right="507"/>
              <w:jc w:val="right"/>
              <w:rPr>
                <w:b/>
                <w:i/>
                <w:sz w:val="22"/>
              </w:rPr>
            </w:pPr>
            <w:r>
              <w:rPr>
                <w:b/>
                <w:i/>
                <w:sz w:val="22"/>
              </w:rPr>
              <w:t>Postcarga (Flujo sanguíneo):</w:t>
            </w:r>
          </w:p>
        </w:tc>
        <w:tc>
          <w:tcPr>
            <w:tcW w:w="4894" w:type="dxa"/>
            <w:tcBorders>
              <w:top w:val="nil"/>
              <w:left w:val="nil"/>
              <w:bottom w:val="nil"/>
              <w:right w:val="nil"/>
            </w:tcBorders>
          </w:tcPr>
          <w:p>
            <w:pPr>
              <w:pStyle w:val="TableParagraph"/>
              <w:ind w:left="509"/>
              <w:jc w:val="both"/>
              <w:rPr>
                <w:sz w:val="22"/>
              </w:rPr>
            </w:pPr>
            <w:r>
              <w:rPr>
                <w:sz w:val="22"/>
              </w:rPr>
              <w:t>Calidad del pulso</w:t>
            </w:r>
          </w:p>
          <w:p>
            <w:pPr>
              <w:pStyle w:val="TableParagraph"/>
              <w:spacing w:line="360" w:lineRule="auto" w:before="126"/>
              <w:ind w:left="509" w:right="114"/>
              <w:jc w:val="both"/>
              <w:rPr>
                <w:sz w:val="22"/>
              </w:rPr>
            </w:pPr>
            <w:r>
              <w:rPr>
                <w:sz w:val="22"/>
              </w:rPr>
              <w:t>Evaluación del tono vasomotor: Color de las membranas mucosas, tiempo de llenado capilar. Presión sanguínea.</w:t>
            </w:r>
          </w:p>
          <w:p>
            <w:pPr>
              <w:pStyle w:val="TableParagraph"/>
              <w:spacing w:before="4"/>
              <w:ind w:left="509"/>
              <w:jc w:val="both"/>
              <w:rPr>
                <w:sz w:val="22"/>
              </w:rPr>
            </w:pPr>
            <w:r>
              <w:rPr>
                <w:sz w:val="22"/>
              </w:rPr>
              <w:t>Gasto Cardiaco.</w:t>
            </w:r>
          </w:p>
        </w:tc>
      </w:tr>
      <w:tr>
        <w:trPr>
          <w:trHeight w:val="2089" w:hRule="exact"/>
        </w:trPr>
        <w:tc>
          <w:tcPr>
            <w:tcW w:w="4090" w:type="dxa"/>
            <w:tcBorders>
              <w:top w:val="nil"/>
              <w:left w:val="nil"/>
              <w:bottom w:val="nil"/>
              <w:right w:val="nil"/>
            </w:tcBorders>
          </w:tcPr>
          <w:p>
            <w:pPr>
              <w:pStyle w:val="TableParagraph"/>
              <w:spacing w:before="7"/>
              <w:ind w:left="0"/>
              <w:rPr>
                <w:sz w:val="21"/>
              </w:rPr>
            </w:pPr>
          </w:p>
          <w:p>
            <w:pPr>
              <w:pStyle w:val="TableParagraph"/>
              <w:spacing w:before="0"/>
              <w:ind w:left="1440"/>
              <w:rPr>
                <w:b/>
                <w:i/>
                <w:sz w:val="22"/>
              </w:rPr>
            </w:pPr>
            <w:r>
              <w:rPr>
                <w:b/>
                <w:i/>
                <w:sz w:val="22"/>
              </w:rPr>
              <w:t>Perfusión tisular:</w:t>
            </w:r>
          </w:p>
        </w:tc>
        <w:tc>
          <w:tcPr>
            <w:tcW w:w="4894" w:type="dxa"/>
            <w:tcBorders>
              <w:top w:val="nil"/>
              <w:left w:val="nil"/>
              <w:bottom w:val="nil"/>
              <w:right w:val="nil"/>
            </w:tcBorders>
          </w:tcPr>
          <w:p>
            <w:pPr>
              <w:pStyle w:val="TableParagraph"/>
              <w:spacing w:before="2"/>
              <w:ind w:left="0"/>
              <w:rPr>
                <w:sz w:val="21"/>
              </w:rPr>
            </w:pPr>
          </w:p>
          <w:p>
            <w:pPr>
              <w:pStyle w:val="TableParagraph"/>
              <w:spacing w:line="360" w:lineRule="auto" w:before="0"/>
              <w:ind w:left="509" w:right="2129"/>
              <w:rPr>
                <w:sz w:val="22"/>
              </w:rPr>
            </w:pPr>
            <w:r>
              <w:rPr>
                <w:sz w:val="22"/>
              </w:rPr>
              <w:t>Diuresis trans-anestésica. Acidosis metabólica.</w:t>
            </w:r>
          </w:p>
          <w:p>
            <w:pPr>
              <w:pStyle w:val="TableParagraph"/>
              <w:spacing w:before="4"/>
              <w:ind w:left="509" w:right="109"/>
              <w:rPr>
                <w:sz w:val="22"/>
              </w:rPr>
            </w:pPr>
            <w:r>
              <w:rPr>
                <w:sz w:val="22"/>
              </w:rPr>
              <w:t>Lactato.</w:t>
            </w:r>
          </w:p>
          <w:p>
            <w:pPr>
              <w:pStyle w:val="TableParagraph"/>
              <w:spacing w:line="360" w:lineRule="auto" w:before="126"/>
              <w:ind w:left="509" w:right="163"/>
              <w:rPr>
                <w:sz w:val="22"/>
              </w:rPr>
            </w:pPr>
            <w:r>
              <w:rPr>
                <w:sz w:val="22"/>
              </w:rPr>
              <w:t>Baja concentración de oxígeno en sangre  venosa</w:t>
            </w:r>
            <w:r>
              <w:rPr>
                <w:spacing w:val="-6"/>
                <w:sz w:val="22"/>
              </w:rPr>
              <w:t> </w:t>
            </w:r>
            <w:r>
              <w:rPr>
                <w:sz w:val="22"/>
              </w:rPr>
              <w:t>central.</w:t>
            </w:r>
          </w:p>
        </w:tc>
      </w:tr>
      <w:tr>
        <w:trPr>
          <w:trHeight w:val="819" w:hRule="exact"/>
        </w:trPr>
        <w:tc>
          <w:tcPr>
            <w:tcW w:w="4090" w:type="dxa"/>
            <w:tcBorders>
              <w:top w:val="nil"/>
              <w:left w:val="nil"/>
              <w:right w:val="nil"/>
            </w:tcBorders>
          </w:tcPr>
          <w:p>
            <w:pPr/>
          </w:p>
        </w:tc>
        <w:tc>
          <w:tcPr>
            <w:tcW w:w="4894" w:type="dxa"/>
            <w:tcBorders>
              <w:top w:val="nil"/>
              <w:left w:val="nil"/>
              <w:right w:val="nil"/>
            </w:tcBorders>
          </w:tcPr>
          <w:p>
            <w:pPr>
              <w:pStyle w:val="TableParagraph"/>
              <w:spacing w:line="360" w:lineRule="auto"/>
              <w:ind w:left="509" w:right="109"/>
              <w:rPr>
                <w:sz w:val="22"/>
              </w:rPr>
            </w:pPr>
            <w:r>
              <w:rPr>
                <w:sz w:val="22"/>
              </w:rPr>
              <w:t>Relación de extracción de oxígeno arterial- venosa.</w:t>
            </w:r>
          </w:p>
        </w:tc>
      </w:tr>
    </w:tbl>
    <w:p>
      <w:pPr>
        <w:pStyle w:val="BodyText"/>
        <w:rPr>
          <w:sz w:val="20"/>
        </w:rPr>
      </w:pPr>
    </w:p>
    <w:p>
      <w:pPr>
        <w:pStyle w:val="BodyText"/>
        <w:rPr>
          <w:sz w:val="20"/>
        </w:rPr>
      </w:pPr>
    </w:p>
    <w:p>
      <w:pPr>
        <w:pStyle w:val="BodyText"/>
        <w:spacing w:before="3"/>
        <w:rPr>
          <w:sz w:val="19"/>
        </w:rPr>
      </w:pPr>
    </w:p>
    <w:p>
      <w:pPr>
        <w:pStyle w:val="BodyText"/>
        <w:spacing w:line="360" w:lineRule="auto" w:before="69"/>
        <w:ind w:left="212"/>
      </w:pPr>
      <w:r>
        <w:rPr/>
        <w:t>Una vez que el corazón ha sido llenado con una cantidad adecuada de sangre, este debe contraerse con la fuerza suficiente para crear el volumen de eyección. La mayoría de los</w:t>
      </w:r>
    </w:p>
    <w:p>
      <w:pPr>
        <w:spacing w:after="0" w:line="360" w:lineRule="auto"/>
        <w:sectPr>
          <w:pgSz w:w="12240" w:h="15840"/>
          <w:pgMar w:header="0" w:footer="1651" w:top="1500" w:bottom="1840" w:left="1660" w:right="1380"/>
        </w:sectPr>
      </w:pPr>
    </w:p>
    <w:p>
      <w:pPr>
        <w:pStyle w:val="BodyText"/>
        <w:spacing w:before="7"/>
        <w:rPr>
          <w:sz w:val="20"/>
        </w:rPr>
      </w:pPr>
    </w:p>
    <w:p>
      <w:pPr>
        <w:pStyle w:val="BodyText"/>
        <w:spacing w:line="360" w:lineRule="auto" w:before="69"/>
        <w:ind w:left="152"/>
      </w:pPr>
      <w:r>
        <w:rPr/>
        <w:t>agentes anestésicos disminuyen la precarga y las postcarga independientemente de la contractibilidad miocárdica (Frink </w:t>
      </w:r>
      <w:r>
        <w:rPr>
          <w:i/>
        </w:rPr>
        <w:t>et al</w:t>
      </w:r>
      <w:r>
        <w:rPr/>
        <w:t>. 1992; Suzer </w:t>
      </w:r>
      <w:r>
        <w:rPr>
          <w:i/>
        </w:rPr>
        <w:t>et al</w:t>
      </w:r>
      <w:r>
        <w:rPr/>
        <w:t>. 1998).</w:t>
      </w:r>
    </w:p>
    <w:p>
      <w:pPr>
        <w:pStyle w:val="BodyText"/>
        <w:spacing w:line="360" w:lineRule="auto" w:before="4"/>
        <w:ind w:left="152" w:right="113" w:firstLine="705"/>
        <w:jc w:val="both"/>
      </w:pPr>
      <w:r>
        <w:rPr/>
        <w:t>De los agentes anestésicos inhalatorios el desflurano parece ser el menos depresor del aparato cardiovascular seguido del sevoflurano, isoflurano, halotano y enflurano (Yamada </w:t>
      </w:r>
      <w:r>
        <w:rPr>
          <w:i/>
        </w:rPr>
        <w:t>et al</w:t>
      </w:r>
      <w:r>
        <w:rPr/>
        <w:t>. 1994).</w:t>
      </w:r>
    </w:p>
    <w:p>
      <w:pPr>
        <w:pStyle w:val="BodyText"/>
        <w:spacing w:line="360" w:lineRule="auto" w:before="4"/>
        <w:ind w:left="152" w:right="116" w:firstLine="705"/>
        <w:jc w:val="both"/>
      </w:pPr>
      <w:r>
        <w:rPr/>
        <w:t>La bradicardia inducida por los agentes anestésicos por lo general se compensa con un aumento del tono vasomotor con el objetivo de poder mantener la tensión arterial.</w:t>
      </w:r>
    </w:p>
    <w:p>
      <w:pPr>
        <w:pStyle w:val="BodyText"/>
        <w:spacing w:line="360" w:lineRule="auto" w:before="8"/>
        <w:ind w:left="152" w:right="116" w:firstLine="705"/>
        <w:jc w:val="both"/>
      </w:pPr>
      <w:r>
        <w:rPr/>
        <w:t>El gasto cardiaco es producto de la precarga, contractibilidad y frecuencia cardiaca, los cuales son factores determinantes para el flujo de sangre del corazón a los tejidos. La tensión arterial está determinada entre un equilibrio del gasto cardiaco y la resistencia vascular sistémica. La presión arterial es un importante parámetro de la perfusión cerebral y coronaria.</w:t>
      </w:r>
    </w:p>
    <w:p>
      <w:pPr>
        <w:pStyle w:val="BodyText"/>
        <w:spacing w:line="360" w:lineRule="auto" w:before="4"/>
        <w:ind w:left="152" w:right="109" w:firstLine="705"/>
        <w:jc w:val="both"/>
      </w:pPr>
      <w:r>
        <w:rPr/>
        <w:t>La resistencia vascular sistémica es importante por dos razones: (1) regula </w:t>
      </w:r>
      <w:r>
        <w:rPr>
          <w:spacing w:val="-3"/>
        </w:rPr>
        <w:t>la  </w:t>
      </w:r>
      <w:r>
        <w:rPr/>
        <w:t>presión arterial (2) regula </w:t>
      </w:r>
      <w:r>
        <w:rPr>
          <w:spacing w:val="-3"/>
        </w:rPr>
        <w:t>la </w:t>
      </w:r>
      <w:r>
        <w:rPr/>
        <w:t>perfusión tisular periférica (Crowe 2005, </w:t>
      </w:r>
      <w:r>
        <w:rPr>
          <w:spacing w:val="-4"/>
        </w:rPr>
        <w:t>Muir</w:t>
      </w:r>
      <w:r>
        <w:rPr>
          <w:spacing w:val="-2"/>
        </w:rPr>
        <w:t> </w:t>
      </w:r>
      <w:r>
        <w:rPr/>
        <w:t>2005).</w:t>
      </w:r>
    </w:p>
    <w:p>
      <w:pPr>
        <w:pStyle w:val="BodyText"/>
        <w:spacing w:line="360" w:lineRule="auto" w:before="4"/>
        <w:ind w:left="152" w:right="108" w:firstLine="705"/>
        <w:jc w:val="both"/>
      </w:pPr>
      <w:r>
        <w:rPr/>
        <w:t>La liberación de oxígeno es producto del índice cardiaco y el contenido de oxígeno en sangre y representa </w:t>
      </w:r>
      <w:r>
        <w:rPr>
          <w:spacing w:val="-5"/>
        </w:rPr>
        <w:t>la </w:t>
      </w:r>
      <w:r>
        <w:rPr/>
        <w:t>efectividad del aparato cardiorrespiratorio con respecto al </w:t>
      </w:r>
      <w:r>
        <w:rPr>
          <w:spacing w:val="-3"/>
        </w:rPr>
        <w:t>flujo </w:t>
      </w:r>
      <w:r>
        <w:rPr/>
        <w:t>de oxígeno sistémico. Durante el transcurso del evento quirúrgico, pueden existir cambios en </w:t>
      </w:r>
      <w:r>
        <w:rPr>
          <w:spacing w:val="-3"/>
        </w:rPr>
        <w:t>la </w:t>
      </w:r>
      <w:r>
        <w:rPr/>
        <w:t>concentración de hemoglobina, oxigenación sanguínea, precarga y temperatura corporal, </w:t>
      </w:r>
      <w:r>
        <w:rPr>
          <w:spacing w:val="-5"/>
        </w:rPr>
        <w:t>lo </w:t>
      </w:r>
      <w:r>
        <w:rPr/>
        <w:t>cual tienen un fuerte impacto sobre </w:t>
      </w:r>
      <w:r>
        <w:rPr>
          <w:spacing w:val="-5"/>
        </w:rPr>
        <w:t>la </w:t>
      </w:r>
      <w:r>
        <w:rPr/>
        <w:t>liberación de oxígeno hacia los tejidos. Cuando </w:t>
      </w:r>
      <w:r>
        <w:rPr>
          <w:spacing w:val="-5"/>
        </w:rPr>
        <w:t>la </w:t>
      </w:r>
      <w:r>
        <w:rPr/>
        <w:t>liberación de oxígeno disminuye existen varios mecanismos compensatorios que pueden proteger contra </w:t>
      </w:r>
      <w:r>
        <w:rPr>
          <w:spacing w:val="-3"/>
        </w:rPr>
        <w:t>la </w:t>
      </w:r>
      <w:r>
        <w:rPr/>
        <w:t>hipoxia tisular. Primero ocurre un incremento en </w:t>
      </w:r>
      <w:r>
        <w:rPr>
          <w:spacing w:val="-3"/>
        </w:rPr>
        <w:t>la </w:t>
      </w:r>
      <w:r>
        <w:rPr/>
        <w:t>extracción de oxígeno; inicialmente hay una disminución de </w:t>
      </w:r>
      <w:r>
        <w:rPr>
          <w:spacing w:val="-3"/>
        </w:rPr>
        <w:t>la </w:t>
      </w:r>
      <w:r>
        <w:rPr/>
        <w:t>liberación de oxígeno, incremento en la extracción de oxígeno y por </w:t>
      </w:r>
      <w:r>
        <w:rPr>
          <w:spacing w:val="-5"/>
        </w:rPr>
        <w:t>lo </w:t>
      </w:r>
      <w:r>
        <w:rPr/>
        <w:t>tanto </w:t>
      </w:r>
      <w:r>
        <w:rPr>
          <w:spacing w:val="-5"/>
        </w:rPr>
        <w:t>la </w:t>
      </w:r>
      <w:r>
        <w:rPr/>
        <w:t>oxigenación de los tejidos es mantenida (Haskins 2006).</w:t>
      </w:r>
    </w:p>
    <w:p>
      <w:pPr>
        <w:pStyle w:val="BodyText"/>
        <w:spacing w:line="360" w:lineRule="auto" w:before="8"/>
        <w:ind w:left="152" w:right="101" w:firstLine="710"/>
        <w:jc w:val="both"/>
      </w:pPr>
      <w:r>
        <w:rPr/>
        <w:t>Tiene gran relevancia el poder administrar fármacos que al ser administrados en conjunto con los anestésicos inhalados puedan disminuir la concentración alveolar mínima con el objetivo de evitar el efecto depresor sobre el sistema cardiovascular.</w:t>
      </w:r>
    </w:p>
    <w:p>
      <w:pPr>
        <w:pStyle w:val="BodyText"/>
        <w:spacing w:line="362" w:lineRule="auto" w:before="4"/>
        <w:ind w:left="152" w:right="106"/>
      </w:pPr>
      <w:r>
        <w:rPr/>
        <w:t>El objetivo del presente trabajo fue el de evaluar los efectos cardiovasculares que se producen al administrar la combinación lidocaína  y dexmedetomidina por vía   intravenosa</w:t>
      </w:r>
    </w:p>
    <w:p>
      <w:pPr>
        <w:spacing w:after="0" w:line="362" w:lineRule="auto"/>
        <w:sectPr>
          <w:pgSz w:w="12240" w:h="15840"/>
          <w:pgMar w:header="0" w:footer="1651" w:top="1500" w:bottom="1840" w:left="1720" w:right="1420"/>
        </w:sectPr>
      </w:pPr>
    </w:p>
    <w:p>
      <w:pPr>
        <w:pStyle w:val="BodyText"/>
        <w:spacing w:before="7"/>
        <w:rPr>
          <w:sz w:val="20"/>
        </w:rPr>
      </w:pPr>
    </w:p>
    <w:p>
      <w:pPr>
        <w:pStyle w:val="BodyText"/>
        <w:spacing w:line="360" w:lineRule="auto" w:before="69"/>
        <w:ind w:left="152" w:right="106"/>
      </w:pPr>
      <w:r>
        <w:rPr/>
        <w:t>por medio de una dosis de carga, seguido de una infusión continúa en perros anestesiados con sevoflurano.</w:t>
      </w:r>
    </w:p>
    <w:p>
      <w:pPr>
        <w:spacing w:after="0" w:line="360" w:lineRule="auto"/>
        <w:sectPr>
          <w:pgSz w:w="12240" w:h="15840"/>
          <w:pgMar w:header="0" w:footer="1651" w:top="1500" w:bottom="1840" w:left="1720" w:right="1420"/>
        </w:sectPr>
      </w:pPr>
    </w:p>
    <w:p>
      <w:pPr>
        <w:pStyle w:val="BodyText"/>
        <w:rPr>
          <w:sz w:val="20"/>
        </w:rPr>
      </w:pPr>
    </w:p>
    <w:p>
      <w:pPr>
        <w:pStyle w:val="BodyText"/>
        <w:rPr>
          <w:sz w:val="20"/>
        </w:rPr>
      </w:pPr>
    </w:p>
    <w:p>
      <w:pPr>
        <w:pStyle w:val="BodyText"/>
        <w:spacing w:before="10"/>
        <w:rPr>
          <w:sz w:val="23"/>
        </w:rPr>
      </w:pPr>
    </w:p>
    <w:p>
      <w:pPr>
        <w:pStyle w:val="Heading1"/>
      </w:pPr>
      <w:bookmarkStart w:name="_bookmark3" w:id="5"/>
      <w:bookmarkEnd w:id="5"/>
      <w:r>
        <w:rPr>
          <w:b w:val="0"/>
        </w:rPr>
      </w:r>
      <w:r>
        <w:rPr/>
        <w:t>CAPITULO II</w:t>
      </w:r>
    </w:p>
    <w:p>
      <w:pPr>
        <w:pStyle w:val="BodyText"/>
        <w:spacing w:before="7"/>
        <w:rPr>
          <w:b/>
          <w:sz w:val="12"/>
        </w:rPr>
      </w:pPr>
      <w:r>
        <w:rPr/>
        <w:pict>
          <v:line style="position:absolute;mso-position-horizontal-relative:page;mso-position-vertical-relative:paragraph;z-index:1144;mso-wrap-distance-left:0;mso-wrap-distance-right:0" from="92.208pt,9.931709pt" to="537.098pt,9.931709pt" stroked="true" strokeweight="1.44pt" strokecolor="#000000">
            <w10:wrap type="topAndBottom"/>
          </v:line>
        </w:pict>
      </w:r>
    </w:p>
    <w:p>
      <w:pPr>
        <w:pStyle w:val="BodyText"/>
        <w:spacing w:before="5"/>
        <w:rPr>
          <w:b/>
          <w:sz w:val="2"/>
        </w:rPr>
      </w:pPr>
    </w:p>
    <w:p>
      <w:pPr>
        <w:pStyle w:val="BodyText"/>
        <w:spacing w:line="20" w:lineRule="exact"/>
        <w:ind w:left="116"/>
        <w:rPr>
          <w:sz w:val="2"/>
        </w:rPr>
      </w:pPr>
      <w:r>
        <w:rPr>
          <w:sz w:val="2"/>
        </w:rPr>
        <w:pict>
          <v:group style="width:445.65pt;height:.75pt;mso-position-horizontal-relative:char;mso-position-vertical-relative:line" coordorigin="0,0" coordsize="8913,15">
            <v:line style="position:absolute" from="8,8" to="8905,8" stroked="true" strokeweight=".72pt" strokecolor="#000000"/>
          </v:group>
        </w:pict>
      </w:r>
      <w:r>
        <w:rPr>
          <w:sz w:val="2"/>
        </w:rPr>
      </w:r>
    </w:p>
    <w:p>
      <w:pPr>
        <w:pStyle w:val="BodyText"/>
        <w:spacing w:before="2"/>
        <w:rPr>
          <w:b/>
          <w:sz w:val="26"/>
        </w:rPr>
      </w:pPr>
    </w:p>
    <w:p>
      <w:pPr>
        <w:pStyle w:val="ListParagraph"/>
        <w:numPr>
          <w:ilvl w:val="0"/>
          <w:numId w:val="2"/>
        </w:numPr>
        <w:tabs>
          <w:tab w:pos="379" w:val="left" w:leader="none"/>
        </w:tabs>
        <w:spacing w:line="240" w:lineRule="auto" w:before="70" w:after="0"/>
        <w:ind w:left="378" w:right="0" w:hanging="226"/>
        <w:jc w:val="left"/>
        <w:rPr>
          <w:b/>
          <w:sz w:val="22"/>
        </w:rPr>
      </w:pPr>
      <w:bookmarkStart w:name="_bookmark4" w:id="6"/>
      <w:bookmarkEnd w:id="6"/>
      <w:r>
        <w:rPr/>
      </w:r>
      <w:bookmarkStart w:name="_bookmark4" w:id="7"/>
      <w:bookmarkEnd w:id="7"/>
      <w:r>
        <w:rPr>
          <w:b/>
          <w:sz w:val="22"/>
        </w:rPr>
        <w:t>R</w:t>
      </w:r>
      <w:r>
        <w:rPr>
          <w:b/>
          <w:sz w:val="22"/>
        </w:rPr>
        <w:t>evisión </w:t>
      </w:r>
      <w:r>
        <w:rPr>
          <w:b/>
          <w:sz w:val="24"/>
        </w:rPr>
        <w:t>de</w:t>
      </w:r>
      <w:r>
        <w:rPr>
          <w:b/>
          <w:spacing w:val="-17"/>
          <w:sz w:val="24"/>
        </w:rPr>
        <w:t> </w:t>
      </w:r>
      <w:r>
        <w:rPr>
          <w:b/>
          <w:sz w:val="24"/>
        </w:rPr>
        <w:t>literatura</w:t>
      </w:r>
    </w:p>
    <w:p>
      <w:pPr>
        <w:pStyle w:val="Heading2"/>
        <w:numPr>
          <w:ilvl w:val="1"/>
          <w:numId w:val="2"/>
        </w:numPr>
        <w:tabs>
          <w:tab w:pos="518" w:val="left" w:leader="none"/>
        </w:tabs>
        <w:spacing w:line="240" w:lineRule="auto" w:before="137" w:after="0"/>
        <w:ind w:left="517" w:right="0" w:hanging="365"/>
        <w:jc w:val="left"/>
      </w:pPr>
      <w:bookmarkStart w:name="_bookmark5" w:id="8"/>
      <w:bookmarkEnd w:id="8"/>
      <w:r>
        <w:rPr>
          <w:b w:val="0"/>
        </w:rPr>
      </w:r>
      <w:bookmarkStart w:name="_bookmark5" w:id="9"/>
      <w:bookmarkEnd w:id="9"/>
      <w:r>
        <w:rPr/>
        <w:t>Ga</w:t>
      </w:r>
      <w:r>
        <w:rPr/>
        <w:t>sto</w:t>
      </w:r>
      <w:r>
        <w:rPr>
          <w:spacing w:val="-11"/>
        </w:rPr>
        <w:t> </w:t>
      </w:r>
      <w:r>
        <w:rPr/>
        <w:t>cardíaco</w:t>
      </w:r>
    </w:p>
    <w:p>
      <w:pPr>
        <w:pStyle w:val="BodyText"/>
        <w:spacing w:line="360" w:lineRule="auto" w:before="137"/>
        <w:ind w:left="152" w:right="142" w:firstLine="710"/>
        <w:jc w:val="both"/>
      </w:pPr>
      <w:r>
        <w:rPr/>
        <w:t>La medición del gasto cardiaco (GC) sin duda es un método útil para medir </w:t>
      </w:r>
      <w:r>
        <w:rPr>
          <w:spacing w:val="-3"/>
        </w:rPr>
        <w:t>la </w:t>
      </w:r>
      <w:r>
        <w:rPr/>
        <w:t>capacidad del corazón como bomba. Sin embargo, refleja el estado global de todo el  sistema circulatorio (no </w:t>
      </w:r>
      <w:r>
        <w:rPr>
          <w:spacing w:val="-4"/>
        </w:rPr>
        <w:t>sólo</w:t>
      </w:r>
      <w:r>
        <w:rPr>
          <w:spacing w:val="52"/>
        </w:rPr>
        <w:t> </w:t>
      </w:r>
      <w:r>
        <w:rPr/>
        <w:t>del corazón) y este depende, fundamentalmente, de </w:t>
      </w:r>
      <w:r>
        <w:rPr>
          <w:spacing w:val="-5"/>
        </w:rPr>
        <w:t>la </w:t>
      </w:r>
      <w:r>
        <w:rPr/>
        <w:t>precarga, postcarga, frecuencia cardíaca y contractibilidad miocárdica. Sin embargo, </w:t>
      </w:r>
      <w:r>
        <w:rPr>
          <w:spacing w:val="-5"/>
        </w:rPr>
        <w:t>la </w:t>
      </w:r>
      <w:r>
        <w:rPr/>
        <w:t>medición </w:t>
      </w:r>
      <w:r>
        <w:rPr>
          <w:spacing w:val="2"/>
        </w:rPr>
        <w:t>del </w:t>
      </w:r>
      <w:r>
        <w:rPr/>
        <w:t>gasto cardiaco sólo ofrece una valoración limitada de </w:t>
      </w:r>
      <w:r>
        <w:rPr>
          <w:spacing w:val="-3"/>
        </w:rPr>
        <w:t>la </w:t>
      </w:r>
      <w:r>
        <w:rPr/>
        <w:t>función ventricular y de </w:t>
      </w:r>
      <w:r>
        <w:rPr>
          <w:spacing w:val="-3"/>
        </w:rPr>
        <w:t>la </w:t>
      </w:r>
      <w:r>
        <w:rPr/>
        <w:t>contractibilidad cardíaca (Álvarez, 2004). El gasto cardiaco (GC) se define como </w:t>
      </w:r>
      <w:r>
        <w:rPr>
          <w:spacing w:val="-3"/>
        </w:rPr>
        <w:t>la </w:t>
      </w:r>
      <w:r>
        <w:rPr/>
        <w:t>cantidad de sangre que bombea el corazón hacia </w:t>
      </w:r>
      <w:r>
        <w:rPr>
          <w:spacing w:val="-5"/>
        </w:rPr>
        <w:t>la </w:t>
      </w:r>
      <w:r>
        <w:rPr>
          <w:spacing w:val="3"/>
        </w:rPr>
        <w:t>aorta </w:t>
      </w:r>
      <w:r>
        <w:rPr/>
        <w:t>por minuto. Esto equivale a </w:t>
      </w:r>
      <w:r>
        <w:rPr>
          <w:spacing w:val="-3"/>
        </w:rPr>
        <w:t>la </w:t>
      </w:r>
      <w:r>
        <w:rPr/>
        <w:t>cantidad de sangre que fluye a través del torrente circulatorio en ese </w:t>
      </w:r>
      <w:r>
        <w:rPr>
          <w:spacing w:val="-3"/>
        </w:rPr>
        <w:t>mismo </w:t>
      </w:r>
      <w:r>
        <w:rPr/>
        <w:t>tiempo. Este valor hemodinámico es muy importante, </w:t>
      </w:r>
      <w:r>
        <w:rPr>
          <w:spacing w:val="-5"/>
        </w:rPr>
        <w:t>ya </w:t>
      </w:r>
      <w:r>
        <w:rPr/>
        <w:t>que refleja </w:t>
      </w:r>
      <w:r>
        <w:rPr>
          <w:spacing w:val="-3"/>
        </w:rPr>
        <w:t>la </w:t>
      </w:r>
      <w:r>
        <w:rPr/>
        <w:t>capacidad del corazón para oxigenar los tejidos y mantener el metabolismo tisular (Stanley &amp; Reeves, 1998). Al consistir en un volumen de sangre bombeado por el corazón en unidad de tiempo, equivale  a </w:t>
      </w:r>
      <w:r>
        <w:rPr>
          <w:spacing w:val="-5"/>
        </w:rPr>
        <w:t>la </w:t>
      </w:r>
      <w:r>
        <w:rPr/>
        <w:t>sangre eyectada por el corazón con cada sístole de volumen sistólico</w:t>
      </w:r>
      <w:r>
        <w:rPr>
          <w:i/>
        </w:rPr>
        <w:t>, </w:t>
      </w:r>
      <w:r>
        <w:rPr/>
        <w:t>multiplicado por el número de veces que se contrae por minuto</w:t>
      </w:r>
      <w:r>
        <w:rPr>
          <w:i/>
        </w:rPr>
        <w:t>. </w:t>
      </w:r>
      <w:r>
        <w:rPr/>
        <w:t>Sus unidades son litros / minuto. (Guyton, 2007). En general, en el perro oscila entre 100-200 ml/Kg/min (Haskins </w:t>
      </w:r>
      <w:r>
        <w:rPr>
          <w:i/>
        </w:rPr>
        <w:t>et al.</w:t>
      </w:r>
      <w:r>
        <w:rPr/>
        <w:t>, 2005). El volumen sistólico o volumen de eyección es proporcional a propiedades intrínsecas del corazón y a factores de acoplamiento vascular (Precarga y Postcarga</w:t>
      </w:r>
      <w:r>
        <w:rPr>
          <w:i/>
        </w:rPr>
        <w:t>)</w:t>
      </w:r>
      <w:r>
        <w:rPr/>
        <w:t>. La contractibilidad  es proporcional al volumen sistólico (Thurmon </w:t>
      </w:r>
      <w:r>
        <w:rPr>
          <w:i/>
        </w:rPr>
        <w:t>et al.</w:t>
      </w:r>
      <w:r>
        <w:rPr/>
        <w:t>,</w:t>
      </w:r>
      <w:r>
        <w:rPr>
          <w:spacing w:val="-17"/>
        </w:rPr>
        <w:t> </w:t>
      </w:r>
      <w:r>
        <w:rPr/>
        <w:t>2003).</w:t>
      </w:r>
    </w:p>
    <w:p>
      <w:pPr>
        <w:pStyle w:val="BodyText"/>
        <w:spacing w:before="8"/>
        <w:rPr>
          <w:sz w:val="33"/>
        </w:rPr>
      </w:pPr>
    </w:p>
    <w:p>
      <w:pPr>
        <w:pStyle w:val="Heading2"/>
        <w:numPr>
          <w:ilvl w:val="1"/>
          <w:numId w:val="2"/>
        </w:numPr>
        <w:tabs>
          <w:tab w:pos="518" w:val="left" w:leader="none"/>
        </w:tabs>
        <w:spacing w:line="240" w:lineRule="auto" w:before="0" w:after="0"/>
        <w:ind w:left="517" w:right="0" w:hanging="365"/>
        <w:jc w:val="left"/>
      </w:pPr>
      <w:bookmarkStart w:name="_bookmark6" w:id="10"/>
      <w:bookmarkEnd w:id="10"/>
      <w:r>
        <w:rPr>
          <w:b w:val="0"/>
        </w:rPr>
      </w:r>
      <w:bookmarkStart w:name="_bookmark6" w:id="11"/>
      <w:bookmarkEnd w:id="11"/>
      <w:r>
        <w:rPr/>
        <w:t>P</w:t>
      </w:r>
      <w:r>
        <w:rPr/>
        <w:t>recarga</w:t>
      </w:r>
    </w:p>
    <w:p>
      <w:pPr>
        <w:pStyle w:val="BodyText"/>
        <w:spacing w:line="360" w:lineRule="auto" w:before="132"/>
        <w:ind w:left="152" w:right="157" w:firstLine="710"/>
        <w:jc w:val="both"/>
      </w:pPr>
      <w:r>
        <w:rPr/>
        <w:t>El funcionamiento de </w:t>
      </w:r>
      <w:r>
        <w:rPr>
          <w:spacing w:val="-5"/>
        </w:rPr>
        <w:t>la </w:t>
      </w:r>
      <w:r>
        <w:rPr/>
        <w:t>bomba cardíaca está estrechamente ligado a </w:t>
      </w:r>
      <w:r>
        <w:rPr>
          <w:spacing w:val="-3"/>
        </w:rPr>
        <w:t>las </w:t>
      </w:r>
      <w:r>
        <w:rPr/>
        <w:t>condiciones de llenado. El retorno venoso </w:t>
      </w:r>
      <w:r>
        <w:rPr>
          <w:spacing w:val="-3"/>
        </w:rPr>
        <w:t>va </w:t>
      </w:r>
      <w:r>
        <w:rPr/>
        <w:t>a determinar </w:t>
      </w:r>
      <w:r>
        <w:rPr>
          <w:spacing w:val="-3"/>
        </w:rPr>
        <w:t>la </w:t>
      </w:r>
      <w:r>
        <w:rPr/>
        <w:t>tensión de </w:t>
      </w:r>
      <w:r>
        <w:rPr>
          <w:spacing w:val="-3"/>
        </w:rPr>
        <w:t>la </w:t>
      </w:r>
      <w:r>
        <w:rPr/>
        <w:t>pared ventricular al comienzo de </w:t>
      </w:r>
      <w:r>
        <w:rPr>
          <w:spacing w:val="-3"/>
        </w:rPr>
        <w:t>la </w:t>
      </w:r>
      <w:r>
        <w:rPr/>
        <w:t>sístole y con </w:t>
      </w:r>
      <w:r>
        <w:rPr>
          <w:spacing w:val="-3"/>
        </w:rPr>
        <w:t>ello </w:t>
      </w:r>
      <w:r>
        <w:rPr/>
        <w:t>el estiramiento de las fibras miocárdicas. Por </w:t>
      </w:r>
      <w:r>
        <w:rPr>
          <w:spacing w:val="-5"/>
        </w:rPr>
        <w:t>lo </w:t>
      </w:r>
      <w:r>
        <w:rPr/>
        <w:t>general se acepta  que el volumen telediastólico es </w:t>
      </w:r>
      <w:r>
        <w:rPr>
          <w:spacing w:val="-5"/>
        </w:rPr>
        <w:t>la </w:t>
      </w:r>
      <w:r>
        <w:rPr/>
        <w:t>medición más válida de </w:t>
      </w:r>
      <w:r>
        <w:rPr>
          <w:spacing w:val="-5"/>
        </w:rPr>
        <w:t>la </w:t>
      </w:r>
      <w:r>
        <w:rPr/>
        <w:t>precarga</w:t>
      </w:r>
      <w:r>
        <w:rPr>
          <w:spacing w:val="-13"/>
        </w:rPr>
        <w:t> </w:t>
      </w:r>
      <w:r>
        <w:rPr/>
        <w:t>ventricular.</w:t>
      </w:r>
    </w:p>
    <w:p>
      <w:pPr>
        <w:spacing w:after="0" w:line="360" w:lineRule="auto"/>
        <w:jc w:val="both"/>
        <w:sectPr>
          <w:pgSz w:w="12240" w:h="15840"/>
          <w:pgMar w:header="0" w:footer="1651" w:top="1500" w:bottom="1840" w:left="1720" w:right="1380"/>
        </w:sectPr>
      </w:pPr>
    </w:p>
    <w:p>
      <w:pPr>
        <w:pStyle w:val="BodyText"/>
        <w:spacing w:before="7"/>
        <w:rPr>
          <w:sz w:val="20"/>
        </w:rPr>
      </w:pPr>
    </w:p>
    <w:p>
      <w:pPr>
        <w:pStyle w:val="BodyText"/>
        <w:spacing w:line="360" w:lineRule="auto" w:before="69"/>
        <w:ind w:left="152" w:right="106" w:firstLine="710"/>
        <w:jc w:val="both"/>
      </w:pPr>
      <w:r>
        <w:rPr/>
        <w:t>Starling anunciaba la ley del corazón en 1918 para un corazón aislado de toda conexión nerviosa: la fibra miocárdica, cuando es estirada, se contrae más enérgicamente hasta una distensión óptima, la cual la fuerza desarrollada es menor. Esta propiedad fundamental del corazón se basa en la relación longitud-tensión activa del miocardio, según la cual la fuerza de contracción y el grado de acortamiento, o ambos, dependen de la longitud inicial del músculo, que a su vez depende de la disposición de los filamentos de actina y de miosina en el interior de los sarcómeros (Gordon </w:t>
      </w:r>
      <w:r>
        <w:rPr>
          <w:i/>
        </w:rPr>
        <w:t>et al</w:t>
      </w:r>
      <w:r>
        <w:rPr/>
        <w:t>. 1966).</w:t>
      </w:r>
    </w:p>
    <w:p>
      <w:pPr>
        <w:pStyle w:val="BodyText"/>
        <w:spacing w:line="360" w:lineRule="auto" w:before="8"/>
        <w:ind w:left="152" w:right="105" w:firstLine="710"/>
        <w:jc w:val="both"/>
      </w:pPr>
      <w:r>
        <w:rPr/>
        <w:t>El aumento del volumen de llenado estira </w:t>
      </w:r>
      <w:r>
        <w:rPr>
          <w:spacing w:val="-3"/>
        </w:rPr>
        <w:t>las </w:t>
      </w:r>
      <w:r>
        <w:rPr/>
        <w:t>fibras miocárdicas, acrecienta </w:t>
      </w:r>
      <w:r>
        <w:rPr>
          <w:spacing w:val="-5"/>
        </w:rPr>
        <w:t>la </w:t>
      </w:r>
      <w:r>
        <w:rPr/>
        <w:t>fuerza de contracción y aumenta el volumen de eyección sistólico y el trabajo miocárdico  (relación de Frank-Starling). La precarga viene determinada por el grado de estiramiento de las fibras miocárdicas al principio de cada contracción, es decir, por el volumen telediastólico ventricular. Entre los factores que afectan a </w:t>
      </w:r>
      <w:r>
        <w:rPr>
          <w:spacing w:val="-3"/>
        </w:rPr>
        <w:t>la </w:t>
      </w:r>
      <w:r>
        <w:rPr/>
        <w:t>precarga están el volumen sanguíneo total, el tono venoso, </w:t>
      </w:r>
      <w:r>
        <w:rPr>
          <w:spacing w:val="-5"/>
        </w:rPr>
        <w:t>la </w:t>
      </w:r>
      <w:r>
        <w:rPr/>
        <w:t>posición del cuerpo, el tipo de ventilación, </w:t>
      </w:r>
      <w:r>
        <w:rPr>
          <w:spacing w:val="-5"/>
        </w:rPr>
        <w:t>la </w:t>
      </w:r>
      <w:r>
        <w:rPr/>
        <w:t>presión intratorácica, </w:t>
      </w:r>
      <w:r>
        <w:rPr>
          <w:spacing w:val="-5"/>
        </w:rPr>
        <w:t>la </w:t>
      </w:r>
      <w:r>
        <w:rPr/>
        <w:t>presión intrapericárdica y </w:t>
      </w:r>
      <w:r>
        <w:rPr>
          <w:spacing w:val="-3"/>
        </w:rPr>
        <w:t>la </w:t>
      </w:r>
      <w:r>
        <w:rPr/>
        <w:t>acción bombeadora </w:t>
      </w:r>
      <w:r>
        <w:rPr>
          <w:spacing w:val="4"/>
        </w:rPr>
        <w:t>del </w:t>
      </w:r>
      <w:r>
        <w:rPr>
          <w:spacing w:val="-3"/>
        </w:rPr>
        <w:t>músculo </w:t>
      </w:r>
      <w:r>
        <w:rPr/>
        <w:t>esquelético (Gilsanz 1989). </w:t>
      </w:r>
      <w:r>
        <w:rPr>
          <w:spacing w:val="3"/>
        </w:rPr>
        <w:t>El </w:t>
      </w:r>
      <w:r>
        <w:rPr/>
        <w:t>llenado ventricular se efectúa en un 80-85% en </w:t>
      </w:r>
      <w:r>
        <w:rPr>
          <w:spacing w:val="-3"/>
        </w:rPr>
        <w:t>la </w:t>
      </w:r>
      <w:r>
        <w:rPr/>
        <w:t>fase mesodiástole y en un 15-20% en </w:t>
      </w:r>
      <w:r>
        <w:rPr>
          <w:spacing w:val="-3"/>
        </w:rPr>
        <w:t>la </w:t>
      </w:r>
      <w:r>
        <w:rPr/>
        <w:t>telediástole gracias a </w:t>
      </w:r>
      <w:r>
        <w:rPr>
          <w:spacing w:val="-5"/>
        </w:rPr>
        <w:t>la </w:t>
      </w:r>
      <w:r>
        <w:rPr/>
        <w:t>sístole auricular. La pérdida de una contracción auricular eficaz (fibrilación auricular) disminuye el llenado ventricular y puede tener consecuencias adversas en caso de deterioro de </w:t>
      </w:r>
      <w:r>
        <w:rPr>
          <w:spacing w:val="-5"/>
        </w:rPr>
        <w:t>la </w:t>
      </w:r>
      <w:r>
        <w:rPr/>
        <w:t>función diastólica. Las elevaciones de </w:t>
      </w:r>
      <w:r>
        <w:rPr>
          <w:spacing w:val="-3"/>
        </w:rPr>
        <w:t>la </w:t>
      </w:r>
      <w:r>
        <w:rPr/>
        <w:t>frecuencia cardiaca disminuyen </w:t>
      </w:r>
      <w:r>
        <w:rPr>
          <w:spacing w:val="-3"/>
        </w:rPr>
        <w:t>la </w:t>
      </w:r>
      <w:r>
        <w:rPr/>
        <w:t>duración de </w:t>
      </w:r>
      <w:r>
        <w:rPr>
          <w:spacing w:val="-3"/>
        </w:rPr>
        <w:t>la </w:t>
      </w:r>
      <w:r>
        <w:rPr/>
        <w:t>diástole y por tanto pueden reducir </w:t>
      </w:r>
      <w:r>
        <w:rPr>
          <w:spacing w:val="-3"/>
        </w:rPr>
        <w:t>la </w:t>
      </w:r>
      <w:r>
        <w:rPr/>
        <w:t>precarga.</w:t>
      </w:r>
    </w:p>
    <w:p>
      <w:pPr>
        <w:pStyle w:val="BodyText"/>
      </w:pPr>
    </w:p>
    <w:p>
      <w:pPr>
        <w:pStyle w:val="Heading2"/>
        <w:numPr>
          <w:ilvl w:val="1"/>
          <w:numId w:val="2"/>
        </w:numPr>
        <w:tabs>
          <w:tab w:pos="513" w:val="left" w:leader="none"/>
        </w:tabs>
        <w:spacing w:line="240" w:lineRule="auto" w:before="145" w:after="0"/>
        <w:ind w:left="513" w:right="0" w:hanging="361"/>
        <w:jc w:val="left"/>
      </w:pPr>
      <w:bookmarkStart w:name="_bookmark7" w:id="12"/>
      <w:bookmarkEnd w:id="12"/>
      <w:r>
        <w:rPr>
          <w:b w:val="0"/>
        </w:rPr>
      </w:r>
      <w:bookmarkStart w:name="_bookmark7" w:id="13"/>
      <w:bookmarkEnd w:id="13"/>
      <w:r>
        <w:rPr/>
        <w:t>M</w:t>
      </w:r>
      <w:r>
        <w:rPr/>
        <w:t>edición de </w:t>
      </w:r>
      <w:r>
        <w:rPr>
          <w:spacing w:val="-3"/>
        </w:rPr>
        <w:t>la</w:t>
      </w:r>
      <w:r>
        <w:rPr>
          <w:spacing w:val="-7"/>
        </w:rPr>
        <w:t> </w:t>
      </w:r>
      <w:r>
        <w:rPr/>
        <w:t>precarga</w:t>
      </w:r>
    </w:p>
    <w:p>
      <w:pPr>
        <w:pStyle w:val="BodyText"/>
        <w:rPr>
          <w:b/>
        </w:rPr>
      </w:pPr>
    </w:p>
    <w:p>
      <w:pPr>
        <w:pStyle w:val="BodyText"/>
        <w:spacing w:before="4"/>
        <w:rPr>
          <w:b/>
          <w:sz w:val="23"/>
        </w:rPr>
      </w:pPr>
    </w:p>
    <w:p>
      <w:pPr>
        <w:pStyle w:val="BodyText"/>
        <w:spacing w:line="360" w:lineRule="auto" w:before="1"/>
        <w:ind w:left="152" w:right="107" w:firstLine="710"/>
        <w:jc w:val="both"/>
      </w:pPr>
      <w:r>
        <w:rPr/>
        <w:t>Se suele utilizar </w:t>
      </w:r>
      <w:r>
        <w:rPr>
          <w:spacing w:val="-3"/>
        </w:rPr>
        <w:t>la </w:t>
      </w:r>
      <w:r>
        <w:rPr/>
        <w:t>presión de enclavamiento pulmonar (PAOP) o </w:t>
      </w:r>
      <w:r>
        <w:rPr>
          <w:spacing w:val="-5"/>
        </w:rPr>
        <w:t>la </w:t>
      </w:r>
      <w:r>
        <w:rPr/>
        <w:t>presión diastólica de </w:t>
      </w:r>
      <w:r>
        <w:rPr>
          <w:spacing w:val="-5"/>
        </w:rPr>
        <w:t>la </w:t>
      </w:r>
      <w:r>
        <w:rPr/>
        <w:t>arteria pulmonar por medio del catéter de Swan-Ganz, que presenta una buena correlación con </w:t>
      </w:r>
      <w:r>
        <w:rPr>
          <w:spacing w:val="-3"/>
        </w:rPr>
        <w:t>la </w:t>
      </w:r>
      <w:r>
        <w:rPr/>
        <w:t>presión en </w:t>
      </w:r>
      <w:r>
        <w:rPr>
          <w:spacing w:val="-3"/>
        </w:rPr>
        <w:t>la </w:t>
      </w:r>
      <w:r>
        <w:rPr/>
        <w:t>aurícula izquierda. Aunque </w:t>
      </w:r>
      <w:r>
        <w:rPr>
          <w:spacing w:val="-3"/>
        </w:rPr>
        <w:t>la </w:t>
      </w:r>
      <w:r>
        <w:rPr/>
        <w:t>medida de </w:t>
      </w:r>
      <w:r>
        <w:rPr>
          <w:spacing w:val="-3"/>
        </w:rPr>
        <w:t>la </w:t>
      </w:r>
      <w:r>
        <w:rPr/>
        <w:t>presión venosa central (PVC) es </w:t>
      </w:r>
      <w:r>
        <w:rPr>
          <w:spacing w:val="-5"/>
        </w:rPr>
        <w:t>la </w:t>
      </w:r>
      <w:r>
        <w:rPr/>
        <w:t>aproximación menos fiel al volumen telediastólico del  ventrículo izquierdo. Hoy en día </w:t>
      </w:r>
      <w:r>
        <w:rPr>
          <w:spacing w:val="-3"/>
        </w:rPr>
        <w:t>ha </w:t>
      </w:r>
      <w:r>
        <w:rPr/>
        <w:t>cobrado popularidad </w:t>
      </w:r>
      <w:r>
        <w:rPr>
          <w:spacing w:val="-5"/>
        </w:rPr>
        <w:t>la </w:t>
      </w:r>
      <w:r>
        <w:rPr/>
        <w:t>ecografía transesofágica que ofrece una </w:t>
      </w:r>
      <w:r>
        <w:rPr>
          <w:spacing w:val="-2"/>
        </w:rPr>
        <w:t>medida </w:t>
      </w:r>
      <w:r>
        <w:rPr/>
        <w:t>apropiada para </w:t>
      </w:r>
      <w:r>
        <w:rPr>
          <w:spacing w:val="-5"/>
        </w:rPr>
        <w:t>la </w:t>
      </w:r>
      <w:r>
        <w:rPr/>
        <w:t>medición de los volúmenes</w:t>
      </w:r>
      <w:r>
        <w:rPr>
          <w:spacing w:val="-6"/>
        </w:rPr>
        <w:t> </w:t>
      </w:r>
      <w:r>
        <w:rPr/>
        <w:t>ventriculares.</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Heading2"/>
        <w:numPr>
          <w:ilvl w:val="1"/>
          <w:numId w:val="2"/>
        </w:numPr>
        <w:tabs>
          <w:tab w:pos="518" w:val="left" w:leader="none"/>
        </w:tabs>
        <w:spacing w:line="240" w:lineRule="auto" w:before="69" w:after="0"/>
        <w:ind w:left="517" w:right="0" w:hanging="365"/>
        <w:jc w:val="left"/>
      </w:pPr>
      <w:bookmarkStart w:name="_bookmark8" w:id="14"/>
      <w:bookmarkEnd w:id="14"/>
      <w:r>
        <w:rPr>
          <w:b w:val="0"/>
        </w:rPr>
      </w:r>
      <w:bookmarkStart w:name="_bookmark8" w:id="15"/>
      <w:bookmarkEnd w:id="15"/>
      <w:r>
        <w:rPr/>
        <w:t>L</w:t>
      </w:r>
      <w:r>
        <w:rPr/>
        <w:t>a</w:t>
      </w:r>
      <w:r>
        <w:rPr>
          <w:spacing w:val="-14"/>
        </w:rPr>
        <w:t> </w:t>
      </w:r>
      <w:r>
        <w:rPr/>
        <w:t>P</w:t>
      </w:r>
      <w:r>
        <w:rPr>
          <w:b w:val="0"/>
        </w:rPr>
        <w:t>o</w:t>
      </w:r>
      <w:r>
        <w:rPr/>
        <w:t>stcarga</w:t>
      </w:r>
    </w:p>
    <w:p>
      <w:pPr>
        <w:pStyle w:val="BodyText"/>
        <w:rPr>
          <w:b/>
        </w:rPr>
      </w:pPr>
    </w:p>
    <w:p>
      <w:pPr>
        <w:pStyle w:val="BodyText"/>
        <w:spacing w:before="9"/>
        <w:rPr>
          <w:b/>
          <w:sz w:val="23"/>
        </w:rPr>
      </w:pPr>
    </w:p>
    <w:p>
      <w:pPr>
        <w:pStyle w:val="BodyText"/>
        <w:spacing w:line="360" w:lineRule="auto"/>
        <w:ind w:left="152" w:right="108" w:firstLine="710"/>
        <w:jc w:val="both"/>
      </w:pPr>
      <w:r>
        <w:rPr/>
        <w:t>Esta se define como la presión que aparece en la arteria (aorta o arteria pulmonar) al final de la sístole ventricular. Casi siempre se refiere a corazón izquierdo. Es proporcional a la resistencia vascular sistémica (RVS), que a su vez depende de la viscosidad de la sangre, y el diámetro de las arteriolas y los esfínteres pre-capilares. La RVS es una fuerza que se opone a la eyección de la sangre desde el ventrículo, siendo el principal elemento que determina la presión arterial diastólica. La postcarga y la RVS son indirectamente proporcionales al gasto cardiaco. La RVS se relaciona también con la presión arterial. Así, según la ley de Ohms, podemos definir que el gasto cardiaco es el cociente entre la presión arterial y la RVS (Guyton, 2007).</w:t>
      </w:r>
    </w:p>
    <w:p>
      <w:pPr>
        <w:pStyle w:val="BodyText"/>
      </w:pPr>
    </w:p>
    <w:p>
      <w:pPr>
        <w:pStyle w:val="Heading2"/>
        <w:numPr>
          <w:ilvl w:val="1"/>
          <w:numId w:val="2"/>
        </w:numPr>
        <w:tabs>
          <w:tab w:pos="513" w:val="left" w:leader="none"/>
        </w:tabs>
        <w:spacing w:line="240" w:lineRule="auto" w:before="150" w:after="0"/>
        <w:ind w:left="513" w:right="0" w:hanging="361"/>
        <w:jc w:val="left"/>
      </w:pPr>
      <w:bookmarkStart w:name="_bookmark9" w:id="16"/>
      <w:bookmarkEnd w:id="16"/>
      <w:r>
        <w:rPr>
          <w:b w:val="0"/>
        </w:rPr>
      </w:r>
      <w:bookmarkStart w:name="_bookmark9" w:id="17"/>
      <w:bookmarkEnd w:id="17"/>
      <w:r>
        <w:rPr/>
        <w:t>M</w:t>
      </w:r>
      <w:r>
        <w:rPr/>
        <w:t>edición de </w:t>
      </w:r>
      <w:r>
        <w:rPr>
          <w:spacing w:val="-3"/>
        </w:rPr>
        <w:t>la </w:t>
      </w:r>
      <w:r>
        <w:rPr/>
        <w:t>postcarga</w:t>
      </w:r>
    </w:p>
    <w:p>
      <w:pPr>
        <w:pStyle w:val="BodyText"/>
        <w:rPr>
          <w:b/>
        </w:rPr>
      </w:pPr>
    </w:p>
    <w:p>
      <w:pPr>
        <w:pStyle w:val="BodyText"/>
        <w:spacing w:before="4"/>
        <w:rPr>
          <w:b/>
          <w:sz w:val="23"/>
        </w:rPr>
      </w:pPr>
    </w:p>
    <w:p>
      <w:pPr>
        <w:pStyle w:val="BodyText"/>
        <w:spacing w:line="362" w:lineRule="auto"/>
        <w:ind w:left="152" w:right="109" w:firstLine="710"/>
        <w:jc w:val="both"/>
      </w:pPr>
      <w:r>
        <w:rPr/>
        <w:t>No hay un conceso para la definición de la postcarga, para su medición se han propuesto varios métodos (Sun &amp; Schwarzenberger 2010).</w:t>
      </w:r>
    </w:p>
    <w:p>
      <w:pPr>
        <w:pStyle w:val="BodyText"/>
        <w:spacing w:line="360" w:lineRule="auto" w:before="1"/>
        <w:ind w:left="152" w:right="114" w:firstLine="710"/>
        <w:jc w:val="both"/>
      </w:pPr>
      <w:r>
        <w:rPr/>
        <w:t>La tensión ejercida sobre la pared durante la sístole, tal como la define la ley de Laplace (T= Pr/2h, donde T= tensión, P= presión, r= radio y h= grosor de la pared), constituye una estimación de la resistencia a la eyección ventricular. Se suelen hacer las medidas (ventriculografía, ecografía, tomografía computarizada, resonancia magnética, etc.), simultáneamente con la presión interventricular, al final de la sístole y hacia la mitad de la pared del ventrículo izquierdo.</w:t>
      </w:r>
    </w:p>
    <w:p>
      <w:pPr>
        <w:pStyle w:val="BodyText"/>
        <w:spacing w:line="360" w:lineRule="auto" w:before="4"/>
        <w:ind w:left="152" w:right="109" w:firstLine="710"/>
        <w:jc w:val="both"/>
      </w:pPr>
      <w:r>
        <w:rPr/>
        <w:t>La impedancia arterial (cociente entre </w:t>
      </w:r>
      <w:r>
        <w:rPr>
          <w:spacing w:val="-3"/>
        </w:rPr>
        <w:t>cambio </w:t>
      </w:r>
      <w:r>
        <w:rPr/>
        <w:t>de </w:t>
      </w:r>
      <w:r>
        <w:rPr>
          <w:spacing w:val="-5"/>
        </w:rPr>
        <w:t>la </w:t>
      </w:r>
      <w:r>
        <w:rPr/>
        <w:t>presión arterial media y flujo aórtico medio) puede valorarse a partir de </w:t>
      </w:r>
      <w:r>
        <w:rPr>
          <w:spacing w:val="-3"/>
        </w:rPr>
        <w:t>la </w:t>
      </w:r>
      <w:r>
        <w:rPr/>
        <w:t>resistencia vascular sistémica (RVS). La determinación de </w:t>
      </w:r>
      <w:r>
        <w:rPr>
          <w:spacing w:val="-3"/>
        </w:rPr>
        <w:t>la </w:t>
      </w:r>
      <w:r>
        <w:rPr/>
        <w:t>RVS representa una versión muy simplificada de </w:t>
      </w:r>
      <w:r>
        <w:rPr>
          <w:spacing w:val="-3"/>
        </w:rPr>
        <w:t>la </w:t>
      </w:r>
      <w:r>
        <w:rPr/>
        <w:t>impedancia  arterial, puesto que ignora el componente pulsátil de </w:t>
      </w:r>
      <w:r>
        <w:rPr>
          <w:spacing w:val="-5"/>
        </w:rPr>
        <w:t>la </w:t>
      </w:r>
      <w:r>
        <w:rPr/>
        <w:t>eyección ventricular; sin embargo es uno de los índices más utilizados en clínica. </w:t>
      </w:r>
      <w:r>
        <w:rPr>
          <w:spacing w:val="3"/>
        </w:rPr>
        <w:t>El </w:t>
      </w:r>
      <w:r>
        <w:rPr/>
        <w:t>93% de </w:t>
      </w:r>
      <w:r>
        <w:rPr>
          <w:spacing w:val="-5"/>
        </w:rPr>
        <w:t>la </w:t>
      </w:r>
      <w:r>
        <w:rPr/>
        <w:t>impedancia a </w:t>
      </w:r>
      <w:r>
        <w:rPr>
          <w:spacing w:val="-3"/>
        </w:rPr>
        <w:t>la </w:t>
      </w:r>
      <w:r>
        <w:rPr/>
        <w:t>eyección </w:t>
      </w:r>
      <w:r>
        <w:rPr>
          <w:spacing w:val="2"/>
        </w:rPr>
        <w:t>del </w:t>
      </w:r>
      <w:r>
        <w:rPr/>
        <w:t>ventrículo izquierdo se debe a </w:t>
      </w:r>
      <w:r>
        <w:rPr>
          <w:spacing w:val="-5"/>
        </w:rPr>
        <w:t>la</w:t>
      </w:r>
      <w:r>
        <w:rPr>
          <w:spacing w:val="-11"/>
        </w:rPr>
        <w:t> </w:t>
      </w:r>
      <w:r>
        <w:rPr/>
        <w:t>RVS.</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152" w:right="102" w:firstLine="710"/>
        <w:jc w:val="both"/>
      </w:pPr>
      <w:r>
        <w:rPr/>
        <w:t>Suga y cols. (1973) definen la respuesta vascular al vaciamiento del ventrículo  como complianza arterial efectiva (Ea). En el diagrama de presión-volumen, si se calculan los valores de </w:t>
      </w:r>
      <w:r>
        <w:rPr>
          <w:spacing w:val="-3"/>
        </w:rPr>
        <w:t>la </w:t>
      </w:r>
      <w:r>
        <w:rPr/>
        <w:t>presión telesistólica (PTS) y del volumen sistólico (VS), se obtiene una relación que se corresponde con </w:t>
      </w:r>
      <w:r>
        <w:rPr>
          <w:spacing w:val="-3"/>
        </w:rPr>
        <w:t>la </w:t>
      </w:r>
      <w:r>
        <w:rPr/>
        <w:t>Ea y nos sirve como </w:t>
      </w:r>
      <w:r>
        <w:rPr>
          <w:spacing w:val="-2"/>
        </w:rPr>
        <w:t>índice </w:t>
      </w:r>
      <w:r>
        <w:rPr/>
        <w:t>de postcarga: Ea=PTS/VS (Figura 1). La recta que pasa por los puntos telesistólico y telediastólico de esta curva se corresponde con las variaciones de </w:t>
      </w:r>
      <w:r>
        <w:rPr>
          <w:spacing w:val="-3"/>
        </w:rPr>
        <w:t>la </w:t>
      </w:r>
      <w:r>
        <w:rPr/>
        <w:t>complianza máxima de </w:t>
      </w:r>
      <w:r>
        <w:rPr>
          <w:spacing w:val="-3"/>
        </w:rPr>
        <w:t>la </w:t>
      </w:r>
      <w:r>
        <w:rPr/>
        <w:t>aorta en su origen (Ea). A mayor pendiente de esta recta </w:t>
      </w:r>
      <w:r>
        <w:rPr>
          <w:spacing w:val="-3"/>
        </w:rPr>
        <w:t>mayor </w:t>
      </w:r>
      <w:r>
        <w:rPr/>
        <w:t>postcarga y</w:t>
      </w:r>
      <w:r>
        <w:rPr>
          <w:spacing w:val="-4"/>
        </w:rPr>
        <w:t> </w:t>
      </w:r>
      <w:r>
        <w:rPr/>
        <w:t>viceversa.</w:t>
      </w:r>
    </w:p>
    <w:p>
      <w:pPr>
        <w:pStyle w:val="BodyText"/>
        <w:spacing w:line="360" w:lineRule="auto" w:before="8" w:after="10"/>
        <w:ind w:left="152" w:right="111" w:firstLine="710"/>
        <w:jc w:val="both"/>
      </w:pPr>
      <w:r>
        <w:rPr/>
        <w:t>La reducción de la postcarga se ha convertido en un punto clave en el tratamiento actual de la insuficiencia cardíaca. Un corazón normal, aumenta su volumen  sistólico cuando aumentan las resistencias periféricas totales; sin embargo un ventrículo insuficiente empeora su función ante el mismo procedimiento.</w:t>
      </w:r>
    </w:p>
    <w:p>
      <w:pPr>
        <w:pStyle w:val="BodyText"/>
        <w:ind w:left="2067"/>
        <w:rPr>
          <w:sz w:val="20"/>
        </w:rPr>
      </w:pPr>
      <w:r>
        <w:rPr>
          <w:sz w:val="20"/>
        </w:rPr>
        <w:drawing>
          <wp:inline distT="0" distB="0" distL="0" distR="0">
            <wp:extent cx="3647574" cy="2948940"/>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10" cstate="print"/>
                    <a:stretch>
                      <a:fillRect/>
                    </a:stretch>
                  </pic:blipFill>
                  <pic:spPr>
                    <a:xfrm>
                      <a:off x="0" y="0"/>
                      <a:ext cx="3647574" cy="2948940"/>
                    </a:xfrm>
                    <a:prstGeom prst="rect">
                      <a:avLst/>
                    </a:prstGeom>
                  </pic:spPr>
                </pic:pic>
              </a:graphicData>
            </a:graphic>
          </wp:inline>
        </w:drawing>
      </w:r>
      <w:r>
        <w:rPr>
          <w:sz w:val="20"/>
        </w:rPr>
      </w:r>
    </w:p>
    <w:p>
      <w:pPr>
        <w:spacing w:before="107"/>
        <w:ind w:left="152" w:right="105" w:firstLine="0"/>
        <w:jc w:val="both"/>
        <w:rPr>
          <w:i/>
          <w:sz w:val="22"/>
        </w:rPr>
      </w:pPr>
      <w:r>
        <w:rPr>
          <w:i/>
          <w:sz w:val="22"/>
        </w:rPr>
        <w:t>FIGURA 1. Cálculo de la elasticidad arterial efectiva (Ea) a partir de la presión tel</w:t>
      </w:r>
      <w:bookmarkStart w:name="_bookmark10" w:id="18"/>
      <w:bookmarkEnd w:id="18"/>
      <w:r>
        <w:rPr>
          <w:i/>
          <w:sz w:val="22"/>
        </w:rPr>
        <w:t>e</w:t>
      </w:r>
      <w:r>
        <w:rPr>
          <w:i/>
          <w:sz w:val="22"/>
        </w:rPr>
        <w:t>sistólica y del </w:t>
      </w:r>
      <w:r>
        <w:rPr>
          <w:i/>
          <w:sz w:val="22"/>
        </w:rPr>
        <w:t>volumen sistólico. Una recta que pasa por los puntos telesistólico y telediastólico del diagrama presión volumen representa la Ea.</w:t>
      </w:r>
    </w:p>
    <w:p>
      <w:pPr>
        <w:pStyle w:val="BodyText"/>
        <w:spacing w:before="3"/>
        <w:rPr>
          <w:i/>
          <w:sz w:val="27"/>
        </w:rPr>
      </w:pPr>
    </w:p>
    <w:p>
      <w:pPr>
        <w:pStyle w:val="Heading2"/>
        <w:numPr>
          <w:ilvl w:val="1"/>
          <w:numId w:val="2"/>
        </w:numPr>
        <w:tabs>
          <w:tab w:pos="513" w:val="left" w:leader="none"/>
        </w:tabs>
        <w:spacing w:line="240" w:lineRule="auto" w:before="0" w:after="0"/>
        <w:ind w:left="513" w:right="0" w:hanging="361"/>
        <w:jc w:val="both"/>
      </w:pPr>
      <w:bookmarkStart w:name="_bookmark11" w:id="19"/>
      <w:bookmarkEnd w:id="19"/>
      <w:r>
        <w:rPr>
          <w:b w:val="0"/>
        </w:rPr>
      </w:r>
      <w:bookmarkStart w:name="_bookmark11" w:id="20"/>
      <w:bookmarkEnd w:id="20"/>
      <w:r>
        <w:rPr/>
        <w:t>M</w:t>
      </w:r>
      <w:r>
        <w:rPr/>
        <w:t>onitorización de </w:t>
      </w:r>
      <w:r>
        <w:rPr>
          <w:spacing w:val="-3"/>
        </w:rPr>
        <w:t>la </w:t>
      </w:r>
      <w:r>
        <w:rPr/>
        <w:t>presión</w:t>
      </w:r>
      <w:r>
        <w:rPr>
          <w:spacing w:val="-6"/>
        </w:rPr>
        <w:t> </w:t>
      </w:r>
      <w:r>
        <w:rPr/>
        <w:t>arterial</w:t>
      </w:r>
    </w:p>
    <w:p>
      <w:pPr>
        <w:pStyle w:val="BodyText"/>
        <w:rPr>
          <w:b/>
        </w:rPr>
      </w:pPr>
    </w:p>
    <w:p>
      <w:pPr>
        <w:pStyle w:val="BodyText"/>
        <w:spacing w:before="4"/>
        <w:rPr>
          <w:b/>
          <w:sz w:val="23"/>
        </w:rPr>
      </w:pPr>
    </w:p>
    <w:p>
      <w:pPr>
        <w:pStyle w:val="BodyText"/>
        <w:spacing w:line="362" w:lineRule="auto"/>
        <w:ind w:left="152" w:right="111" w:firstLine="710"/>
        <w:jc w:val="both"/>
      </w:pPr>
      <w:r>
        <w:rPr/>
        <w:t>La monitorización de la presión arterial en los pacientes anestesiados comenzó hace más de 60 años.  Al igual que  la  frecuencia cardiaca,  la  presión arterial es un signo    vital</w:t>
      </w:r>
    </w:p>
    <w:p>
      <w:pPr>
        <w:spacing w:after="0" w:line="362"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152" w:right="104"/>
        <w:jc w:val="both"/>
        <w:rPr>
          <w:sz w:val="22"/>
        </w:rPr>
      </w:pPr>
      <w:r>
        <w:rPr/>
        <w:t>cardiovascular fundamental y una parte esencial de </w:t>
      </w:r>
      <w:r>
        <w:rPr>
          <w:spacing w:val="-5"/>
        </w:rPr>
        <w:t>la </w:t>
      </w:r>
      <w:r>
        <w:rPr/>
        <w:t>monitorización de los pacientes críticos y anestesiados. La importancia de </w:t>
      </w:r>
      <w:r>
        <w:rPr>
          <w:spacing w:val="-3"/>
        </w:rPr>
        <w:t>la </w:t>
      </w:r>
      <w:r>
        <w:rPr/>
        <w:t>monitorización de este signo vital está subrayada por el hecho de que los mínimos para </w:t>
      </w:r>
      <w:r>
        <w:rPr>
          <w:spacing w:val="-5"/>
        </w:rPr>
        <w:t>la </w:t>
      </w:r>
      <w:r>
        <w:rPr/>
        <w:t>monitorización anestésica  básica obligan a medir </w:t>
      </w:r>
      <w:r>
        <w:rPr>
          <w:spacing w:val="-3"/>
        </w:rPr>
        <w:t>la </w:t>
      </w:r>
      <w:r>
        <w:rPr/>
        <w:t>presión arterial al menos cada 5 minutos en todos los pacientes anestesiados. (American Society </w:t>
      </w:r>
      <w:r>
        <w:rPr>
          <w:spacing w:val="4"/>
        </w:rPr>
        <w:t>of </w:t>
      </w:r>
      <w:r>
        <w:rPr/>
        <w:t>Anesthesiologist 2005). La medición </w:t>
      </w:r>
      <w:r>
        <w:rPr>
          <w:spacing w:val="-3"/>
        </w:rPr>
        <w:t>la </w:t>
      </w:r>
      <w:r>
        <w:rPr/>
        <w:t>podemos realizar de forma invasiva a través de catéter en distintos sitios de abordaje (arteria radial, femoral, metatarsiana) o bien por métodos </w:t>
      </w:r>
      <w:r>
        <w:rPr>
          <w:spacing w:val="-3"/>
        </w:rPr>
        <w:t>no </w:t>
      </w:r>
      <w:r>
        <w:rPr/>
        <w:t>invasivos por </w:t>
      </w:r>
      <w:r>
        <w:rPr>
          <w:spacing w:val="-4"/>
        </w:rPr>
        <w:t>vía </w:t>
      </w:r>
      <w:r>
        <w:rPr/>
        <w:t>transcutánea, sin acceso directo a los vasos. En clínica, se dispone en </w:t>
      </w:r>
      <w:r>
        <w:rPr>
          <w:spacing w:val="-3"/>
        </w:rPr>
        <w:t>la </w:t>
      </w:r>
      <w:r>
        <w:rPr/>
        <w:t>actualidad de tres métodos de medida diferente: esfigmomanometría con </w:t>
      </w:r>
      <w:r>
        <w:rPr>
          <w:spacing w:val="-3"/>
        </w:rPr>
        <w:t>la </w:t>
      </w:r>
      <w:r>
        <w:rPr/>
        <w:t>ayuda de un maguito y medida directa a través de un catéter intravenoso (Athanasios </w:t>
      </w:r>
      <w:r>
        <w:rPr>
          <w:i/>
        </w:rPr>
        <w:t>et al</w:t>
      </w:r>
      <w:r>
        <w:rPr/>
        <w:t>. 2010). La onda de presión arterial sistémica es el resultado de </w:t>
      </w:r>
      <w:r>
        <w:rPr>
          <w:spacing w:val="-5"/>
        </w:rPr>
        <w:t>la </w:t>
      </w:r>
      <w:r>
        <w:rPr/>
        <w:t>eyección de </w:t>
      </w:r>
      <w:r>
        <w:rPr>
          <w:spacing w:val="-3"/>
        </w:rPr>
        <w:t>la </w:t>
      </w:r>
      <w:r>
        <w:rPr/>
        <w:t>sangre desde el ventrículo izquierdo hacia </w:t>
      </w:r>
      <w:r>
        <w:rPr>
          <w:spacing w:val="-3"/>
        </w:rPr>
        <w:t>la </w:t>
      </w:r>
      <w:r>
        <w:rPr/>
        <w:t>aorta durante </w:t>
      </w:r>
      <w:r>
        <w:rPr>
          <w:spacing w:val="-3"/>
        </w:rPr>
        <w:t>la </w:t>
      </w:r>
      <w:r>
        <w:rPr/>
        <w:t>sístole, seguido de </w:t>
      </w:r>
      <w:r>
        <w:rPr>
          <w:spacing w:val="-5"/>
        </w:rPr>
        <w:t>la </w:t>
      </w:r>
      <w:r>
        <w:rPr/>
        <w:t>distribución de este volumen sistólico por las arterias periféricas durante </w:t>
      </w:r>
      <w:r>
        <w:rPr>
          <w:spacing w:val="-3"/>
        </w:rPr>
        <w:t>la </w:t>
      </w:r>
      <w:r>
        <w:rPr/>
        <w:t>diástole. Los elementos sistólicos siguen </w:t>
      </w:r>
      <w:r>
        <w:rPr>
          <w:spacing w:val="-3"/>
        </w:rPr>
        <w:t>la </w:t>
      </w:r>
      <w:r>
        <w:rPr/>
        <w:t>onda R del ECG y consta de una elevación pronunciada de </w:t>
      </w:r>
      <w:r>
        <w:rPr>
          <w:spacing w:val="-3"/>
        </w:rPr>
        <w:t>la </w:t>
      </w:r>
      <w:r>
        <w:rPr/>
        <w:t>presión, un pico y un descenso correspondiente al periodo de eyección sistólica del ventrículo izquierdo. El descenso de </w:t>
      </w:r>
      <w:r>
        <w:rPr>
          <w:spacing w:val="-3"/>
        </w:rPr>
        <w:t>la </w:t>
      </w:r>
      <w:r>
        <w:rPr/>
        <w:t>onda de </w:t>
      </w:r>
      <w:r>
        <w:rPr>
          <w:spacing w:val="-5"/>
        </w:rPr>
        <w:t>la </w:t>
      </w:r>
      <w:r>
        <w:rPr/>
        <w:t>presión arterial está interrumpido por </w:t>
      </w:r>
      <w:r>
        <w:rPr>
          <w:spacing w:val="-3"/>
        </w:rPr>
        <w:t>la </w:t>
      </w:r>
      <w:r>
        <w:rPr/>
        <w:t>hendidura dícrotica, pero luego continúa su descenso durante </w:t>
      </w:r>
      <w:r>
        <w:rPr>
          <w:spacing w:val="-5"/>
        </w:rPr>
        <w:t>la </w:t>
      </w:r>
      <w:r>
        <w:rPr/>
        <w:t>diástole, después de </w:t>
      </w:r>
      <w:r>
        <w:rPr>
          <w:spacing w:val="-3"/>
        </w:rPr>
        <w:t>la </w:t>
      </w:r>
      <w:r>
        <w:rPr/>
        <w:t>onda T del ECG y alcanza su punto </w:t>
      </w:r>
      <w:r>
        <w:rPr>
          <w:spacing w:val="-3"/>
        </w:rPr>
        <w:t>más bajo </w:t>
      </w:r>
      <w:r>
        <w:rPr/>
        <w:t>al final de </w:t>
      </w:r>
      <w:r>
        <w:rPr>
          <w:spacing w:val="-3"/>
        </w:rPr>
        <w:t>la </w:t>
      </w:r>
      <w:r>
        <w:rPr/>
        <w:t>diástole (telediastólico). La hendidura dícrotica registrada directamente en </w:t>
      </w:r>
      <w:r>
        <w:rPr>
          <w:spacing w:val="-5"/>
        </w:rPr>
        <w:t>la </w:t>
      </w:r>
      <w:r>
        <w:rPr/>
        <w:t>aorta central se denomina incisura, esta se halla definida con claridad y se encuentra sin duda relacionada con el cierre de </w:t>
      </w:r>
      <w:r>
        <w:rPr>
          <w:spacing w:val="-3"/>
        </w:rPr>
        <w:t>la </w:t>
      </w:r>
      <w:r>
        <w:rPr/>
        <w:t>válvula aortica, (Figura 2). Braunwald y cols. (1996). En cambio, </w:t>
      </w:r>
      <w:r>
        <w:rPr>
          <w:spacing w:val="-3"/>
        </w:rPr>
        <w:t>la </w:t>
      </w:r>
      <w:r>
        <w:rPr>
          <w:spacing w:val="54"/>
        </w:rPr>
        <w:t> </w:t>
      </w:r>
      <w:r>
        <w:rPr/>
        <w:t>onda arterial periférica suele mostrar una hendidura dícrotica más tardía y más suave que </w:t>
      </w:r>
      <w:r>
        <w:rPr>
          <w:spacing w:val="-3"/>
        </w:rPr>
        <w:t>solo </w:t>
      </w:r>
      <w:r>
        <w:rPr/>
        <w:t>se aproxima al momento del cierre de </w:t>
      </w:r>
      <w:r>
        <w:rPr>
          <w:spacing w:val="-3"/>
        </w:rPr>
        <w:t>la </w:t>
      </w:r>
      <w:r>
        <w:rPr/>
        <w:t>válvula aortica y depende más de </w:t>
      </w:r>
      <w:r>
        <w:rPr>
          <w:spacing w:val="-3"/>
        </w:rPr>
        <w:t>la </w:t>
      </w:r>
      <w:r>
        <w:rPr/>
        <w:t>propiedades de </w:t>
      </w:r>
      <w:r>
        <w:rPr>
          <w:spacing w:val="-5"/>
        </w:rPr>
        <w:t>la </w:t>
      </w:r>
      <w:r>
        <w:rPr/>
        <w:t>pared arterial. La pantalla de </w:t>
      </w:r>
      <w:r>
        <w:rPr>
          <w:spacing w:val="-3"/>
        </w:rPr>
        <w:t>la </w:t>
      </w:r>
      <w:r>
        <w:rPr/>
        <w:t>cabecera del enfermo muestra los valores numéricos de las presiones del pico sistólico y del punto </w:t>
      </w:r>
      <w:r>
        <w:rPr>
          <w:spacing w:val="-4"/>
        </w:rPr>
        <w:t>más </w:t>
      </w:r>
      <w:r>
        <w:rPr>
          <w:spacing w:val="-3"/>
        </w:rPr>
        <w:t>bajo </w:t>
      </w:r>
      <w:r>
        <w:rPr/>
        <w:t>telediastólico. La medición de </w:t>
      </w:r>
      <w:r>
        <w:rPr>
          <w:spacing w:val="-3"/>
        </w:rPr>
        <w:t>la </w:t>
      </w:r>
      <w:r>
        <w:rPr/>
        <w:t>presión media resulta más compleja y depende del algoritmo empleado por el dispositivo de monitorización. En términos muy sencillos, </w:t>
      </w:r>
      <w:r>
        <w:rPr>
          <w:spacing w:val="-3"/>
        </w:rPr>
        <w:t>la </w:t>
      </w:r>
      <w:r>
        <w:rPr/>
        <w:t>fórmula de </w:t>
      </w:r>
      <w:r>
        <w:rPr>
          <w:spacing w:val="-3"/>
        </w:rPr>
        <w:t>la </w:t>
      </w:r>
      <w:r>
        <w:rPr/>
        <w:t>PAM </w:t>
      </w:r>
      <w:r>
        <w:rPr>
          <w:sz w:val="22"/>
        </w:rPr>
        <w:t>presión arterial sistólica </w:t>
      </w:r>
      <w:r>
        <w:rPr>
          <w:spacing w:val="-3"/>
          <w:sz w:val="22"/>
        </w:rPr>
        <w:t>menos </w:t>
      </w:r>
      <w:r>
        <w:rPr>
          <w:sz w:val="22"/>
        </w:rPr>
        <w:t>la presión arterial diastólica, más un tercio de la presión arterial</w:t>
      </w:r>
      <w:r>
        <w:rPr>
          <w:spacing w:val="-12"/>
          <w:sz w:val="22"/>
        </w:rPr>
        <w:t> </w:t>
      </w:r>
      <w:r>
        <w:rPr>
          <w:sz w:val="22"/>
        </w:rPr>
        <w:t>diastólica.</w:t>
      </w:r>
    </w:p>
    <w:p>
      <w:pPr>
        <w:pStyle w:val="BodyText"/>
        <w:ind w:left="3346"/>
      </w:pPr>
      <w:r>
        <w:rPr/>
        <w:t>PAM = PAD + 1 / 3 (PAS-PAD)</w:t>
      </w:r>
    </w:p>
    <w:p>
      <w:pPr>
        <w:spacing w:after="0"/>
        <w:sectPr>
          <w:pgSz w:w="12240" w:h="15840"/>
          <w:pgMar w:header="0" w:footer="1651" w:top="1500" w:bottom="1840" w:left="1720" w:right="1420"/>
        </w:sectPr>
      </w:pPr>
    </w:p>
    <w:p>
      <w:pPr>
        <w:pStyle w:val="BodyText"/>
        <w:spacing w:before="11"/>
        <w:rPr>
          <w:sz w:val="26"/>
        </w:rPr>
      </w:pPr>
    </w:p>
    <w:p>
      <w:pPr>
        <w:pStyle w:val="BodyText"/>
        <w:ind w:left="2706"/>
        <w:rPr>
          <w:sz w:val="20"/>
        </w:rPr>
      </w:pPr>
      <w:bookmarkStart w:name="_bookmark14" w:id="21"/>
      <w:bookmarkEnd w:id="21"/>
      <w:r>
        <w:rPr/>
      </w:r>
      <w:r>
        <w:rPr>
          <w:sz w:val="20"/>
        </w:rPr>
        <w:drawing>
          <wp:inline distT="0" distB="0" distL="0" distR="0">
            <wp:extent cx="2823320" cy="2560701"/>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2" cstate="print"/>
                    <a:stretch>
                      <a:fillRect/>
                    </a:stretch>
                  </pic:blipFill>
                  <pic:spPr>
                    <a:xfrm>
                      <a:off x="0" y="0"/>
                      <a:ext cx="2823320" cy="2560701"/>
                    </a:xfrm>
                    <a:prstGeom prst="rect">
                      <a:avLst/>
                    </a:prstGeom>
                  </pic:spPr>
                </pic:pic>
              </a:graphicData>
            </a:graphic>
          </wp:inline>
        </w:drawing>
      </w:r>
      <w:r>
        <w:rPr>
          <w:sz w:val="20"/>
        </w:rPr>
      </w:r>
    </w:p>
    <w:p>
      <w:pPr>
        <w:spacing w:before="121"/>
        <w:ind w:left="152" w:right="102" w:firstLine="0"/>
        <w:jc w:val="both"/>
        <w:rPr>
          <w:i/>
          <w:sz w:val="22"/>
        </w:rPr>
      </w:pPr>
      <w:bookmarkStart w:name="_bookmark12" w:id="22"/>
      <w:bookmarkEnd w:id="22"/>
      <w:r>
        <w:rPr/>
      </w:r>
      <w:r>
        <w:rPr>
          <w:i/>
          <w:spacing w:val="-2"/>
          <w:sz w:val="22"/>
        </w:rPr>
        <w:t>FIGURA </w:t>
      </w:r>
      <w:r>
        <w:rPr>
          <w:i/>
          <w:sz w:val="22"/>
        </w:rPr>
        <w:t>2. Onda normal de presión arterial y su relación con la onda R del electrocardiograma,  </w:t>
      </w:r>
      <w:r>
        <w:rPr>
          <w:i/>
          <w:sz w:val="22"/>
        </w:rPr>
        <w:t>1, ascenso sistólico; 2 pico sistólico de presión; 3, descenso sistólico; 4, hendidura dícrotica; 5, descenso diastólico; 6, presión</w:t>
      </w:r>
      <w:r>
        <w:rPr>
          <w:i/>
          <w:spacing w:val="-14"/>
          <w:sz w:val="22"/>
        </w:rPr>
        <w:t> </w:t>
      </w:r>
      <w:r>
        <w:rPr>
          <w:i/>
          <w:sz w:val="22"/>
        </w:rPr>
        <w:t>telediastólica.</w:t>
      </w:r>
    </w:p>
    <w:p>
      <w:pPr>
        <w:pStyle w:val="BodyText"/>
        <w:rPr>
          <w:i/>
          <w:sz w:val="22"/>
        </w:rPr>
      </w:pPr>
    </w:p>
    <w:p>
      <w:pPr>
        <w:pStyle w:val="Heading2"/>
        <w:numPr>
          <w:ilvl w:val="1"/>
          <w:numId w:val="2"/>
        </w:numPr>
        <w:tabs>
          <w:tab w:pos="518" w:val="left" w:leader="none"/>
        </w:tabs>
        <w:spacing w:line="240" w:lineRule="auto" w:before="152" w:after="0"/>
        <w:ind w:left="517" w:right="0" w:hanging="365"/>
        <w:jc w:val="both"/>
      </w:pPr>
      <w:bookmarkStart w:name="_bookmark13" w:id="23"/>
      <w:bookmarkEnd w:id="23"/>
      <w:r>
        <w:rPr>
          <w:b w:val="0"/>
        </w:rPr>
      </w:r>
      <w:bookmarkStart w:name="_bookmark13" w:id="24"/>
      <w:bookmarkEnd w:id="24"/>
      <w:r>
        <w:rPr/>
        <w:t>E</w:t>
      </w:r>
      <w:r>
        <w:rPr/>
        <w:t>fectos de </w:t>
      </w:r>
      <w:r>
        <w:rPr>
          <w:spacing w:val="-3"/>
        </w:rPr>
        <w:t>la </w:t>
      </w:r>
      <w:r>
        <w:rPr/>
        <w:t>anestesia sobre </w:t>
      </w:r>
      <w:r>
        <w:rPr>
          <w:spacing w:val="-3"/>
        </w:rPr>
        <w:t>la </w:t>
      </w:r>
      <w:r>
        <w:rPr/>
        <w:t>regulación de </w:t>
      </w:r>
      <w:r>
        <w:rPr>
          <w:spacing w:val="-3"/>
        </w:rPr>
        <w:t>la </w:t>
      </w:r>
      <w:r>
        <w:rPr/>
        <w:t>presión arterial</w:t>
      </w:r>
    </w:p>
    <w:p>
      <w:pPr>
        <w:pStyle w:val="BodyText"/>
        <w:rPr>
          <w:b/>
        </w:rPr>
      </w:pPr>
    </w:p>
    <w:p>
      <w:pPr>
        <w:pStyle w:val="BodyText"/>
        <w:spacing w:before="9"/>
        <w:rPr>
          <w:b/>
          <w:sz w:val="23"/>
        </w:rPr>
      </w:pPr>
    </w:p>
    <w:p>
      <w:pPr>
        <w:pStyle w:val="BodyText"/>
        <w:spacing w:line="360" w:lineRule="auto"/>
        <w:ind w:left="152" w:right="105" w:firstLine="710"/>
        <w:jc w:val="both"/>
      </w:pPr>
      <w:r>
        <w:rPr/>
        <w:t>Hace más de dos décadas Bristow (1969), publicó que la anestesia deprimía el control barorreflejo de la frecuencia cardíaca en el hombre. La administración de fármacos vasodilatadores, que actúa sobre la precarga y postcarga, producen una caída de la presión arterial. En pacientes con función ventricular normal, con el fin de mantener el gasto cardiaco y si los barorreflejos están íntegros, producirá un aumento reflejo de la frecuencia cardiaca que intentará mantener el gasto cardiaco. Tenemos que recurrir a actuar sobre receptores beta con el fin de bloquearlos y eliminar esta respuesta refleja.</w:t>
      </w:r>
    </w:p>
    <w:p>
      <w:pPr>
        <w:pStyle w:val="BodyText"/>
        <w:spacing w:line="360" w:lineRule="auto" w:before="9"/>
        <w:ind w:left="152" w:right="108" w:firstLine="710"/>
        <w:jc w:val="both"/>
      </w:pPr>
      <w:r>
        <w:rPr/>
        <w:t>Los halogenados tienen un efecto depresor neto dependiente de la concentración. Es importante conocer el grado en que cada fármaco anestésico altera los barorreflejos para realizar el adecuado control hemodinámico (Marty &amp; Reves 1989).</w:t>
      </w:r>
    </w:p>
    <w:p>
      <w:pPr>
        <w:spacing w:after="0" w:line="360" w:lineRule="auto"/>
        <w:jc w:val="both"/>
        <w:sectPr>
          <w:footerReference w:type="default" r:id="rId11"/>
          <w:pgSz w:w="12240" w:h="15840"/>
          <w:pgMar w:footer="1651" w:header="0" w:top="1500" w:bottom="1840" w:left="1720" w:right="1420"/>
        </w:sectPr>
      </w:pPr>
    </w:p>
    <w:p>
      <w:pPr>
        <w:pStyle w:val="BodyText"/>
        <w:spacing w:before="1"/>
        <w:rPr>
          <w:sz w:val="21"/>
        </w:rPr>
      </w:pPr>
    </w:p>
    <w:p>
      <w:pPr>
        <w:pStyle w:val="Heading2"/>
        <w:numPr>
          <w:ilvl w:val="1"/>
          <w:numId w:val="2"/>
        </w:numPr>
        <w:tabs>
          <w:tab w:pos="518" w:val="left" w:leader="none"/>
        </w:tabs>
        <w:spacing w:line="240" w:lineRule="auto" w:before="69" w:after="0"/>
        <w:ind w:left="517" w:right="0" w:hanging="365"/>
        <w:jc w:val="left"/>
      </w:pPr>
      <w:r>
        <w:rPr/>
        <w:t>Sevoflurano-Isoflurano</w:t>
      </w:r>
    </w:p>
    <w:p>
      <w:pPr>
        <w:pStyle w:val="BodyText"/>
        <w:rPr>
          <w:b/>
        </w:rPr>
      </w:pPr>
    </w:p>
    <w:p>
      <w:pPr>
        <w:pStyle w:val="BodyText"/>
        <w:spacing w:before="4"/>
        <w:rPr>
          <w:b/>
          <w:sz w:val="23"/>
        </w:rPr>
      </w:pPr>
    </w:p>
    <w:p>
      <w:pPr>
        <w:pStyle w:val="BodyText"/>
        <w:spacing w:line="360" w:lineRule="auto" w:before="1"/>
        <w:ind w:left="152" w:right="110" w:firstLine="710"/>
        <w:jc w:val="both"/>
      </w:pPr>
      <w:r>
        <w:rPr/>
        <w:t>Con </w:t>
      </w:r>
      <w:r>
        <w:rPr>
          <w:spacing w:val="-5"/>
        </w:rPr>
        <w:t>la </w:t>
      </w:r>
      <w:r>
        <w:rPr/>
        <w:t>aparición de nuevos anestésicos halogenados siempre se busca que las alteraciones a nivel cardiovascular sean menores comparativamente con los </w:t>
      </w:r>
      <w:r>
        <w:rPr>
          <w:spacing w:val="-3"/>
        </w:rPr>
        <w:t>ya </w:t>
      </w:r>
      <w:r>
        <w:rPr/>
        <w:t>existentes. Se busca que controlen o </w:t>
      </w:r>
      <w:r>
        <w:rPr>
          <w:spacing w:val="-3"/>
        </w:rPr>
        <w:t>no </w:t>
      </w:r>
      <w:r>
        <w:rPr/>
        <w:t>deterioren </w:t>
      </w:r>
      <w:r>
        <w:rPr>
          <w:spacing w:val="-3"/>
        </w:rPr>
        <w:t>la </w:t>
      </w:r>
      <w:r>
        <w:rPr/>
        <w:t>hemodinámica del paciente y que puedan ser utilizados en cualquier terreno. Todos como se dijo inicialmente, producen depresión de la contractibilidad miocárdica dosis-dependiente, pero es evidente en los diferentes estudios que de alguna manera, y comparado con el halotano, producen menos alteraciones. En pacientes que mantenían tensiones arteriales normales el aumento a 2 </w:t>
      </w:r>
      <w:r>
        <w:rPr>
          <w:spacing w:val="-3"/>
        </w:rPr>
        <w:t>CAM no </w:t>
      </w:r>
      <w:r>
        <w:rPr/>
        <w:t>presentaba efectos cardiovasculares adversos (Malan </w:t>
      </w:r>
      <w:r>
        <w:rPr>
          <w:i/>
        </w:rPr>
        <w:t>et al</w:t>
      </w:r>
      <w:r>
        <w:rPr/>
        <w:t>. 1995; Deryck</w:t>
      </w:r>
      <w:r>
        <w:rPr>
          <w:spacing w:val="-20"/>
        </w:rPr>
        <w:t> </w:t>
      </w:r>
      <w:r>
        <w:rPr/>
        <w:t>2010).</w:t>
      </w:r>
    </w:p>
    <w:p>
      <w:pPr>
        <w:pStyle w:val="BodyText"/>
        <w:spacing w:line="360" w:lineRule="auto" w:before="4"/>
        <w:ind w:left="152" w:right="108" w:firstLine="710"/>
        <w:jc w:val="both"/>
      </w:pPr>
      <w:r>
        <w:rPr/>
        <w:t>La acción depresiva de los anestésicos se ejerce, esencialmente, a nivel central, disminuyendo </w:t>
      </w:r>
      <w:r>
        <w:rPr>
          <w:spacing w:val="-3"/>
        </w:rPr>
        <w:t>la </w:t>
      </w:r>
      <w:r>
        <w:rPr/>
        <w:t>intensidad de </w:t>
      </w:r>
      <w:r>
        <w:rPr>
          <w:spacing w:val="-3"/>
        </w:rPr>
        <w:t>la </w:t>
      </w:r>
      <w:r>
        <w:rPr/>
        <w:t>respuesta simpática. Esta acción central se traduce, habitualmente, en alteración de los mecanismos fisiológicos de control de </w:t>
      </w:r>
      <w:r>
        <w:rPr>
          <w:spacing w:val="-3"/>
        </w:rPr>
        <w:t>la </w:t>
      </w:r>
      <w:r>
        <w:rPr/>
        <w:t>presión  arterial.</w:t>
      </w:r>
    </w:p>
    <w:p>
      <w:pPr>
        <w:pStyle w:val="BodyText"/>
      </w:pPr>
    </w:p>
    <w:p>
      <w:pPr>
        <w:pStyle w:val="Heading2"/>
        <w:numPr>
          <w:ilvl w:val="1"/>
          <w:numId w:val="2"/>
        </w:numPr>
        <w:tabs>
          <w:tab w:pos="518" w:val="left" w:leader="none"/>
        </w:tabs>
        <w:spacing w:line="240" w:lineRule="auto" w:before="150" w:after="0"/>
        <w:ind w:left="517" w:right="0" w:hanging="365"/>
        <w:jc w:val="left"/>
      </w:pPr>
      <w:bookmarkStart w:name="_bookmark15" w:id="25"/>
      <w:bookmarkEnd w:id="25"/>
      <w:r>
        <w:rPr>
          <w:b w:val="0"/>
        </w:rPr>
      </w:r>
      <w:bookmarkStart w:name="_bookmark15" w:id="26"/>
      <w:bookmarkEnd w:id="26"/>
      <w:r>
        <w:rPr/>
        <w:t>Cu</w:t>
      </w:r>
      <w:r>
        <w:rPr/>
        <w:t>rvas</w:t>
      </w:r>
      <w:r>
        <w:rPr>
          <w:spacing w:val="-16"/>
        </w:rPr>
        <w:t> </w:t>
      </w:r>
      <w:r>
        <w:rPr/>
        <w:t>ventriculares</w:t>
      </w:r>
    </w:p>
    <w:p>
      <w:pPr>
        <w:pStyle w:val="BodyText"/>
        <w:rPr>
          <w:b/>
        </w:rPr>
      </w:pPr>
    </w:p>
    <w:p>
      <w:pPr>
        <w:pStyle w:val="BodyText"/>
        <w:spacing w:before="4"/>
        <w:rPr>
          <w:b/>
          <w:sz w:val="23"/>
        </w:rPr>
      </w:pPr>
    </w:p>
    <w:p>
      <w:pPr>
        <w:pStyle w:val="BodyText"/>
        <w:spacing w:line="360" w:lineRule="auto"/>
        <w:ind w:left="152" w:right="105" w:firstLine="710"/>
        <w:jc w:val="both"/>
      </w:pPr>
      <w:r>
        <w:rPr/>
        <w:t>Las múltiples mediciones del gasto cardíaco y los datos que de este se derivan, junto a </w:t>
      </w:r>
      <w:r>
        <w:rPr>
          <w:spacing w:val="-3"/>
        </w:rPr>
        <w:t>las </w:t>
      </w:r>
      <w:r>
        <w:rPr/>
        <w:t>presiones de llenado, hacen posible construir </w:t>
      </w:r>
      <w:r>
        <w:rPr>
          <w:spacing w:val="2"/>
        </w:rPr>
        <w:t>las </w:t>
      </w:r>
      <w:r>
        <w:rPr/>
        <w:t>curvas de función ventricular, (Figura 3). (Gilsanz 1989; Sun &amp; Schwarzenberger 2010). La </w:t>
      </w:r>
      <w:r>
        <w:rPr>
          <w:spacing w:val="-3"/>
        </w:rPr>
        <w:t>ley </w:t>
      </w:r>
      <w:r>
        <w:rPr/>
        <w:t>del corazón de Frank-Starling relaciona </w:t>
      </w:r>
      <w:r>
        <w:rPr>
          <w:spacing w:val="-3"/>
        </w:rPr>
        <w:t>la </w:t>
      </w:r>
      <w:r>
        <w:rPr/>
        <w:t>precarga con el volumen sistólico. El valor de </w:t>
      </w:r>
      <w:r>
        <w:rPr>
          <w:spacing w:val="-3"/>
        </w:rPr>
        <w:t>la </w:t>
      </w:r>
      <w:r>
        <w:rPr/>
        <w:t>precarga se coloca en el eje horizontal y el eje vertical debe de representar el trabajo ventricular. Se debe de estudiar  por separado </w:t>
      </w:r>
      <w:r>
        <w:rPr>
          <w:spacing w:val="-5"/>
        </w:rPr>
        <w:t>la </w:t>
      </w:r>
      <w:r>
        <w:rPr/>
        <w:t>función de ambos ventrículos y </w:t>
      </w:r>
      <w:r>
        <w:rPr>
          <w:spacing w:val="-3"/>
        </w:rPr>
        <w:t>no </w:t>
      </w:r>
      <w:r>
        <w:rPr/>
        <w:t>se debe de combinar una medida del corazón derecho con una del izquierdo. La mejor medida de </w:t>
      </w:r>
      <w:r>
        <w:rPr>
          <w:spacing w:val="-5"/>
        </w:rPr>
        <w:t>la </w:t>
      </w:r>
      <w:r>
        <w:rPr/>
        <w:t>precarga del ventrículo izquierdo (VI) es el volumen telediastólico del VI, pero clínicamente se suele emplear </w:t>
      </w:r>
      <w:r>
        <w:rPr>
          <w:spacing w:val="-3"/>
        </w:rPr>
        <w:t>la </w:t>
      </w:r>
      <w:r>
        <w:rPr/>
        <w:t>presión de oclusión de </w:t>
      </w:r>
      <w:r>
        <w:rPr>
          <w:spacing w:val="-3"/>
        </w:rPr>
        <w:t>la </w:t>
      </w:r>
      <w:r>
        <w:rPr/>
        <w:t>arteria pulmonar medida por </w:t>
      </w:r>
      <w:r>
        <w:rPr>
          <w:spacing w:val="-4"/>
        </w:rPr>
        <w:t>medio </w:t>
      </w:r>
      <w:r>
        <w:rPr/>
        <w:t>del catéter de Swan-Ganz. Pueden emplearse otras medidas teniendo en cuenta sus limitaciones. En lugar del trabajo miocárdico se suelen colocar variables como </w:t>
      </w:r>
      <w:r>
        <w:rPr>
          <w:spacing w:val="-3"/>
        </w:rPr>
        <w:t>la </w:t>
      </w:r>
      <w:r>
        <w:rPr/>
        <w:t>presión arterial, el gasto cardíaco, el volumen sistólico  y el trabajo  sistólico  del ventrículo  izquierdo  (fáciles de  medir con</w:t>
      </w:r>
      <w:r>
        <w:rPr>
          <w:spacing w:val="4"/>
        </w:rPr>
        <w:t> </w:t>
      </w:r>
      <w:r>
        <w:rPr/>
        <w:t>un</w:t>
      </w:r>
    </w:p>
    <w:p>
      <w:pPr>
        <w:spacing w:after="0" w:line="360" w:lineRule="auto"/>
        <w:jc w:val="both"/>
        <w:sectPr>
          <w:footerReference w:type="default" r:id="rId13"/>
          <w:pgSz w:w="12240" w:h="15840"/>
          <w:pgMar w:footer="1651" w:header="0" w:top="1500" w:bottom="1840" w:left="1720" w:right="1420"/>
          <w:pgNumType w:start="11"/>
        </w:sectPr>
      </w:pPr>
    </w:p>
    <w:p>
      <w:pPr>
        <w:pStyle w:val="BodyText"/>
        <w:spacing w:before="7"/>
        <w:rPr>
          <w:sz w:val="20"/>
        </w:rPr>
      </w:pPr>
    </w:p>
    <w:p>
      <w:pPr>
        <w:pStyle w:val="BodyText"/>
        <w:spacing w:line="360" w:lineRule="auto" w:before="69" w:after="11"/>
        <w:ind w:left="152" w:right="115"/>
        <w:jc w:val="both"/>
      </w:pPr>
      <w:r>
        <w:rPr/>
        <w:t>catéter Swan-Ganz para gasto cardiaco). Todo aquello que aumenta la contractibilidad, desplaza la curva hacia arriba y a la izquierda. En cambio, las enfermedades o fármacos que deprimen el corazón, la desplazan hacia abajo y a la derecha.</w:t>
      </w:r>
    </w:p>
    <w:p>
      <w:pPr>
        <w:pStyle w:val="BodyText"/>
        <w:ind w:left="1731"/>
        <w:rPr>
          <w:sz w:val="20"/>
        </w:rPr>
      </w:pPr>
      <w:r>
        <w:rPr>
          <w:sz w:val="20"/>
        </w:rPr>
        <w:drawing>
          <wp:inline distT="0" distB="0" distL="0" distR="0">
            <wp:extent cx="4058847" cy="3796474"/>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4" cstate="print"/>
                    <a:stretch>
                      <a:fillRect/>
                    </a:stretch>
                  </pic:blipFill>
                  <pic:spPr>
                    <a:xfrm>
                      <a:off x="0" y="0"/>
                      <a:ext cx="4058847" cy="3796474"/>
                    </a:xfrm>
                    <a:prstGeom prst="rect">
                      <a:avLst/>
                    </a:prstGeom>
                  </pic:spPr>
                </pic:pic>
              </a:graphicData>
            </a:graphic>
          </wp:inline>
        </w:drawing>
      </w:r>
      <w:r>
        <w:rPr>
          <w:sz w:val="20"/>
        </w:rPr>
      </w:r>
    </w:p>
    <w:p>
      <w:pPr>
        <w:spacing w:line="250" w:lineRule="exact" w:before="150"/>
        <w:ind w:left="152" w:right="107" w:firstLine="0"/>
        <w:jc w:val="both"/>
        <w:rPr>
          <w:i/>
          <w:sz w:val="22"/>
        </w:rPr>
      </w:pPr>
      <w:bookmarkStart w:name="_bookmark16" w:id="27"/>
      <w:bookmarkEnd w:id="27"/>
      <w:r>
        <w:rPr/>
      </w:r>
      <w:r>
        <w:rPr>
          <w:i/>
          <w:sz w:val="22"/>
        </w:rPr>
        <w:t>FIGURA 3. Las múltiples mediciones del gasto cardíaco y los datos que de este se derivan, junto a </w:t>
      </w:r>
      <w:r>
        <w:rPr>
          <w:i/>
          <w:sz w:val="22"/>
        </w:rPr>
        <w:t>las presiones de llenado, hacen posible construir las curvas de función ventricular.</w:t>
      </w:r>
    </w:p>
    <w:p>
      <w:pPr>
        <w:pStyle w:val="BodyText"/>
        <w:rPr>
          <w:i/>
          <w:sz w:val="22"/>
        </w:rPr>
      </w:pPr>
    </w:p>
    <w:p>
      <w:pPr>
        <w:pStyle w:val="Heading2"/>
        <w:numPr>
          <w:ilvl w:val="2"/>
          <w:numId w:val="2"/>
        </w:numPr>
        <w:tabs>
          <w:tab w:pos="696" w:val="left" w:leader="none"/>
        </w:tabs>
        <w:spacing w:line="240" w:lineRule="auto" w:before="154" w:after="0"/>
        <w:ind w:left="695" w:right="0" w:hanging="543"/>
        <w:jc w:val="both"/>
      </w:pPr>
      <w:bookmarkStart w:name="_bookmark17" w:id="28"/>
      <w:bookmarkEnd w:id="28"/>
      <w:r>
        <w:rPr>
          <w:b w:val="0"/>
        </w:rPr>
      </w:r>
      <w:bookmarkStart w:name="_bookmark17" w:id="29"/>
      <w:bookmarkEnd w:id="29"/>
      <w:r>
        <w:rPr/>
        <w:t>M</w:t>
      </w:r>
      <w:r>
        <w:rPr/>
        <w:t>edidas de las presiones y volúmenes</w:t>
      </w:r>
      <w:r>
        <w:rPr>
          <w:spacing w:val="-20"/>
        </w:rPr>
        <w:t> </w:t>
      </w:r>
      <w:r>
        <w:rPr/>
        <w:t>ventriculares</w:t>
      </w:r>
    </w:p>
    <w:p>
      <w:pPr>
        <w:pStyle w:val="BodyText"/>
        <w:rPr>
          <w:b/>
        </w:rPr>
      </w:pPr>
    </w:p>
    <w:p>
      <w:pPr>
        <w:pStyle w:val="BodyText"/>
        <w:spacing w:before="4"/>
        <w:rPr>
          <w:b/>
          <w:sz w:val="23"/>
        </w:rPr>
      </w:pPr>
    </w:p>
    <w:p>
      <w:pPr>
        <w:pStyle w:val="BodyText"/>
        <w:spacing w:line="360" w:lineRule="auto" w:before="1"/>
        <w:ind w:left="152" w:right="112" w:firstLine="710"/>
        <w:jc w:val="both"/>
      </w:pPr>
      <w:r>
        <w:rPr/>
        <w:t>Las presiones son más fáciles de medir que los volúmenes y el cateterismo derecho permite la monitorización continua de la PVC, las presiones ventriculares derechas y las presiones en la arteria pulmonar. Este tipo de cateterismo nos da información de las presiones del corazón derecho y sobre su precarga PVC, pero la asimilación de la PVC a la precarga del VI no es fiable porque la circulación pulmonar tiene un lecho vascular fácilmente distensible (complianza elevada)  y reclutable. Se admite,  no  obstante, que     la</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152"/>
      </w:pPr>
      <w:r>
        <w:rPr/>
        <w:t>presión de oclusión de la arteria pulmonar (PCP) es asimilable a la presión de la aurícula izquierda y a la presión telediastólica del ventrículo izquierdo.</w:t>
      </w:r>
    </w:p>
    <w:p>
      <w:pPr>
        <w:pStyle w:val="BodyText"/>
        <w:spacing w:line="360" w:lineRule="auto" w:before="4"/>
        <w:ind w:left="152" w:right="105" w:firstLine="710"/>
        <w:jc w:val="both"/>
      </w:pPr>
      <w:r>
        <w:rPr/>
        <w:t>La medida de los volúmenes ventriculares derechos puede ser realizada, en la práctica, con un catéter de Swan-Ganz provisto de un termistor de respuesta rápida; el cálculo de la fracción de eyección permite determinar el volumen telesistólico y el volumen telediastólico del ventrículo derecho, pero no del ventrículo izquierdo. Se pueden medir los volúmenes por métodos radiográficos, isotópicos o ecográficos. Los métodos radiográficos están abandonados. Las medidas isotópicas son válidas, pero se necesita una ganmacámara y un centro de medicina nuclear disponible a diario. La proximidad del esófago al corazón permite, por ecocardiografía transesofágica (ETE), obtener imágenes sobre la anatomía del corazón y sobre la función del ventrículo izquierdo global o segmentaria (Marcucci </w:t>
      </w:r>
      <w:r>
        <w:rPr>
          <w:i/>
        </w:rPr>
        <w:t>et al</w:t>
      </w:r>
      <w:r>
        <w:rPr/>
        <w:t>. 2008).</w:t>
      </w:r>
    </w:p>
    <w:p>
      <w:pPr>
        <w:pStyle w:val="BodyText"/>
        <w:spacing w:line="360" w:lineRule="auto" w:before="4"/>
        <w:ind w:left="152" w:right="105" w:firstLine="710"/>
        <w:jc w:val="both"/>
      </w:pPr>
      <w:r>
        <w:rPr/>
        <w:t>Se logra hacer las medidas de los ejes de las cavidades y extrapolar los volúmenes siguiendo un método matemático. Las medidas concuerdan bien con las obtenidas con otras técnicas angiográficas e isotópicas. La ETE también permite calcular la fracción de acortamiento de los diámetros ventriculares que es un índice de función ventricular fiable, concordante con la fracción de eyección obtenida por angiografía.</w:t>
      </w:r>
    </w:p>
    <w:p>
      <w:pPr>
        <w:pStyle w:val="BodyText"/>
      </w:pPr>
    </w:p>
    <w:p>
      <w:pPr>
        <w:pStyle w:val="Heading2"/>
        <w:numPr>
          <w:ilvl w:val="1"/>
          <w:numId w:val="2"/>
        </w:numPr>
        <w:tabs>
          <w:tab w:pos="633" w:val="left" w:leader="none"/>
        </w:tabs>
        <w:spacing w:line="240" w:lineRule="auto" w:before="146" w:after="0"/>
        <w:ind w:left="633" w:right="0" w:hanging="481"/>
        <w:jc w:val="left"/>
      </w:pPr>
      <w:bookmarkStart w:name="_bookmark18" w:id="30"/>
      <w:bookmarkEnd w:id="30"/>
      <w:r>
        <w:rPr>
          <w:b w:val="0"/>
        </w:rPr>
      </w:r>
      <w:bookmarkStart w:name="_bookmark18" w:id="31"/>
      <w:bookmarkEnd w:id="31"/>
      <w:r>
        <w:rPr/>
        <w:t>M</w:t>
      </w:r>
      <w:r>
        <w:rPr/>
        <w:t>onitorización del gasto</w:t>
      </w:r>
      <w:r>
        <w:rPr>
          <w:spacing w:val="-18"/>
        </w:rPr>
        <w:t> </w:t>
      </w:r>
      <w:r>
        <w:rPr/>
        <w:t>cardiaco</w:t>
      </w:r>
    </w:p>
    <w:p>
      <w:pPr>
        <w:pStyle w:val="BodyText"/>
        <w:rPr>
          <w:b/>
        </w:rPr>
      </w:pPr>
    </w:p>
    <w:p>
      <w:pPr>
        <w:pStyle w:val="BodyText"/>
        <w:spacing w:before="9"/>
        <w:rPr>
          <w:b/>
          <w:sz w:val="23"/>
        </w:rPr>
      </w:pPr>
    </w:p>
    <w:p>
      <w:pPr>
        <w:pStyle w:val="BodyText"/>
        <w:spacing w:line="360" w:lineRule="auto"/>
        <w:ind w:left="152" w:right="102" w:firstLine="710"/>
        <w:jc w:val="both"/>
      </w:pPr>
      <w:r>
        <w:rPr/>
        <w:t>La Cateterización de la arteria pulmonar se describió por primera vez en 1945 (ChatterjeeK </w:t>
      </w:r>
      <w:r>
        <w:rPr>
          <w:i/>
        </w:rPr>
        <w:t>et al</w:t>
      </w:r>
      <w:r>
        <w:rPr/>
        <w:t>. 2009; Dexter L. </w:t>
      </w:r>
      <w:r>
        <w:rPr>
          <w:i/>
        </w:rPr>
        <w:t>et al</w:t>
      </w:r>
      <w:r>
        <w:rPr/>
        <w:t>. 1947), como una técnica útil para la valoración de la insuficiencia mitral. En 1970 (Swan HJ, Ganz W. </w:t>
      </w:r>
      <w:r>
        <w:rPr>
          <w:i/>
        </w:rPr>
        <w:t>et al</w:t>
      </w:r>
      <w:r>
        <w:rPr/>
        <w:t>. 1970), se introdujo el (SG) como herramienta diagnostica que podía utilizarse en las unidades de cuidados intensivos. El catéter de Swan-Ganz (SG), proporciona datos hemodinámicos con mayor sensibilidad diagnostica que los datos clínicos en la valoración de la gravedad del fallo cardíaco (Chatterjee K. </w:t>
      </w:r>
      <w:r>
        <w:rPr>
          <w:i/>
        </w:rPr>
        <w:t>et al</w:t>
      </w:r>
      <w:r>
        <w:rPr/>
        <w:t>. 2009; Stevenson LW. </w:t>
      </w:r>
      <w:r>
        <w:rPr>
          <w:i/>
        </w:rPr>
        <w:t>et al</w:t>
      </w:r>
      <w:r>
        <w:rPr/>
        <w:t>.1989)</w:t>
      </w:r>
      <w:r>
        <w:rPr>
          <w:color w:val="FF0000"/>
        </w:rPr>
        <w:t>. </w:t>
      </w:r>
      <w:r>
        <w:rPr/>
        <w:t>Pone en evidencia datos que no pueden sospecharse desde un punto de vista clínico en la evaluación perioperatoria en pacientes con enfermedad coronaria, enfermedad vascular asociada (Babu SC. </w:t>
      </w:r>
      <w:r>
        <w:rPr>
          <w:i/>
        </w:rPr>
        <w:t>et al</w:t>
      </w:r>
      <w:r>
        <w:rPr/>
        <w:t>.  1980).</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152" w:right="99"/>
        <w:jc w:val="both"/>
      </w:pPr>
      <w:r>
        <w:rPr/>
        <w:t>Presenta, además, una mayor precisión en </w:t>
      </w:r>
      <w:r>
        <w:rPr>
          <w:spacing w:val="-3"/>
        </w:rPr>
        <w:t>la </w:t>
      </w:r>
      <w:r>
        <w:rPr/>
        <w:t>estimación de </w:t>
      </w:r>
      <w:r>
        <w:rPr>
          <w:spacing w:val="-3"/>
        </w:rPr>
        <w:t>la </w:t>
      </w:r>
      <w:r>
        <w:rPr/>
        <w:t>precarga que </w:t>
      </w:r>
      <w:r>
        <w:rPr>
          <w:spacing w:val="-3"/>
        </w:rPr>
        <w:t>la  </w:t>
      </w:r>
      <w:r>
        <w:rPr/>
        <w:t>presión venosa central (PVC) en pacientes con disfunción sistólica ventricular (Mangano DT. 1980; Crexells C. </w:t>
      </w:r>
      <w:r>
        <w:rPr>
          <w:i/>
        </w:rPr>
        <w:t>et al</w:t>
      </w:r>
      <w:r>
        <w:rPr/>
        <w:t>. 1975). Todos estos datos hacen pensar que su información podría influir positivamente en el pronóstico de los pacientes. Desde </w:t>
      </w:r>
      <w:r>
        <w:rPr>
          <w:spacing w:val="-3"/>
        </w:rPr>
        <w:t>la </w:t>
      </w:r>
      <w:r>
        <w:rPr/>
        <w:t>introducción del catéter de SG, </w:t>
      </w:r>
      <w:r>
        <w:rPr>
          <w:spacing w:val="-5"/>
        </w:rPr>
        <w:t>la </w:t>
      </w:r>
      <w:r>
        <w:rPr/>
        <w:t>termodilución se </w:t>
      </w:r>
      <w:r>
        <w:rPr>
          <w:spacing w:val="-3"/>
        </w:rPr>
        <w:t>ha </w:t>
      </w:r>
      <w:r>
        <w:rPr/>
        <w:t>convertido en el </w:t>
      </w:r>
      <w:r>
        <w:rPr>
          <w:i/>
        </w:rPr>
        <w:t>estándar de oro </w:t>
      </w:r>
      <w:r>
        <w:rPr/>
        <w:t>para </w:t>
      </w:r>
      <w:r>
        <w:rPr>
          <w:spacing w:val="-3"/>
        </w:rPr>
        <w:t>la </w:t>
      </w:r>
      <w:r>
        <w:rPr/>
        <w:t>medición del gasto cardíaco (GC) en </w:t>
      </w:r>
      <w:r>
        <w:rPr>
          <w:spacing w:val="-5"/>
        </w:rPr>
        <w:t>la </w:t>
      </w:r>
      <w:r>
        <w:rPr/>
        <w:t>práctica clínica. El termistor situado en </w:t>
      </w:r>
      <w:r>
        <w:rPr>
          <w:spacing w:val="-3"/>
        </w:rPr>
        <w:t>la </w:t>
      </w:r>
      <w:r>
        <w:rPr/>
        <w:t>arteria pulmonar mide </w:t>
      </w:r>
      <w:r>
        <w:rPr>
          <w:spacing w:val="-5"/>
        </w:rPr>
        <w:t>la </w:t>
      </w:r>
      <w:r>
        <w:rPr/>
        <w:t>temperatura sanguínea y obtiene una curva de dilución a partir de </w:t>
      </w:r>
      <w:r>
        <w:rPr>
          <w:spacing w:val="-3"/>
        </w:rPr>
        <w:t>la </w:t>
      </w:r>
      <w:r>
        <w:rPr/>
        <w:t>cual se calcula el GC mediante </w:t>
      </w:r>
      <w:r>
        <w:rPr>
          <w:spacing w:val="-5"/>
        </w:rPr>
        <w:t>la </w:t>
      </w:r>
      <w:r>
        <w:rPr/>
        <w:t>ecuación de Stewart-Hamilton. Además de su capacidad de monitorizar </w:t>
      </w:r>
      <w:r>
        <w:rPr>
          <w:spacing w:val="-4"/>
        </w:rPr>
        <w:t>las </w:t>
      </w:r>
      <w:r>
        <w:rPr/>
        <w:t>presiones, sin duda, </w:t>
      </w:r>
      <w:r>
        <w:rPr>
          <w:spacing w:val="-3"/>
        </w:rPr>
        <w:t>las </w:t>
      </w:r>
      <w:r>
        <w:rPr/>
        <w:t>características más significativas del catéter de </w:t>
      </w:r>
      <w:r>
        <w:rPr>
          <w:spacing w:val="-5"/>
        </w:rPr>
        <w:t>la </w:t>
      </w:r>
      <w:r>
        <w:rPr/>
        <w:t>arteria pulmonar (CAP), es </w:t>
      </w:r>
      <w:r>
        <w:rPr>
          <w:spacing w:val="-5"/>
        </w:rPr>
        <w:t>la </w:t>
      </w:r>
      <w:r>
        <w:rPr/>
        <w:t>capacidad para determinar el gasto cardiaco por el </w:t>
      </w:r>
      <w:r>
        <w:rPr>
          <w:spacing w:val="-3"/>
        </w:rPr>
        <w:t>modelo </w:t>
      </w:r>
      <w:r>
        <w:rPr/>
        <w:t>de termodilución. La medida </w:t>
      </w:r>
      <w:r>
        <w:rPr>
          <w:spacing w:val="2"/>
        </w:rPr>
        <w:t>del </w:t>
      </w:r>
      <w:r>
        <w:rPr/>
        <w:t>gasto cardiaco proporciona una valoración global de </w:t>
      </w:r>
      <w:r>
        <w:rPr>
          <w:spacing w:val="-5"/>
        </w:rPr>
        <w:t>la </w:t>
      </w:r>
      <w:r>
        <w:rPr/>
        <w:t>circulación y cuando  se combina con otras medidas (frecuencia cardiaca, presión arterial, PVC, PAP), permiten el cálculo de relevantes variables circulatorias adicionales, como </w:t>
      </w:r>
      <w:r>
        <w:rPr>
          <w:spacing w:val="-5"/>
        </w:rPr>
        <w:t>la </w:t>
      </w:r>
      <w:r>
        <w:rPr/>
        <w:t>resistencia vascular sistémica (RVS), las RVP y el trabajo sistólico ventricular. Tres factores han dirigido los esfuerzos para  medir el gasto cardiaco en </w:t>
      </w:r>
      <w:r>
        <w:rPr>
          <w:spacing w:val="-5"/>
        </w:rPr>
        <w:t>la </w:t>
      </w:r>
      <w:r>
        <w:rPr/>
        <w:t>práctica clínica. El primero es el reconocimiento de que muchos pacientes críticos, el </w:t>
      </w:r>
      <w:r>
        <w:rPr>
          <w:spacing w:val="-3"/>
        </w:rPr>
        <w:t>bajo </w:t>
      </w:r>
      <w:r>
        <w:rPr/>
        <w:t>gasto cardiaco produce una morbilidad y mortalidad significativas (Dupont H. </w:t>
      </w:r>
      <w:r>
        <w:rPr>
          <w:i/>
        </w:rPr>
        <w:t>et al</w:t>
      </w:r>
      <w:r>
        <w:rPr/>
        <w:t>. 1996). El segundo que </w:t>
      </w:r>
      <w:r>
        <w:rPr>
          <w:spacing w:val="-5"/>
        </w:rPr>
        <w:t>la </w:t>
      </w:r>
      <w:r>
        <w:rPr/>
        <w:t>valoración clínica del gasto cardiaco es con frecuencia imprecisa y en particular, muchos pacientes gravemente enfermos con un GC muy disminuido tienen una presión arterial sistémica normal. (Linton RAF. </w:t>
      </w:r>
      <w:r>
        <w:rPr>
          <w:i/>
        </w:rPr>
        <w:t>et al</w:t>
      </w:r>
      <w:r>
        <w:rPr/>
        <w:t>. 2002). En tercer lugar, las técnicas más recientes para </w:t>
      </w:r>
      <w:r>
        <w:rPr>
          <w:spacing w:val="-3"/>
        </w:rPr>
        <w:t>la </w:t>
      </w:r>
      <w:r>
        <w:rPr/>
        <w:t>determinación </w:t>
      </w:r>
      <w:r>
        <w:rPr>
          <w:spacing w:val="2"/>
        </w:rPr>
        <w:t>del </w:t>
      </w:r>
      <w:r>
        <w:rPr/>
        <w:t>GC son menos invasivas que </w:t>
      </w:r>
      <w:r>
        <w:rPr>
          <w:spacing w:val="-3"/>
        </w:rPr>
        <w:t>la </w:t>
      </w:r>
      <w:r>
        <w:rPr/>
        <w:t>monitorización mediante el CAP, de ahí que pudiera beneficiar  a muchos pacientes enfermos sin los riesgos inherentes |a </w:t>
      </w:r>
      <w:r>
        <w:rPr>
          <w:spacing w:val="-3"/>
        </w:rPr>
        <w:t>la </w:t>
      </w:r>
      <w:r>
        <w:rPr/>
        <w:t>monitorización invasiva (Linton RAF </w:t>
      </w:r>
      <w:r>
        <w:rPr>
          <w:i/>
        </w:rPr>
        <w:t>et al</w:t>
      </w:r>
      <w:r>
        <w:rPr/>
        <w:t>.</w:t>
      </w:r>
      <w:r>
        <w:rPr>
          <w:spacing w:val="-4"/>
        </w:rPr>
        <w:t> </w:t>
      </w:r>
      <w:r>
        <w:rPr/>
        <w:t>2002).</w:t>
      </w:r>
    </w:p>
    <w:p>
      <w:pPr>
        <w:pStyle w:val="BodyText"/>
        <w:spacing w:before="1"/>
        <w:rPr>
          <w:sz w:val="34"/>
        </w:rPr>
      </w:pPr>
    </w:p>
    <w:p>
      <w:pPr>
        <w:pStyle w:val="Heading2"/>
        <w:numPr>
          <w:ilvl w:val="2"/>
          <w:numId w:val="2"/>
        </w:numPr>
        <w:tabs>
          <w:tab w:pos="816" w:val="left" w:leader="none"/>
        </w:tabs>
        <w:spacing w:line="240" w:lineRule="auto" w:before="0" w:after="0"/>
        <w:ind w:left="815" w:right="0" w:hanging="663"/>
        <w:jc w:val="both"/>
      </w:pPr>
      <w:bookmarkStart w:name="_bookmark19" w:id="32"/>
      <w:bookmarkEnd w:id="32"/>
      <w:r>
        <w:rPr>
          <w:b w:val="0"/>
        </w:rPr>
      </w:r>
      <w:bookmarkStart w:name="_bookmark19" w:id="33"/>
      <w:bookmarkEnd w:id="33"/>
      <w:r>
        <w:rPr/>
        <w:t>G</w:t>
      </w:r>
      <w:r>
        <w:rPr/>
        <w:t>asto cardiaco por</w:t>
      </w:r>
      <w:r>
        <w:rPr>
          <w:spacing w:val="-16"/>
        </w:rPr>
        <w:t> </w:t>
      </w:r>
      <w:r>
        <w:rPr/>
        <w:t>dilución</w:t>
      </w:r>
    </w:p>
    <w:p>
      <w:pPr>
        <w:pStyle w:val="BodyText"/>
        <w:rPr>
          <w:b/>
        </w:rPr>
      </w:pPr>
    </w:p>
    <w:p>
      <w:pPr>
        <w:pStyle w:val="BodyText"/>
        <w:spacing w:before="4"/>
        <w:rPr>
          <w:b/>
          <w:sz w:val="23"/>
        </w:rPr>
      </w:pPr>
    </w:p>
    <w:p>
      <w:pPr>
        <w:pStyle w:val="BodyText"/>
        <w:spacing w:line="360" w:lineRule="auto"/>
        <w:ind w:left="152" w:right="113" w:firstLine="710"/>
        <w:jc w:val="both"/>
      </w:pPr>
      <w:r>
        <w:rPr/>
        <w:t>Es una técnica que se fundamentan en que el flujo de un sistema puede medirse con la inyección de un indicador cuantificable evaluado en diferentes puntos de dicho sistema. De tal manera, que la cantidad de indicador administrada en un tiempo concreto dividido</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152" w:right="105"/>
        <w:jc w:val="both"/>
      </w:pPr>
      <w:r>
        <w:rPr/>
        <w:t>por </w:t>
      </w:r>
      <w:r>
        <w:rPr>
          <w:spacing w:val="-5"/>
        </w:rPr>
        <w:t>la </w:t>
      </w:r>
      <w:r>
        <w:rPr/>
        <w:t>diferencia de concentración en los puntos de medición, es proporcional al flujo. La concentración que alcanza un determinado marcador en el sistema circulatorio es directamente proporcional a </w:t>
      </w:r>
      <w:r>
        <w:rPr>
          <w:spacing w:val="-3"/>
        </w:rPr>
        <w:t>la </w:t>
      </w:r>
      <w:r>
        <w:rPr/>
        <w:t>cantidad de marcador inyectado, e inversamente  proporcional al </w:t>
      </w:r>
      <w:r>
        <w:rPr>
          <w:spacing w:val="-3"/>
        </w:rPr>
        <w:t>flujo </w:t>
      </w:r>
      <w:r>
        <w:rPr/>
        <w:t>sanguíneo (Stanley &amp; Reves, 1998).Gracias al empleo de un catéter central, </w:t>
      </w:r>
      <w:r>
        <w:rPr>
          <w:spacing w:val="-3"/>
        </w:rPr>
        <w:t>la </w:t>
      </w:r>
      <w:r>
        <w:rPr/>
        <w:t>medición por dilución es un método rápido para </w:t>
      </w:r>
      <w:r>
        <w:rPr>
          <w:spacing w:val="-3"/>
        </w:rPr>
        <w:t>medir </w:t>
      </w:r>
      <w:r>
        <w:rPr/>
        <w:t>el gasto cardiaco, aunque requiere extracciones periódicas de sangre para su determinación. La dilución del indicador </w:t>
      </w:r>
      <w:r>
        <w:rPr>
          <w:spacing w:val="-3"/>
        </w:rPr>
        <w:t>ha </w:t>
      </w:r>
      <w:r>
        <w:rPr/>
        <w:t>sido empleada para el diagnóstico de corto circuitos intracardiacos, tanto izquierda- derecha, como derecha-izquierda (Stanley &amp; Reves, 1998). Inicialmente el verde de indocianina fue el indicador empleado. Los indicadores químicos tienen el inconveniente que al necesitarse inyecciones repetidas para obtener los valores de </w:t>
      </w:r>
      <w:r>
        <w:rPr>
          <w:spacing w:val="-3"/>
        </w:rPr>
        <w:t>la </w:t>
      </w:r>
      <w:r>
        <w:rPr/>
        <w:t>onda, pueden acumularse en el organismo con el tiempo. Este problema fue solucionado con </w:t>
      </w:r>
      <w:r>
        <w:rPr>
          <w:spacing w:val="-5"/>
        </w:rPr>
        <w:t>la </w:t>
      </w:r>
      <w:r>
        <w:rPr/>
        <w:t>introducción por parte de </w:t>
      </w:r>
      <w:r>
        <w:rPr>
          <w:spacing w:val="-2"/>
        </w:rPr>
        <w:t>Fegler </w:t>
      </w:r>
      <w:r>
        <w:rPr/>
        <w:t>(1954) de los indicadores térmicos (suero </w:t>
      </w:r>
      <w:r>
        <w:rPr>
          <w:spacing w:val="-3"/>
        </w:rPr>
        <w:t>salino </w:t>
      </w:r>
      <w:r>
        <w:rPr/>
        <w:t>o dextrosa a temperatura ambiente o muy fría), que son </w:t>
      </w:r>
      <w:r>
        <w:rPr>
          <w:spacing w:val="-3"/>
        </w:rPr>
        <w:t>no </w:t>
      </w:r>
      <w:r>
        <w:rPr/>
        <w:t>tóxicos, </w:t>
      </w:r>
      <w:r>
        <w:rPr>
          <w:spacing w:val="-3"/>
        </w:rPr>
        <w:t>no </w:t>
      </w:r>
      <w:r>
        <w:rPr/>
        <w:t>recirculantes y sin capacidad de acumulación (Stanley &amp; Reves,</w:t>
      </w:r>
      <w:r>
        <w:rPr>
          <w:spacing w:val="-15"/>
        </w:rPr>
        <w:t> </w:t>
      </w:r>
      <w:r>
        <w:rPr/>
        <w:t>1998).</w:t>
      </w:r>
    </w:p>
    <w:p>
      <w:pPr>
        <w:pStyle w:val="BodyText"/>
      </w:pPr>
    </w:p>
    <w:p>
      <w:pPr>
        <w:pStyle w:val="Heading2"/>
        <w:numPr>
          <w:ilvl w:val="2"/>
          <w:numId w:val="2"/>
        </w:numPr>
        <w:tabs>
          <w:tab w:pos="816" w:val="left" w:leader="none"/>
        </w:tabs>
        <w:spacing w:line="240" w:lineRule="auto" w:before="150" w:after="0"/>
        <w:ind w:left="815" w:right="0" w:hanging="663"/>
        <w:jc w:val="both"/>
      </w:pPr>
      <w:bookmarkStart w:name="_bookmark20" w:id="34"/>
      <w:bookmarkEnd w:id="34"/>
      <w:r>
        <w:rPr>
          <w:b w:val="0"/>
        </w:rPr>
      </w:r>
      <w:bookmarkStart w:name="_bookmark20" w:id="35"/>
      <w:bookmarkEnd w:id="35"/>
      <w:r>
        <w:rPr/>
        <w:t>G</w:t>
      </w:r>
      <w:r>
        <w:rPr/>
        <w:t>asto cardiaco</w:t>
      </w:r>
      <w:r>
        <w:rPr>
          <w:spacing w:val="-4"/>
        </w:rPr>
        <w:t> </w:t>
      </w:r>
      <w:r>
        <w:rPr/>
        <w:t>continuo</w:t>
      </w:r>
    </w:p>
    <w:p>
      <w:pPr>
        <w:pStyle w:val="BodyText"/>
        <w:rPr>
          <w:b/>
          <w:sz w:val="20"/>
        </w:rPr>
      </w:pPr>
    </w:p>
    <w:p>
      <w:pPr>
        <w:pStyle w:val="BodyText"/>
        <w:spacing w:before="4"/>
        <w:rPr>
          <w:b/>
          <w:sz w:val="21"/>
        </w:rPr>
      </w:pPr>
    </w:p>
    <w:p>
      <w:pPr>
        <w:spacing w:after="0"/>
        <w:rPr>
          <w:sz w:val="21"/>
        </w:rPr>
        <w:sectPr>
          <w:pgSz w:w="12240" w:h="15840"/>
          <w:pgMar w:header="0" w:footer="1651" w:top="1500" w:bottom="1840" w:left="1720" w:right="1420"/>
        </w:sectPr>
      </w:pPr>
    </w:p>
    <w:p>
      <w:pPr>
        <w:pStyle w:val="BodyText"/>
        <w:rPr>
          <w:b/>
        </w:rPr>
      </w:pPr>
    </w:p>
    <w:p>
      <w:pPr>
        <w:pStyle w:val="BodyText"/>
        <w:spacing w:before="206"/>
        <w:ind w:left="152" w:right="-20"/>
      </w:pPr>
      <w:r>
        <w:rPr/>
        <w:t>como:</w:t>
      </w:r>
    </w:p>
    <w:p>
      <w:pPr>
        <w:pStyle w:val="BodyText"/>
        <w:spacing w:before="69"/>
        <w:ind w:left="129"/>
      </w:pPr>
      <w:r>
        <w:rPr/>
        <w:br w:type="column"/>
      </w:r>
      <w:r>
        <w:rPr/>
        <w:t>El conocer el gasto cardíaco de forma continua conlleva una serie de ventajas  teles</w:t>
      </w:r>
    </w:p>
    <w:p>
      <w:pPr>
        <w:pStyle w:val="BodyText"/>
      </w:pPr>
    </w:p>
    <w:p>
      <w:pPr>
        <w:pStyle w:val="BodyText"/>
        <w:spacing w:before="2"/>
      </w:pPr>
    </w:p>
    <w:p>
      <w:pPr>
        <w:pStyle w:val="BodyText"/>
        <w:spacing w:before="1"/>
        <w:ind w:left="71"/>
      </w:pPr>
      <w:r>
        <w:rPr/>
        <w:t>-Monitorización precoz</w:t>
      </w:r>
    </w:p>
    <w:p>
      <w:pPr>
        <w:pStyle w:val="BodyText"/>
        <w:spacing w:before="137"/>
        <w:ind w:left="71"/>
      </w:pPr>
      <w:r>
        <w:rPr/>
        <w:t>-Administración racional de tratamientos</w:t>
      </w:r>
    </w:p>
    <w:p>
      <w:pPr>
        <w:pStyle w:val="BodyText"/>
        <w:spacing w:before="137"/>
        <w:ind w:left="71"/>
      </w:pPr>
      <w:r>
        <w:rPr/>
        <w:t>-Reduce manipulación técnica</w:t>
      </w:r>
    </w:p>
    <w:p>
      <w:pPr>
        <w:pStyle w:val="BodyText"/>
        <w:spacing w:before="137"/>
        <w:ind w:left="71"/>
      </w:pPr>
      <w:r>
        <w:rPr/>
        <w:t>-Descenso de complicaciones</w:t>
      </w:r>
    </w:p>
    <w:p>
      <w:pPr>
        <w:pStyle w:val="BodyText"/>
        <w:spacing w:before="137"/>
        <w:ind w:left="71"/>
      </w:pPr>
      <w:r>
        <w:rPr/>
        <w:t>-Tendencias fiables</w:t>
      </w:r>
    </w:p>
    <w:p>
      <w:pPr>
        <w:spacing w:after="0"/>
        <w:sectPr>
          <w:type w:val="continuous"/>
          <w:pgSz w:w="12240" w:h="15840"/>
          <w:pgMar w:top="1500" w:bottom="280" w:left="1720" w:right="1420"/>
          <w:cols w:num="2" w:equalWidth="0">
            <w:col w:w="752" w:space="40"/>
            <w:col w:w="8308"/>
          </w:cols>
        </w:sectPr>
      </w:pPr>
    </w:p>
    <w:p>
      <w:pPr>
        <w:pStyle w:val="BodyText"/>
        <w:rPr>
          <w:sz w:val="20"/>
        </w:rPr>
      </w:pPr>
    </w:p>
    <w:p>
      <w:pPr>
        <w:pStyle w:val="BodyText"/>
        <w:spacing w:before="2"/>
        <w:rPr>
          <w:sz w:val="22"/>
        </w:rPr>
      </w:pPr>
    </w:p>
    <w:p>
      <w:pPr>
        <w:pStyle w:val="BodyText"/>
        <w:spacing w:line="360" w:lineRule="auto" w:before="69"/>
        <w:ind w:left="152" w:right="102" w:firstLine="710"/>
        <w:jc w:val="both"/>
      </w:pPr>
      <w:r>
        <w:rPr/>
        <w:t>Este sistema se basa en un CAP denominado catéter CCO (</w:t>
      </w:r>
      <w:r>
        <w:rPr>
          <w:i/>
        </w:rPr>
        <w:t>Continuous Cardiac </w:t>
      </w:r>
      <w:r>
        <w:rPr>
          <w:i/>
        </w:rPr>
        <w:t>Output</w:t>
      </w:r>
      <w:r>
        <w:rPr/>
        <w:t>), que cuenta con un filamento térmico de 10 cm. localizado inmediatamente distal al orificio de inyección y que queda situado en el ventrículo derecho. El filamento emite cada 30-60  segundos descargas de 44ºC que calientan  la  sangre del ventrículo  derecho.     Este</w:t>
      </w:r>
    </w:p>
    <w:p>
      <w:pPr>
        <w:spacing w:after="0" w:line="360" w:lineRule="auto"/>
        <w:jc w:val="both"/>
        <w:sectPr>
          <w:type w:val="continuous"/>
          <w:pgSz w:w="12240" w:h="15840"/>
          <w:pgMar w:top="1500" w:bottom="280" w:left="1720" w:right="1420"/>
        </w:sectPr>
      </w:pPr>
    </w:p>
    <w:p>
      <w:pPr>
        <w:pStyle w:val="BodyText"/>
        <w:spacing w:before="7"/>
        <w:rPr>
          <w:sz w:val="20"/>
        </w:rPr>
      </w:pPr>
    </w:p>
    <w:p>
      <w:pPr>
        <w:pStyle w:val="BodyText"/>
        <w:spacing w:line="360" w:lineRule="auto" w:before="69"/>
        <w:ind w:left="152" w:right="108"/>
        <w:jc w:val="both"/>
      </w:pPr>
      <w:r>
        <w:rPr>
          <w:spacing w:val="-3"/>
        </w:rPr>
        <w:t>cambio </w:t>
      </w:r>
      <w:r>
        <w:rPr/>
        <w:t>de temperatura es detectado por el termistor. La computadora determina el gasto cardíaco mediante una fórmula de Stewart-Hamilton modificada, correlacionando el calor administrado y los cambios de temperatura (Yelderman </w:t>
      </w:r>
      <w:r>
        <w:rPr>
          <w:i/>
        </w:rPr>
        <w:t>et al.</w:t>
      </w:r>
      <w:r>
        <w:rPr/>
        <w:t>, 1992b; Dollar </w:t>
      </w:r>
      <w:r>
        <w:rPr>
          <w:i/>
        </w:rPr>
        <w:t>et al</w:t>
      </w:r>
      <w:r>
        <w:rPr/>
        <w:t>., 1992). Se ha demostrado que el catéter CCO es seguro, pues </w:t>
      </w:r>
      <w:r>
        <w:rPr>
          <w:spacing w:val="-3"/>
        </w:rPr>
        <w:t>no </w:t>
      </w:r>
      <w:r>
        <w:rPr/>
        <w:t>produce alteraciones térmicas ni  en sangre ni en vasos. En cualquier caso el catéter posee un sistema de seguridad que ajusta el tiempo de activación del filamento y </w:t>
      </w:r>
      <w:r>
        <w:rPr>
          <w:spacing w:val="-3"/>
        </w:rPr>
        <w:t>la </w:t>
      </w:r>
      <w:r>
        <w:rPr/>
        <w:t>temperatura a </w:t>
      </w:r>
      <w:r>
        <w:rPr>
          <w:spacing w:val="-4"/>
        </w:rPr>
        <w:t>las </w:t>
      </w:r>
      <w:r>
        <w:rPr/>
        <w:t>condiciones del paciente (Yelderman </w:t>
      </w:r>
      <w:r>
        <w:rPr>
          <w:i/>
        </w:rPr>
        <w:t>et al., </w:t>
      </w:r>
      <w:r>
        <w:rPr/>
        <w:t>1992b; Lichtenthal &amp; Gordan,</w:t>
      </w:r>
      <w:r>
        <w:rPr>
          <w:spacing w:val="-16"/>
        </w:rPr>
        <w:t> </w:t>
      </w:r>
      <w:r>
        <w:rPr/>
        <w:t>1996).</w:t>
      </w:r>
    </w:p>
    <w:p>
      <w:pPr>
        <w:pStyle w:val="BodyText"/>
      </w:pPr>
    </w:p>
    <w:p>
      <w:pPr>
        <w:pStyle w:val="Heading2"/>
        <w:numPr>
          <w:ilvl w:val="2"/>
          <w:numId w:val="2"/>
        </w:numPr>
        <w:tabs>
          <w:tab w:pos="816" w:val="left" w:leader="none"/>
        </w:tabs>
        <w:spacing w:line="240" w:lineRule="auto" w:before="150" w:after="0"/>
        <w:ind w:left="815" w:right="0" w:hanging="663"/>
        <w:jc w:val="both"/>
      </w:pPr>
      <w:bookmarkStart w:name="_bookmark21" w:id="36"/>
      <w:bookmarkEnd w:id="36"/>
      <w:r>
        <w:rPr>
          <w:b w:val="0"/>
        </w:rPr>
      </w:r>
      <w:bookmarkStart w:name="_bookmark21" w:id="37"/>
      <w:bookmarkEnd w:id="37"/>
      <w:r>
        <w:rPr/>
        <w:t>G</w:t>
      </w:r>
      <w:r>
        <w:rPr/>
        <w:t>asto cardíaco mediante</w:t>
      </w:r>
      <w:r>
        <w:rPr>
          <w:spacing w:val="-18"/>
        </w:rPr>
        <w:t> </w:t>
      </w:r>
      <w:r>
        <w:rPr/>
        <w:t>termodilución</w:t>
      </w:r>
    </w:p>
    <w:p>
      <w:pPr>
        <w:pStyle w:val="BodyText"/>
        <w:rPr>
          <w:b/>
        </w:rPr>
      </w:pPr>
    </w:p>
    <w:p>
      <w:pPr>
        <w:pStyle w:val="BodyText"/>
        <w:spacing w:before="4"/>
        <w:rPr>
          <w:b/>
          <w:sz w:val="23"/>
        </w:rPr>
      </w:pPr>
    </w:p>
    <w:p>
      <w:pPr>
        <w:pStyle w:val="BodyText"/>
        <w:spacing w:line="360" w:lineRule="auto" w:before="1"/>
        <w:ind w:left="152" w:right="99" w:firstLine="710"/>
        <w:jc w:val="both"/>
      </w:pPr>
      <w:r>
        <w:rPr/>
        <w:t>Como anteriormente se ha mencionada la medición del GC mediante la técnica de termodilución se ha convertido en el estándar clínico y ello debido a su facilidad de ejecución y a la larga experiencia clínica de su empleo en diferentes contextos. Para comprender mejor este tipo de monitorización del gasto cardiaco es necesario describir los catéteres de arteria pulmonar </w:t>
      </w:r>
      <w:r>
        <w:rPr>
          <w:i/>
        </w:rPr>
        <w:t>(CAP) </w:t>
      </w:r>
      <w:r>
        <w:rPr/>
        <w:t>o de Swan-Ganz. Desde su creación en los setentas han sufrido diversas modificaciones para ampliar sus cualidades. En la actualidad este catéter puede proporcionar datos de la funcionalidad cardiaca (gasto cardiaco, precarga, postcarga) y de la oxigenación tisular (aporte y consumo de oxígeno). El CAP presenta las siguientes características más destacables (Borrallo &amp; Martínez, 2004): a) Es radiopaco, flexible, de policloruro de vinilo y presenta diferentes longitudes. b) Tiene tres luces: proximal, distal, y de balón. Pueden aparecer 1-2 luces más. c) En el extremo distal cuenta con un balón de 1,5 cc de aire y una longitud máxima de llenado de 12 mm. d) Posee una conexión para el termistor, que se ubica distal a la salida del punto de inyección. e) Cuenta con una resistencia eléctrica que genera pulsos calóricos de baja intensidad. Ésta permite calcular el gasto cardíaco continuo por termodilución. Solo la poseen los catéteres CCO. f)  Puede </w:t>
      </w:r>
      <w:r>
        <w:rPr>
          <w:position w:val="2"/>
        </w:rPr>
        <w:t>llevar un sensor de fibra óptica para medir la SvO</w:t>
      </w:r>
      <w:r>
        <w:rPr>
          <w:sz w:val="16"/>
        </w:rPr>
        <w:t>2</w:t>
      </w:r>
      <w:r>
        <w:rPr>
          <w:position w:val="2"/>
        </w:rPr>
        <w:t>. El catéter de Swan-Ganz se introduce </w:t>
      </w:r>
      <w:r>
        <w:rPr/>
        <w:t>por la yugular derecha en dirección al corazón. Mediante un traductor de presión conectado a la luz distal se van observando las presiones de las zonas por las que avanza el catéter. Éstas serán la presión venosa central, las presiones de la aurícula y el ventrículo derecho   y</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152" w:right="103"/>
        <w:jc w:val="both"/>
      </w:pPr>
      <w:r>
        <w:rPr/>
        <w:t>la de la arteria pulmonar (Borrallo &amp; Martínez, 2004). El balón es llenado para facilitar el desplazamiento del catéter por las cavidades cardiacas. El llenado del balón ocluye el flujo de sangre a través de la arteria pulmonar y da la </w:t>
      </w:r>
      <w:r>
        <w:rPr>
          <w:i/>
        </w:rPr>
        <w:t>presión de enclavamiento de la arteria </w:t>
      </w:r>
      <w:r>
        <w:rPr>
          <w:i/>
        </w:rPr>
        <w:t>pulmonar </w:t>
      </w:r>
      <w:r>
        <w:rPr/>
        <w:t>(POAP) que se relaciona con la precarga de corazón izquierdo. Este se fundamenta en que al introducir un líquido A (suero) a una temperatura conocida en otro líquido B (sangre) del que se conoce su temperatura pero no su volumen, la temperatura resultante de la mezcla de A+B es proporcional al volumen de B (Borrallo &amp; Martínez, 2004). Es por lo tanto un concepto que deriva de la primera ley de la termodinámica que trata de la conservación del calor (Moise </w:t>
      </w:r>
      <w:r>
        <w:rPr>
          <w:i/>
        </w:rPr>
        <w:t>et al.</w:t>
      </w:r>
      <w:r>
        <w:rPr/>
        <w:t>, 2002). El extremo distal del CAP es situado en las ramas principales de la arteria pulmonar. A través del orificio proximal situado a una distancia conocida del distal (30 cm) se inyecta un volumen conocido (5-10 cc) de suero salino frío o a temperatura ambiente. Este volumen se mezcla con la sangre del ventrículo derecho y produce un descenso de temperatura de la sangre eyectada hacia la arteria pulmonar. En este punto se localiza el termistor, que detecta la variación de temperatura y transmite esa información al monitor de termodilución. Éste diseña una gráfica de variación de la temperatura con respecto al tiempo. El cambio de temperatura es proporcional al flujo de sangre que sale por el corazón. A mayor gasto cardiaco más rápidamente se produce la variación de la temperatura. La computadora integra el área bajo la gráfica mediante la siguiente ecuación desarrollada por Stewart (1897) y Hamilton (1932), obteniendo el gasto cardiaco.</w:t>
      </w:r>
    </w:p>
    <w:p>
      <w:pPr>
        <w:spacing w:after="0" w:line="360" w:lineRule="auto"/>
        <w:jc w:val="both"/>
        <w:sectPr>
          <w:pgSz w:w="12240" w:h="15840"/>
          <w:pgMar w:header="0" w:footer="1651" w:top="1500" w:bottom="1840" w:left="1720" w:right="1420"/>
        </w:sectPr>
      </w:pPr>
    </w:p>
    <w:p>
      <w:pPr>
        <w:pStyle w:val="BodyText"/>
        <w:rPr>
          <w:sz w:val="20"/>
        </w:rPr>
      </w:pPr>
    </w:p>
    <w:p>
      <w:pPr>
        <w:pStyle w:val="BodyText"/>
        <w:rPr>
          <w:sz w:val="20"/>
        </w:rPr>
      </w:pPr>
    </w:p>
    <w:p>
      <w:pPr>
        <w:pStyle w:val="BodyText"/>
        <w:spacing w:before="11"/>
        <w:rPr>
          <w:sz w:val="16"/>
        </w:rPr>
      </w:pPr>
    </w:p>
    <w:p>
      <w:pPr>
        <w:pStyle w:val="Heading2"/>
        <w:ind w:left="991" w:right="236" w:firstLine="0"/>
        <w:jc w:val="center"/>
      </w:pPr>
      <w:r>
        <w:rPr/>
        <w:t>GC =</w:t>
      </w:r>
      <w:r>
        <w:rPr>
          <w:u w:val="thick"/>
        </w:rPr>
        <w:t>I × 60</w:t>
      </w:r>
    </w:p>
    <w:p>
      <w:pPr>
        <w:spacing w:before="137"/>
        <w:ind w:left="1532" w:right="236" w:firstLine="0"/>
        <w:jc w:val="center"/>
        <w:rPr>
          <w:b/>
          <w:sz w:val="24"/>
        </w:rPr>
      </w:pPr>
      <w:r>
        <w:rPr>
          <w:b/>
          <w:sz w:val="24"/>
        </w:rPr>
        <w:t>CM×K×t</w:t>
      </w:r>
    </w:p>
    <w:p>
      <w:pPr>
        <w:spacing w:before="139"/>
        <w:ind w:left="152" w:right="0" w:firstLine="0"/>
        <w:jc w:val="left"/>
        <w:rPr>
          <w:sz w:val="16"/>
        </w:rPr>
      </w:pPr>
      <w:r>
        <w:rPr>
          <w:sz w:val="16"/>
        </w:rPr>
        <w:t>GC = gasto cardíaco (l/min.)</w:t>
      </w:r>
    </w:p>
    <w:p>
      <w:pPr>
        <w:spacing w:before="89"/>
        <w:ind w:left="152" w:right="0" w:firstLine="0"/>
        <w:jc w:val="left"/>
        <w:rPr>
          <w:sz w:val="16"/>
        </w:rPr>
      </w:pPr>
      <w:r>
        <w:rPr>
          <w:sz w:val="16"/>
        </w:rPr>
        <w:t>I = cantidad de colorante inyectado (mg)</w:t>
      </w:r>
    </w:p>
    <w:p>
      <w:pPr>
        <w:spacing w:line="357" w:lineRule="auto" w:before="94"/>
        <w:ind w:left="152" w:right="5878" w:firstLine="0"/>
        <w:jc w:val="left"/>
        <w:rPr>
          <w:sz w:val="16"/>
        </w:rPr>
      </w:pPr>
      <w:r>
        <w:rPr>
          <w:sz w:val="16"/>
        </w:rPr>
        <w:t>Cm = concentración media del indicador (mg/l) t = duración total de la curva (seg.)</w:t>
      </w:r>
    </w:p>
    <w:p>
      <w:pPr>
        <w:spacing w:before="8"/>
        <w:ind w:left="152" w:right="0" w:firstLine="0"/>
        <w:jc w:val="left"/>
        <w:rPr>
          <w:sz w:val="16"/>
        </w:rPr>
      </w:pPr>
      <w:r>
        <w:rPr>
          <w:sz w:val="16"/>
        </w:rPr>
        <w:t>K = factor de calibración (mg/ml/mm de deflexión)</w:t>
      </w:r>
    </w:p>
    <w:p>
      <w:pPr>
        <w:pStyle w:val="BodyText"/>
        <w:rPr>
          <w:sz w:val="16"/>
        </w:rPr>
      </w:pPr>
    </w:p>
    <w:p>
      <w:pPr>
        <w:pStyle w:val="BodyText"/>
        <w:rPr>
          <w:sz w:val="16"/>
        </w:rPr>
      </w:pPr>
    </w:p>
    <w:p>
      <w:pPr>
        <w:pStyle w:val="BodyText"/>
        <w:spacing w:line="360" w:lineRule="auto" w:before="131"/>
        <w:ind w:left="152" w:right="102" w:firstLine="710"/>
        <w:jc w:val="both"/>
      </w:pPr>
      <w:r>
        <w:rPr/>
        <w:t>El GC es inversamente proporcional al área bajo </w:t>
      </w:r>
      <w:r>
        <w:rPr>
          <w:spacing w:val="-3"/>
        </w:rPr>
        <w:t>la </w:t>
      </w:r>
      <w:r>
        <w:rPr/>
        <w:t>curva. Cuanto </w:t>
      </w:r>
      <w:r>
        <w:rPr>
          <w:spacing w:val="-3"/>
        </w:rPr>
        <w:t>mayor </w:t>
      </w:r>
      <w:r>
        <w:rPr/>
        <w:t>es el gasto cardiaco, </w:t>
      </w:r>
      <w:r>
        <w:rPr>
          <w:spacing w:val="-4"/>
        </w:rPr>
        <w:t>más </w:t>
      </w:r>
      <w:r>
        <w:rPr/>
        <w:t>rápidamente se diluye el bolo frío, y menor es </w:t>
      </w:r>
      <w:r>
        <w:rPr>
          <w:spacing w:val="-3"/>
        </w:rPr>
        <w:t>la </w:t>
      </w:r>
      <w:r>
        <w:rPr/>
        <w:t>variación de temperatura  que muestra </w:t>
      </w:r>
      <w:r>
        <w:rPr>
          <w:spacing w:val="-5"/>
        </w:rPr>
        <w:t>la </w:t>
      </w:r>
      <w:r>
        <w:rPr/>
        <w:t>curva </w:t>
      </w:r>
      <w:r>
        <w:rPr>
          <w:spacing w:val="3"/>
        </w:rPr>
        <w:t>de </w:t>
      </w:r>
      <w:r>
        <w:rPr/>
        <w:t>termodilución. En ausencia de corto circuito intracardiaco se considera que el flujo de sangre en </w:t>
      </w:r>
      <w:r>
        <w:rPr>
          <w:spacing w:val="-3"/>
        </w:rPr>
        <w:t>la </w:t>
      </w:r>
      <w:r>
        <w:rPr/>
        <w:t>arteria pulmonar es proporcional al gasto cardiaco (Runciman </w:t>
      </w:r>
      <w:r>
        <w:rPr>
          <w:i/>
        </w:rPr>
        <w:t>et al., </w:t>
      </w:r>
      <w:r>
        <w:rPr/>
        <w:t>1981). Para el cálculo definitivo es recomendable realizar </w:t>
      </w:r>
      <w:r>
        <w:rPr>
          <w:spacing w:val="-3"/>
        </w:rPr>
        <w:t>la </w:t>
      </w:r>
      <w:r>
        <w:rPr/>
        <w:t>medida de tres determinaciones consecutivas, pues se duplica </w:t>
      </w:r>
      <w:r>
        <w:rPr>
          <w:spacing w:val="-3"/>
        </w:rPr>
        <w:t>la </w:t>
      </w:r>
      <w:r>
        <w:rPr/>
        <w:t>confianza del valor obtenido (Runciman </w:t>
      </w:r>
      <w:r>
        <w:rPr>
          <w:i/>
        </w:rPr>
        <w:t>et al., </w:t>
      </w:r>
      <w:r>
        <w:rPr/>
        <w:t>1981). Aunque </w:t>
      </w:r>
      <w:r>
        <w:rPr>
          <w:spacing w:val="-3"/>
        </w:rPr>
        <w:t>la </w:t>
      </w:r>
      <w:r>
        <w:rPr/>
        <w:t>termodilución con un CAP es </w:t>
      </w:r>
      <w:r>
        <w:rPr>
          <w:spacing w:val="-3"/>
        </w:rPr>
        <w:t>la </w:t>
      </w:r>
      <w:r>
        <w:rPr/>
        <w:t>técnica de referencia para determinar el gasto cardiaco, es una práctica que puede alterarse por diferentes factores: Velocidad de inyección del bolo. Debe ser constante y en poco tiempo, dado que  si se hace lento </w:t>
      </w:r>
      <w:r>
        <w:rPr>
          <w:spacing w:val="-5"/>
        </w:rPr>
        <w:t>la </w:t>
      </w:r>
      <w:r>
        <w:rPr/>
        <w:t>mezcla de </w:t>
      </w:r>
      <w:r>
        <w:rPr>
          <w:spacing w:val="-3"/>
        </w:rPr>
        <w:t>la </w:t>
      </w:r>
      <w:r>
        <w:rPr/>
        <w:t>solución salina </w:t>
      </w:r>
      <w:r>
        <w:rPr>
          <w:spacing w:val="-3"/>
        </w:rPr>
        <w:t>fría </w:t>
      </w:r>
      <w:r>
        <w:rPr/>
        <w:t>y </w:t>
      </w:r>
      <w:r>
        <w:rPr>
          <w:spacing w:val="-3"/>
        </w:rPr>
        <w:t>la </w:t>
      </w:r>
      <w:r>
        <w:rPr/>
        <w:t>sangre es progresiva, </w:t>
      </w:r>
      <w:r>
        <w:rPr>
          <w:spacing w:val="-5"/>
        </w:rPr>
        <w:t>lo </w:t>
      </w:r>
      <w:r>
        <w:rPr/>
        <w:t>que determina una curva en el monitor aplanada y una subestimación del gasto cardiaco. La forma de </w:t>
      </w:r>
      <w:r>
        <w:rPr>
          <w:spacing w:val="-3"/>
        </w:rPr>
        <w:t>la </w:t>
      </w:r>
      <w:r>
        <w:rPr/>
        <w:t>curva de termodilución dada por el monitor permite evaluar estas situaciones (Kadota, 1985). Sin embargo, tampoco debe ser una administración inmediata pues se observa bradicardia severa y arritmia tras </w:t>
      </w:r>
      <w:r>
        <w:rPr>
          <w:spacing w:val="-3"/>
        </w:rPr>
        <w:t>la </w:t>
      </w:r>
      <w:r>
        <w:rPr/>
        <w:t>inyección rápida de indicadores fríos, debido a estimulación vagal (Nishikawa &amp; Dohi, 1982; Potter </w:t>
      </w:r>
      <w:r>
        <w:rPr>
          <w:i/>
        </w:rPr>
        <w:t>et al.</w:t>
      </w:r>
      <w:r>
        <w:rPr/>
        <w:t>, 1985). La influencia de </w:t>
      </w:r>
      <w:r>
        <w:rPr>
          <w:spacing w:val="-3"/>
        </w:rPr>
        <w:t>la </w:t>
      </w:r>
      <w:r>
        <w:rPr/>
        <w:t>velocidad es más marcada (30-80% de subestimación) cuando se emplean bolos a temperatura ambiente (Borrallo &amp; Martínez, 2004). Lo ideal es hacer </w:t>
      </w:r>
      <w:r>
        <w:rPr>
          <w:spacing w:val="-5"/>
        </w:rPr>
        <w:t>la </w:t>
      </w:r>
      <w:r>
        <w:rPr/>
        <w:t>inyección en menos de 4 segundos (Marino, 1993). Temperatura del bolo. En pacientes con un gasto cardiaco normal se ha demostrado que </w:t>
      </w:r>
      <w:r>
        <w:rPr>
          <w:spacing w:val="-3"/>
        </w:rPr>
        <w:t>no </w:t>
      </w:r>
      <w:r>
        <w:rPr/>
        <w:t>existen diferencias significativas entre el empleo de bolos  a temperatura ambiente o bolos fríos de 5ºC (Shellock </w:t>
      </w:r>
      <w:r>
        <w:rPr>
          <w:i/>
        </w:rPr>
        <w:t>et al.</w:t>
      </w:r>
      <w:r>
        <w:rPr/>
        <w:t>, 1983; Nelson, 1985; Pearl </w:t>
      </w:r>
      <w:r>
        <w:rPr>
          <w:i/>
        </w:rPr>
        <w:t>et </w:t>
      </w:r>
      <w:r>
        <w:rPr>
          <w:i/>
        </w:rPr>
        <w:t>al.</w:t>
      </w:r>
      <w:r>
        <w:rPr/>
        <w:t>, 1986). El bolo </w:t>
      </w:r>
      <w:r>
        <w:rPr>
          <w:spacing w:val="-3"/>
        </w:rPr>
        <w:t>frío </w:t>
      </w:r>
      <w:r>
        <w:rPr/>
        <w:t>posee un elevado ratio señal/ruido con </w:t>
      </w:r>
      <w:r>
        <w:rPr>
          <w:spacing w:val="-5"/>
        </w:rPr>
        <w:t>lo </w:t>
      </w:r>
      <w:r>
        <w:rPr/>
        <w:t>que disminuye </w:t>
      </w:r>
      <w:r>
        <w:rPr>
          <w:spacing w:val="-3"/>
        </w:rPr>
        <w:t>la </w:t>
      </w:r>
      <w:r>
        <w:rPr/>
        <w:t>variabilidad  de  </w:t>
      </w:r>
      <w:r>
        <w:rPr>
          <w:spacing w:val="-3"/>
        </w:rPr>
        <w:t>las  </w:t>
      </w:r>
      <w:r>
        <w:rPr/>
        <w:t>mediciones.  Pero  tiene  como  inconveniente  que  ejerce  un    </w:t>
      </w:r>
      <w:r>
        <w:rPr>
          <w:spacing w:val="1"/>
        </w:rPr>
        <w:t> </w:t>
      </w:r>
      <w:r>
        <w:rPr/>
        <w:t>efecto</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152" w:right="102"/>
        <w:jc w:val="both"/>
      </w:pPr>
      <w:r>
        <w:rPr/>
        <w:t>cronotrópico negativo (Fang </w:t>
      </w:r>
      <w:r>
        <w:rPr>
          <w:i/>
        </w:rPr>
        <w:t>et al., </w:t>
      </w:r>
      <w:r>
        <w:rPr/>
        <w:t>1996). En pacientes con un gasto cardíaco elevado o disminuido hay más controversia. Se </w:t>
      </w:r>
      <w:r>
        <w:rPr>
          <w:spacing w:val="-3"/>
        </w:rPr>
        <w:t>ha </w:t>
      </w:r>
      <w:r>
        <w:rPr/>
        <w:t>comprobado </w:t>
      </w:r>
      <w:r>
        <w:rPr>
          <w:spacing w:val="-3"/>
        </w:rPr>
        <w:t>como </w:t>
      </w:r>
      <w:r>
        <w:rPr/>
        <w:t>en perros con un gasto cardiaco disminuido </w:t>
      </w:r>
      <w:r>
        <w:rPr>
          <w:spacing w:val="-5"/>
        </w:rPr>
        <w:t>la </w:t>
      </w:r>
      <w:r>
        <w:rPr/>
        <w:t>termodilución mediante bolos fríos supone una sobreestimación del valor real del gasto cardíaco (Tournadre </w:t>
      </w:r>
      <w:r>
        <w:rPr>
          <w:i/>
        </w:rPr>
        <w:t>et al.</w:t>
      </w:r>
      <w:r>
        <w:rPr/>
        <w:t>, 1997). Otros autores en cambio </w:t>
      </w:r>
      <w:r>
        <w:rPr>
          <w:spacing w:val="-3"/>
        </w:rPr>
        <w:t>no </w:t>
      </w:r>
      <w:r>
        <w:rPr/>
        <w:t>observan diferencias entre emplear bolos fríos o a temperatura ambiente, en pacientes con un gasto cardíaco disminuido (Kiely </w:t>
      </w:r>
      <w:r>
        <w:rPr>
          <w:i/>
        </w:rPr>
        <w:t>et al.</w:t>
      </w:r>
      <w:r>
        <w:rPr/>
        <w:t>, 1998). En general se considera que en situaciones de inestabilidad hemodinámica es preferible </w:t>
      </w:r>
      <w:r>
        <w:rPr>
          <w:spacing w:val="-3"/>
        </w:rPr>
        <w:t>no </w:t>
      </w:r>
      <w:r>
        <w:rPr/>
        <w:t>realizar </w:t>
      </w:r>
      <w:r>
        <w:rPr>
          <w:spacing w:val="-5"/>
        </w:rPr>
        <w:t>la </w:t>
      </w:r>
      <w:r>
        <w:rPr/>
        <w:t>termodilución de  </w:t>
      </w:r>
      <w:r>
        <w:rPr>
          <w:spacing w:val="-3"/>
        </w:rPr>
        <w:t>la  </w:t>
      </w:r>
      <w:r>
        <w:rPr/>
        <w:t>arteria pulmonar, pues puede dar mediciones erróneas (Nishikawa &amp; Namiki, 1988). Para evitar </w:t>
      </w:r>
      <w:r>
        <w:rPr>
          <w:spacing w:val="-3"/>
        </w:rPr>
        <w:t>la </w:t>
      </w:r>
      <w:r>
        <w:rPr/>
        <w:t>influencia de </w:t>
      </w:r>
      <w:r>
        <w:rPr>
          <w:spacing w:val="-5"/>
        </w:rPr>
        <w:t>la </w:t>
      </w:r>
      <w:r>
        <w:rPr/>
        <w:t>velocidad y </w:t>
      </w:r>
      <w:r>
        <w:rPr>
          <w:spacing w:val="-3"/>
        </w:rPr>
        <w:t>la </w:t>
      </w:r>
      <w:r>
        <w:rPr/>
        <w:t>temperatura del </w:t>
      </w:r>
      <w:r>
        <w:rPr>
          <w:spacing w:val="-3"/>
        </w:rPr>
        <w:t>bolo </w:t>
      </w:r>
      <w:r>
        <w:rPr/>
        <w:t>existen sistemas de infusión que incorporan un sensor de temperatura, el cual transmite en tiempo real </w:t>
      </w:r>
      <w:r>
        <w:rPr>
          <w:spacing w:val="-3"/>
        </w:rPr>
        <w:t>la </w:t>
      </w:r>
      <w:r>
        <w:rPr/>
        <w:t>temperatura del líquido inyectado al monitor (Borrallo &amp; Martínez, 2004). Volumen del bolo y tipo de fluido. Se considera que el volumen ideal es de 10 </w:t>
      </w:r>
      <w:r>
        <w:rPr>
          <w:spacing w:val="-5"/>
        </w:rPr>
        <w:t>ml. </w:t>
      </w:r>
      <w:r>
        <w:rPr/>
        <w:t>aunque pueden emplearse 5 </w:t>
      </w:r>
      <w:r>
        <w:rPr>
          <w:spacing w:val="-3"/>
        </w:rPr>
        <w:t>ml. </w:t>
      </w:r>
      <w:r>
        <w:rPr/>
        <w:t>en pacientes con riesgo de edema pulmonar (Elkayam </w:t>
      </w:r>
      <w:r>
        <w:rPr>
          <w:i/>
        </w:rPr>
        <w:t>et al</w:t>
      </w:r>
      <w:r>
        <w:rPr/>
        <w:t>., 1983; Pearl </w:t>
      </w:r>
      <w:r>
        <w:rPr>
          <w:i/>
        </w:rPr>
        <w:t>et al.</w:t>
      </w:r>
      <w:r>
        <w:rPr/>
        <w:t>, 1986). </w:t>
      </w:r>
      <w:r>
        <w:rPr>
          <w:spacing w:val="-3"/>
        </w:rPr>
        <w:t>No </w:t>
      </w:r>
      <w:r>
        <w:rPr/>
        <w:t>hay diferencias significativas en los resultados del gasto cardiaco entre el empleo de glucosa 5%, suero </w:t>
      </w:r>
      <w:r>
        <w:rPr>
          <w:spacing w:val="-4"/>
        </w:rPr>
        <w:t>salino </w:t>
      </w:r>
      <w:r>
        <w:rPr/>
        <w:t>0,9%, poligelina 3.5% o hidroxietilalmidón 6% (Hillis </w:t>
      </w:r>
      <w:r>
        <w:rPr>
          <w:i/>
        </w:rPr>
        <w:t>et al.</w:t>
      </w:r>
      <w:r>
        <w:rPr/>
        <w:t>, 1985). </w:t>
      </w:r>
      <w:r>
        <w:rPr>
          <w:spacing w:val="-3"/>
        </w:rPr>
        <w:t>Ciclo </w:t>
      </w:r>
      <w:r>
        <w:rPr/>
        <w:t>respiratorio. Las modificaciones de presión en el tórax que se producen en el ciclo respiratorio mecánico, alteran tanto </w:t>
      </w:r>
      <w:r>
        <w:rPr>
          <w:spacing w:val="-5"/>
        </w:rPr>
        <w:t>la </w:t>
      </w:r>
      <w:r>
        <w:rPr/>
        <w:t>precarga como </w:t>
      </w:r>
      <w:r>
        <w:rPr>
          <w:spacing w:val="-3"/>
        </w:rPr>
        <w:t>la </w:t>
      </w:r>
      <w:r>
        <w:rPr/>
        <w:t>postcarga del corazón derecho, con </w:t>
      </w:r>
      <w:r>
        <w:rPr>
          <w:spacing w:val="-5"/>
        </w:rPr>
        <w:t>lo </w:t>
      </w:r>
      <w:r>
        <w:rPr/>
        <w:t>cual se modifica </w:t>
      </w:r>
      <w:r>
        <w:rPr>
          <w:spacing w:val="-3"/>
        </w:rPr>
        <w:t>la </w:t>
      </w:r>
      <w:r>
        <w:rPr/>
        <w:t>curva de termodilución (Tajiri </w:t>
      </w:r>
      <w:r>
        <w:rPr>
          <w:i/>
        </w:rPr>
        <w:t>et al</w:t>
      </w:r>
      <w:r>
        <w:rPr/>
        <w:t>, 1984; Jansen &amp; Versprille,  1986). La </w:t>
      </w:r>
      <w:r>
        <w:rPr>
          <w:spacing w:val="-3"/>
        </w:rPr>
        <w:t>mejor </w:t>
      </w:r>
      <w:r>
        <w:rPr/>
        <w:t>estrategia consiste en tomar 3-4 mediciones en </w:t>
      </w:r>
      <w:r>
        <w:rPr>
          <w:spacing w:val="-3"/>
        </w:rPr>
        <w:t>la </w:t>
      </w:r>
      <w:r>
        <w:rPr/>
        <w:t>misma fase del ciclo respiratorio, y hacer una media de esos valores (Jansen </w:t>
      </w:r>
      <w:r>
        <w:rPr>
          <w:i/>
        </w:rPr>
        <w:t>et al.</w:t>
      </w:r>
      <w:r>
        <w:rPr/>
        <w:t>, 1990). Puesto que un ciclo respiratorio en un paciente con 15 rpm es de 4 segundos y que </w:t>
      </w:r>
      <w:r>
        <w:rPr>
          <w:spacing w:val="-5"/>
        </w:rPr>
        <w:t>la </w:t>
      </w:r>
      <w:r>
        <w:rPr/>
        <w:t>inyección debe ser inferior a los 4 segundos, </w:t>
      </w:r>
      <w:r>
        <w:rPr>
          <w:spacing w:val="-5"/>
        </w:rPr>
        <w:t>la </w:t>
      </w:r>
      <w:r>
        <w:rPr/>
        <w:t>curva de termodilución se corresponde con el final de </w:t>
      </w:r>
      <w:r>
        <w:rPr>
          <w:spacing w:val="-5"/>
        </w:rPr>
        <w:t>la </w:t>
      </w:r>
      <w:r>
        <w:rPr/>
        <w:t>espiración si se inyecta al </w:t>
      </w:r>
      <w:r>
        <w:rPr>
          <w:spacing w:val="-3"/>
        </w:rPr>
        <w:t>inicio </w:t>
      </w:r>
      <w:r>
        <w:rPr/>
        <w:t>de </w:t>
      </w:r>
      <w:r>
        <w:rPr>
          <w:spacing w:val="-3"/>
        </w:rPr>
        <w:t>la </w:t>
      </w:r>
      <w:r>
        <w:rPr/>
        <w:t>inspiración, siendo </w:t>
      </w:r>
      <w:r>
        <w:rPr>
          <w:spacing w:val="-5"/>
        </w:rPr>
        <w:t>la </w:t>
      </w:r>
      <w:r>
        <w:rPr/>
        <w:t>espiración el momento </w:t>
      </w:r>
      <w:r>
        <w:rPr>
          <w:spacing w:val="5"/>
        </w:rPr>
        <w:t>de </w:t>
      </w:r>
      <w:r>
        <w:rPr/>
        <w:t>menor variación. Además de estos factores hay circunstancias en las cuales el gasto cardiaco </w:t>
      </w:r>
      <w:r>
        <w:rPr>
          <w:spacing w:val="-3"/>
        </w:rPr>
        <w:t>no </w:t>
      </w:r>
      <w:r>
        <w:rPr/>
        <w:t>puede ser medido de manera fiable con </w:t>
      </w:r>
      <w:r>
        <w:rPr>
          <w:spacing w:val="-3"/>
        </w:rPr>
        <w:t>la </w:t>
      </w:r>
      <w:r>
        <w:rPr/>
        <w:t>termodilución. Estas situaciones</w:t>
      </w:r>
      <w:r>
        <w:rPr>
          <w:spacing w:val="-28"/>
        </w:rPr>
        <w:t> </w:t>
      </w:r>
      <w:r>
        <w:rPr/>
        <w:t>son:</w:t>
      </w:r>
    </w:p>
    <w:p>
      <w:pPr>
        <w:pStyle w:val="BodyText"/>
        <w:spacing w:line="360" w:lineRule="auto" w:before="4"/>
        <w:ind w:left="152" w:right="113" w:firstLine="710"/>
        <w:jc w:val="both"/>
      </w:pPr>
      <w:r>
        <w:rPr>
          <w:i/>
        </w:rPr>
        <w:t>INSUFICIENCIA TRICÚSPIDE</w:t>
      </w:r>
      <w:r>
        <w:rPr/>
        <w:t>. El reflujo de sangre desde el ventrículo derecho hacia </w:t>
      </w:r>
      <w:r>
        <w:rPr>
          <w:spacing w:val="-3"/>
        </w:rPr>
        <w:t>la </w:t>
      </w:r>
      <w:r>
        <w:rPr/>
        <w:t>aurícula derecha, implica una ralentización en </w:t>
      </w:r>
      <w:r>
        <w:rPr>
          <w:spacing w:val="-5"/>
        </w:rPr>
        <w:t>la </w:t>
      </w:r>
      <w:r>
        <w:rPr/>
        <w:t>llegada del bolo </w:t>
      </w:r>
      <w:r>
        <w:rPr>
          <w:spacing w:val="-3"/>
        </w:rPr>
        <w:t>frío </w:t>
      </w:r>
      <w:r>
        <w:rPr/>
        <w:t>hasta </w:t>
      </w:r>
      <w:r>
        <w:rPr>
          <w:spacing w:val="-5"/>
        </w:rPr>
        <w:t>la  </w:t>
      </w:r>
      <w:r>
        <w:rPr/>
        <w:t>arteria pulmonar. Eso se traduce en una curva de termodilución con un pico disminuido y una curva prolongada. Por consiguiente, en estas circunstancias el gasto   </w:t>
      </w:r>
      <w:r>
        <w:rPr>
          <w:spacing w:val="17"/>
        </w:rPr>
        <w:t> </w:t>
      </w:r>
      <w:r>
        <w:rPr/>
        <w:t>cardiaco  </w:t>
      </w:r>
      <w:r>
        <w:rPr>
          <w:spacing w:val="-2"/>
        </w:rPr>
        <w:t>medido</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152" w:right="100"/>
        <w:jc w:val="both"/>
      </w:pPr>
      <w:r>
        <w:rPr/>
        <w:t>por la termodilución supone una fuente de error (Balik </w:t>
      </w:r>
      <w:r>
        <w:rPr>
          <w:i/>
        </w:rPr>
        <w:t>et al.</w:t>
      </w:r>
      <w:r>
        <w:rPr/>
        <w:t>, 2002). Se ha evaluado que estos errores dependen del flujo sanguíneo. Si éste está aumentado se produce una subestimación, mientras que con un flujo lento se produce una sobreestimación (Heerdt </w:t>
      </w:r>
      <w:r>
        <w:rPr>
          <w:i/>
        </w:rPr>
        <w:t>et </w:t>
      </w:r>
      <w:r>
        <w:rPr>
          <w:i/>
        </w:rPr>
        <w:t>al.</w:t>
      </w:r>
      <w:r>
        <w:rPr/>
        <w:t>, 2001). Se ha considerado que este reflujo en la tricúspide puede producirse igualmente en pacientes que padecen un daño pulmonar agudo y/o síndrome de Distrés respiratoria agudo ARDS y que son ventilados mecánicamente y con presión positiva teleespiratoria PEEP (Artucio </w:t>
      </w:r>
      <w:r>
        <w:rPr>
          <w:i/>
        </w:rPr>
        <w:t>et al</w:t>
      </w:r>
      <w:r>
        <w:rPr/>
        <w:t>., 1997).</w:t>
      </w:r>
    </w:p>
    <w:p>
      <w:pPr>
        <w:spacing w:before="8"/>
        <w:ind w:left="863" w:right="0" w:firstLine="0"/>
        <w:jc w:val="left"/>
        <w:rPr>
          <w:sz w:val="24"/>
        </w:rPr>
      </w:pPr>
      <w:r>
        <w:rPr>
          <w:i/>
          <w:sz w:val="24"/>
        </w:rPr>
        <w:t>CORTO CIRCUITOINTRACARDIACO (SHUNT INTRACARDIACOS)</w:t>
      </w:r>
      <w:r>
        <w:rPr>
          <w:sz w:val="24"/>
        </w:rPr>
        <w:t>. En casos de</w:t>
      </w:r>
    </w:p>
    <w:p>
      <w:pPr>
        <w:pStyle w:val="BodyText"/>
        <w:spacing w:line="360" w:lineRule="auto" w:before="137"/>
        <w:ind w:left="152" w:right="108"/>
        <w:jc w:val="both"/>
      </w:pPr>
      <w:r>
        <w:rPr/>
        <w:t>corto circuito intracardiaco derecha-izquierda parte del bolo inyectado pasa directamente al corazón izquierdo sin estimular el termistor, con lo cual la curva de termodilución se ve reducida. Lo mismo ocurre con los corto circuito izquierda-derecha (Borrallo &amp; Martínez, 2004).</w:t>
      </w:r>
    </w:p>
    <w:p>
      <w:pPr>
        <w:pStyle w:val="BodyText"/>
      </w:pPr>
    </w:p>
    <w:p>
      <w:pPr>
        <w:pStyle w:val="Heading2"/>
        <w:numPr>
          <w:ilvl w:val="2"/>
          <w:numId w:val="2"/>
        </w:numPr>
        <w:tabs>
          <w:tab w:pos="816" w:val="left" w:leader="none"/>
        </w:tabs>
        <w:spacing w:line="240" w:lineRule="auto" w:before="145" w:after="0"/>
        <w:ind w:left="815" w:right="0" w:hanging="663"/>
        <w:jc w:val="both"/>
      </w:pPr>
      <w:bookmarkStart w:name="_bookmark22" w:id="38"/>
      <w:bookmarkEnd w:id="38"/>
      <w:r>
        <w:rPr>
          <w:b w:val="0"/>
        </w:rPr>
      </w:r>
      <w:bookmarkStart w:name="_bookmark22" w:id="39"/>
      <w:bookmarkEnd w:id="39"/>
      <w:r>
        <w:rPr/>
        <w:t>P</w:t>
      </w:r>
      <w:r>
        <w:rPr/>
        <w:t>resión capilar pulmonar</w:t>
      </w:r>
      <w:r>
        <w:rPr>
          <w:spacing w:val="-18"/>
        </w:rPr>
        <w:t> </w:t>
      </w:r>
      <w:r>
        <w:rPr/>
        <w:t>(PCP)</w:t>
      </w:r>
    </w:p>
    <w:p>
      <w:pPr>
        <w:pStyle w:val="BodyText"/>
        <w:rPr>
          <w:b/>
        </w:rPr>
      </w:pPr>
    </w:p>
    <w:p>
      <w:pPr>
        <w:pStyle w:val="BodyText"/>
        <w:spacing w:before="9"/>
        <w:rPr>
          <w:b/>
          <w:sz w:val="23"/>
        </w:rPr>
      </w:pPr>
    </w:p>
    <w:p>
      <w:pPr>
        <w:pStyle w:val="BodyText"/>
        <w:spacing w:line="360" w:lineRule="auto"/>
        <w:ind w:left="152" w:right="114" w:firstLine="710"/>
        <w:jc w:val="both"/>
      </w:pPr>
      <w:r>
        <w:rPr/>
        <w:t>Cuando enclavamos un catéter en la circulación pulmonar, obtenemos una presión denominada presión capilar pulmonar (Figura 4), que será muy parecida a la presión en la aurícula izquierda. La PCP se encuentra, de esta forma, como la presión más distal de las cavidades derechas.</w:t>
      </w:r>
    </w:p>
    <w:p>
      <w:pPr>
        <w:pStyle w:val="BodyText"/>
        <w:spacing w:line="360" w:lineRule="auto" w:before="8"/>
        <w:ind w:left="152" w:right="105" w:firstLine="710"/>
        <w:jc w:val="both"/>
      </w:pPr>
      <w:r>
        <w:rPr/>
        <w:t>Clínicamente, conseguimos medir la PCP gracias a los catéteres Swan-Ganz (Figura 5), que consiguen el enclavamiento mediante un balón en el extremo distal. Con el balón inflado evitamos que el extremo distal del catéter reciba el impulso de la arteria pulmonar.</w:t>
      </w:r>
    </w:p>
    <w:p>
      <w:pPr>
        <w:spacing w:after="0" w:line="360" w:lineRule="auto"/>
        <w:jc w:val="both"/>
        <w:sectPr>
          <w:footerReference w:type="default" r:id="rId15"/>
          <w:pgSz w:w="12240" w:h="15840"/>
          <w:pgMar w:footer="1651" w:header="0" w:top="1500" w:bottom="1840" w:left="1720" w:right="1420"/>
        </w:sectPr>
      </w:pPr>
    </w:p>
    <w:p>
      <w:pPr>
        <w:pStyle w:val="BodyText"/>
        <w:spacing w:before="3"/>
        <w:rPr>
          <w:sz w:val="27"/>
        </w:rPr>
      </w:pPr>
    </w:p>
    <w:p>
      <w:pPr>
        <w:pStyle w:val="BodyText"/>
        <w:ind w:left="1602"/>
        <w:rPr>
          <w:sz w:val="20"/>
        </w:rPr>
      </w:pPr>
      <w:r>
        <w:rPr>
          <w:sz w:val="20"/>
        </w:rPr>
        <w:drawing>
          <wp:inline distT="0" distB="0" distL="0" distR="0">
            <wp:extent cx="4212985" cy="2514600"/>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7" cstate="print"/>
                    <a:stretch>
                      <a:fillRect/>
                    </a:stretch>
                  </pic:blipFill>
                  <pic:spPr>
                    <a:xfrm>
                      <a:off x="0" y="0"/>
                      <a:ext cx="4212985" cy="2514600"/>
                    </a:xfrm>
                    <a:prstGeom prst="rect">
                      <a:avLst/>
                    </a:prstGeom>
                  </pic:spPr>
                </pic:pic>
              </a:graphicData>
            </a:graphic>
          </wp:inline>
        </w:drawing>
      </w:r>
      <w:r>
        <w:rPr>
          <w:sz w:val="20"/>
        </w:rPr>
      </w:r>
    </w:p>
    <w:p>
      <w:pPr>
        <w:spacing w:before="123"/>
        <w:ind w:left="152" w:right="0" w:firstLine="0"/>
        <w:jc w:val="left"/>
        <w:rPr>
          <w:i/>
          <w:sz w:val="22"/>
        </w:rPr>
      </w:pPr>
      <w:bookmarkStart w:name="_bookmark23" w:id="40"/>
      <w:bookmarkEnd w:id="40"/>
      <w:r>
        <w:rPr/>
      </w:r>
      <w:r>
        <w:rPr>
          <w:i/>
          <w:sz w:val="22"/>
        </w:rPr>
        <w:t>FIGURA 4. Cuando enclavamos un catéter en la circulación pulmonar, obtenemos una presión </w:t>
      </w:r>
      <w:r>
        <w:rPr>
          <w:i/>
          <w:sz w:val="22"/>
        </w:rPr>
        <w:t>denominada presión capilar pulmonar (PCP) Presión en la arteria pulmonar (PAP)</w:t>
      </w:r>
    </w:p>
    <w:p>
      <w:pPr>
        <w:pStyle w:val="BodyText"/>
        <w:rPr>
          <w:i/>
          <w:sz w:val="20"/>
        </w:rPr>
      </w:pPr>
    </w:p>
    <w:p>
      <w:pPr>
        <w:pStyle w:val="BodyText"/>
        <w:rPr>
          <w:i/>
          <w:sz w:val="20"/>
        </w:rPr>
      </w:pPr>
    </w:p>
    <w:p>
      <w:pPr>
        <w:pStyle w:val="BodyText"/>
        <w:rPr>
          <w:i/>
          <w:sz w:val="12"/>
        </w:rPr>
      </w:pPr>
      <w:r>
        <w:rPr/>
        <w:drawing>
          <wp:anchor distT="0" distB="0" distL="0" distR="0" allowOverlap="1" layoutInCell="1" locked="0" behindDoc="0" simplePos="0" relativeHeight="1192">
            <wp:simplePos x="0" y="0"/>
            <wp:positionH relativeFrom="page">
              <wp:posOffset>2152014</wp:posOffset>
            </wp:positionH>
            <wp:positionV relativeFrom="paragraph">
              <wp:posOffset>112554</wp:posOffset>
            </wp:positionV>
            <wp:extent cx="4151250" cy="2517648"/>
            <wp:effectExtent l="0" t="0" r="0" b="0"/>
            <wp:wrapTopAndBottom/>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8" cstate="print"/>
                    <a:stretch>
                      <a:fillRect/>
                    </a:stretch>
                  </pic:blipFill>
                  <pic:spPr>
                    <a:xfrm>
                      <a:off x="0" y="0"/>
                      <a:ext cx="4151250" cy="2517648"/>
                    </a:xfrm>
                    <a:prstGeom prst="rect">
                      <a:avLst/>
                    </a:prstGeom>
                  </pic:spPr>
                </pic:pic>
              </a:graphicData>
            </a:graphic>
          </wp:anchor>
        </w:drawing>
      </w:r>
    </w:p>
    <w:p>
      <w:pPr>
        <w:spacing w:before="76"/>
        <w:ind w:left="152" w:right="0" w:firstLine="0"/>
        <w:jc w:val="left"/>
        <w:rPr>
          <w:i/>
          <w:sz w:val="22"/>
        </w:rPr>
      </w:pPr>
      <w:bookmarkStart w:name="_bookmark24" w:id="41"/>
      <w:bookmarkEnd w:id="41"/>
      <w:r>
        <w:rPr/>
      </w:r>
      <w:r>
        <w:rPr>
          <w:i/>
          <w:sz w:val="22"/>
        </w:rPr>
        <w:t>FIGURA 5. Enclavamiento de un catéter en la AP</w:t>
      </w:r>
    </w:p>
    <w:p>
      <w:pPr>
        <w:spacing w:after="0"/>
        <w:jc w:val="left"/>
        <w:rPr>
          <w:sz w:val="22"/>
        </w:rPr>
        <w:sectPr>
          <w:footerReference w:type="default" r:id="rId16"/>
          <w:pgSz w:w="12240" w:h="15840"/>
          <w:pgMar w:footer="1651" w:header="0" w:top="1500" w:bottom="1840" w:left="1720" w:right="1420"/>
          <w:pgNumType w:start="21"/>
        </w:sectPr>
      </w:pPr>
    </w:p>
    <w:p>
      <w:pPr>
        <w:pStyle w:val="BodyText"/>
        <w:spacing w:before="1"/>
        <w:rPr>
          <w:i/>
          <w:sz w:val="21"/>
        </w:rPr>
      </w:pPr>
    </w:p>
    <w:p>
      <w:pPr>
        <w:pStyle w:val="Heading2"/>
        <w:numPr>
          <w:ilvl w:val="2"/>
          <w:numId w:val="2"/>
        </w:numPr>
        <w:tabs>
          <w:tab w:pos="816" w:val="left" w:leader="none"/>
        </w:tabs>
        <w:spacing w:line="240" w:lineRule="auto" w:before="69" w:after="0"/>
        <w:ind w:left="815" w:right="0" w:hanging="663"/>
        <w:jc w:val="left"/>
      </w:pPr>
      <w:bookmarkStart w:name="_bookmark25" w:id="42"/>
      <w:bookmarkEnd w:id="42"/>
      <w:r>
        <w:rPr>
          <w:b w:val="0"/>
        </w:rPr>
      </w:r>
      <w:bookmarkStart w:name="_bookmark25" w:id="43"/>
      <w:bookmarkEnd w:id="43"/>
      <w:r>
        <w:rPr/>
        <w:t>E</w:t>
      </w:r>
      <w:r>
        <w:rPr/>
        <w:t>fectos adversos del catéter de</w:t>
      </w:r>
      <w:r>
        <w:rPr>
          <w:spacing w:val="-12"/>
        </w:rPr>
        <w:t> </w:t>
      </w:r>
      <w:r>
        <w:rPr/>
        <w:t>Swan-Ganz</w:t>
      </w:r>
    </w:p>
    <w:p>
      <w:pPr>
        <w:pStyle w:val="BodyText"/>
        <w:spacing w:line="360" w:lineRule="auto" w:before="132"/>
        <w:ind w:left="152" w:right="101" w:firstLine="710"/>
        <w:jc w:val="both"/>
      </w:pPr>
      <w:r>
        <w:rPr/>
        <w:t>Es importante mencionar que el catéter de arteria pulmonar (CAP) es un elemento muy importante en el diagnóstico que permite el conocimiento del gasto cardiaco, la saturación venosa central de oxígeno, la fracción de eyección y las presiones, pulmonar, venosa central y de enclavamiento. Sin embargo, su utilización conlleva riesgos tales como: Arritmias (Sprung </w:t>
      </w:r>
      <w:r>
        <w:rPr>
          <w:i/>
        </w:rPr>
        <w:t>et al.</w:t>
      </w:r>
      <w:r>
        <w:rPr/>
        <w:t>, 1981; Gwak </w:t>
      </w:r>
      <w:r>
        <w:rPr>
          <w:i/>
        </w:rPr>
        <w:t>et al.</w:t>
      </w:r>
      <w:r>
        <w:rPr/>
        <w:t>, 2007), bloqueos cardiacos (Morris </w:t>
      </w:r>
      <w:r>
        <w:rPr>
          <w:i/>
        </w:rPr>
        <w:t>et al.</w:t>
      </w:r>
      <w:r>
        <w:rPr/>
        <w:t>, 1987; Weissman </w:t>
      </w:r>
      <w:r>
        <w:rPr>
          <w:i/>
        </w:rPr>
        <w:t>&amp;</w:t>
      </w:r>
      <w:r>
        <w:rPr/>
        <w:t>Altus, 1989) anudamientos (Bossert </w:t>
      </w:r>
      <w:r>
        <w:rPr>
          <w:i/>
        </w:rPr>
        <w:t>et al.</w:t>
      </w:r>
      <w:r>
        <w:rPr/>
        <w:t>, 2006), infartos pulmonares (Smart, 1990) trombosis (Lange </w:t>
      </w:r>
      <w:r>
        <w:rPr>
          <w:i/>
        </w:rPr>
        <w:t>et al.</w:t>
      </w:r>
      <w:r>
        <w:rPr/>
        <w:t>, 1983), infecciones (Mermel &amp; Maki, 1994) perforaciones de la arteria pulmonar (Bossert </w:t>
      </w:r>
      <w:r>
        <w:rPr>
          <w:i/>
        </w:rPr>
        <w:t>et al.</w:t>
      </w:r>
      <w:r>
        <w:rPr/>
        <w:t>, 2006), son las principales complicaciones asociadas al empleo del Swan-Ganz.</w:t>
      </w:r>
    </w:p>
    <w:p>
      <w:pPr>
        <w:pStyle w:val="BodyText"/>
      </w:pPr>
    </w:p>
    <w:p>
      <w:pPr>
        <w:pStyle w:val="Heading2"/>
        <w:numPr>
          <w:ilvl w:val="1"/>
          <w:numId w:val="3"/>
        </w:numPr>
        <w:tabs>
          <w:tab w:pos="638" w:val="left" w:leader="none"/>
        </w:tabs>
        <w:spacing w:line="240" w:lineRule="auto" w:before="151" w:after="0"/>
        <w:ind w:left="637" w:right="0" w:hanging="485"/>
        <w:jc w:val="left"/>
      </w:pPr>
      <w:bookmarkStart w:name="_bookmark26" w:id="44"/>
      <w:bookmarkEnd w:id="44"/>
      <w:r>
        <w:rPr>
          <w:b w:val="0"/>
        </w:rPr>
      </w:r>
      <w:bookmarkStart w:name="_bookmark26" w:id="45"/>
      <w:bookmarkEnd w:id="45"/>
      <w:r>
        <w:rPr/>
        <w:t>T</w:t>
      </w:r>
      <w:r>
        <w:rPr/>
        <w:t>écnicas alternativas a </w:t>
      </w:r>
      <w:r>
        <w:rPr>
          <w:spacing w:val="-3"/>
        </w:rPr>
        <w:t>la </w:t>
      </w:r>
      <w:r>
        <w:rPr/>
        <w:t>utilización del catéter de</w:t>
      </w:r>
      <w:r>
        <w:rPr>
          <w:spacing w:val="-4"/>
        </w:rPr>
        <w:t> </w:t>
      </w:r>
      <w:r>
        <w:rPr/>
        <w:t>Swan-Ganz</w:t>
      </w:r>
    </w:p>
    <w:p>
      <w:pPr>
        <w:pStyle w:val="BodyText"/>
        <w:rPr>
          <w:b/>
        </w:rPr>
      </w:pPr>
    </w:p>
    <w:p>
      <w:pPr>
        <w:pStyle w:val="BodyText"/>
        <w:spacing w:before="4"/>
        <w:rPr>
          <w:b/>
          <w:sz w:val="23"/>
        </w:rPr>
      </w:pPr>
    </w:p>
    <w:p>
      <w:pPr>
        <w:pStyle w:val="BodyText"/>
        <w:spacing w:line="360" w:lineRule="auto"/>
        <w:ind w:left="152" w:right="105" w:firstLine="710"/>
        <w:jc w:val="both"/>
      </w:pPr>
      <w:r>
        <w:rPr/>
        <w:t>Podemos </w:t>
      </w:r>
      <w:r>
        <w:rPr>
          <w:spacing w:val="-3"/>
        </w:rPr>
        <w:t>medir </w:t>
      </w:r>
      <w:r>
        <w:rPr/>
        <w:t>el gasto cardiaco mediante otros procedimientos técnicos, que se  han implantado en </w:t>
      </w:r>
      <w:r>
        <w:rPr>
          <w:spacing w:val="-5"/>
        </w:rPr>
        <w:t>la </w:t>
      </w:r>
      <w:r>
        <w:rPr/>
        <w:t>práctica</w:t>
      </w:r>
      <w:r>
        <w:rPr>
          <w:spacing w:val="-8"/>
        </w:rPr>
        <w:t> </w:t>
      </w:r>
      <w:r>
        <w:rPr/>
        <w:t>clínica.</w:t>
      </w:r>
    </w:p>
    <w:p>
      <w:pPr>
        <w:pStyle w:val="BodyText"/>
      </w:pPr>
    </w:p>
    <w:p>
      <w:pPr>
        <w:pStyle w:val="Heading2"/>
        <w:numPr>
          <w:ilvl w:val="1"/>
          <w:numId w:val="3"/>
        </w:numPr>
        <w:tabs>
          <w:tab w:pos="696" w:val="left" w:leader="none"/>
        </w:tabs>
        <w:spacing w:line="240" w:lineRule="auto" w:before="150" w:after="0"/>
        <w:ind w:left="695" w:right="0" w:hanging="543"/>
        <w:jc w:val="left"/>
      </w:pPr>
      <w:bookmarkStart w:name="_bookmark27" w:id="46"/>
      <w:bookmarkEnd w:id="46"/>
      <w:r>
        <w:rPr>
          <w:b w:val="0"/>
        </w:rPr>
      </w:r>
      <w:bookmarkStart w:name="_bookmark27" w:id="47"/>
      <w:bookmarkEnd w:id="47"/>
      <w:r>
        <w:rPr/>
        <w:t>Si</w:t>
      </w:r>
      <w:r>
        <w:rPr/>
        <w:t>stema NICO2 (Non-Invasive Cardiac Output,</w:t>
      </w:r>
      <w:r>
        <w:rPr>
          <w:spacing w:val="-22"/>
        </w:rPr>
        <w:t> </w:t>
      </w:r>
      <w:r>
        <w:rPr/>
        <w:t>Respinonics).</w:t>
      </w:r>
    </w:p>
    <w:p>
      <w:pPr>
        <w:pStyle w:val="BodyText"/>
        <w:rPr>
          <w:b/>
        </w:rPr>
      </w:pPr>
    </w:p>
    <w:p>
      <w:pPr>
        <w:pStyle w:val="BodyText"/>
        <w:spacing w:before="4"/>
        <w:rPr>
          <w:b/>
          <w:sz w:val="23"/>
        </w:rPr>
      </w:pPr>
    </w:p>
    <w:p>
      <w:pPr>
        <w:pStyle w:val="BodyText"/>
        <w:spacing w:line="360" w:lineRule="auto"/>
        <w:ind w:left="152" w:right="102" w:firstLine="710"/>
        <w:jc w:val="both"/>
      </w:pPr>
      <w:r>
        <w:rPr/>
        <w:t>El monitor NICO </w:t>
      </w:r>
      <w:r>
        <w:rPr>
          <w:spacing w:val="-3"/>
        </w:rPr>
        <w:t>mide </w:t>
      </w:r>
      <w:r>
        <w:rPr/>
        <w:t>el GC basándose en los cambios en </w:t>
      </w:r>
      <w:r>
        <w:rPr>
          <w:spacing w:val="-3"/>
        </w:rPr>
        <w:t>la </w:t>
      </w:r>
      <w:r>
        <w:rPr/>
        <w:t>relación existente </w:t>
      </w:r>
      <w:r>
        <w:rPr>
          <w:position w:val="2"/>
        </w:rPr>
        <w:t>entre </w:t>
      </w:r>
      <w:r>
        <w:rPr>
          <w:spacing w:val="-5"/>
          <w:position w:val="2"/>
        </w:rPr>
        <w:t>la </w:t>
      </w:r>
      <w:r>
        <w:rPr>
          <w:position w:val="2"/>
        </w:rPr>
        <w:t>eliminación de CO</w:t>
      </w:r>
      <w:r>
        <w:rPr>
          <w:sz w:val="16"/>
        </w:rPr>
        <w:t>2 </w:t>
      </w:r>
      <w:r>
        <w:rPr>
          <w:position w:val="2"/>
        </w:rPr>
        <w:t>y el CO</w:t>
      </w:r>
      <w:r>
        <w:rPr>
          <w:sz w:val="16"/>
        </w:rPr>
        <w:t>2 </w:t>
      </w:r>
      <w:r>
        <w:rPr>
          <w:position w:val="2"/>
        </w:rPr>
        <w:t>tele-espiratorio (ETCO</w:t>
      </w:r>
      <w:r>
        <w:rPr>
          <w:sz w:val="16"/>
        </w:rPr>
        <w:t>2</w:t>
      </w:r>
      <w:r>
        <w:rPr>
          <w:position w:val="2"/>
        </w:rPr>
        <w:t>) tras un periodo breve de rehinalación parcial de CO</w:t>
      </w:r>
      <w:r>
        <w:rPr>
          <w:sz w:val="16"/>
        </w:rPr>
        <w:t>2.</w:t>
      </w:r>
      <w:r>
        <w:rPr>
          <w:position w:val="2"/>
        </w:rPr>
        <w:t>La medida del gasto cardiaco se efectúa gracias a un sensor que recoge en </w:t>
      </w:r>
      <w:r>
        <w:rPr>
          <w:spacing w:val="-3"/>
          <w:position w:val="2"/>
        </w:rPr>
        <w:t>la </w:t>
      </w:r>
      <w:r>
        <w:rPr>
          <w:position w:val="2"/>
        </w:rPr>
        <w:t>vía aérea, el flujo, </w:t>
      </w:r>
      <w:r>
        <w:rPr>
          <w:spacing w:val="-3"/>
          <w:position w:val="2"/>
        </w:rPr>
        <w:t>la </w:t>
      </w:r>
      <w:r>
        <w:rPr>
          <w:position w:val="2"/>
        </w:rPr>
        <w:t>presión, </w:t>
      </w:r>
      <w:r>
        <w:rPr>
          <w:spacing w:val="-3"/>
          <w:position w:val="2"/>
        </w:rPr>
        <w:t>la </w:t>
      </w:r>
      <w:r>
        <w:rPr>
          <w:position w:val="2"/>
        </w:rPr>
        <w:t>concentración del </w:t>
      </w:r>
      <w:r>
        <w:rPr>
          <w:spacing w:val="3"/>
          <w:position w:val="2"/>
        </w:rPr>
        <w:t>CO</w:t>
      </w:r>
      <w:r>
        <w:rPr>
          <w:spacing w:val="3"/>
          <w:sz w:val="16"/>
        </w:rPr>
        <w:t>2</w:t>
      </w:r>
      <w:r>
        <w:rPr>
          <w:spacing w:val="3"/>
          <w:position w:val="2"/>
        </w:rPr>
        <w:t>y </w:t>
      </w:r>
      <w:r>
        <w:rPr>
          <w:position w:val="2"/>
        </w:rPr>
        <w:t>posteriormente combinando los datos, </w:t>
      </w:r>
      <w:r>
        <w:rPr>
          <w:spacing w:val="-5"/>
          <w:position w:val="2"/>
        </w:rPr>
        <w:t>la </w:t>
      </w:r>
      <w:r>
        <w:rPr>
          <w:position w:val="2"/>
        </w:rPr>
        <w:t>eliminación del CO</w:t>
      </w:r>
      <w:r>
        <w:rPr>
          <w:sz w:val="16"/>
        </w:rPr>
        <w:t>2.</w:t>
      </w:r>
      <w:r>
        <w:rPr>
          <w:position w:val="2"/>
        </w:rPr>
        <w:t>A partir de estas variables mediante  el método de </w:t>
      </w:r>
      <w:r>
        <w:rPr>
          <w:spacing w:val="-3"/>
          <w:position w:val="2"/>
        </w:rPr>
        <w:t>Fick </w:t>
      </w:r>
      <w:r>
        <w:rPr>
          <w:position w:val="2"/>
        </w:rPr>
        <w:t>aplicado al CO</w:t>
      </w:r>
      <w:r>
        <w:rPr>
          <w:sz w:val="16"/>
        </w:rPr>
        <w:t>2 </w:t>
      </w:r>
      <w:r>
        <w:rPr>
          <w:position w:val="2"/>
        </w:rPr>
        <w:t>producido en el organismo y eliminado en el intercambio </w:t>
      </w:r>
      <w:r>
        <w:rPr/>
        <w:t>gaseoso a través del pulmón, calcula el gasto cardiaco. El sensor se conecta al tubo endotraqueal y a </w:t>
      </w:r>
      <w:r>
        <w:rPr>
          <w:spacing w:val="-3"/>
        </w:rPr>
        <w:t>la </w:t>
      </w:r>
      <w:r>
        <w:rPr/>
        <w:t>pieza en “Y” del circuito ventilatorio. A través de </w:t>
      </w:r>
      <w:r>
        <w:rPr>
          <w:spacing w:val="-3"/>
        </w:rPr>
        <w:t>él, </w:t>
      </w:r>
      <w:r>
        <w:rPr/>
        <w:t>automáticamente  se producen los periodos breves de rehinalación, consiguiéndose una cifra continua de  gasto cardiaco (Figura 6). Este sensor obliga a </w:t>
      </w:r>
      <w:r>
        <w:rPr>
          <w:spacing w:val="-5"/>
        </w:rPr>
        <w:t>la </w:t>
      </w:r>
      <w:r>
        <w:rPr/>
        <w:t>intubación y por tanto </w:t>
      </w:r>
      <w:r>
        <w:rPr>
          <w:spacing w:val="-4"/>
        </w:rPr>
        <w:t>solo </w:t>
      </w:r>
      <w:r>
        <w:rPr/>
        <w:t>puede  utilizarse  en  pacientes  ventilados  mecánicamente,  bien  en  quirófanos,  en  unidades </w:t>
      </w:r>
      <w:r>
        <w:rPr>
          <w:spacing w:val="33"/>
        </w:rPr>
        <w:t> </w:t>
      </w:r>
      <w:r>
        <w:rPr/>
        <w:t>de</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152" w:right="107"/>
        <w:jc w:val="both"/>
      </w:pPr>
      <w:r>
        <w:rPr/>
        <w:t>cuidados intensivos o en las salas de urgencias. El valor del gasto cardíaco proporcionado  es el resultante de añadir al flujo sanguíneo capilar pulmonar </w:t>
      </w:r>
      <w:r>
        <w:rPr>
          <w:spacing w:val="-3"/>
        </w:rPr>
        <w:t>la </w:t>
      </w:r>
      <w:r>
        <w:rPr/>
        <w:t>fracción de gasto cardiaco correspondiente al corto circuito intrapulmonar el cual es calculado a partir de </w:t>
      </w:r>
      <w:r>
        <w:rPr>
          <w:spacing w:val="-5"/>
        </w:rPr>
        <w:t>la </w:t>
      </w:r>
      <w:r>
        <w:rPr/>
        <w:t>relación </w:t>
      </w:r>
      <w:r>
        <w:rPr>
          <w:position w:val="2"/>
        </w:rPr>
        <w:t>SpO</w:t>
      </w:r>
      <w:r>
        <w:rPr>
          <w:sz w:val="16"/>
        </w:rPr>
        <w:t>2</w:t>
      </w:r>
      <w:r>
        <w:rPr>
          <w:position w:val="2"/>
        </w:rPr>
        <w:t>/FiO</w:t>
      </w:r>
      <w:r>
        <w:rPr>
          <w:sz w:val="16"/>
        </w:rPr>
        <w:t>2. </w:t>
      </w:r>
      <w:r>
        <w:rPr>
          <w:spacing w:val="3"/>
          <w:position w:val="2"/>
        </w:rPr>
        <w:t>En </w:t>
      </w:r>
      <w:r>
        <w:rPr>
          <w:position w:val="2"/>
        </w:rPr>
        <w:t>un estudio reciente se puso de manifiesto que el monitor NICO infraestima </w:t>
      </w:r>
      <w:r>
        <w:rPr/>
        <w:t>el corto circuito de manera considerable con respecto al valor de este calculado a partir de  </w:t>
      </w:r>
      <w:r>
        <w:rPr>
          <w:spacing w:val="-3"/>
        </w:rPr>
        <w:t>la </w:t>
      </w:r>
      <w:r>
        <w:rPr/>
        <w:t>gasometría de sangre arterial y sangre venosa mixta. En un trabajo reciente realizado </w:t>
      </w:r>
      <w:r>
        <w:rPr>
          <w:spacing w:val="3"/>
        </w:rPr>
        <w:t> </w:t>
      </w:r>
      <w:r>
        <w:rPr/>
        <w:t>por</w:t>
      </w:r>
    </w:p>
    <w:p>
      <w:pPr>
        <w:pStyle w:val="BodyText"/>
        <w:spacing w:line="360" w:lineRule="auto" w:before="4"/>
        <w:ind w:left="152" w:right="108"/>
        <w:jc w:val="both"/>
      </w:pPr>
      <w:r>
        <w:rPr/>
        <w:t>J.L. Jover </w:t>
      </w:r>
      <w:r>
        <w:rPr>
          <w:i/>
        </w:rPr>
        <w:t>et al </w:t>
      </w:r>
      <w:r>
        <w:rPr/>
        <w:t>(2005) observo que la medición del gasto cardíaco por rehinalación en el postoperatorio de pacientes sometidos a cirugía cardíaca infraestima a la obtenida a través del catéter de la arteria pulmonar (Swan-Ganz). El error porcentual obtenido del 37% hace pensar que el método evaluado no puede sustituir al tradicional.</w:t>
      </w:r>
    </w:p>
    <w:p>
      <w:pPr>
        <w:pStyle w:val="BodyText"/>
        <w:rPr>
          <w:sz w:val="20"/>
        </w:rPr>
      </w:pPr>
    </w:p>
    <w:p>
      <w:pPr>
        <w:pStyle w:val="BodyText"/>
        <w:spacing w:before="10"/>
        <w:rPr>
          <w:sz w:val="13"/>
        </w:rPr>
      </w:pPr>
      <w:r>
        <w:rPr/>
        <w:drawing>
          <wp:anchor distT="0" distB="0" distL="0" distR="0" allowOverlap="1" layoutInCell="1" locked="0" behindDoc="0" simplePos="0" relativeHeight="1216">
            <wp:simplePos x="0" y="0"/>
            <wp:positionH relativeFrom="page">
              <wp:posOffset>2270760</wp:posOffset>
            </wp:positionH>
            <wp:positionV relativeFrom="paragraph">
              <wp:posOffset>126120</wp:posOffset>
            </wp:positionV>
            <wp:extent cx="3900280" cy="2457450"/>
            <wp:effectExtent l="0" t="0" r="0" b="0"/>
            <wp:wrapTopAndBottom/>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19" cstate="print"/>
                    <a:stretch>
                      <a:fillRect/>
                    </a:stretch>
                  </pic:blipFill>
                  <pic:spPr>
                    <a:xfrm>
                      <a:off x="0" y="0"/>
                      <a:ext cx="3900280" cy="2457450"/>
                    </a:xfrm>
                    <a:prstGeom prst="rect">
                      <a:avLst/>
                    </a:prstGeom>
                  </pic:spPr>
                </pic:pic>
              </a:graphicData>
            </a:graphic>
          </wp:anchor>
        </w:drawing>
      </w:r>
    </w:p>
    <w:p>
      <w:pPr>
        <w:spacing w:before="98"/>
        <w:ind w:left="152" w:right="106" w:firstLine="0"/>
        <w:jc w:val="left"/>
        <w:rPr>
          <w:i/>
          <w:sz w:val="22"/>
        </w:rPr>
      </w:pPr>
      <w:bookmarkStart w:name="_bookmark28" w:id="48"/>
      <w:bookmarkEnd w:id="48"/>
      <w:r>
        <w:rPr/>
      </w:r>
      <w:r>
        <w:rPr>
          <w:i/>
          <w:sz w:val="22"/>
        </w:rPr>
        <w:t>FIGURA 6. Monitor sistema NiCO ® Novametrix Non-Invasive Cardiac Output Monitor Set, </w:t>
      </w:r>
      <w:r>
        <w:rPr>
          <w:i/>
          <w:sz w:val="22"/>
        </w:rPr>
        <w:t>NICO2, Model 7300.</w:t>
      </w:r>
    </w:p>
    <w:p>
      <w:pPr>
        <w:pStyle w:val="BodyText"/>
        <w:rPr>
          <w:i/>
          <w:sz w:val="22"/>
        </w:rPr>
      </w:pPr>
    </w:p>
    <w:p>
      <w:pPr>
        <w:pStyle w:val="Heading2"/>
        <w:numPr>
          <w:ilvl w:val="2"/>
          <w:numId w:val="4"/>
        </w:numPr>
        <w:tabs>
          <w:tab w:pos="816" w:val="left" w:leader="none"/>
        </w:tabs>
        <w:spacing w:line="240" w:lineRule="auto" w:before="128" w:after="0"/>
        <w:ind w:left="815" w:right="0" w:hanging="663"/>
        <w:jc w:val="left"/>
      </w:pPr>
      <w:bookmarkStart w:name="_bookmark29" w:id="49"/>
      <w:bookmarkEnd w:id="49"/>
      <w:r>
        <w:rPr>
          <w:b w:val="0"/>
        </w:rPr>
      </w:r>
      <w:bookmarkStart w:name="_bookmark29" w:id="50"/>
      <w:bookmarkEnd w:id="50"/>
      <w:r>
        <w:rPr/>
        <w:t>Si</w:t>
      </w:r>
      <w:r>
        <w:rPr/>
        <w:t>stema </w:t>
      </w:r>
      <w:r>
        <w:rPr>
          <w:i/>
        </w:rPr>
        <w:t>PiCCO </w:t>
      </w:r>
      <w:r>
        <w:rPr/>
        <w:t>(Pulsed-induced Contour Cardiac</w:t>
      </w:r>
      <w:r>
        <w:rPr>
          <w:spacing w:val="-19"/>
        </w:rPr>
        <w:t> </w:t>
      </w:r>
      <w:r>
        <w:rPr/>
        <w:t>output)</w:t>
      </w:r>
    </w:p>
    <w:p>
      <w:pPr>
        <w:pStyle w:val="BodyText"/>
        <w:rPr>
          <w:b/>
        </w:rPr>
      </w:pPr>
    </w:p>
    <w:p>
      <w:pPr>
        <w:pStyle w:val="BodyText"/>
        <w:spacing w:before="9"/>
        <w:rPr>
          <w:b/>
          <w:sz w:val="23"/>
        </w:rPr>
      </w:pPr>
    </w:p>
    <w:p>
      <w:pPr>
        <w:pStyle w:val="BodyText"/>
        <w:spacing w:line="360" w:lineRule="auto"/>
        <w:ind w:left="152" w:right="106" w:firstLine="710"/>
        <w:jc w:val="both"/>
      </w:pPr>
      <w:r>
        <w:rPr/>
        <w:t>El PiCCO es un sistema de monitorización hemodinámica invasiva capaz de medir el GC por termodilución transpulmonar y estimar </w:t>
      </w:r>
      <w:r>
        <w:rPr>
          <w:spacing w:val="-5"/>
        </w:rPr>
        <w:t>la </w:t>
      </w:r>
      <w:r>
        <w:rPr/>
        <w:t>precarga promedio del volumen sanguíneo intratorácico (Sakka SG. </w:t>
      </w:r>
      <w:r>
        <w:rPr>
          <w:i/>
        </w:rPr>
        <w:t>et al</w:t>
      </w:r>
      <w:r>
        <w:rPr/>
        <w:t>., 2000). Existe evidencia de que el volumen sanguíneo intratorácico es independiente de </w:t>
      </w:r>
      <w:r>
        <w:rPr>
          <w:spacing w:val="-3"/>
        </w:rPr>
        <w:t>las </w:t>
      </w:r>
      <w:r>
        <w:rPr/>
        <w:t>variaciones de </w:t>
      </w:r>
      <w:r>
        <w:rPr>
          <w:spacing w:val="-3"/>
        </w:rPr>
        <w:t>la </w:t>
      </w:r>
      <w:r>
        <w:rPr/>
        <w:t>presión intratorácico   </w:t>
      </w:r>
      <w:r>
        <w:rPr>
          <w:spacing w:val="5"/>
        </w:rPr>
        <w:t> </w:t>
      </w:r>
      <w:r>
        <w:rPr/>
        <w:t>y </w:t>
      </w:r>
      <w:r>
        <w:rPr>
          <w:spacing w:val="-5"/>
        </w:rPr>
        <w:t>la</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after="5"/>
        <w:ind w:left="152" w:right="116"/>
        <w:jc w:val="both"/>
      </w:pPr>
      <w:r>
        <w:rPr/>
        <w:t>distensibilidad ventricular, razón por </w:t>
      </w:r>
      <w:r>
        <w:rPr>
          <w:spacing w:val="-5"/>
        </w:rPr>
        <w:t>la </w:t>
      </w:r>
      <w:r>
        <w:rPr/>
        <w:t>que podría ser mejor estimador de </w:t>
      </w:r>
      <w:r>
        <w:rPr>
          <w:spacing w:val="-5"/>
        </w:rPr>
        <w:t>la </w:t>
      </w:r>
      <w:r>
        <w:rPr/>
        <w:t>precarga cardíaca que </w:t>
      </w:r>
      <w:r>
        <w:rPr>
          <w:spacing w:val="-3"/>
        </w:rPr>
        <w:t>la </w:t>
      </w:r>
      <w:r>
        <w:rPr/>
        <w:t>presión pulmonar enclavada (Buhre </w:t>
      </w:r>
      <w:r>
        <w:rPr>
          <w:spacing w:val="-3"/>
        </w:rPr>
        <w:t>W. </w:t>
      </w:r>
      <w:r>
        <w:rPr>
          <w:i/>
        </w:rPr>
        <w:t>et al</w:t>
      </w:r>
      <w:r>
        <w:rPr/>
        <w:t>., 2000; Sakka S. </w:t>
      </w:r>
      <w:r>
        <w:rPr>
          <w:i/>
        </w:rPr>
        <w:t>et al</w:t>
      </w:r>
      <w:r>
        <w:rPr/>
        <w:t>., 1999), especialmente en pacientes </w:t>
      </w:r>
      <w:r>
        <w:rPr>
          <w:spacing w:val="-3"/>
        </w:rPr>
        <w:t>bajo </w:t>
      </w:r>
      <w:r>
        <w:rPr/>
        <w:t>soporte ventilatorio mecánico invasivo (Linchtwarck- Aschoff </w:t>
      </w:r>
      <w:r>
        <w:rPr>
          <w:i/>
        </w:rPr>
        <w:t>et al</w:t>
      </w:r>
      <w:r>
        <w:rPr/>
        <w:t>.1992). Este método requiere </w:t>
      </w:r>
      <w:r>
        <w:rPr>
          <w:spacing w:val="-3"/>
        </w:rPr>
        <w:t>la </w:t>
      </w:r>
      <w:r>
        <w:rPr/>
        <w:t>inserción de un catéter venoso central con un sensor capaz de </w:t>
      </w:r>
      <w:r>
        <w:rPr>
          <w:spacing w:val="-3"/>
        </w:rPr>
        <w:t>medir la </w:t>
      </w:r>
      <w:r>
        <w:rPr/>
        <w:t>temperatura de </w:t>
      </w:r>
      <w:r>
        <w:rPr>
          <w:spacing w:val="-5"/>
        </w:rPr>
        <w:t>la </w:t>
      </w:r>
      <w:r>
        <w:rPr/>
        <w:t>solución inyectada y un catéter arterial que  posee un sensor de temperatura en su extremo distal. </w:t>
      </w:r>
      <w:r>
        <w:rPr>
          <w:spacing w:val="3"/>
        </w:rPr>
        <w:t>El </w:t>
      </w:r>
      <w:r>
        <w:rPr/>
        <w:t>monitor PiCCO calcula el GC por análisis de </w:t>
      </w:r>
      <w:r>
        <w:rPr>
          <w:spacing w:val="-3"/>
        </w:rPr>
        <w:t>la </w:t>
      </w:r>
      <w:r>
        <w:rPr/>
        <w:t>curva de termodilución transpulmonar usando </w:t>
      </w:r>
      <w:r>
        <w:rPr>
          <w:spacing w:val="-5"/>
        </w:rPr>
        <w:t>la </w:t>
      </w:r>
      <w:r>
        <w:rPr/>
        <w:t>ecuación de Stewart- Hamilton (von Spiegel </w:t>
      </w:r>
      <w:r>
        <w:rPr>
          <w:i/>
        </w:rPr>
        <w:t>et al.</w:t>
      </w:r>
      <w:r>
        <w:rPr/>
        <w:t>, 1996; Gust </w:t>
      </w:r>
      <w:r>
        <w:rPr>
          <w:i/>
        </w:rPr>
        <w:t>et al</w:t>
      </w:r>
      <w:r>
        <w:rPr/>
        <w:t>., 1998). A partir de </w:t>
      </w:r>
      <w:r>
        <w:rPr>
          <w:spacing w:val="-3"/>
        </w:rPr>
        <w:t>la </w:t>
      </w:r>
      <w:r>
        <w:rPr/>
        <w:t>curva se obtiene </w:t>
      </w:r>
      <w:r>
        <w:rPr>
          <w:spacing w:val="3"/>
        </w:rPr>
        <w:t>el </w:t>
      </w:r>
      <w:r>
        <w:rPr/>
        <w:t>tiempo </w:t>
      </w:r>
      <w:r>
        <w:rPr>
          <w:spacing w:val="-4"/>
        </w:rPr>
        <w:t>medio </w:t>
      </w:r>
      <w:r>
        <w:rPr/>
        <w:t>de tránsito y el tiempo de </w:t>
      </w:r>
      <w:r>
        <w:rPr>
          <w:spacing w:val="-5"/>
        </w:rPr>
        <w:t>la </w:t>
      </w:r>
      <w:r>
        <w:rPr/>
        <w:t>pendiente de descenso exponencial del indicador térmico. El producto del GC por el tiempo </w:t>
      </w:r>
      <w:r>
        <w:rPr>
          <w:spacing w:val="-4"/>
        </w:rPr>
        <w:t>medio </w:t>
      </w:r>
      <w:r>
        <w:rPr/>
        <w:t>de transito es igual al volumen térmico intratorácico total y el producto del GC por </w:t>
      </w:r>
      <w:r>
        <w:rPr>
          <w:spacing w:val="-5"/>
        </w:rPr>
        <w:t>la </w:t>
      </w:r>
      <w:r>
        <w:rPr/>
        <w:t>pendiente de descenso exponencial es </w:t>
      </w:r>
      <w:r>
        <w:rPr>
          <w:spacing w:val="3"/>
        </w:rPr>
        <w:t>el </w:t>
      </w:r>
      <w:r>
        <w:rPr/>
        <w:t>equivalente al volumen térmico pulmonar total (Figura 7). La resta de ambos corresponde  al volumen de las 4 cámaras cardíacas al final de </w:t>
      </w:r>
      <w:r>
        <w:rPr>
          <w:spacing w:val="-3"/>
        </w:rPr>
        <w:t>la</w:t>
      </w:r>
      <w:r>
        <w:rPr>
          <w:spacing w:val="-21"/>
        </w:rPr>
        <w:t> </w:t>
      </w:r>
      <w:r>
        <w:rPr/>
        <w:t>diástole.</w:t>
      </w:r>
    </w:p>
    <w:p>
      <w:pPr>
        <w:pStyle w:val="BodyText"/>
        <w:ind w:left="2322"/>
        <w:rPr>
          <w:sz w:val="20"/>
        </w:rPr>
      </w:pPr>
      <w:r>
        <w:rPr>
          <w:sz w:val="20"/>
        </w:rPr>
        <w:drawing>
          <wp:inline distT="0" distB="0" distL="0" distR="0">
            <wp:extent cx="3316754" cy="2274855"/>
            <wp:effectExtent l="0" t="0" r="0" b="0"/>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20" cstate="print"/>
                    <a:stretch>
                      <a:fillRect/>
                    </a:stretch>
                  </pic:blipFill>
                  <pic:spPr>
                    <a:xfrm>
                      <a:off x="0" y="0"/>
                      <a:ext cx="3316754" cy="2274855"/>
                    </a:xfrm>
                    <a:prstGeom prst="rect">
                      <a:avLst/>
                    </a:prstGeom>
                  </pic:spPr>
                </pic:pic>
              </a:graphicData>
            </a:graphic>
          </wp:inline>
        </w:drawing>
      </w:r>
      <w:r>
        <w:rPr>
          <w:sz w:val="20"/>
        </w:rPr>
      </w:r>
    </w:p>
    <w:p>
      <w:pPr>
        <w:spacing w:before="122"/>
        <w:ind w:left="152" w:right="0" w:firstLine="0"/>
        <w:jc w:val="both"/>
        <w:rPr>
          <w:i/>
          <w:sz w:val="22"/>
        </w:rPr>
      </w:pPr>
      <w:bookmarkStart w:name="_bookmark30" w:id="51"/>
      <w:bookmarkEnd w:id="51"/>
      <w:r>
        <w:rPr/>
      </w:r>
      <w:r>
        <w:rPr>
          <w:i/>
          <w:sz w:val="22"/>
        </w:rPr>
        <w:t>FIGURA 7. Monitor hemodinámico de medición del gasto cardiaco, modelo </w:t>
      </w:r>
      <w:r>
        <w:rPr>
          <w:i/>
          <w:sz w:val="20"/>
        </w:rPr>
        <w:t>Philips </w:t>
      </w:r>
      <w:r>
        <w:rPr>
          <w:i/>
          <w:sz w:val="22"/>
        </w:rPr>
        <w:t>1.3, PiCCO ®</w:t>
      </w:r>
    </w:p>
    <w:p>
      <w:pPr>
        <w:pStyle w:val="BodyText"/>
        <w:rPr>
          <w:i/>
          <w:sz w:val="22"/>
        </w:rPr>
      </w:pPr>
    </w:p>
    <w:p>
      <w:pPr>
        <w:pStyle w:val="Heading2"/>
        <w:numPr>
          <w:ilvl w:val="2"/>
          <w:numId w:val="4"/>
        </w:numPr>
        <w:tabs>
          <w:tab w:pos="816" w:val="left" w:leader="none"/>
        </w:tabs>
        <w:spacing w:line="240" w:lineRule="auto" w:before="133" w:after="0"/>
        <w:ind w:left="815" w:right="0" w:hanging="663"/>
        <w:jc w:val="both"/>
      </w:pPr>
      <w:bookmarkStart w:name="_bookmark31" w:id="52"/>
      <w:bookmarkEnd w:id="52"/>
      <w:r>
        <w:rPr>
          <w:b w:val="0"/>
        </w:rPr>
      </w:r>
      <w:bookmarkStart w:name="_bookmark31" w:id="53"/>
      <w:bookmarkEnd w:id="53"/>
      <w:r>
        <w:rPr/>
        <w:t>B</w:t>
      </w:r>
      <w:r>
        <w:rPr/>
        <w:t>ioimpedancia</w:t>
      </w:r>
      <w:r>
        <w:rPr>
          <w:spacing w:val="-16"/>
        </w:rPr>
        <w:t> </w:t>
      </w:r>
      <w:r>
        <w:rPr/>
        <w:t>eléctrica</w:t>
      </w:r>
    </w:p>
    <w:p>
      <w:pPr>
        <w:pStyle w:val="BodyText"/>
        <w:rPr>
          <w:b/>
        </w:rPr>
      </w:pPr>
    </w:p>
    <w:p>
      <w:pPr>
        <w:pStyle w:val="BodyText"/>
        <w:spacing w:before="4"/>
        <w:rPr>
          <w:b/>
          <w:sz w:val="23"/>
        </w:rPr>
      </w:pPr>
    </w:p>
    <w:p>
      <w:pPr>
        <w:pStyle w:val="BodyText"/>
        <w:spacing w:line="360" w:lineRule="auto"/>
        <w:ind w:left="152" w:right="131" w:firstLine="710"/>
        <w:jc w:val="both"/>
      </w:pPr>
      <w:r>
        <w:rPr/>
        <w:t>Otra técnica no invasiva es la medición del gasto cardiaco mediante la onda de impedancia, esta técnica fue introducida por (Kubicek </w:t>
      </w:r>
      <w:r>
        <w:rPr>
          <w:i/>
        </w:rPr>
        <w:t>et al. </w:t>
      </w:r>
      <w:r>
        <w:rPr/>
        <w:t>1966). La bioimpedancia eléctrica o pletismografía por impedancia se basa en la medición de los cambios de impedancia torácica que tienen lugar durante la sístole y la diástole tras la aplicación de una</w:t>
      </w:r>
    </w:p>
    <w:p>
      <w:pPr>
        <w:spacing w:after="0" w:line="360" w:lineRule="auto"/>
        <w:jc w:val="both"/>
        <w:sectPr>
          <w:pgSz w:w="12240" w:h="15840"/>
          <w:pgMar w:header="0" w:footer="1651" w:top="1500" w:bottom="1840" w:left="1720" w:right="1400"/>
        </w:sectPr>
      </w:pPr>
    </w:p>
    <w:p>
      <w:pPr>
        <w:pStyle w:val="BodyText"/>
        <w:spacing w:before="7"/>
        <w:rPr>
          <w:sz w:val="20"/>
        </w:rPr>
      </w:pPr>
    </w:p>
    <w:p>
      <w:pPr>
        <w:pStyle w:val="BodyText"/>
        <w:spacing w:line="360" w:lineRule="auto" w:before="69"/>
        <w:ind w:left="152" w:right="100"/>
        <w:jc w:val="both"/>
      </w:pPr>
      <w:r>
        <w:rPr/>
        <w:t>corriente alterna externa (Jonas &amp; Hett, 2004). Cuenta con cuatro pares de electrodos colocados en </w:t>
      </w:r>
      <w:r>
        <w:rPr>
          <w:spacing w:val="-5"/>
        </w:rPr>
        <w:t>la </w:t>
      </w:r>
      <w:r>
        <w:rPr/>
        <w:t>articulación esterno-xifoidea (2 pares en lados opuestos) y el cuello (2 pares en posiciones opuestas). La distancia entre ambos pares de electrodos equivale a </w:t>
      </w:r>
      <w:r>
        <w:rPr>
          <w:spacing w:val="-3"/>
        </w:rPr>
        <w:t>la </w:t>
      </w:r>
      <w:r>
        <w:rPr/>
        <w:t>longitud del tórax (L). Los sensores emiten una corriente eléctrica de alta frecuencia de  4  mA, siendo los sensores torácicos los que realizan </w:t>
      </w:r>
      <w:r>
        <w:rPr>
          <w:spacing w:val="-3"/>
        </w:rPr>
        <w:t>las </w:t>
      </w:r>
      <w:r>
        <w:rPr/>
        <w:t>mediciones de impedancia. Los cambios  en </w:t>
      </w:r>
      <w:r>
        <w:rPr>
          <w:spacing w:val="-3"/>
        </w:rPr>
        <w:t>la </w:t>
      </w:r>
      <w:r>
        <w:rPr/>
        <w:t>impedancia asociados al flujo sanguíneo que tiene lugar durante el ciclo cardiaco, y </w:t>
      </w:r>
      <w:r>
        <w:rPr>
          <w:spacing w:val="4"/>
        </w:rPr>
        <w:t>el </w:t>
      </w:r>
      <w:r>
        <w:rPr/>
        <w:t>intervalo de tiempo entre esos cambios, aportan el volumen sistólico (Figura</w:t>
      </w:r>
      <w:r>
        <w:rPr>
          <w:spacing w:val="-26"/>
        </w:rPr>
        <w:t> </w:t>
      </w:r>
      <w:r>
        <w:rPr/>
        <w:t>8).</w:t>
      </w:r>
    </w:p>
    <w:p>
      <w:pPr>
        <w:pStyle w:val="BodyText"/>
        <w:rPr>
          <w:sz w:val="20"/>
        </w:rPr>
      </w:pPr>
    </w:p>
    <w:p>
      <w:pPr>
        <w:pStyle w:val="BodyText"/>
        <w:spacing w:before="9"/>
        <w:rPr>
          <w:sz w:val="13"/>
        </w:rPr>
      </w:pPr>
      <w:r>
        <w:rPr/>
        <w:drawing>
          <wp:anchor distT="0" distB="0" distL="0" distR="0" allowOverlap="1" layoutInCell="1" locked="0" behindDoc="0" simplePos="0" relativeHeight="1240">
            <wp:simplePos x="0" y="0"/>
            <wp:positionH relativeFrom="page">
              <wp:posOffset>3264534</wp:posOffset>
            </wp:positionH>
            <wp:positionV relativeFrom="paragraph">
              <wp:posOffset>125612</wp:posOffset>
            </wp:positionV>
            <wp:extent cx="1905301" cy="1263014"/>
            <wp:effectExtent l="0" t="0" r="0" b="0"/>
            <wp:wrapTopAndBottom/>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21" cstate="print"/>
                    <a:stretch>
                      <a:fillRect/>
                    </a:stretch>
                  </pic:blipFill>
                  <pic:spPr>
                    <a:xfrm>
                      <a:off x="0" y="0"/>
                      <a:ext cx="1905301" cy="1263014"/>
                    </a:xfrm>
                    <a:prstGeom prst="rect">
                      <a:avLst/>
                    </a:prstGeom>
                  </pic:spPr>
                </pic:pic>
              </a:graphicData>
            </a:graphic>
          </wp:anchor>
        </w:drawing>
      </w:r>
    </w:p>
    <w:p>
      <w:pPr>
        <w:spacing w:before="102"/>
        <w:ind w:left="152" w:right="0" w:firstLine="0"/>
        <w:jc w:val="left"/>
        <w:rPr>
          <w:i/>
          <w:sz w:val="22"/>
        </w:rPr>
      </w:pPr>
      <w:bookmarkStart w:name="_bookmark32" w:id="54"/>
      <w:bookmarkEnd w:id="54"/>
      <w:r>
        <w:rPr/>
      </w:r>
      <w:r>
        <w:rPr>
          <w:i/>
          <w:sz w:val="22"/>
        </w:rPr>
        <w:t>FIGURA 8. Analizador de bioimpedancia eléctrica, equipo Body- stat, modelo 15-MOD, firma </w:t>
      </w:r>
      <w:r>
        <w:rPr>
          <w:i/>
          <w:sz w:val="22"/>
        </w:rPr>
        <w:t>Bodystat EE.UU</w:t>
      </w:r>
    </w:p>
    <w:p>
      <w:pPr>
        <w:pStyle w:val="BodyText"/>
        <w:rPr>
          <w:i/>
          <w:sz w:val="22"/>
        </w:rPr>
      </w:pPr>
    </w:p>
    <w:p>
      <w:pPr>
        <w:pStyle w:val="Heading2"/>
        <w:numPr>
          <w:ilvl w:val="2"/>
          <w:numId w:val="4"/>
        </w:numPr>
        <w:tabs>
          <w:tab w:pos="816" w:val="left" w:leader="none"/>
        </w:tabs>
        <w:spacing w:line="240" w:lineRule="auto" w:before="128" w:after="0"/>
        <w:ind w:left="815" w:right="0" w:hanging="663"/>
        <w:jc w:val="left"/>
      </w:pPr>
      <w:bookmarkStart w:name="_bookmark33" w:id="55"/>
      <w:bookmarkEnd w:id="55"/>
      <w:r>
        <w:rPr>
          <w:b w:val="0"/>
        </w:rPr>
      </w:r>
      <w:bookmarkStart w:name="_bookmark33" w:id="56"/>
      <w:bookmarkEnd w:id="56"/>
      <w:r>
        <w:rPr/>
        <w:t>Dop</w:t>
      </w:r>
      <w:r>
        <w:rPr/>
        <w:t>pler</w:t>
      </w:r>
      <w:r>
        <w:rPr>
          <w:spacing w:val="-17"/>
        </w:rPr>
        <w:t> </w:t>
      </w:r>
      <w:r>
        <w:rPr/>
        <w:t>transesofágico</w:t>
      </w:r>
    </w:p>
    <w:p>
      <w:pPr>
        <w:pStyle w:val="BodyText"/>
        <w:rPr>
          <w:b/>
        </w:rPr>
      </w:pPr>
    </w:p>
    <w:p>
      <w:pPr>
        <w:pStyle w:val="BodyText"/>
        <w:spacing w:before="9"/>
        <w:rPr>
          <w:b/>
          <w:sz w:val="23"/>
        </w:rPr>
      </w:pPr>
    </w:p>
    <w:p>
      <w:pPr>
        <w:pStyle w:val="BodyText"/>
        <w:spacing w:line="360" w:lineRule="auto"/>
        <w:ind w:left="152" w:right="103" w:firstLine="710"/>
        <w:jc w:val="both"/>
      </w:pPr>
      <w:r>
        <w:rPr/>
        <w:t>El doopler transesofágico es una técnica que se basa en </w:t>
      </w:r>
      <w:r>
        <w:rPr>
          <w:spacing w:val="-3"/>
        </w:rPr>
        <w:t>la </w:t>
      </w:r>
      <w:r>
        <w:rPr/>
        <w:t>determinación de </w:t>
      </w:r>
      <w:r>
        <w:rPr>
          <w:spacing w:val="-3"/>
        </w:rPr>
        <w:t>la </w:t>
      </w:r>
      <w:r>
        <w:rPr/>
        <w:t>velocidad de </w:t>
      </w:r>
      <w:r>
        <w:rPr>
          <w:spacing w:val="-3"/>
        </w:rPr>
        <w:t>la </w:t>
      </w:r>
      <w:r>
        <w:rPr/>
        <w:t>sangre en </w:t>
      </w:r>
      <w:r>
        <w:rPr>
          <w:spacing w:val="-3"/>
        </w:rPr>
        <w:t>la </w:t>
      </w:r>
      <w:r>
        <w:rPr/>
        <w:t>aorta descendente y su sección cuando </w:t>
      </w:r>
      <w:r>
        <w:rPr>
          <w:spacing w:val="-5"/>
        </w:rPr>
        <w:t>la </w:t>
      </w:r>
      <w:r>
        <w:rPr/>
        <w:t>válvula aórtica se cierra. Para ello se emplea una sonda doppler en modo M colocada en el interior del  esófago (Matweus &amp; Singh, 2008). El doppler da una consecución de ondas según </w:t>
      </w:r>
      <w:r>
        <w:rPr>
          <w:spacing w:val="-3"/>
        </w:rPr>
        <w:t>la </w:t>
      </w:r>
      <w:r>
        <w:rPr/>
        <w:t>relación velocidad/tiempo a partir de las cuales se pueden obtener los siguientes parámetros (Borrallo &amp; Martínez,</w:t>
      </w:r>
      <w:r>
        <w:rPr>
          <w:spacing w:val="-11"/>
        </w:rPr>
        <w:t> </w:t>
      </w:r>
      <w:r>
        <w:rPr/>
        <w:t>2004)</w:t>
      </w:r>
    </w:p>
    <w:p>
      <w:pPr>
        <w:pStyle w:val="ListParagraph"/>
        <w:numPr>
          <w:ilvl w:val="3"/>
          <w:numId w:val="4"/>
        </w:numPr>
        <w:tabs>
          <w:tab w:pos="1210" w:val="left" w:leader="none"/>
        </w:tabs>
        <w:spacing w:line="362" w:lineRule="auto" w:before="4" w:after="0"/>
        <w:ind w:left="152" w:right="110" w:firstLine="769"/>
        <w:jc w:val="both"/>
        <w:rPr>
          <w:sz w:val="24"/>
        </w:rPr>
      </w:pPr>
      <w:r>
        <w:rPr>
          <w:sz w:val="24"/>
        </w:rPr>
        <w:t>Aceleración pico (AP). Es </w:t>
      </w:r>
      <w:r>
        <w:rPr>
          <w:spacing w:val="-3"/>
          <w:sz w:val="24"/>
        </w:rPr>
        <w:t>la </w:t>
      </w:r>
      <w:r>
        <w:rPr>
          <w:sz w:val="24"/>
        </w:rPr>
        <w:t>aceleración del </w:t>
      </w:r>
      <w:r>
        <w:rPr>
          <w:spacing w:val="-3"/>
          <w:sz w:val="24"/>
        </w:rPr>
        <w:t>flujo </w:t>
      </w:r>
      <w:r>
        <w:rPr>
          <w:sz w:val="24"/>
        </w:rPr>
        <w:t>sanguíneo en los primeros milisegundos de </w:t>
      </w:r>
      <w:r>
        <w:rPr>
          <w:spacing w:val="-5"/>
          <w:sz w:val="24"/>
        </w:rPr>
        <w:t>la </w:t>
      </w:r>
      <w:r>
        <w:rPr>
          <w:sz w:val="24"/>
        </w:rPr>
        <w:t>sístole. Permite estimar </w:t>
      </w:r>
      <w:r>
        <w:rPr>
          <w:spacing w:val="-5"/>
          <w:sz w:val="24"/>
        </w:rPr>
        <w:t>la</w:t>
      </w:r>
      <w:r>
        <w:rPr>
          <w:spacing w:val="-2"/>
          <w:sz w:val="24"/>
        </w:rPr>
        <w:t> </w:t>
      </w:r>
      <w:r>
        <w:rPr>
          <w:sz w:val="24"/>
        </w:rPr>
        <w:t>contractibilidad.</w:t>
      </w:r>
    </w:p>
    <w:p>
      <w:pPr>
        <w:pStyle w:val="ListParagraph"/>
        <w:numPr>
          <w:ilvl w:val="3"/>
          <w:numId w:val="4"/>
        </w:numPr>
        <w:tabs>
          <w:tab w:pos="1133" w:val="left" w:leader="none"/>
        </w:tabs>
        <w:spacing w:line="360" w:lineRule="auto" w:before="1" w:after="0"/>
        <w:ind w:left="152" w:right="115" w:firstLine="711"/>
        <w:jc w:val="both"/>
        <w:rPr>
          <w:sz w:val="24"/>
        </w:rPr>
      </w:pPr>
      <w:r>
        <w:rPr>
          <w:sz w:val="24"/>
        </w:rPr>
        <w:t>Velocidad pico (VP).Máxima velocidad del flujo durante </w:t>
      </w:r>
      <w:r>
        <w:rPr>
          <w:spacing w:val="-5"/>
          <w:sz w:val="24"/>
        </w:rPr>
        <w:t>la </w:t>
      </w:r>
      <w:r>
        <w:rPr>
          <w:sz w:val="24"/>
        </w:rPr>
        <w:t>diástole. También es un parámetro de contractibilidad. A mayor edad menor será </w:t>
      </w:r>
      <w:r>
        <w:rPr>
          <w:spacing w:val="-5"/>
          <w:sz w:val="24"/>
        </w:rPr>
        <w:t>la </w:t>
      </w:r>
      <w:r>
        <w:rPr>
          <w:sz w:val="24"/>
        </w:rPr>
        <w:t>VP. (Singer </w:t>
      </w:r>
      <w:r>
        <w:rPr>
          <w:i/>
          <w:sz w:val="24"/>
        </w:rPr>
        <w:t>et al.</w:t>
      </w:r>
      <w:r>
        <w:rPr>
          <w:sz w:val="24"/>
        </w:rPr>
        <w:t>,</w:t>
      </w:r>
      <w:r>
        <w:rPr>
          <w:spacing w:val="-3"/>
          <w:sz w:val="24"/>
        </w:rPr>
        <w:t> </w:t>
      </w:r>
      <w:r>
        <w:rPr>
          <w:sz w:val="24"/>
        </w:rPr>
        <w:t>1991).</w:t>
      </w:r>
    </w:p>
    <w:p>
      <w:pPr>
        <w:pStyle w:val="ListParagraph"/>
        <w:numPr>
          <w:ilvl w:val="3"/>
          <w:numId w:val="4"/>
        </w:numPr>
        <w:tabs>
          <w:tab w:pos="1157" w:val="left" w:leader="none"/>
        </w:tabs>
        <w:spacing w:line="362" w:lineRule="auto" w:before="4" w:after="0"/>
        <w:ind w:left="152" w:right="104" w:firstLine="711"/>
        <w:jc w:val="both"/>
        <w:rPr>
          <w:sz w:val="24"/>
        </w:rPr>
      </w:pPr>
      <w:r>
        <w:rPr>
          <w:sz w:val="24"/>
        </w:rPr>
        <w:t>Tiempo de eyección del ventrículo izquierdo. Tras ponderarse con </w:t>
      </w:r>
      <w:r>
        <w:rPr>
          <w:spacing w:val="-5"/>
          <w:sz w:val="24"/>
        </w:rPr>
        <w:t>la </w:t>
      </w:r>
      <w:r>
        <w:rPr>
          <w:sz w:val="24"/>
        </w:rPr>
        <w:t>FC nos informa de </w:t>
      </w:r>
      <w:r>
        <w:rPr>
          <w:spacing w:val="-3"/>
          <w:sz w:val="24"/>
        </w:rPr>
        <w:t>la </w:t>
      </w:r>
      <w:r>
        <w:rPr>
          <w:sz w:val="24"/>
        </w:rPr>
        <w:t>precarga. Cuanto </w:t>
      </w:r>
      <w:r>
        <w:rPr>
          <w:spacing w:val="-3"/>
          <w:sz w:val="24"/>
        </w:rPr>
        <w:t>mayor </w:t>
      </w:r>
      <w:r>
        <w:rPr>
          <w:sz w:val="24"/>
        </w:rPr>
        <w:t>sea menor </w:t>
      </w:r>
      <w:r>
        <w:rPr>
          <w:spacing w:val="-3"/>
          <w:sz w:val="24"/>
        </w:rPr>
        <w:t>es </w:t>
      </w:r>
      <w:r>
        <w:rPr>
          <w:spacing w:val="-5"/>
          <w:sz w:val="24"/>
        </w:rPr>
        <w:t>la </w:t>
      </w:r>
      <w:r>
        <w:rPr>
          <w:sz w:val="24"/>
        </w:rPr>
        <w:t>precarga. (Madan </w:t>
      </w:r>
      <w:r>
        <w:rPr>
          <w:i/>
          <w:sz w:val="24"/>
        </w:rPr>
        <w:t>et al.</w:t>
      </w:r>
      <w:r>
        <w:rPr>
          <w:sz w:val="24"/>
        </w:rPr>
        <w:t>,</w:t>
      </w:r>
      <w:r>
        <w:rPr>
          <w:spacing w:val="34"/>
          <w:sz w:val="24"/>
        </w:rPr>
        <w:t> </w:t>
      </w:r>
      <w:r>
        <w:rPr>
          <w:sz w:val="24"/>
        </w:rPr>
        <w:t>1999).</w:t>
      </w:r>
    </w:p>
    <w:p>
      <w:pPr>
        <w:spacing w:after="0" w:line="362" w:lineRule="auto"/>
        <w:jc w:val="both"/>
        <w:rPr>
          <w:sz w:val="24"/>
        </w:rPr>
        <w:sectPr>
          <w:pgSz w:w="12240" w:h="15840"/>
          <w:pgMar w:header="0" w:footer="1651" w:top="1500" w:bottom="1840" w:left="1720" w:right="1420"/>
        </w:sectPr>
      </w:pPr>
    </w:p>
    <w:p>
      <w:pPr>
        <w:pStyle w:val="BodyText"/>
        <w:spacing w:before="7"/>
        <w:rPr>
          <w:sz w:val="20"/>
        </w:rPr>
      </w:pPr>
    </w:p>
    <w:p>
      <w:pPr>
        <w:pStyle w:val="ListParagraph"/>
        <w:numPr>
          <w:ilvl w:val="3"/>
          <w:numId w:val="4"/>
        </w:numPr>
        <w:tabs>
          <w:tab w:pos="1142" w:val="left" w:leader="none"/>
        </w:tabs>
        <w:spacing w:line="360" w:lineRule="auto" w:before="69" w:after="0"/>
        <w:ind w:left="152" w:right="116" w:firstLine="711"/>
        <w:jc w:val="both"/>
        <w:rPr>
          <w:sz w:val="24"/>
        </w:rPr>
      </w:pPr>
      <w:r>
        <w:rPr>
          <w:sz w:val="24"/>
        </w:rPr>
        <w:t>Vasculares sistémicas. El monitor </w:t>
      </w:r>
      <w:r>
        <w:rPr>
          <w:spacing w:val="-5"/>
          <w:sz w:val="24"/>
        </w:rPr>
        <w:t>la </w:t>
      </w:r>
      <w:r>
        <w:rPr>
          <w:sz w:val="24"/>
        </w:rPr>
        <w:t>calcula a partir del GC calculado y el valor de PAM que se </w:t>
      </w:r>
      <w:r>
        <w:rPr>
          <w:spacing w:val="-5"/>
          <w:sz w:val="24"/>
        </w:rPr>
        <w:t>le</w:t>
      </w:r>
      <w:r>
        <w:rPr>
          <w:spacing w:val="2"/>
          <w:sz w:val="24"/>
        </w:rPr>
        <w:t> </w:t>
      </w:r>
      <w:r>
        <w:rPr>
          <w:sz w:val="24"/>
        </w:rPr>
        <w:t>introduce.</w:t>
      </w:r>
    </w:p>
    <w:p>
      <w:pPr>
        <w:pStyle w:val="ListParagraph"/>
        <w:numPr>
          <w:ilvl w:val="3"/>
          <w:numId w:val="4"/>
        </w:numPr>
        <w:tabs>
          <w:tab w:pos="1142" w:val="left" w:leader="none"/>
        </w:tabs>
        <w:spacing w:line="360" w:lineRule="auto" w:before="4" w:after="0"/>
        <w:ind w:left="152" w:right="105" w:firstLine="711"/>
        <w:jc w:val="both"/>
        <w:rPr>
          <w:sz w:val="24"/>
        </w:rPr>
      </w:pPr>
      <w:r>
        <w:rPr>
          <w:sz w:val="24"/>
        </w:rPr>
        <w:t>Gasto e Índice cardiaco. Esta técnica muestra correlación con </w:t>
      </w:r>
      <w:r>
        <w:rPr>
          <w:spacing w:val="-3"/>
          <w:sz w:val="24"/>
        </w:rPr>
        <w:t>la </w:t>
      </w:r>
      <w:r>
        <w:rPr>
          <w:sz w:val="24"/>
        </w:rPr>
        <w:t>termodilución (Ryan </w:t>
      </w:r>
      <w:r>
        <w:rPr>
          <w:i/>
          <w:sz w:val="24"/>
        </w:rPr>
        <w:t>et al</w:t>
      </w:r>
      <w:r>
        <w:rPr>
          <w:sz w:val="24"/>
        </w:rPr>
        <w:t>., 1992; Royse </w:t>
      </w:r>
      <w:r>
        <w:rPr>
          <w:i/>
          <w:sz w:val="24"/>
        </w:rPr>
        <w:t>et al</w:t>
      </w:r>
      <w:r>
        <w:rPr>
          <w:sz w:val="24"/>
        </w:rPr>
        <w:t>., 1999; Parra </w:t>
      </w:r>
      <w:r>
        <w:rPr>
          <w:i/>
          <w:spacing w:val="-3"/>
          <w:sz w:val="24"/>
        </w:rPr>
        <w:t>et </w:t>
      </w:r>
      <w:r>
        <w:rPr>
          <w:i/>
          <w:sz w:val="24"/>
        </w:rPr>
        <w:t>al.</w:t>
      </w:r>
      <w:r>
        <w:rPr>
          <w:sz w:val="24"/>
        </w:rPr>
        <w:t>, 2008). Sin embargo, su principal inconveniente es que necesariamente el haz de ultrasonidos debe estar orientado en </w:t>
      </w:r>
      <w:r>
        <w:rPr>
          <w:spacing w:val="-3"/>
          <w:sz w:val="24"/>
        </w:rPr>
        <w:t>la </w:t>
      </w:r>
      <w:r>
        <w:rPr>
          <w:sz w:val="24"/>
        </w:rPr>
        <w:t>dirección del flujo sanguíneo. Cualquier cambio en el ángulo de incidencia (θ) modificará el valor del flujo obtenido según </w:t>
      </w:r>
      <w:r>
        <w:rPr>
          <w:spacing w:val="-3"/>
          <w:sz w:val="24"/>
        </w:rPr>
        <w:t>la </w:t>
      </w:r>
      <w:r>
        <w:rPr>
          <w:sz w:val="24"/>
        </w:rPr>
        <w:t>ecuación doppler. Es por esto un método de medición que se </w:t>
      </w:r>
      <w:r>
        <w:rPr>
          <w:spacing w:val="-3"/>
          <w:sz w:val="24"/>
        </w:rPr>
        <w:t>ve </w:t>
      </w:r>
      <w:r>
        <w:rPr>
          <w:sz w:val="24"/>
        </w:rPr>
        <w:t>influenciado por </w:t>
      </w:r>
      <w:r>
        <w:rPr>
          <w:spacing w:val="-5"/>
          <w:sz w:val="24"/>
        </w:rPr>
        <w:t>la </w:t>
      </w:r>
      <w:r>
        <w:rPr>
          <w:sz w:val="24"/>
        </w:rPr>
        <w:t>pericia del técnico </w:t>
      </w:r>
      <w:r>
        <w:rPr>
          <w:spacing w:val="-3"/>
          <w:sz w:val="24"/>
        </w:rPr>
        <w:t>(Borrallo </w:t>
      </w:r>
      <w:r>
        <w:rPr>
          <w:sz w:val="24"/>
        </w:rPr>
        <w:t>&amp; Martínez,</w:t>
      </w:r>
      <w:r>
        <w:rPr>
          <w:spacing w:val="22"/>
          <w:sz w:val="24"/>
        </w:rPr>
        <w:t> </w:t>
      </w:r>
      <w:r>
        <w:rPr>
          <w:sz w:val="24"/>
        </w:rPr>
        <w:t>2004).</w:t>
      </w:r>
    </w:p>
    <w:p>
      <w:pPr>
        <w:pStyle w:val="BodyText"/>
      </w:pPr>
    </w:p>
    <w:p>
      <w:pPr>
        <w:pStyle w:val="Heading2"/>
        <w:numPr>
          <w:ilvl w:val="1"/>
          <w:numId w:val="5"/>
        </w:numPr>
        <w:tabs>
          <w:tab w:pos="638" w:val="left" w:leader="none"/>
        </w:tabs>
        <w:spacing w:line="240" w:lineRule="auto" w:before="145" w:after="0"/>
        <w:ind w:left="637" w:right="0" w:hanging="485"/>
        <w:jc w:val="left"/>
      </w:pPr>
      <w:bookmarkStart w:name="_bookmark34" w:id="57"/>
      <w:bookmarkEnd w:id="57"/>
      <w:r>
        <w:rPr>
          <w:b w:val="0"/>
        </w:rPr>
      </w:r>
      <w:bookmarkStart w:name="_bookmark34" w:id="58"/>
      <w:bookmarkEnd w:id="58"/>
      <w:r>
        <w:rPr/>
        <w:t>P</w:t>
      </w:r>
      <w:r>
        <w:rPr/>
        <w:t>arámetros</w:t>
      </w:r>
      <w:r>
        <w:rPr>
          <w:spacing w:val="-16"/>
        </w:rPr>
        <w:t> </w:t>
      </w:r>
      <w:r>
        <w:rPr/>
        <w:t>cardiovasculares</w:t>
      </w:r>
    </w:p>
    <w:p>
      <w:pPr>
        <w:pStyle w:val="ListParagraph"/>
        <w:numPr>
          <w:ilvl w:val="2"/>
          <w:numId w:val="5"/>
        </w:numPr>
        <w:tabs>
          <w:tab w:pos="816" w:val="left" w:leader="none"/>
        </w:tabs>
        <w:spacing w:line="240" w:lineRule="auto" w:before="137" w:after="0"/>
        <w:ind w:left="815" w:right="0" w:hanging="663"/>
        <w:jc w:val="left"/>
        <w:rPr>
          <w:b/>
          <w:sz w:val="24"/>
        </w:rPr>
      </w:pPr>
      <w:bookmarkStart w:name="_bookmark35" w:id="59"/>
      <w:bookmarkEnd w:id="59"/>
      <w:r>
        <w:rPr/>
      </w:r>
      <w:bookmarkStart w:name="_bookmark35" w:id="60"/>
      <w:bookmarkEnd w:id="60"/>
      <w:r>
        <w:rPr>
          <w:b/>
          <w:sz w:val="24"/>
        </w:rPr>
        <w:t>Í</w:t>
      </w:r>
      <w:r>
        <w:rPr>
          <w:b/>
          <w:sz w:val="24"/>
        </w:rPr>
        <w:t>ndice cardiaco</w:t>
      </w:r>
      <w:r>
        <w:rPr>
          <w:b/>
          <w:spacing w:val="-10"/>
          <w:sz w:val="24"/>
        </w:rPr>
        <w:t> </w:t>
      </w:r>
      <w:r>
        <w:rPr>
          <w:b/>
          <w:sz w:val="24"/>
        </w:rPr>
        <w:t>(CI)</w:t>
      </w:r>
    </w:p>
    <w:p>
      <w:pPr>
        <w:pStyle w:val="BodyText"/>
        <w:rPr>
          <w:b/>
        </w:rPr>
      </w:pPr>
    </w:p>
    <w:p>
      <w:pPr>
        <w:pStyle w:val="BodyText"/>
        <w:spacing w:before="9"/>
        <w:rPr>
          <w:b/>
          <w:sz w:val="23"/>
        </w:rPr>
      </w:pPr>
    </w:p>
    <w:p>
      <w:pPr>
        <w:pStyle w:val="BodyText"/>
        <w:spacing w:line="360" w:lineRule="auto"/>
        <w:ind w:left="152" w:right="113" w:firstLine="710"/>
        <w:jc w:val="both"/>
      </w:pPr>
      <w:r>
        <w:rPr/>
        <w:t>El Cl se ha utilizado para normalizar el amplio rango de gasto cardiaco obtenido en la población media, la superficie corporal total se obtiene mediante una fórmula compleja que incorpora la altura y el peso del paciente.</w:t>
      </w:r>
    </w:p>
    <w:p>
      <w:pPr>
        <w:pStyle w:val="BodyText"/>
        <w:spacing w:before="8"/>
        <w:ind w:left="863"/>
      </w:pPr>
      <w:r>
        <w:rPr/>
        <w:t>CI ═ CO/BSA</w:t>
      </w:r>
    </w:p>
    <w:p>
      <w:pPr>
        <w:pStyle w:val="BodyText"/>
        <w:spacing w:before="137"/>
        <w:ind w:left="863"/>
      </w:pPr>
      <w:r>
        <w:rPr/>
        <w:t>CO ═ Gasto cardiaco</w:t>
      </w:r>
    </w:p>
    <w:p>
      <w:pPr>
        <w:pStyle w:val="BodyText"/>
        <w:spacing w:before="137"/>
        <w:ind w:left="863"/>
        <w:rPr>
          <w:rFonts w:ascii="Calibri" w:hAnsi="Calibri"/>
          <w:sz w:val="21"/>
        </w:rPr>
      </w:pPr>
      <w:r>
        <w:rPr/>
        <w:t>BSA═ Superficie corporal en m</w:t>
      </w:r>
      <w:r>
        <w:rPr>
          <w:rFonts w:ascii="Calibri" w:hAnsi="Calibri"/>
          <w:position w:val="11"/>
          <w:sz w:val="21"/>
        </w:rPr>
        <w:t>₂</w:t>
      </w:r>
    </w:p>
    <w:p>
      <w:pPr>
        <w:pStyle w:val="BodyText"/>
        <w:spacing w:line="360" w:lineRule="auto" w:before="223"/>
        <w:ind w:left="152" w:right="101" w:firstLine="710"/>
        <w:jc w:val="both"/>
      </w:pPr>
      <w:r>
        <w:rPr/>
        <w:t>Este valor se utiliza para representar el tamaño o masa corporal y en teoría, también es </w:t>
      </w:r>
      <w:r>
        <w:rPr>
          <w:spacing w:val="-3"/>
        </w:rPr>
        <w:t>la </w:t>
      </w:r>
      <w:r>
        <w:rPr/>
        <w:t>cantidad del flujo sanguíneo necesaria para una perfusión global adecuada. En </w:t>
      </w:r>
      <w:r>
        <w:rPr>
          <w:spacing w:val="7"/>
        </w:rPr>
        <w:t>un </w:t>
      </w:r>
      <w:r>
        <w:rPr/>
        <w:t>estudio de (Reeves </w:t>
      </w:r>
      <w:r>
        <w:rPr>
          <w:i/>
        </w:rPr>
        <w:t>et al</w:t>
      </w:r>
      <w:r>
        <w:rPr/>
        <w:t>. 1961) sobre gasto cardiaco en voluntarios normales, afirmaron que el índice cardiaco constituye un indicador poco sensible </w:t>
      </w:r>
      <w:r>
        <w:rPr>
          <w:spacing w:val="2"/>
        </w:rPr>
        <w:t>del </w:t>
      </w:r>
      <w:r>
        <w:rPr>
          <w:spacing w:val="-3"/>
        </w:rPr>
        <w:t>flujo </w:t>
      </w:r>
      <w:r>
        <w:rPr/>
        <w:t>sanguíneo normal. Observaron una diferencia arteriovenosa de oxígeno relativamente constante a </w:t>
      </w:r>
      <w:r>
        <w:rPr>
          <w:spacing w:val="-5"/>
        </w:rPr>
        <w:t>lo </w:t>
      </w:r>
      <w:r>
        <w:rPr/>
        <w:t>largo de un rango de niveles de gasto cardiaco y captación de oxígeno. Este hallazgo se consideró un signo de </w:t>
      </w:r>
      <w:r>
        <w:rPr>
          <w:spacing w:val="-5"/>
        </w:rPr>
        <w:t>la </w:t>
      </w:r>
      <w:r>
        <w:rPr/>
        <w:t>autorregulación del gasto cardiaco. Sugiriendo que el gasto cardiaco </w:t>
      </w:r>
      <w:r>
        <w:rPr>
          <w:spacing w:val="-3"/>
        </w:rPr>
        <w:t>no </w:t>
      </w:r>
      <w:r>
        <w:rPr/>
        <w:t>considera las grandes variaciones de </w:t>
      </w:r>
      <w:r>
        <w:rPr>
          <w:spacing w:val="-3"/>
        </w:rPr>
        <w:t>la </w:t>
      </w:r>
      <w:r>
        <w:rPr/>
        <w:t>captación prevista basal de oxígeno debidas a diferencias de edad y sexo o </w:t>
      </w:r>
      <w:r>
        <w:rPr>
          <w:spacing w:val="-5"/>
        </w:rPr>
        <w:t>la </w:t>
      </w:r>
      <w:r>
        <w:rPr/>
        <w:t>variación interindividual del índice metabólico y que se basa en </w:t>
      </w:r>
      <w:r>
        <w:rPr>
          <w:spacing w:val="-3"/>
        </w:rPr>
        <w:t>la </w:t>
      </w:r>
      <w:r>
        <w:rPr/>
        <w:t>superficie corporal total, un dato biométrico </w:t>
      </w:r>
      <w:r>
        <w:rPr>
          <w:spacing w:val="-3"/>
        </w:rPr>
        <w:t>cuya </w:t>
      </w:r>
      <w:r>
        <w:rPr/>
        <w:t>relación fundamental con el </w:t>
      </w:r>
      <w:r>
        <w:rPr>
          <w:spacing w:val="-3"/>
        </w:rPr>
        <w:t>flujo </w:t>
      </w:r>
      <w:r>
        <w:rPr/>
        <w:t>sanguíneo  </w:t>
      </w:r>
      <w:r>
        <w:rPr>
          <w:spacing w:val="-3"/>
        </w:rPr>
        <w:t>no  </w:t>
      </w:r>
      <w:r>
        <w:rPr/>
        <w:t>está  clara.  Es  evidente  </w:t>
      </w:r>
      <w:r>
        <w:rPr>
          <w:spacing w:val="-5"/>
        </w:rPr>
        <w:t>la  </w:t>
      </w:r>
      <w:r>
        <w:rPr/>
        <w:t>importancia  de  conocer  el  hábito  corporal</w:t>
      </w:r>
      <w:r>
        <w:rPr>
          <w:spacing w:val="-5"/>
        </w:rPr>
        <w:t> </w:t>
      </w:r>
      <w:r>
        <w:rPr>
          <w:spacing w:val="2"/>
        </w:rPr>
        <w:t>del</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152" w:right="103"/>
        <w:jc w:val="both"/>
      </w:pPr>
      <w:r>
        <w:rPr/>
        <w:t>paciente y su historia clínica a la hora de interpretar y tratar cambios de la función cardíaca. Sin embargo, probablemente no esté justificado tomar arbitrariamente un valor normal del IC como indicador universal de buena función cardiovascular en todos los pacientes.</w:t>
      </w:r>
    </w:p>
    <w:p>
      <w:pPr>
        <w:pStyle w:val="BodyText"/>
      </w:pPr>
    </w:p>
    <w:p>
      <w:pPr>
        <w:pStyle w:val="Heading2"/>
        <w:numPr>
          <w:ilvl w:val="2"/>
          <w:numId w:val="5"/>
        </w:numPr>
        <w:tabs>
          <w:tab w:pos="816" w:val="left" w:leader="none"/>
        </w:tabs>
        <w:spacing w:line="240" w:lineRule="auto" w:before="150" w:after="0"/>
        <w:ind w:left="815" w:right="0" w:hanging="663"/>
        <w:jc w:val="both"/>
      </w:pPr>
      <w:bookmarkStart w:name="_bookmark36" w:id="61"/>
      <w:bookmarkEnd w:id="61"/>
      <w:r>
        <w:rPr>
          <w:b w:val="0"/>
        </w:rPr>
      </w:r>
      <w:bookmarkStart w:name="_bookmark36" w:id="62"/>
      <w:bookmarkEnd w:id="62"/>
      <w:r>
        <w:rPr/>
        <w:t>Í</w:t>
      </w:r>
      <w:r>
        <w:rPr/>
        <w:t>ndice del volumen</w:t>
      </w:r>
      <w:r>
        <w:rPr>
          <w:spacing w:val="-21"/>
        </w:rPr>
        <w:t> </w:t>
      </w:r>
      <w:r>
        <w:rPr/>
        <w:t>sistólico</w:t>
      </w:r>
    </w:p>
    <w:p>
      <w:pPr>
        <w:pStyle w:val="BodyText"/>
        <w:rPr>
          <w:b/>
        </w:rPr>
      </w:pPr>
    </w:p>
    <w:p>
      <w:pPr>
        <w:pStyle w:val="BodyText"/>
        <w:spacing w:before="4"/>
        <w:rPr>
          <w:b/>
          <w:sz w:val="23"/>
        </w:rPr>
      </w:pPr>
    </w:p>
    <w:p>
      <w:pPr>
        <w:pStyle w:val="BodyText"/>
        <w:spacing w:line="360" w:lineRule="auto"/>
        <w:ind w:left="152" w:right="108" w:firstLine="710"/>
        <w:jc w:val="both"/>
      </w:pPr>
      <w:r>
        <w:rPr/>
        <w:t>El segundo factor que determina el gasto cardiaco el índice del volumen sistólico cardiaco está determinado por el acortamiento de las fibras miocárdicas, el cual depende de la precarga la postcarga y la contractibilidad (Flacke JW. </w:t>
      </w:r>
      <w:r>
        <w:rPr>
          <w:i/>
        </w:rPr>
        <w:t>et al</w:t>
      </w:r>
      <w:r>
        <w:rPr/>
        <w:t>. 1990)</w:t>
      </w:r>
    </w:p>
    <w:p>
      <w:pPr>
        <w:pStyle w:val="BodyText"/>
      </w:pPr>
    </w:p>
    <w:p>
      <w:pPr>
        <w:pStyle w:val="Heading2"/>
        <w:numPr>
          <w:ilvl w:val="2"/>
          <w:numId w:val="5"/>
        </w:numPr>
        <w:tabs>
          <w:tab w:pos="816" w:val="left" w:leader="none"/>
        </w:tabs>
        <w:spacing w:line="240" w:lineRule="auto" w:before="145" w:after="0"/>
        <w:ind w:left="815" w:right="0" w:hanging="663"/>
        <w:jc w:val="both"/>
      </w:pPr>
      <w:bookmarkStart w:name="_bookmark37" w:id="63"/>
      <w:bookmarkEnd w:id="63"/>
      <w:r>
        <w:rPr>
          <w:b w:val="0"/>
        </w:rPr>
      </w:r>
      <w:bookmarkStart w:name="_bookmark37" w:id="64"/>
      <w:bookmarkEnd w:id="64"/>
      <w:r>
        <w:rPr>
          <w:position w:val="2"/>
        </w:rPr>
        <w:t>S</w:t>
      </w:r>
      <w:r>
        <w:rPr>
          <w:position w:val="2"/>
        </w:rPr>
        <w:t>aturación venosa de oxígeno</w:t>
      </w:r>
      <w:r>
        <w:rPr>
          <w:spacing w:val="-10"/>
          <w:position w:val="2"/>
        </w:rPr>
        <w:t> </w:t>
      </w:r>
      <w:r>
        <w:rPr>
          <w:position w:val="2"/>
        </w:rPr>
        <w:t>(S</w:t>
      </w:r>
      <w:r>
        <w:rPr>
          <w:sz w:val="16"/>
        </w:rPr>
        <w:t>v</w:t>
      </w:r>
      <w:r>
        <w:rPr>
          <w:position w:val="2"/>
        </w:rPr>
        <w:t>O</w:t>
      </w:r>
      <w:r>
        <w:rPr>
          <w:sz w:val="16"/>
        </w:rPr>
        <w:t>2</w:t>
      </w:r>
      <w:r>
        <w:rPr>
          <w:position w:val="2"/>
        </w:rPr>
        <w:t>)</w:t>
      </w:r>
    </w:p>
    <w:p>
      <w:pPr>
        <w:pStyle w:val="BodyText"/>
        <w:rPr>
          <w:b/>
        </w:rPr>
      </w:pPr>
    </w:p>
    <w:p>
      <w:pPr>
        <w:pStyle w:val="BodyText"/>
        <w:spacing w:before="7"/>
        <w:rPr>
          <w:b/>
          <w:sz w:val="23"/>
        </w:rPr>
      </w:pPr>
    </w:p>
    <w:p>
      <w:pPr>
        <w:pStyle w:val="BodyText"/>
        <w:spacing w:line="360" w:lineRule="auto"/>
        <w:ind w:left="152" w:right="100" w:firstLine="710"/>
        <w:jc w:val="both"/>
        <w:rPr>
          <w:sz w:val="16"/>
        </w:rPr>
      </w:pPr>
      <w:r>
        <w:rPr/>
        <w:t>Otro parámetro derivado del catéter de </w:t>
      </w:r>
      <w:r>
        <w:rPr>
          <w:spacing w:val="-5"/>
        </w:rPr>
        <w:t>la </w:t>
      </w:r>
      <w:r>
        <w:rPr/>
        <w:t>arteria pulmonar es </w:t>
      </w:r>
      <w:r>
        <w:rPr>
          <w:spacing w:val="-3"/>
        </w:rPr>
        <w:t>la </w:t>
      </w:r>
      <w:r>
        <w:rPr/>
        <w:t>saturación venosa  </w:t>
      </w:r>
      <w:r>
        <w:rPr>
          <w:position w:val="2"/>
        </w:rPr>
        <w:t>de oxígeno (SvO</w:t>
      </w:r>
      <w:r>
        <w:rPr>
          <w:sz w:val="16"/>
        </w:rPr>
        <w:t>2</w:t>
      </w:r>
      <w:r>
        <w:rPr>
          <w:position w:val="2"/>
        </w:rPr>
        <w:t>). El conocimiento de </w:t>
      </w:r>
      <w:r>
        <w:rPr>
          <w:spacing w:val="-5"/>
          <w:position w:val="2"/>
        </w:rPr>
        <w:t>la </w:t>
      </w:r>
      <w:r>
        <w:rPr>
          <w:position w:val="2"/>
        </w:rPr>
        <w:t>importancia de </w:t>
      </w:r>
      <w:r>
        <w:rPr>
          <w:spacing w:val="-3"/>
          <w:position w:val="2"/>
        </w:rPr>
        <w:t>la </w:t>
      </w:r>
      <w:r>
        <w:rPr>
          <w:position w:val="2"/>
        </w:rPr>
        <w:t>S</w:t>
      </w:r>
      <w:r>
        <w:rPr>
          <w:sz w:val="16"/>
        </w:rPr>
        <w:t>v</w:t>
      </w:r>
      <w:r>
        <w:rPr>
          <w:position w:val="2"/>
        </w:rPr>
        <w:t>O</w:t>
      </w:r>
      <w:r>
        <w:rPr>
          <w:sz w:val="16"/>
        </w:rPr>
        <w:t>2 </w:t>
      </w:r>
      <w:r>
        <w:rPr>
          <w:position w:val="2"/>
        </w:rPr>
        <w:t>se origina en los inicios  </w:t>
      </w:r>
      <w:r>
        <w:rPr/>
        <w:t>de </w:t>
      </w:r>
      <w:r>
        <w:rPr>
          <w:spacing w:val="-5"/>
        </w:rPr>
        <w:t>la </w:t>
      </w:r>
      <w:r>
        <w:rPr/>
        <w:t>historia de </w:t>
      </w:r>
      <w:r>
        <w:rPr>
          <w:spacing w:val="-3"/>
        </w:rPr>
        <w:t>la </w:t>
      </w:r>
      <w:r>
        <w:rPr/>
        <w:t>medicina, habiendo observado </w:t>
      </w:r>
      <w:r>
        <w:rPr>
          <w:spacing w:val="-5"/>
        </w:rPr>
        <w:t>ya </w:t>
      </w:r>
      <w:r>
        <w:rPr/>
        <w:t>Hipócrates que </w:t>
      </w:r>
      <w:r>
        <w:rPr>
          <w:spacing w:val="-5"/>
        </w:rPr>
        <w:t>la </w:t>
      </w:r>
      <w:r>
        <w:rPr/>
        <w:t>presencia de venas </w:t>
      </w:r>
      <w:r>
        <w:rPr>
          <w:position w:val="2"/>
        </w:rPr>
        <w:t>oscuras indicaba </w:t>
      </w:r>
      <w:r>
        <w:rPr>
          <w:spacing w:val="-3"/>
          <w:position w:val="2"/>
        </w:rPr>
        <w:t>mal </w:t>
      </w:r>
      <w:r>
        <w:rPr>
          <w:position w:val="2"/>
        </w:rPr>
        <w:t>pronóstico (Major </w:t>
      </w:r>
      <w:r>
        <w:rPr>
          <w:spacing w:val="-3"/>
          <w:position w:val="2"/>
        </w:rPr>
        <w:t>Rh. </w:t>
      </w:r>
      <w:r>
        <w:rPr>
          <w:i/>
          <w:position w:val="2"/>
        </w:rPr>
        <w:t>et al</w:t>
      </w:r>
      <w:r>
        <w:rPr>
          <w:position w:val="2"/>
        </w:rPr>
        <w:t>., 1965). La S</w:t>
      </w:r>
      <w:r>
        <w:rPr>
          <w:sz w:val="16"/>
        </w:rPr>
        <w:t>v</w:t>
      </w:r>
      <w:r>
        <w:rPr>
          <w:position w:val="2"/>
        </w:rPr>
        <w:t>O</w:t>
      </w:r>
      <w:r>
        <w:rPr>
          <w:sz w:val="16"/>
        </w:rPr>
        <w:t>2 </w:t>
      </w:r>
      <w:r>
        <w:rPr>
          <w:position w:val="2"/>
        </w:rPr>
        <w:t>constituye  </w:t>
      </w:r>
      <w:r>
        <w:rPr/>
        <w:t>probablemente un valor de </w:t>
      </w:r>
      <w:r>
        <w:rPr>
          <w:spacing w:val="-3"/>
        </w:rPr>
        <w:t>mayor </w:t>
      </w:r>
      <w:r>
        <w:rPr/>
        <w:t>importancia sobre </w:t>
      </w:r>
      <w:r>
        <w:rPr>
          <w:spacing w:val="-5"/>
        </w:rPr>
        <w:t>la </w:t>
      </w:r>
      <w:r>
        <w:rPr/>
        <w:t>función cardiaco que el propio gasto cardiaco, puesto que refleja si este satisface las necesidades metabólicas tisulares. Sin </w:t>
      </w:r>
      <w:r>
        <w:rPr>
          <w:position w:val="2"/>
        </w:rPr>
        <w:t>embargo en el S</w:t>
      </w:r>
      <w:r>
        <w:rPr>
          <w:sz w:val="16"/>
        </w:rPr>
        <w:t>v</w:t>
      </w:r>
      <w:r>
        <w:rPr>
          <w:position w:val="2"/>
        </w:rPr>
        <w:t>O</w:t>
      </w:r>
      <w:r>
        <w:rPr>
          <w:sz w:val="16"/>
        </w:rPr>
        <w:t>2</w:t>
      </w:r>
      <w:r>
        <w:rPr>
          <w:position w:val="2"/>
        </w:rPr>
        <w:t>, influyen otros factores importantes que deben tenerse en cuenta </w:t>
      </w:r>
      <w:r>
        <w:rPr>
          <w:spacing w:val="4"/>
          <w:position w:val="2"/>
        </w:rPr>
        <w:t>al </w:t>
      </w:r>
      <w:r>
        <w:rPr/>
        <w:t>interpretar este parámetro. Estos factores pueden comprenderse fácilmente a partir de </w:t>
      </w:r>
      <w:r>
        <w:rPr>
          <w:spacing w:val="-3"/>
        </w:rPr>
        <w:t>la </w:t>
      </w:r>
      <w:r>
        <w:rPr>
          <w:position w:val="2"/>
        </w:rPr>
        <w:t>fórmula de </w:t>
      </w:r>
      <w:r>
        <w:rPr>
          <w:spacing w:val="-3"/>
          <w:position w:val="2"/>
        </w:rPr>
        <w:t>la </w:t>
      </w:r>
      <w:r>
        <w:rPr>
          <w:position w:val="2"/>
        </w:rPr>
        <w:t>S</w:t>
      </w:r>
      <w:r>
        <w:rPr>
          <w:sz w:val="16"/>
        </w:rPr>
        <w:t>v</w:t>
      </w:r>
      <w:r>
        <w:rPr>
          <w:position w:val="2"/>
        </w:rPr>
        <w:t>O</w:t>
      </w:r>
      <w:r>
        <w:rPr>
          <w:sz w:val="16"/>
        </w:rPr>
        <w:t>2.</w:t>
      </w:r>
    </w:p>
    <w:p>
      <w:pPr>
        <w:spacing w:before="0"/>
        <w:ind w:left="2366" w:right="0" w:firstLine="0"/>
        <w:jc w:val="left"/>
        <w:rPr>
          <w:sz w:val="24"/>
        </w:rPr>
      </w:pPr>
      <w:r>
        <w:rPr>
          <w:position w:val="2"/>
          <w:sz w:val="24"/>
        </w:rPr>
        <w:t>S</w:t>
      </w:r>
      <w:r>
        <w:rPr>
          <w:sz w:val="16"/>
        </w:rPr>
        <w:t>v</w:t>
      </w:r>
      <w:r>
        <w:rPr>
          <w:position w:val="2"/>
          <w:sz w:val="24"/>
        </w:rPr>
        <w:t>O</w:t>
      </w:r>
      <w:r>
        <w:rPr>
          <w:sz w:val="16"/>
        </w:rPr>
        <w:t>2 ═ </w:t>
      </w:r>
      <w:r>
        <w:rPr>
          <w:position w:val="2"/>
          <w:sz w:val="24"/>
        </w:rPr>
        <w:t>S</w:t>
      </w:r>
      <w:r>
        <w:rPr>
          <w:sz w:val="16"/>
        </w:rPr>
        <w:t>a</w:t>
      </w:r>
      <w:r>
        <w:rPr>
          <w:position w:val="2"/>
          <w:sz w:val="24"/>
        </w:rPr>
        <w:t>O</w:t>
      </w:r>
      <w:r>
        <w:rPr>
          <w:sz w:val="16"/>
        </w:rPr>
        <w:t>2 – </w:t>
      </w:r>
      <w:r>
        <w:rPr>
          <w:position w:val="2"/>
          <w:sz w:val="24"/>
        </w:rPr>
        <w:t>VO</w:t>
      </w:r>
      <w:r>
        <w:rPr>
          <w:sz w:val="16"/>
        </w:rPr>
        <w:t>2 </w:t>
      </w:r>
      <w:r>
        <w:rPr>
          <w:position w:val="2"/>
          <w:sz w:val="24"/>
        </w:rPr>
        <w:t>/GC x 1.34 Hb</w:t>
      </w:r>
    </w:p>
    <w:p>
      <w:pPr>
        <w:pStyle w:val="BodyText"/>
        <w:spacing w:line="360" w:lineRule="auto" w:before="134"/>
        <w:ind w:left="152" w:right="101" w:firstLine="710"/>
        <w:jc w:val="both"/>
      </w:pPr>
      <w:r>
        <w:rPr>
          <w:position w:val="2"/>
        </w:rPr>
        <w:t>Así S</w:t>
      </w:r>
      <w:r>
        <w:rPr>
          <w:sz w:val="16"/>
        </w:rPr>
        <w:t>v</w:t>
      </w:r>
      <w:r>
        <w:rPr>
          <w:position w:val="2"/>
        </w:rPr>
        <w:t>O</w:t>
      </w:r>
      <w:r>
        <w:rPr>
          <w:sz w:val="16"/>
        </w:rPr>
        <w:t>2 </w:t>
      </w:r>
      <w:r>
        <w:rPr>
          <w:position w:val="2"/>
        </w:rPr>
        <w:t>es función de 1) el nivel de saturación arterial de oxígeno, SaO</w:t>
      </w:r>
      <w:r>
        <w:rPr>
          <w:sz w:val="16"/>
        </w:rPr>
        <w:t>2</w:t>
      </w:r>
      <w:r>
        <w:rPr>
          <w:position w:val="2"/>
        </w:rPr>
        <w:t>; 2) el índice </w:t>
      </w:r>
      <w:r>
        <w:rPr>
          <w:spacing w:val="2"/>
          <w:position w:val="2"/>
        </w:rPr>
        <w:t>del </w:t>
      </w:r>
      <w:r>
        <w:rPr>
          <w:position w:val="2"/>
        </w:rPr>
        <w:t>consumo de oxígeno, VO</w:t>
      </w:r>
      <w:r>
        <w:rPr>
          <w:sz w:val="16"/>
        </w:rPr>
        <w:t>2</w:t>
      </w:r>
      <w:r>
        <w:rPr>
          <w:position w:val="2"/>
        </w:rPr>
        <w:t>; 3) el gasto cardiaco GC, y 4) </w:t>
      </w:r>
      <w:r>
        <w:rPr>
          <w:spacing w:val="-3"/>
          <w:position w:val="2"/>
        </w:rPr>
        <w:t>la </w:t>
      </w:r>
      <w:r>
        <w:rPr>
          <w:position w:val="2"/>
        </w:rPr>
        <w:t>concentración de hemoglobina (Hb). </w:t>
      </w:r>
      <w:r>
        <w:rPr>
          <w:spacing w:val="2"/>
          <w:position w:val="2"/>
        </w:rPr>
        <w:t>En </w:t>
      </w:r>
      <w:r>
        <w:rPr>
          <w:position w:val="2"/>
        </w:rPr>
        <w:t>1959 se demostró </w:t>
      </w:r>
      <w:r>
        <w:rPr>
          <w:spacing w:val="-5"/>
          <w:position w:val="2"/>
        </w:rPr>
        <w:t>la </w:t>
      </w:r>
      <w:r>
        <w:rPr>
          <w:position w:val="2"/>
        </w:rPr>
        <w:t>correlación entre </w:t>
      </w:r>
      <w:r>
        <w:rPr>
          <w:spacing w:val="-5"/>
          <w:position w:val="2"/>
        </w:rPr>
        <w:t>la </w:t>
      </w:r>
      <w:r>
        <w:rPr>
          <w:position w:val="2"/>
        </w:rPr>
        <w:t>S</w:t>
      </w:r>
      <w:r>
        <w:rPr>
          <w:sz w:val="16"/>
        </w:rPr>
        <w:t>v</w:t>
      </w:r>
      <w:r>
        <w:rPr>
          <w:position w:val="2"/>
        </w:rPr>
        <w:t>O</w:t>
      </w:r>
      <w:r>
        <w:rPr>
          <w:sz w:val="16"/>
        </w:rPr>
        <w:t>2 </w:t>
      </w:r>
      <w:r>
        <w:rPr>
          <w:position w:val="2"/>
        </w:rPr>
        <w:t>y </w:t>
      </w:r>
      <w:r>
        <w:rPr>
          <w:spacing w:val="-3"/>
          <w:position w:val="2"/>
        </w:rPr>
        <w:t>la </w:t>
      </w:r>
      <w:r>
        <w:rPr>
          <w:position w:val="2"/>
        </w:rPr>
        <w:t>función cardiaca y estudios sobre S</w:t>
      </w:r>
      <w:r>
        <w:rPr>
          <w:sz w:val="16"/>
        </w:rPr>
        <w:t>v</w:t>
      </w:r>
      <w:r>
        <w:rPr>
          <w:position w:val="2"/>
        </w:rPr>
        <w:t>O</w:t>
      </w:r>
      <w:r>
        <w:rPr>
          <w:sz w:val="16"/>
        </w:rPr>
        <w:t>2 </w:t>
      </w:r>
      <w:r>
        <w:rPr>
          <w:position w:val="2"/>
        </w:rPr>
        <w:t>realizados en pacientes críticos en 1962 demostraron que este </w:t>
      </w:r>
      <w:r>
        <w:rPr/>
        <w:t>parámetro es un signo precoz de suficiencia o fracaso hemodinámico (McArthur KT. </w:t>
      </w:r>
      <w:r>
        <w:rPr>
          <w:i/>
        </w:rPr>
        <w:t>et al</w:t>
      </w:r>
      <w:r>
        <w:rPr/>
        <w:t>., 1962). Diversos avances en técnicas de oximetría fotométrica de reflexión han permitido incorporar  esta tecnología  al  interior  de  un CAP  posibilitando  así  </w:t>
      </w:r>
      <w:r>
        <w:rPr>
          <w:spacing w:val="-3"/>
        </w:rPr>
        <w:t>la  </w:t>
      </w:r>
      <w:r>
        <w:rPr/>
        <w:t>determinación </w:t>
      </w:r>
      <w:r>
        <w:rPr>
          <w:spacing w:val="25"/>
        </w:rPr>
        <w:t> </w:t>
      </w:r>
      <w:r>
        <w:rPr/>
        <w:t>de</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57" w:lineRule="auto" w:before="69"/>
        <w:ind w:left="152" w:right="103"/>
        <w:jc w:val="both"/>
      </w:pPr>
      <w:r>
        <w:rPr>
          <w:position w:val="2"/>
        </w:rPr>
        <w:t>S</w:t>
      </w:r>
      <w:r>
        <w:rPr>
          <w:sz w:val="16"/>
        </w:rPr>
        <w:t>v</w:t>
      </w:r>
      <w:r>
        <w:rPr>
          <w:position w:val="2"/>
        </w:rPr>
        <w:t>O</w:t>
      </w:r>
      <w:r>
        <w:rPr>
          <w:sz w:val="16"/>
        </w:rPr>
        <w:t>2.</w:t>
      </w:r>
      <w:r>
        <w:rPr>
          <w:position w:val="2"/>
        </w:rPr>
        <w:t>Una ventaja de este método consiste en permitir </w:t>
      </w:r>
      <w:r>
        <w:rPr>
          <w:spacing w:val="-3"/>
          <w:position w:val="2"/>
        </w:rPr>
        <w:t>la </w:t>
      </w:r>
      <w:r>
        <w:rPr>
          <w:position w:val="2"/>
        </w:rPr>
        <w:t>valoración continua de </w:t>
      </w:r>
      <w:r>
        <w:rPr>
          <w:spacing w:val="-3"/>
          <w:position w:val="2"/>
        </w:rPr>
        <w:t>la </w:t>
      </w:r>
      <w:r>
        <w:rPr>
          <w:position w:val="2"/>
        </w:rPr>
        <w:t>función cardiaca. La principal utilidad de monitorizar </w:t>
      </w:r>
      <w:r>
        <w:rPr>
          <w:spacing w:val="-3"/>
          <w:position w:val="2"/>
        </w:rPr>
        <w:t>la </w:t>
      </w:r>
      <w:r>
        <w:rPr>
          <w:position w:val="2"/>
        </w:rPr>
        <w:t>S</w:t>
      </w:r>
      <w:r>
        <w:rPr>
          <w:sz w:val="16"/>
        </w:rPr>
        <w:t>v</w:t>
      </w:r>
      <w:r>
        <w:rPr>
          <w:position w:val="2"/>
        </w:rPr>
        <w:t>O</w:t>
      </w:r>
      <w:r>
        <w:rPr>
          <w:sz w:val="16"/>
        </w:rPr>
        <w:t>2 </w:t>
      </w:r>
      <w:r>
        <w:rPr>
          <w:position w:val="2"/>
        </w:rPr>
        <w:t>permita una valoración cuantitativa </w:t>
      </w:r>
      <w:r>
        <w:rPr/>
        <w:t>inmediata de </w:t>
      </w:r>
      <w:r>
        <w:rPr>
          <w:spacing w:val="-3"/>
        </w:rPr>
        <w:t>la </w:t>
      </w:r>
      <w:r>
        <w:rPr/>
        <w:t>influencia de un fenómeno fisiológico a una intervención sobre el aparato cardiovascular y representa fielmente una balanza del equilibrio entre el aporte y </w:t>
      </w:r>
      <w:r>
        <w:rPr>
          <w:spacing w:val="-3"/>
        </w:rPr>
        <w:t>la </w:t>
      </w:r>
      <w:r>
        <w:rPr/>
        <w:t>demanda oxígeno siendo los valores normales entre 65-80%. Las desviaciones reflejan </w:t>
      </w:r>
      <w:r>
        <w:rPr>
          <w:position w:val="2"/>
        </w:rPr>
        <w:t>alteraciones del aporte (SaO</w:t>
      </w:r>
      <w:r>
        <w:rPr>
          <w:sz w:val="16"/>
        </w:rPr>
        <w:t>2</w:t>
      </w:r>
      <w:r>
        <w:rPr>
          <w:position w:val="2"/>
        </w:rPr>
        <w:t>, GC, Hb) o del consumo de oxígeno (VO</w:t>
      </w:r>
      <w:r>
        <w:rPr>
          <w:sz w:val="16"/>
        </w:rPr>
        <w:t>2</w:t>
      </w:r>
      <w:r>
        <w:rPr>
          <w:position w:val="2"/>
        </w:rPr>
        <w:t>), por </w:t>
      </w:r>
      <w:r>
        <w:rPr>
          <w:spacing w:val="-5"/>
          <w:position w:val="2"/>
        </w:rPr>
        <w:t>lo </w:t>
      </w:r>
      <w:r>
        <w:rPr>
          <w:position w:val="2"/>
        </w:rPr>
        <w:t>tanto un </w:t>
      </w:r>
      <w:r>
        <w:rPr/>
        <w:t>descenso en </w:t>
      </w:r>
      <w:r>
        <w:rPr>
          <w:spacing w:val="-3"/>
        </w:rPr>
        <w:t>la </w:t>
      </w:r>
      <w:r>
        <w:rPr/>
        <w:t>saturación de sangre venosa mixta puede indicar una serie de</w:t>
      </w:r>
      <w:r>
        <w:rPr>
          <w:spacing w:val="-23"/>
        </w:rPr>
        <w:t> </w:t>
      </w:r>
      <w:r>
        <w:rPr/>
        <w:t>situaciones.</w:t>
      </w:r>
    </w:p>
    <w:p>
      <w:pPr>
        <w:pStyle w:val="ListParagraph"/>
        <w:numPr>
          <w:ilvl w:val="3"/>
          <w:numId w:val="5"/>
        </w:numPr>
        <w:tabs>
          <w:tab w:pos="1128" w:val="left" w:leader="none"/>
        </w:tabs>
        <w:spacing w:line="240" w:lineRule="auto" w:before="11" w:after="0"/>
        <w:ind w:left="152" w:right="0" w:firstLine="711"/>
        <w:jc w:val="left"/>
        <w:rPr>
          <w:sz w:val="24"/>
        </w:rPr>
      </w:pPr>
      <w:r>
        <w:rPr>
          <w:sz w:val="24"/>
        </w:rPr>
        <w:t>Descenso del gasto</w:t>
      </w:r>
      <w:r>
        <w:rPr>
          <w:spacing w:val="-12"/>
          <w:sz w:val="24"/>
        </w:rPr>
        <w:t> </w:t>
      </w:r>
      <w:r>
        <w:rPr>
          <w:sz w:val="24"/>
        </w:rPr>
        <w:t>cardíaco.</w:t>
      </w:r>
    </w:p>
    <w:p>
      <w:pPr>
        <w:pStyle w:val="ListParagraph"/>
        <w:numPr>
          <w:ilvl w:val="3"/>
          <w:numId w:val="5"/>
        </w:numPr>
        <w:tabs>
          <w:tab w:pos="1127" w:val="left" w:leader="none"/>
        </w:tabs>
        <w:spacing w:line="240" w:lineRule="auto" w:before="137" w:after="0"/>
        <w:ind w:left="1126" w:right="0" w:hanging="263"/>
        <w:jc w:val="left"/>
        <w:rPr>
          <w:sz w:val="24"/>
        </w:rPr>
      </w:pPr>
      <w:r>
        <w:rPr>
          <w:sz w:val="24"/>
        </w:rPr>
        <w:t>Descenso del contenido arterial de</w:t>
      </w:r>
      <w:r>
        <w:rPr>
          <w:spacing w:val="-17"/>
          <w:sz w:val="24"/>
        </w:rPr>
        <w:t> </w:t>
      </w:r>
      <w:r>
        <w:rPr>
          <w:sz w:val="24"/>
        </w:rPr>
        <w:t>oxígeno.</w:t>
      </w:r>
    </w:p>
    <w:p>
      <w:pPr>
        <w:pStyle w:val="ListParagraph"/>
        <w:numPr>
          <w:ilvl w:val="3"/>
          <w:numId w:val="5"/>
        </w:numPr>
        <w:tabs>
          <w:tab w:pos="1127" w:val="left" w:leader="none"/>
        </w:tabs>
        <w:spacing w:line="240" w:lineRule="auto" w:before="137" w:after="0"/>
        <w:ind w:left="1126" w:right="0" w:hanging="263"/>
        <w:jc w:val="left"/>
        <w:rPr>
          <w:sz w:val="24"/>
        </w:rPr>
      </w:pPr>
      <w:r>
        <w:rPr>
          <w:sz w:val="24"/>
        </w:rPr>
        <w:t>Aumento del consumo de</w:t>
      </w:r>
      <w:r>
        <w:rPr>
          <w:spacing w:val="-15"/>
          <w:sz w:val="24"/>
        </w:rPr>
        <w:t> </w:t>
      </w:r>
      <w:r>
        <w:rPr>
          <w:sz w:val="24"/>
        </w:rPr>
        <w:t>oxígeno.</w:t>
      </w:r>
    </w:p>
    <w:p>
      <w:pPr>
        <w:pStyle w:val="ListParagraph"/>
        <w:numPr>
          <w:ilvl w:val="3"/>
          <w:numId w:val="5"/>
        </w:numPr>
        <w:tabs>
          <w:tab w:pos="1257" w:val="left" w:leader="none"/>
        </w:tabs>
        <w:spacing w:line="362" w:lineRule="auto" w:before="137" w:after="0"/>
        <w:ind w:left="152" w:right="111" w:firstLine="711"/>
        <w:jc w:val="both"/>
        <w:rPr>
          <w:sz w:val="24"/>
        </w:rPr>
      </w:pPr>
      <w:r>
        <w:rPr>
          <w:sz w:val="24"/>
        </w:rPr>
        <w:t>Descenso de </w:t>
      </w:r>
      <w:r>
        <w:rPr>
          <w:spacing w:val="-3"/>
          <w:sz w:val="24"/>
        </w:rPr>
        <w:t>la </w:t>
      </w:r>
      <w:r>
        <w:rPr>
          <w:sz w:val="24"/>
        </w:rPr>
        <w:t>capacidad del transporte de oxígeno (disminución de hemoglobina).</w:t>
      </w:r>
    </w:p>
    <w:p>
      <w:pPr>
        <w:pStyle w:val="BodyText"/>
        <w:spacing w:line="357" w:lineRule="auto" w:before="1"/>
        <w:ind w:left="152" w:right="104" w:firstLine="710"/>
        <w:jc w:val="both"/>
      </w:pPr>
      <w:r>
        <w:rPr/>
        <w:t>Mientras que si permanece invariable el consumo de oxígeno y el contenido arterial </w:t>
      </w:r>
      <w:r>
        <w:rPr>
          <w:position w:val="2"/>
        </w:rPr>
        <w:t>del mismo, los cambios de la SvO</w:t>
      </w:r>
      <w:r>
        <w:rPr>
          <w:sz w:val="16"/>
        </w:rPr>
        <w:t>2 </w:t>
      </w:r>
      <w:r>
        <w:rPr>
          <w:position w:val="2"/>
        </w:rPr>
        <w:t>equivalen a cambios del GC.</w:t>
      </w:r>
    </w:p>
    <w:p>
      <w:pPr>
        <w:pStyle w:val="BodyText"/>
        <w:spacing w:line="360" w:lineRule="auto" w:before="3"/>
        <w:ind w:left="152" w:right="106" w:firstLine="710"/>
        <w:jc w:val="both"/>
      </w:pPr>
      <w:r>
        <w:rPr/>
        <w:t>La desventaja de esta forma de monitorización se refleja en </w:t>
      </w:r>
      <w:r>
        <w:rPr>
          <w:spacing w:val="-3"/>
        </w:rPr>
        <w:t>la </w:t>
      </w:r>
      <w:r>
        <w:rPr/>
        <w:t>ecuación antes mencionada y esto se debe al hecho de que múltiples parámetros independientes tengan </w:t>
      </w:r>
      <w:r>
        <w:rPr>
          <w:position w:val="2"/>
        </w:rPr>
        <w:t>influencia en </w:t>
      </w:r>
      <w:r>
        <w:rPr>
          <w:spacing w:val="-3"/>
          <w:position w:val="2"/>
        </w:rPr>
        <w:t>la </w:t>
      </w:r>
      <w:r>
        <w:rPr>
          <w:position w:val="2"/>
        </w:rPr>
        <w:t>determinación de S</w:t>
      </w:r>
      <w:r>
        <w:rPr>
          <w:sz w:val="16"/>
        </w:rPr>
        <w:t>v</w:t>
      </w:r>
      <w:r>
        <w:rPr>
          <w:position w:val="2"/>
        </w:rPr>
        <w:t>O</w:t>
      </w:r>
      <w:r>
        <w:rPr>
          <w:sz w:val="16"/>
        </w:rPr>
        <w:t>2. </w:t>
      </w:r>
      <w:r>
        <w:rPr>
          <w:position w:val="2"/>
        </w:rPr>
        <w:t>Cambios rápidos del nivel de hemoglobina, </w:t>
      </w:r>
      <w:r>
        <w:rPr>
          <w:spacing w:val="-3"/>
          <w:position w:val="2"/>
        </w:rPr>
        <w:t>la </w:t>
      </w:r>
      <w:r>
        <w:rPr>
          <w:position w:val="2"/>
        </w:rPr>
        <w:t>oxigenación arterial o el consumo de oxígeno disocia rápidamente </w:t>
      </w:r>
      <w:r>
        <w:rPr>
          <w:spacing w:val="-5"/>
          <w:position w:val="2"/>
        </w:rPr>
        <w:t>la </w:t>
      </w:r>
      <w:r>
        <w:rPr>
          <w:position w:val="2"/>
        </w:rPr>
        <w:t>S</w:t>
      </w:r>
      <w:r>
        <w:rPr>
          <w:sz w:val="16"/>
        </w:rPr>
        <w:t>v</w:t>
      </w:r>
      <w:r>
        <w:rPr>
          <w:position w:val="2"/>
        </w:rPr>
        <w:t>O</w:t>
      </w:r>
      <w:r>
        <w:rPr>
          <w:sz w:val="16"/>
        </w:rPr>
        <w:t>2 </w:t>
      </w:r>
      <w:r>
        <w:rPr>
          <w:position w:val="2"/>
        </w:rPr>
        <w:t>del parámetro </w:t>
      </w:r>
      <w:r>
        <w:rPr/>
        <w:t>con el que se </w:t>
      </w:r>
      <w:r>
        <w:rPr>
          <w:spacing w:val="-3"/>
        </w:rPr>
        <w:t>le </w:t>
      </w:r>
      <w:r>
        <w:rPr/>
        <w:t>compara con mayor frecuencia es decir el </w:t>
      </w:r>
      <w:r>
        <w:rPr>
          <w:spacing w:val="2"/>
        </w:rPr>
        <w:t>gasto </w:t>
      </w:r>
      <w:r>
        <w:rPr/>
        <w:t>cardiaco. En el choque séptico en presencia de derivaciones arterio-venosas anatómicas </w:t>
      </w:r>
      <w:r>
        <w:rPr>
          <w:spacing w:val="-3"/>
        </w:rPr>
        <w:t>la </w:t>
      </w:r>
      <w:r>
        <w:rPr/>
        <w:t>monitorización de </w:t>
      </w:r>
      <w:r>
        <w:rPr>
          <w:spacing w:val="-3"/>
        </w:rPr>
        <w:t>la </w:t>
      </w:r>
      <w:r>
        <w:rPr>
          <w:position w:val="2"/>
        </w:rPr>
        <w:t>S</w:t>
      </w:r>
      <w:r>
        <w:rPr>
          <w:sz w:val="16"/>
        </w:rPr>
        <w:t>v</w:t>
      </w:r>
      <w:r>
        <w:rPr>
          <w:position w:val="2"/>
        </w:rPr>
        <w:t>O</w:t>
      </w:r>
      <w:r>
        <w:rPr>
          <w:sz w:val="16"/>
        </w:rPr>
        <w:t>2 </w:t>
      </w:r>
      <w:r>
        <w:rPr>
          <w:position w:val="2"/>
        </w:rPr>
        <w:t>pierde claramente valor diagnostico (Norfleet EA. </w:t>
      </w:r>
      <w:r>
        <w:rPr>
          <w:i/>
          <w:position w:val="2"/>
        </w:rPr>
        <w:t>et al</w:t>
      </w:r>
      <w:r>
        <w:rPr>
          <w:position w:val="2"/>
        </w:rPr>
        <w:t>., 1985). Por otra parte </w:t>
      </w:r>
      <w:r>
        <w:rPr>
          <w:spacing w:val="-5"/>
          <w:position w:val="2"/>
        </w:rPr>
        <w:t>la </w:t>
      </w:r>
      <w:r>
        <w:rPr>
          <w:position w:val="2"/>
        </w:rPr>
        <w:t>adición de determinación S</w:t>
      </w:r>
      <w:r>
        <w:rPr>
          <w:sz w:val="16"/>
        </w:rPr>
        <w:t>v</w:t>
      </w:r>
      <w:r>
        <w:rPr>
          <w:position w:val="2"/>
        </w:rPr>
        <w:t>O</w:t>
      </w:r>
      <w:r>
        <w:rPr>
          <w:sz w:val="16"/>
        </w:rPr>
        <w:t>2 </w:t>
      </w:r>
      <w:r>
        <w:rPr>
          <w:position w:val="2"/>
        </w:rPr>
        <w:t>incrementa considerablemente el costo del</w:t>
      </w:r>
      <w:r>
        <w:rPr>
          <w:spacing w:val="-13"/>
          <w:position w:val="2"/>
        </w:rPr>
        <w:t> </w:t>
      </w:r>
      <w:r>
        <w:rPr>
          <w:position w:val="2"/>
        </w:rPr>
        <w:t>CAP.</w:t>
      </w:r>
    </w:p>
    <w:p>
      <w:pPr>
        <w:pStyle w:val="BodyText"/>
      </w:pPr>
    </w:p>
    <w:p>
      <w:pPr>
        <w:pStyle w:val="Heading2"/>
        <w:numPr>
          <w:ilvl w:val="2"/>
          <w:numId w:val="5"/>
        </w:numPr>
        <w:tabs>
          <w:tab w:pos="816" w:val="left" w:leader="none"/>
        </w:tabs>
        <w:spacing w:line="240" w:lineRule="auto" w:before="142" w:after="0"/>
        <w:ind w:left="815" w:right="0" w:hanging="663"/>
        <w:jc w:val="both"/>
      </w:pPr>
      <w:bookmarkStart w:name="_bookmark38" w:id="65"/>
      <w:bookmarkEnd w:id="65"/>
      <w:r>
        <w:rPr>
          <w:b w:val="0"/>
        </w:rPr>
      </w:r>
      <w:bookmarkStart w:name="_bookmark38" w:id="66"/>
      <w:bookmarkEnd w:id="66"/>
      <w:r>
        <w:rPr>
          <w:position w:val="2"/>
        </w:rPr>
        <w:t>L</w:t>
      </w:r>
      <w:r>
        <w:rPr>
          <w:position w:val="2"/>
        </w:rPr>
        <w:t>iberación de oxígeno hacia los tejidos</w:t>
      </w:r>
      <w:r>
        <w:rPr>
          <w:spacing w:val="-11"/>
          <w:position w:val="2"/>
        </w:rPr>
        <w:t> </w:t>
      </w:r>
      <w:r>
        <w:rPr>
          <w:position w:val="2"/>
        </w:rPr>
        <w:t>(DO</w:t>
      </w:r>
      <w:r>
        <w:rPr>
          <w:sz w:val="16"/>
        </w:rPr>
        <w:t>2</w:t>
      </w:r>
      <w:r>
        <w:rPr>
          <w:position w:val="2"/>
        </w:rPr>
        <w:t>)</w:t>
      </w:r>
    </w:p>
    <w:p>
      <w:pPr>
        <w:pStyle w:val="BodyText"/>
        <w:rPr>
          <w:b/>
        </w:rPr>
      </w:pPr>
    </w:p>
    <w:p>
      <w:pPr>
        <w:pStyle w:val="BodyText"/>
        <w:spacing w:before="7"/>
        <w:rPr>
          <w:b/>
          <w:sz w:val="23"/>
        </w:rPr>
      </w:pPr>
    </w:p>
    <w:p>
      <w:pPr>
        <w:pStyle w:val="BodyText"/>
        <w:spacing w:line="360" w:lineRule="auto"/>
        <w:ind w:left="152" w:right="102" w:firstLine="710"/>
        <w:jc w:val="both"/>
      </w:pPr>
      <w:r>
        <w:rPr/>
        <w:t>Desde 1775 Joseph Priestley reconocía como el oxígeno es necesario para el </w:t>
      </w:r>
      <w:r>
        <w:rPr>
          <w:position w:val="2"/>
        </w:rPr>
        <w:t>mantenimiento de la vida. La liberación de oxígeno hacia los tejidos (DO</w:t>
      </w:r>
      <w:r>
        <w:rPr>
          <w:sz w:val="16"/>
        </w:rPr>
        <w:t>2</w:t>
      </w:r>
      <w:r>
        <w:rPr>
          <w:position w:val="2"/>
        </w:rPr>
        <w:t>), se refiere al </w:t>
      </w:r>
      <w:r>
        <w:rPr/>
        <w:t>oxígeno aportado hacia los tejidos por unidad de tiempo. Esto se expresa en ml/min y frecuentemente se corrige por masa corporal en (ml/Kg/min) o por el área de superficie</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152" w:right="104"/>
        <w:jc w:val="both"/>
      </w:pPr>
      <w:r>
        <w:rPr>
          <w:position w:val="2"/>
        </w:rPr>
        <w:t>corporal (ml/min/m2). La DO</w:t>
      </w:r>
      <w:r>
        <w:rPr>
          <w:sz w:val="16"/>
        </w:rPr>
        <w:t>2 </w:t>
      </w:r>
      <w:r>
        <w:rPr>
          <w:position w:val="2"/>
        </w:rPr>
        <w:t>es producto del índice cardiaco y el contenido de oxígeno en </w:t>
      </w:r>
      <w:r>
        <w:rPr/>
        <w:t>sangre y representa </w:t>
      </w:r>
      <w:r>
        <w:rPr>
          <w:spacing w:val="-5"/>
        </w:rPr>
        <w:t>la </w:t>
      </w:r>
      <w:r>
        <w:rPr/>
        <w:t>efectividad del aparato cardiorrespiratorio con respecto al </w:t>
      </w:r>
      <w:r>
        <w:rPr>
          <w:spacing w:val="-3"/>
        </w:rPr>
        <w:t>flujo </w:t>
      </w:r>
      <w:r>
        <w:rPr/>
        <w:t>de oxígeno sistémico. Durante el transcurso del evento quirúrgico, pueden existir cambios en </w:t>
      </w:r>
      <w:r>
        <w:rPr>
          <w:spacing w:val="-3"/>
        </w:rPr>
        <w:t>la </w:t>
      </w:r>
      <w:r>
        <w:rPr/>
        <w:t>concentración de hemoglobina, oxigenación sanguínea, precarga y temperatura corporal, </w:t>
      </w:r>
      <w:r>
        <w:rPr>
          <w:spacing w:val="-5"/>
        </w:rPr>
        <w:t>lo </w:t>
      </w:r>
      <w:r>
        <w:rPr/>
        <w:t>cual tienen un fuerte impacto sobre </w:t>
      </w:r>
      <w:r>
        <w:rPr>
          <w:spacing w:val="-5"/>
        </w:rPr>
        <w:t>la </w:t>
      </w:r>
      <w:r>
        <w:rPr/>
        <w:t>liberación de oxígeno hacia los tejidos. Cuando </w:t>
      </w:r>
      <w:r>
        <w:rPr>
          <w:spacing w:val="-5"/>
        </w:rPr>
        <w:t>la </w:t>
      </w:r>
      <w:r>
        <w:rPr/>
        <w:t>liberación de oxígeno disminuye existen varios mecanismos compensatorios que pueden proteger contra </w:t>
      </w:r>
      <w:r>
        <w:rPr>
          <w:spacing w:val="-3"/>
        </w:rPr>
        <w:t>la </w:t>
      </w:r>
      <w:r>
        <w:rPr/>
        <w:t>hipoxia tisular. Primero ocurre un incremento en </w:t>
      </w:r>
      <w:r>
        <w:rPr>
          <w:spacing w:val="-3"/>
        </w:rPr>
        <w:t>la </w:t>
      </w:r>
      <w:r>
        <w:rPr/>
        <w:t>extracción de oxígeno; inicialmente hay una disminución de </w:t>
      </w:r>
      <w:r>
        <w:rPr>
          <w:spacing w:val="-3"/>
        </w:rPr>
        <w:t>la </w:t>
      </w:r>
      <w:r>
        <w:rPr/>
        <w:t>liberación de oxígeno, incremento en </w:t>
      </w:r>
      <w:r>
        <w:rPr>
          <w:spacing w:val="-3"/>
        </w:rPr>
        <w:t>la </w:t>
      </w:r>
      <w:r>
        <w:rPr/>
        <w:t>extracción de oxígeno y </w:t>
      </w:r>
      <w:r>
        <w:rPr>
          <w:spacing w:val="-5"/>
        </w:rPr>
        <w:t>la </w:t>
      </w:r>
      <w:r>
        <w:rPr/>
        <w:t>oxigenación de los tejidos es mantenida (Haskins</w:t>
      </w:r>
      <w:r>
        <w:rPr>
          <w:spacing w:val="-19"/>
        </w:rPr>
        <w:t> </w:t>
      </w:r>
      <w:r>
        <w:rPr/>
        <w:t>2006).</w:t>
      </w:r>
    </w:p>
    <w:p>
      <w:pPr>
        <w:pStyle w:val="BodyText"/>
        <w:spacing w:line="360" w:lineRule="auto" w:before="4"/>
        <w:ind w:left="152" w:right="102" w:firstLine="710"/>
        <w:jc w:val="both"/>
      </w:pPr>
      <w:r>
        <w:rPr/>
        <w:t>Es de suma importancia, encontrar fármacos que al ser administrados en conjunto con los anestésicos inhalados puedan disminuir la concentración alveolar mínima del anestésico, a la vez de no tener efectos negativos sobre el sistema cardiovascular del paciente, lo cual permite utilizar dosis mínimas de anestésico de mantenimiento disminuyendo los efectos depresores sobre el sistema cardiovascular. El contenido arterial </w:t>
      </w:r>
      <w:r>
        <w:rPr>
          <w:position w:val="2"/>
        </w:rPr>
        <w:t>de oxígeno (CaO</w:t>
      </w:r>
      <w:r>
        <w:rPr>
          <w:sz w:val="16"/>
        </w:rPr>
        <w:t>2</w:t>
      </w:r>
      <w:r>
        <w:rPr>
          <w:position w:val="2"/>
        </w:rPr>
        <w:t>) corresponde a la suma del oxígeno unido a la hemoglobina con el </w:t>
      </w:r>
      <w:r>
        <w:rPr/>
        <w:t>oxígeno disuelto en el plasma.</w:t>
      </w:r>
    </w:p>
    <w:p>
      <w:pPr>
        <w:pStyle w:val="BodyText"/>
        <w:spacing w:before="4"/>
        <w:ind w:left="2683"/>
      </w:pPr>
      <w:r>
        <w:rPr/>
        <w:t>CaO2 = (Hgb x 1.39 xSaO2) + (0,003 x PaO2)</w:t>
      </w:r>
    </w:p>
    <w:p>
      <w:pPr>
        <w:pStyle w:val="BodyText"/>
        <w:spacing w:line="357" w:lineRule="auto" w:before="136"/>
        <w:ind w:left="152" w:right="99" w:firstLine="710"/>
        <w:jc w:val="both"/>
      </w:pPr>
      <w:r>
        <w:rPr>
          <w:position w:val="2"/>
        </w:rPr>
        <w:t>La relación del DO</w:t>
      </w:r>
      <w:r>
        <w:rPr>
          <w:sz w:val="16"/>
        </w:rPr>
        <w:t>2 </w:t>
      </w:r>
      <w:r>
        <w:rPr>
          <w:position w:val="2"/>
        </w:rPr>
        <w:t>y el VO</w:t>
      </w:r>
      <w:r>
        <w:rPr>
          <w:sz w:val="16"/>
        </w:rPr>
        <w:t>2, </w:t>
      </w:r>
      <w:r>
        <w:rPr>
          <w:position w:val="2"/>
        </w:rPr>
        <w:t>está determinada por el cociente de extracción (CE). En condiciones de normalidad el VO</w:t>
      </w:r>
      <w:r>
        <w:rPr>
          <w:sz w:val="16"/>
        </w:rPr>
        <w:t>2 </w:t>
      </w:r>
      <w:r>
        <w:rPr>
          <w:position w:val="2"/>
        </w:rPr>
        <w:t>no depende del DO</w:t>
      </w:r>
      <w:r>
        <w:rPr>
          <w:sz w:val="16"/>
        </w:rPr>
        <w:t>2 </w:t>
      </w:r>
      <w:r>
        <w:rPr>
          <w:position w:val="2"/>
        </w:rPr>
        <w:t>sin embargo cuando la DO</w:t>
      </w:r>
      <w:r>
        <w:rPr>
          <w:sz w:val="16"/>
        </w:rPr>
        <w:t>2</w:t>
      </w:r>
      <w:r>
        <w:rPr>
          <w:position w:val="2"/>
        </w:rPr>
        <w:t>cae por debajo de aproximadamente 8 ml/min/Kg, la VO</w:t>
      </w:r>
      <w:r>
        <w:rPr>
          <w:sz w:val="16"/>
        </w:rPr>
        <w:t>2 </w:t>
      </w:r>
      <w:r>
        <w:rPr>
          <w:position w:val="2"/>
        </w:rPr>
        <w:t>se hace dependiente de la DO</w:t>
      </w:r>
      <w:r>
        <w:rPr>
          <w:sz w:val="16"/>
        </w:rPr>
        <w:t>2. </w:t>
      </w:r>
      <w:r>
        <w:rPr>
          <w:position w:val="2"/>
        </w:rPr>
        <w:t>Se conoce como DO</w:t>
      </w:r>
      <w:r>
        <w:rPr>
          <w:sz w:val="16"/>
        </w:rPr>
        <w:t>2 </w:t>
      </w:r>
      <w:r>
        <w:rPr>
          <w:position w:val="2"/>
        </w:rPr>
        <w:t>critico puesto que asumimos que si está desciende caerá el VO</w:t>
      </w:r>
      <w:r>
        <w:rPr>
          <w:sz w:val="16"/>
        </w:rPr>
        <w:t>2 </w:t>
      </w:r>
      <w:r>
        <w:rPr>
          <w:position w:val="2"/>
        </w:rPr>
        <w:t>(Alvarez EJ, </w:t>
      </w:r>
      <w:r>
        <w:rPr>
          <w:i/>
          <w:position w:val="2"/>
        </w:rPr>
        <w:t>et al</w:t>
      </w:r>
      <w:r>
        <w:rPr>
          <w:position w:val="2"/>
        </w:rPr>
        <w:t>. 2001). La relación VO</w:t>
      </w:r>
      <w:r>
        <w:rPr>
          <w:sz w:val="16"/>
        </w:rPr>
        <w:t>2</w:t>
      </w:r>
      <w:r>
        <w:rPr>
          <w:position w:val="2"/>
        </w:rPr>
        <w:t>/DO</w:t>
      </w:r>
      <w:r>
        <w:rPr>
          <w:sz w:val="16"/>
        </w:rPr>
        <w:t>2 </w:t>
      </w:r>
      <w:r>
        <w:rPr>
          <w:position w:val="2"/>
        </w:rPr>
        <w:t>normal esta por tanto definida por una curva bifásica en la que existe una parte de la misma en la que el VO</w:t>
      </w:r>
      <w:r>
        <w:rPr>
          <w:sz w:val="16"/>
        </w:rPr>
        <w:t>2 </w:t>
      </w:r>
      <w:r>
        <w:rPr>
          <w:position w:val="2"/>
        </w:rPr>
        <w:t>no depende del DO</w:t>
      </w:r>
      <w:r>
        <w:rPr>
          <w:sz w:val="16"/>
        </w:rPr>
        <w:t>2, </w:t>
      </w:r>
      <w:r>
        <w:rPr>
          <w:position w:val="2"/>
        </w:rPr>
        <w:t>no todos los paciente mantienen la misma relación entre el VO</w:t>
      </w:r>
      <w:r>
        <w:rPr>
          <w:sz w:val="16"/>
        </w:rPr>
        <w:t>2 </w:t>
      </w:r>
      <w:r>
        <w:rPr>
          <w:position w:val="2"/>
        </w:rPr>
        <w:t>y DO</w:t>
      </w:r>
      <w:r>
        <w:rPr>
          <w:sz w:val="16"/>
        </w:rPr>
        <w:t>2 </w:t>
      </w:r>
      <w:r>
        <w:rPr>
          <w:position w:val="2"/>
        </w:rPr>
        <w:t>es decir esta curva puede ser </w:t>
      </w:r>
      <w:r>
        <w:rPr/>
        <w:t>patológica y presentar morfología totalmente diferente tal como puede suceder en un </w:t>
      </w:r>
      <w:r>
        <w:rPr>
          <w:position w:val="2"/>
        </w:rPr>
        <w:t>paciente séptico (Alvarez EJ, 2001; Huang YC. 2005), la dependencia patológica de VO</w:t>
      </w:r>
      <w:r>
        <w:rPr>
          <w:sz w:val="16"/>
        </w:rPr>
        <w:t>2 </w:t>
      </w:r>
      <w:r>
        <w:rPr>
          <w:position w:val="2"/>
        </w:rPr>
        <w:t>ha </w:t>
      </w:r>
      <w:r>
        <w:rPr/>
        <w:t>sido descrita en numerosos pacientes críticos como pueden ser: Distrés respiratorio, choque séptico, choque cardiogénico, choque hipovolémico, insuficiencia respiratoria aguda, hipertensión pulmonar, cirrosis y en el postoperatorio de revascularización miocárdica.</w:t>
      </w:r>
    </w:p>
    <w:p>
      <w:pPr>
        <w:spacing w:after="0" w:line="357" w:lineRule="auto"/>
        <w:jc w:val="both"/>
        <w:sectPr>
          <w:pgSz w:w="12240" w:h="15840"/>
          <w:pgMar w:header="0" w:footer="1651" w:top="1500" w:bottom="1840" w:left="1720" w:right="1420"/>
        </w:sectPr>
      </w:pPr>
    </w:p>
    <w:p>
      <w:pPr>
        <w:pStyle w:val="BodyText"/>
        <w:spacing w:before="1"/>
        <w:rPr>
          <w:sz w:val="21"/>
        </w:rPr>
      </w:pPr>
    </w:p>
    <w:p>
      <w:pPr>
        <w:pStyle w:val="Heading2"/>
        <w:numPr>
          <w:ilvl w:val="2"/>
          <w:numId w:val="5"/>
        </w:numPr>
        <w:tabs>
          <w:tab w:pos="816" w:val="left" w:leader="none"/>
        </w:tabs>
        <w:spacing w:line="240" w:lineRule="auto" w:before="69" w:after="0"/>
        <w:ind w:left="815" w:right="0" w:hanging="663"/>
        <w:jc w:val="left"/>
      </w:pPr>
      <w:bookmarkStart w:name="_bookmark39" w:id="67"/>
      <w:bookmarkEnd w:id="67"/>
      <w:r>
        <w:rPr>
          <w:b w:val="0"/>
        </w:rPr>
      </w:r>
      <w:bookmarkStart w:name="_bookmark39" w:id="68"/>
      <w:bookmarkEnd w:id="68"/>
      <w:r>
        <w:rPr/>
        <w:t>Con</w:t>
      </w:r>
      <w:r>
        <w:rPr/>
        <w:t>tenido de oxígeno de sangre venosa mixta</w:t>
      </w:r>
      <w:r>
        <w:rPr>
          <w:spacing w:val="-8"/>
        </w:rPr>
        <w:t> </w:t>
      </w:r>
      <w:r>
        <w:rPr/>
        <w:t>(CvO2)</w:t>
      </w:r>
    </w:p>
    <w:p>
      <w:pPr>
        <w:pStyle w:val="BodyText"/>
        <w:rPr>
          <w:b/>
        </w:rPr>
      </w:pPr>
    </w:p>
    <w:p>
      <w:pPr>
        <w:pStyle w:val="BodyText"/>
        <w:spacing w:before="4"/>
        <w:rPr>
          <w:b/>
          <w:sz w:val="23"/>
        </w:rPr>
      </w:pPr>
    </w:p>
    <w:p>
      <w:pPr>
        <w:pStyle w:val="BodyText"/>
        <w:spacing w:line="360" w:lineRule="auto" w:before="1"/>
        <w:ind w:left="152" w:right="110" w:firstLine="710"/>
        <w:jc w:val="both"/>
      </w:pPr>
      <w:r>
        <w:rPr/>
        <w:t>Es un parámetro que se obtiene de muestras de sangre de la arteria pulmonar o aurícula derecha. El valor normal de SvO2 es de 70-75%. Puede medirse directamente o lo que es frecuente, calcularlo en base a la saturación de oxígeno en sangre venosa mixta (SvO2) y la cantidad de hemoglobina. Para medir SvO2 directamente se emplean catéteres introducidos en la arteria pulmonar (CAP) que cuentan con líneas de fibra óptica y que calculan por oximetría de reflectancia el valor de SvO2 (Olsen </w:t>
      </w:r>
      <w:r>
        <w:rPr>
          <w:i/>
        </w:rPr>
        <w:t>et al.</w:t>
      </w:r>
      <w:r>
        <w:rPr/>
        <w:t>, 1994). CvO2 se calcula de la siguiente manera:</w:t>
      </w:r>
    </w:p>
    <w:p>
      <w:pPr>
        <w:pStyle w:val="BodyText"/>
      </w:pPr>
    </w:p>
    <w:p>
      <w:pPr>
        <w:pStyle w:val="BodyText"/>
        <w:spacing w:before="141"/>
        <w:ind w:left="2722"/>
      </w:pPr>
      <w:r>
        <w:rPr/>
        <w:t>CvO2 = (Hb x SvO2 x 1.34) + (PvO2 x.0031)</w:t>
      </w:r>
    </w:p>
    <w:p>
      <w:pPr>
        <w:pStyle w:val="BodyText"/>
      </w:pPr>
    </w:p>
    <w:p>
      <w:pPr>
        <w:pStyle w:val="BodyText"/>
        <w:spacing w:before="7"/>
      </w:pPr>
    </w:p>
    <w:p>
      <w:pPr>
        <w:pStyle w:val="Heading2"/>
        <w:numPr>
          <w:ilvl w:val="2"/>
          <w:numId w:val="5"/>
        </w:numPr>
        <w:tabs>
          <w:tab w:pos="816" w:val="left" w:leader="none"/>
        </w:tabs>
        <w:spacing w:line="240" w:lineRule="auto" w:before="0" w:after="0"/>
        <w:ind w:left="815" w:right="0" w:hanging="663"/>
        <w:jc w:val="left"/>
      </w:pPr>
      <w:bookmarkStart w:name="_bookmark40" w:id="69"/>
      <w:bookmarkEnd w:id="69"/>
      <w:r>
        <w:rPr>
          <w:b w:val="0"/>
        </w:rPr>
      </w:r>
      <w:bookmarkStart w:name="_bookmark40" w:id="70"/>
      <w:bookmarkEnd w:id="70"/>
      <w:r>
        <w:rPr/>
        <w:t>P</w:t>
      </w:r>
      <w:r>
        <w:rPr/>
        <w:t>resión venosa central</w:t>
      </w:r>
      <w:r>
        <w:rPr>
          <w:spacing w:val="-15"/>
        </w:rPr>
        <w:t> </w:t>
      </w:r>
      <w:r>
        <w:rPr/>
        <w:t>(PVC)</w:t>
      </w:r>
    </w:p>
    <w:p>
      <w:pPr>
        <w:pStyle w:val="BodyText"/>
        <w:rPr>
          <w:b/>
        </w:rPr>
      </w:pPr>
    </w:p>
    <w:p>
      <w:pPr>
        <w:pStyle w:val="BodyText"/>
        <w:spacing w:before="4"/>
        <w:rPr>
          <w:b/>
          <w:sz w:val="23"/>
        </w:rPr>
      </w:pPr>
    </w:p>
    <w:p>
      <w:pPr>
        <w:pStyle w:val="BodyText"/>
        <w:spacing w:line="360" w:lineRule="auto"/>
        <w:ind w:left="152" w:right="105" w:firstLine="710"/>
        <w:jc w:val="both"/>
      </w:pPr>
      <w:r>
        <w:rPr/>
        <w:t>En términos estrictos </w:t>
      </w:r>
      <w:r>
        <w:rPr>
          <w:spacing w:val="-5"/>
        </w:rPr>
        <w:t>la </w:t>
      </w:r>
      <w:r>
        <w:rPr/>
        <w:t>PVC es </w:t>
      </w:r>
      <w:r>
        <w:rPr>
          <w:spacing w:val="-3"/>
        </w:rPr>
        <w:t>la </w:t>
      </w:r>
      <w:r>
        <w:rPr/>
        <w:t>presión sanguínea en el punto </w:t>
      </w:r>
      <w:r>
        <w:rPr>
          <w:spacing w:val="2"/>
        </w:rPr>
        <w:t>de </w:t>
      </w:r>
      <w:r>
        <w:rPr/>
        <w:t>unión de </w:t>
      </w:r>
      <w:r>
        <w:rPr>
          <w:spacing w:val="-5"/>
        </w:rPr>
        <w:t>la </w:t>
      </w:r>
      <w:r>
        <w:rPr/>
        <w:t>vena cava y </w:t>
      </w:r>
      <w:r>
        <w:rPr>
          <w:spacing w:val="-3"/>
        </w:rPr>
        <w:t>la </w:t>
      </w:r>
      <w:r>
        <w:rPr/>
        <w:t>aurícula derecha. Refleja </w:t>
      </w:r>
      <w:r>
        <w:rPr>
          <w:spacing w:val="-3"/>
        </w:rPr>
        <w:t>la </w:t>
      </w:r>
      <w:r>
        <w:rPr/>
        <w:t>fuerza de llenado de </w:t>
      </w:r>
      <w:r>
        <w:rPr>
          <w:spacing w:val="-3"/>
        </w:rPr>
        <w:t>la </w:t>
      </w:r>
      <w:r>
        <w:rPr/>
        <w:t>aurícula y el ventrículo o </w:t>
      </w:r>
      <w:r>
        <w:rPr>
          <w:spacing w:val="-3"/>
        </w:rPr>
        <w:t>las </w:t>
      </w:r>
      <w:r>
        <w:rPr/>
        <w:t>grandes venas del tórax, abdomen y </w:t>
      </w:r>
      <w:r>
        <w:rPr>
          <w:spacing w:val="-3"/>
        </w:rPr>
        <w:t>la </w:t>
      </w:r>
      <w:r>
        <w:rPr/>
        <w:t>porción proximal de las extremidades inferiores forman un reservorio distensible que admite un porcentaje considerable del volumen sanguíneo. Por tanto </w:t>
      </w:r>
      <w:r>
        <w:rPr>
          <w:spacing w:val="-5"/>
        </w:rPr>
        <w:t>la </w:t>
      </w:r>
      <w:r>
        <w:rPr/>
        <w:t>PVC depende considerablemente del estado del volumen intravascular, así como del tono intrínseco de dichos vasos. La capacidad funcional de las cámaras cardiacas derechas constituye otro determinante de </w:t>
      </w:r>
      <w:r>
        <w:rPr>
          <w:spacing w:val="-3"/>
        </w:rPr>
        <w:t>la </w:t>
      </w:r>
      <w:r>
        <w:rPr/>
        <w:t>PVC. Por tanto </w:t>
      </w:r>
      <w:r>
        <w:rPr>
          <w:spacing w:val="-5"/>
        </w:rPr>
        <w:t>la </w:t>
      </w:r>
      <w:r>
        <w:rPr/>
        <w:t>monitorización de </w:t>
      </w:r>
      <w:r>
        <w:rPr>
          <w:spacing w:val="-3"/>
        </w:rPr>
        <w:t>la </w:t>
      </w:r>
      <w:r>
        <w:rPr/>
        <w:t>PVC se utiliza para valorar el volumen sanguíneo tanto </w:t>
      </w:r>
      <w:r>
        <w:rPr>
          <w:spacing w:val="-3"/>
        </w:rPr>
        <w:t>como </w:t>
      </w:r>
      <w:r>
        <w:rPr>
          <w:spacing w:val="-5"/>
        </w:rPr>
        <w:t>la </w:t>
      </w:r>
      <w:r>
        <w:rPr/>
        <w:t>función del corazón derecho. Los estudios de la onda de PVC permite diagnosticar o confirmar diversos estados patológicos, </w:t>
      </w:r>
      <w:r>
        <w:rPr>
          <w:spacing w:val="-5"/>
        </w:rPr>
        <w:t>la </w:t>
      </w:r>
      <w:r>
        <w:rPr/>
        <w:t>fibrilación produce una contracción auricular ineficaz y por tanto ausencia de </w:t>
      </w:r>
      <w:r>
        <w:rPr>
          <w:spacing w:val="-5"/>
        </w:rPr>
        <w:t>la </w:t>
      </w:r>
      <w:r>
        <w:rPr/>
        <w:t>onda (O’Rourke </w:t>
      </w:r>
      <w:r>
        <w:rPr>
          <w:spacing w:val="-3"/>
        </w:rPr>
        <w:t>RA. </w:t>
      </w:r>
      <w:r>
        <w:rPr/>
        <w:t>1964). El valor registrado de </w:t>
      </w:r>
      <w:r>
        <w:rPr>
          <w:spacing w:val="-3"/>
        </w:rPr>
        <w:t>la </w:t>
      </w:r>
      <w:r>
        <w:rPr/>
        <w:t>PVC constituye normalmente una única lectura del valor </w:t>
      </w:r>
      <w:r>
        <w:rPr>
          <w:spacing w:val="-4"/>
        </w:rPr>
        <w:t>medio </w:t>
      </w:r>
      <w:r>
        <w:rPr/>
        <w:t>de </w:t>
      </w:r>
      <w:r>
        <w:rPr>
          <w:spacing w:val="-5"/>
        </w:rPr>
        <w:t>la </w:t>
      </w:r>
      <w:r>
        <w:rPr/>
        <w:t>onda al final de </w:t>
      </w:r>
      <w:r>
        <w:rPr>
          <w:spacing w:val="-3"/>
        </w:rPr>
        <w:t>la </w:t>
      </w:r>
      <w:r>
        <w:rPr/>
        <w:t>respiración. La ventilación mecánica tendría una influencia importante sobre </w:t>
      </w:r>
      <w:r>
        <w:rPr>
          <w:spacing w:val="-3"/>
        </w:rPr>
        <w:t>la </w:t>
      </w:r>
      <w:r>
        <w:rPr/>
        <w:t>PVC y debe de tomarse en cuenta en el momento de interpretar estos datos. La tendencia de cambio de </w:t>
      </w:r>
      <w:r>
        <w:rPr>
          <w:spacing w:val="-3"/>
        </w:rPr>
        <w:t>la  </w:t>
      </w:r>
      <w:r>
        <w:rPr/>
        <w:t>PVC durante  </w:t>
      </w:r>
      <w:r>
        <w:rPr>
          <w:spacing w:val="-3"/>
        </w:rPr>
        <w:t>la  </w:t>
      </w:r>
      <w:r>
        <w:rPr/>
        <w:t>anestesia  y </w:t>
      </w:r>
      <w:r>
        <w:rPr>
          <w:spacing w:val="-3"/>
        </w:rPr>
        <w:t>la  </w:t>
      </w:r>
      <w:r>
        <w:rPr/>
        <w:t>intervención quirúrgica  resulta  muy útil  a  </w:t>
      </w:r>
      <w:r>
        <w:rPr>
          <w:spacing w:val="-5"/>
        </w:rPr>
        <w:t>la  </w:t>
      </w:r>
      <w:r>
        <w:rPr/>
        <w:t>hora  </w:t>
      </w:r>
      <w:r>
        <w:rPr>
          <w:spacing w:val="50"/>
        </w:rPr>
        <w:t> </w:t>
      </w:r>
      <w:r>
        <w:rPr/>
        <w:t>de</w:t>
      </w:r>
    </w:p>
    <w:p>
      <w:pPr>
        <w:spacing w:after="0" w:line="360" w:lineRule="auto"/>
        <w:jc w:val="both"/>
        <w:sectPr>
          <w:footerReference w:type="default" r:id="rId22"/>
          <w:pgSz w:w="12240" w:h="15840"/>
          <w:pgMar w:footer="1651" w:header="0" w:top="1500" w:bottom="1840" w:left="1720" w:right="1420"/>
        </w:sectPr>
      </w:pPr>
    </w:p>
    <w:p>
      <w:pPr>
        <w:pStyle w:val="BodyText"/>
        <w:spacing w:before="7"/>
        <w:rPr>
          <w:sz w:val="20"/>
        </w:rPr>
      </w:pPr>
    </w:p>
    <w:p>
      <w:pPr>
        <w:pStyle w:val="BodyText"/>
        <w:spacing w:line="360" w:lineRule="auto" w:before="69"/>
        <w:ind w:left="152" w:right="105"/>
        <w:jc w:val="both"/>
      </w:pPr>
      <w:r>
        <w:rPr/>
        <w:t>determinar el efecto de </w:t>
      </w:r>
      <w:r>
        <w:rPr>
          <w:spacing w:val="-4"/>
        </w:rPr>
        <w:t>las </w:t>
      </w:r>
      <w:r>
        <w:rPr/>
        <w:t>perdidas hemáticas o líquidas y controlar el tratamiento de </w:t>
      </w:r>
      <w:r>
        <w:rPr>
          <w:spacing w:val="-3"/>
        </w:rPr>
        <w:t>la </w:t>
      </w:r>
      <w:r>
        <w:rPr/>
        <w:t>reposición. La respuesta de </w:t>
      </w:r>
      <w:r>
        <w:rPr>
          <w:spacing w:val="-3"/>
        </w:rPr>
        <w:t>la </w:t>
      </w:r>
      <w:r>
        <w:rPr/>
        <w:t>PVC a los bolos de líquido puede aportar información sobre el estado global del volumen de líquidos </w:t>
      </w:r>
      <w:r>
        <w:rPr>
          <w:spacing w:val="-3"/>
        </w:rPr>
        <w:t>la </w:t>
      </w:r>
      <w:r>
        <w:rPr/>
        <w:t>distensibilidad venosa y </w:t>
      </w:r>
      <w:r>
        <w:rPr>
          <w:spacing w:val="-3"/>
        </w:rPr>
        <w:t>la </w:t>
      </w:r>
      <w:r>
        <w:rPr/>
        <w:t>función y eficacia de las cámaras derechas del corazón. Con frecuencia se usa </w:t>
      </w:r>
      <w:r>
        <w:rPr>
          <w:spacing w:val="-3"/>
        </w:rPr>
        <w:t>la </w:t>
      </w:r>
      <w:r>
        <w:rPr/>
        <w:t>monitorización de </w:t>
      </w:r>
      <w:r>
        <w:rPr>
          <w:spacing w:val="-3"/>
        </w:rPr>
        <w:t>la </w:t>
      </w:r>
      <w:r>
        <w:rPr/>
        <w:t>PVC en casos que implican gran desplazamiento de líquido como son </w:t>
      </w:r>
      <w:r>
        <w:rPr>
          <w:spacing w:val="-5"/>
        </w:rPr>
        <w:t>la </w:t>
      </w:r>
      <w:r>
        <w:rPr/>
        <w:t>cirugía cardiovascular, intervenciones de cirugía abdominal mayor y traumatismos</w:t>
      </w:r>
      <w:r>
        <w:rPr>
          <w:spacing w:val="-40"/>
        </w:rPr>
        <w:t> </w:t>
      </w:r>
      <w:r>
        <w:rPr/>
        <w:t>masivos.</w:t>
      </w:r>
    </w:p>
    <w:p>
      <w:pPr>
        <w:pStyle w:val="BodyText"/>
        <w:spacing w:before="8"/>
        <w:rPr>
          <w:sz w:val="33"/>
        </w:rPr>
      </w:pPr>
    </w:p>
    <w:p>
      <w:pPr>
        <w:pStyle w:val="Heading2"/>
        <w:numPr>
          <w:ilvl w:val="2"/>
          <w:numId w:val="5"/>
        </w:numPr>
        <w:tabs>
          <w:tab w:pos="816" w:val="left" w:leader="none"/>
        </w:tabs>
        <w:spacing w:line="240" w:lineRule="auto" w:before="1" w:after="0"/>
        <w:ind w:left="815" w:right="0" w:hanging="663"/>
        <w:jc w:val="both"/>
      </w:pPr>
      <w:bookmarkStart w:name="_bookmark41" w:id="71"/>
      <w:bookmarkEnd w:id="71"/>
      <w:r>
        <w:rPr>
          <w:b w:val="0"/>
        </w:rPr>
      </w:r>
      <w:bookmarkStart w:name="_bookmark41" w:id="72"/>
      <w:bookmarkEnd w:id="72"/>
      <w:r>
        <w:rPr/>
        <w:t>P</w:t>
      </w:r>
      <w:r>
        <w:rPr/>
        <w:t>resión de oclusión de </w:t>
      </w:r>
      <w:r>
        <w:rPr>
          <w:spacing w:val="-3"/>
        </w:rPr>
        <w:t>la </w:t>
      </w:r>
      <w:r>
        <w:rPr/>
        <w:t>arteria pulmonar</w:t>
      </w:r>
      <w:r>
        <w:rPr>
          <w:spacing w:val="-17"/>
        </w:rPr>
        <w:t> </w:t>
      </w:r>
      <w:r>
        <w:rPr/>
        <w:t>(PAOP)</w:t>
      </w:r>
    </w:p>
    <w:p>
      <w:pPr>
        <w:pStyle w:val="BodyText"/>
        <w:rPr>
          <w:b/>
        </w:rPr>
      </w:pPr>
    </w:p>
    <w:p>
      <w:pPr>
        <w:pStyle w:val="BodyText"/>
        <w:spacing w:before="9"/>
        <w:rPr>
          <w:b/>
          <w:sz w:val="23"/>
        </w:rPr>
      </w:pPr>
    </w:p>
    <w:p>
      <w:pPr>
        <w:pStyle w:val="BodyText"/>
        <w:spacing w:line="360" w:lineRule="auto"/>
        <w:ind w:left="152" w:right="100" w:firstLine="710"/>
        <w:jc w:val="both"/>
      </w:pPr>
      <w:r>
        <w:rPr/>
        <w:t>La introducción del CAP dirigido por </w:t>
      </w:r>
      <w:r>
        <w:rPr>
          <w:spacing w:val="-3"/>
        </w:rPr>
        <w:t>flujo </w:t>
      </w:r>
      <w:r>
        <w:rPr/>
        <w:t>hace más de dos décadas (Swan HJC. </w:t>
      </w:r>
      <w:r>
        <w:rPr>
          <w:i/>
        </w:rPr>
        <w:t>et </w:t>
      </w:r>
      <w:r>
        <w:rPr>
          <w:i/>
        </w:rPr>
        <w:t>al</w:t>
      </w:r>
      <w:r>
        <w:rPr/>
        <w:t>. 1970), represento un nuevo avance en nuestra capacidad de definir y controlar el estado hemodinámico. Con este catéter es posible medir con facilidad </w:t>
      </w:r>
      <w:r>
        <w:rPr>
          <w:spacing w:val="-3"/>
        </w:rPr>
        <w:t>la </w:t>
      </w:r>
      <w:r>
        <w:rPr/>
        <w:t>presión </w:t>
      </w:r>
      <w:r>
        <w:rPr>
          <w:spacing w:val="5"/>
        </w:rPr>
        <w:t>de </w:t>
      </w:r>
      <w:r>
        <w:rPr>
          <w:spacing w:val="-5"/>
        </w:rPr>
        <w:t>la </w:t>
      </w:r>
      <w:r>
        <w:rPr/>
        <w:t>AP,  así como </w:t>
      </w:r>
      <w:r>
        <w:rPr>
          <w:spacing w:val="-5"/>
        </w:rPr>
        <w:t>la </w:t>
      </w:r>
      <w:r>
        <w:rPr/>
        <w:t>PVC. La determinación </w:t>
      </w:r>
      <w:r>
        <w:rPr>
          <w:spacing w:val="2"/>
        </w:rPr>
        <w:t>del </w:t>
      </w:r>
      <w:r>
        <w:rPr/>
        <w:t>GC con </w:t>
      </w:r>
      <w:r>
        <w:rPr>
          <w:spacing w:val="-3"/>
        </w:rPr>
        <w:t>la </w:t>
      </w:r>
      <w:r>
        <w:rPr/>
        <w:t>técnica de termodilución constituye un uso igualmente importante de </w:t>
      </w:r>
      <w:r>
        <w:rPr>
          <w:spacing w:val="-5"/>
        </w:rPr>
        <w:t>la </w:t>
      </w:r>
      <w:r>
        <w:rPr/>
        <w:t>monitorización cardiovascular. La presión de  enclavamiento del catéter pulmonar (PECP) </w:t>
      </w:r>
      <w:r>
        <w:rPr>
          <w:spacing w:val="-4"/>
        </w:rPr>
        <w:t>u/o </w:t>
      </w:r>
      <w:r>
        <w:rPr/>
        <w:t>presión de oclusión de </w:t>
      </w:r>
      <w:r>
        <w:rPr>
          <w:spacing w:val="-3"/>
        </w:rPr>
        <w:t>la </w:t>
      </w:r>
      <w:r>
        <w:rPr/>
        <w:t>arteria pulmonar (PAOP) se realiza para determinar distintas variables hemodinámicas como el GC, </w:t>
      </w:r>
      <w:r>
        <w:rPr>
          <w:spacing w:val="-3"/>
        </w:rPr>
        <w:t>la </w:t>
      </w:r>
      <w:r>
        <w:rPr/>
        <w:t>saturación  venosa mixta de oxígeno y </w:t>
      </w:r>
      <w:r>
        <w:rPr>
          <w:spacing w:val="-5"/>
        </w:rPr>
        <w:t>lo </w:t>
      </w:r>
      <w:r>
        <w:rPr/>
        <w:t>más destacable las presiones diastólicas y de enclavamiento de </w:t>
      </w:r>
      <w:r>
        <w:rPr>
          <w:spacing w:val="-5"/>
        </w:rPr>
        <w:t>la </w:t>
      </w:r>
      <w:r>
        <w:rPr/>
        <w:t>arteria pulmonar, además de proporcionar en </w:t>
      </w:r>
      <w:r>
        <w:rPr>
          <w:spacing w:val="-3"/>
        </w:rPr>
        <w:t>la </w:t>
      </w:r>
      <w:r>
        <w:rPr/>
        <w:t>mayoría de los casos una estimación exacta del llenado diastólico (precarga) del corazón izquierdo. Esta inferencia se basa en </w:t>
      </w:r>
      <w:r>
        <w:rPr>
          <w:spacing w:val="-3"/>
        </w:rPr>
        <w:t>la </w:t>
      </w:r>
      <w:r>
        <w:rPr/>
        <w:t>proporcionalidad entre </w:t>
      </w:r>
      <w:r>
        <w:rPr>
          <w:spacing w:val="-5"/>
        </w:rPr>
        <w:t>la </w:t>
      </w:r>
      <w:r>
        <w:rPr>
          <w:spacing w:val="-3"/>
        </w:rPr>
        <w:t>AP </w:t>
      </w:r>
      <w:r>
        <w:rPr/>
        <w:t>y </w:t>
      </w:r>
      <w:r>
        <w:rPr>
          <w:spacing w:val="-3"/>
        </w:rPr>
        <w:t>la </w:t>
      </w:r>
      <w:r>
        <w:rPr/>
        <w:t>presión en </w:t>
      </w:r>
      <w:r>
        <w:rPr>
          <w:spacing w:val="-3"/>
        </w:rPr>
        <w:t>la </w:t>
      </w:r>
      <w:r>
        <w:rPr/>
        <w:t>aurícula izquierda (PAI) y </w:t>
      </w:r>
      <w:r>
        <w:rPr>
          <w:spacing w:val="-3"/>
        </w:rPr>
        <w:t>la </w:t>
      </w:r>
      <w:r>
        <w:rPr/>
        <w:t>telediastólica   en el ventrículo izquierdo (PTDVI).Cuando el CAP flota hasta </w:t>
      </w:r>
      <w:r>
        <w:rPr>
          <w:spacing w:val="-5"/>
        </w:rPr>
        <w:t>la </w:t>
      </w:r>
      <w:r>
        <w:rPr/>
        <w:t>posición de  enclavamiento el balón inflado en su extremo aísla el orificio que monitoriza </w:t>
      </w:r>
      <w:r>
        <w:rPr>
          <w:spacing w:val="-3"/>
        </w:rPr>
        <w:t>la </w:t>
      </w:r>
      <w:r>
        <w:rPr/>
        <w:t>presión distal de </w:t>
      </w:r>
      <w:r>
        <w:rPr>
          <w:spacing w:val="-3"/>
        </w:rPr>
        <w:t>la </w:t>
      </w:r>
      <w:r>
        <w:rPr/>
        <w:t>presión de </w:t>
      </w:r>
      <w:r>
        <w:rPr>
          <w:spacing w:val="-5"/>
        </w:rPr>
        <w:t>la </w:t>
      </w:r>
      <w:r>
        <w:rPr/>
        <w:t>arteria pulmonar PAP retrógrada. </w:t>
      </w:r>
      <w:r>
        <w:rPr>
          <w:spacing w:val="-3"/>
        </w:rPr>
        <w:t>West </w:t>
      </w:r>
      <w:r>
        <w:rPr/>
        <w:t>y cols. Describieron un </w:t>
      </w:r>
      <w:r>
        <w:rPr>
          <w:spacing w:val="-3"/>
        </w:rPr>
        <w:t>modelo </w:t>
      </w:r>
      <w:r>
        <w:rPr/>
        <w:t>fisiológico de </w:t>
      </w:r>
      <w:r>
        <w:rPr>
          <w:spacing w:val="-3"/>
        </w:rPr>
        <w:t>la </w:t>
      </w:r>
      <w:r>
        <w:rPr/>
        <w:t>vascularización pulmonar consistente en tres zonas que se basan  en las relaciones dependientes de </w:t>
      </w:r>
      <w:r>
        <w:rPr>
          <w:spacing w:val="-3"/>
        </w:rPr>
        <w:t>la </w:t>
      </w:r>
      <w:r>
        <w:rPr/>
        <w:t>gravedad entre </w:t>
      </w:r>
      <w:r>
        <w:rPr>
          <w:spacing w:val="-5"/>
        </w:rPr>
        <w:t>la </w:t>
      </w:r>
      <w:r>
        <w:rPr/>
        <w:t>PAP, </w:t>
      </w:r>
      <w:r>
        <w:rPr>
          <w:spacing w:val="-5"/>
        </w:rPr>
        <w:t>la </w:t>
      </w:r>
      <w:r>
        <w:rPr/>
        <w:t>presión venosa pulmonar y </w:t>
      </w:r>
      <w:r>
        <w:rPr>
          <w:spacing w:val="-3"/>
        </w:rPr>
        <w:t>la </w:t>
      </w:r>
      <w:r>
        <w:rPr/>
        <w:t>presión alveolar (Katz ES. </w:t>
      </w:r>
      <w:r>
        <w:rPr>
          <w:i/>
        </w:rPr>
        <w:t>et al</w:t>
      </w:r>
      <w:r>
        <w:rPr/>
        <w:t>. 1992). Este </w:t>
      </w:r>
      <w:r>
        <w:rPr>
          <w:spacing w:val="-3"/>
        </w:rPr>
        <w:t>modelo </w:t>
      </w:r>
      <w:r>
        <w:rPr/>
        <w:t>de zonas pulmonares proporciona una explicación útil sobre </w:t>
      </w:r>
      <w:r>
        <w:rPr>
          <w:spacing w:val="-3"/>
        </w:rPr>
        <w:t>la </w:t>
      </w:r>
      <w:r>
        <w:rPr/>
        <w:t>situación en las que </w:t>
      </w:r>
      <w:r>
        <w:rPr>
          <w:spacing w:val="-3"/>
        </w:rPr>
        <w:t>la </w:t>
      </w:r>
      <w:r>
        <w:rPr/>
        <w:t>CAP puede </w:t>
      </w:r>
      <w:r>
        <w:rPr>
          <w:spacing w:val="-3"/>
        </w:rPr>
        <w:t>no </w:t>
      </w:r>
      <w:r>
        <w:rPr/>
        <w:t>proporcionar una estimación adecuada</w:t>
      </w:r>
      <w:r>
        <w:rPr>
          <w:spacing w:val="18"/>
        </w:rPr>
        <w:t> </w:t>
      </w:r>
      <w:r>
        <w:rPr/>
        <w:t>de</w:t>
      </w:r>
      <w:r>
        <w:rPr>
          <w:spacing w:val="23"/>
        </w:rPr>
        <w:t> </w:t>
      </w:r>
      <w:r>
        <w:rPr>
          <w:spacing w:val="-3"/>
        </w:rPr>
        <w:t>la</w:t>
      </w:r>
      <w:r>
        <w:rPr>
          <w:spacing w:val="18"/>
        </w:rPr>
        <w:t> </w:t>
      </w:r>
      <w:r>
        <w:rPr/>
        <w:t>presión</w:t>
      </w:r>
      <w:r>
        <w:rPr>
          <w:spacing w:val="14"/>
        </w:rPr>
        <w:t> </w:t>
      </w:r>
      <w:r>
        <w:rPr/>
        <w:t>de</w:t>
      </w:r>
      <w:r>
        <w:rPr>
          <w:spacing w:val="23"/>
        </w:rPr>
        <w:t> </w:t>
      </w:r>
      <w:r>
        <w:rPr/>
        <w:t>llenado</w:t>
      </w:r>
      <w:r>
        <w:rPr>
          <w:spacing w:val="23"/>
        </w:rPr>
        <w:t> </w:t>
      </w:r>
      <w:r>
        <w:rPr/>
        <w:t>del</w:t>
      </w:r>
      <w:r>
        <w:rPr>
          <w:spacing w:val="15"/>
        </w:rPr>
        <w:t> </w:t>
      </w:r>
      <w:r>
        <w:rPr/>
        <w:t>ventrículo</w:t>
      </w:r>
      <w:r>
        <w:rPr>
          <w:spacing w:val="28"/>
        </w:rPr>
        <w:t> </w:t>
      </w:r>
      <w:r>
        <w:rPr/>
        <w:t>izquierdo.</w:t>
      </w:r>
      <w:r>
        <w:rPr>
          <w:spacing w:val="21"/>
        </w:rPr>
        <w:t> </w:t>
      </w:r>
      <w:r>
        <w:rPr/>
        <w:t>En</w:t>
      </w:r>
      <w:r>
        <w:rPr>
          <w:spacing w:val="19"/>
        </w:rPr>
        <w:t> </w:t>
      </w:r>
      <w:r>
        <w:rPr>
          <w:spacing w:val="-5"/>
        </w:rPr>
        <w:t>la</w:t>
      </w:r>
      <w:r>
        <w:rPr>
          <w:spacing w:val="18"/>
        </w:rPr>
        <w:t> </w:t>
      </w:r>
      <w:r>
        <w:rPr/>
        <w:t>zona</w:t>
      </w:r>
      <w:r>
        <w:rPr>
          <w:spacing w:val="23"/>
        </w:rPr>
        <w:t> </w:t>
      </w:r>
      <w:r>
        <w:rPr/>
        <w:t>West</w:t>
      </w:r>
      <w:r>
        <w:rPr>
          <w:spacing w:val="24"/>
        </w:rPr>
        <w:t> </w:t>
      </w:r>
      <w:r>
        <w:rPr/>
        <w:t>1,</w:t>
      </w:r>
      <w:r>
        <w:rPr>
          <w:spacing w:val="26"/>
        </w:rPr>
        <w:t> </w:t>
      </w:r>
      <w:r>
        <w:rPr>
          <w:spacing w:val="-5"/>
        </w:rPr>
        <w:t>la</w:t>
      </w:r>
      <w:r>
        <w:rPr>
          <w:spacing w:val="18"/>
        </w:rPr>
        <w:t> </w:t>
      </w:r>
      <w:r>
        <w:rPr/>
        <w:t>presión</w:t>
      </w:r>
    </w:p>
    <w:p>
      <w:pPr>
        <w:spacing w:after="0" w:line="360" w:lineRule="auto"/>
        <w:jc w:val="both"/>
        <w:sectPr>
          <w:footerReference w:type="default" r:id="rId23"/>
          <w:pgSz w:w="12240" w:h="15840"/>
          <w:pgMar w:footer="1651" w:header="0" w:top="1500" w:bottom="1840" w:left="1720" w:right="1420"/>
          <w:pgNumType w:start="31"/>
        </w:sectPr>
      </w:pPr>
    </w:p>
    <w:p>
      <w:pPr>
        <w:pStyle w:val="BodyText"/>
        <w:spacing w:before="7"/>
        <w:rPr>
          <w:sz w:val="20"/>
        </w:rPr>
      </w:pPr>
    </w:p>
    <w:p>
      <w:pPr>
        <w:pStyle w:val="BodyText"/>
        <w:spacing w:line="360" w:lineRule="auto" w:before="69"/>
        <w:ind w:left="152" w:right="188"/>
      </w:pPr>
      <w:r>
        <w:rPr/>
        <w:t>alveolar es superior a </w:t>
      </w:r>
      <w:r>
        <w:rPr>
          <w:spacing w:val="-5"/>
        </w:rPr>
        <w:t>la </w:t>
      </w:r>
      <w:r>
        <w:rPr/>
        <w:t>presión venosa y arterial pulmonar, mientras que en </w:t>
      </w:r>
      <w:r>
        <w:rPr>
          <w:spacing w:val="-5"/>
        </w:rPr>
        <w:t>la </w:t>
      </w:r>
      <w:r>
        <w:rPr/>
        <w:t>zona West  2, es intermedia entre esas dos</w:t>
      </w:r>
      <w:r>
        <w:rPr>
          <w:spacing w:val="-19"/>
        </w:rPr>
        <w:t> </w:t>
      </w:r>
      <w:r>
        <w:rPr/>
        <w:t>presiones.</w:t>
      </w:r>
    </w:p>
    <w:p>
      <w:pPr>
        <w:pStyle w:val="BodyText"/>
        <w:spacing w:line="360" w:lineRule="auto" w:before="4"/>
        <w:ind w:left="152" w:right="104" w:firstLine="710"/>
        <w:jc w:val="both"/>
      </w:pPr>
      <w:r>
        <w:rPr/>
        <w:t>Un CAP situado en la zona 1 y 2 del pulmón estará influido por la presión alveolar y la presión resultante tendrá una escasa relación con la presión del llenado del ventrículo izquierdo. Por tanto, el extremo del CAP debe estar situado en la zona 3 para una correcta determinación del POAP, (Figura 9). En el trayecto del CAP con balón en su extremo dirigido por la corriente sanguínea hasta su posición en la arteria pulmonar se registran ondas de presión características, las cuales tienen que ser interpretadas a través de un monitor por personal entrenado.</w:t>
      </w:r>
    </w:p>
    <w:p>
      <w:pPr>
        <w:pStyle w:val="BodyText"/>
        <w:rPr>
          <w:sz w:val="20"/>
        </w:rPr>
      </w:pPr>
    </w:p>
    <w:p>
      <w:pPr>
        <w:pStyle w:val="BodyText"/>
        <w:spacing w:before="1"/>
        <w:rPr>
          <w:sz w:val="10"/>
        </w:rPr>
      </w:pPr>
      <w:r>
        <w:rPr/>
        <w:drawing>
          <wp:anchor distT="0" distB="0" distL="0" distR="0" allowOverlap="1" layoutInCell="1" locked="0" behindDoc="0" simplePos="0" relativeHeight="1264">
            <wp:simplePos x="0" y="0"/>
            <wp:positionH relativeFrom="page">
              <wp:posOffset>1886585</wp:posOffset>
            </wp:positionH>
            <wp:positionV relativeFrom="paragraph">
              <wp:posOffset>98688</wp:posOffset>
            </wp:positionV>
            <wp:extent cx="4650777" cy="2405443"/>
            <wp:effectExtent l="0" t="0" r="0" b="0"/>
            <wp:wrapTopAndBottom/>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24" cstate="print"/>
                    <a:stretch>
                      <a:fillRect/>
                    </a:stretch>
                  </pic:blipFill>
                  <pic:spPr>
                    <a:xfrm>
                      <a:off x="0" y="0"/>
                      <a:ext cx="4650777" cy="2405443"/>
                    </a:xfrm>
                    <a:prstGeom prst="rect">
                      <a:avLst/>
                    </a:prstGeom>
                  </pic:spPr>
                </pic:pic>
              </a:graphicData>
            </a:graphic>
          </wp:anchor>
        </w:drawing>
      </w:r>
    </w:p>
    <w:p>
      <w:pPr>
        <w:spacing w:line="240" w:lineRule="auto" w:before="117"/>
        <w:ind w:left="152" w:right="101" w:firstLine="0"/>
        <w:jc w:val="both"/>
        <w:rPr>
          <w:i/>
          <w:sz w:val="22"/>
        </w:rPr>
      </w:pPr>
      <w:bookmarkStart w:name="_bookmark42" w:id="73"/>
      <w:bookmarkEnd w:id="73"/>
      <w:r>
        <w:rPr/>
      </w:r>
      <w:r>
        <w:rPr>
          <w:i/>
          <w:spacing w:val="-2"/>
          <w:sz w:val="22"/>
        </w:rPr>
        <w:t>FIGURA </w:t>
      </w:r>
      <w:r>
        <w:rPr>
          <w:i/>
          <w:sz w:val="22"/>
        </w:rPr>
        <w:t>9. El extremo del catéter arterial pulmonar debe enclavarse en la zona pulmonar 3 para </w:t>
      </w:r>
      <w:r>
        <w:rPr>
          <w:i/>
          <w:sz w:val="22"/>
        </w:rPr>
        <w:t>proporcionar una determinación precisa de la presión venosa pulmonar (Pv) o aurícula izquierda (AI). Cuando la presión alveolar (Pa) aumenta por encima de </w:t>
      </w:r>
      <w:r>
        <w:rPr>
          <w:i/>
          <w:spacing w:val="-3"/>
          <w:sz w:val="22"/>
        </w:rPr>
        <w:t>Pv </w:t>
      </w:r>
      <w:r>
        <w:rPr>
          <w:i/>
          <w:sz w:val="22"/>
        </w:rPr>
        <w:t>en la zona pulmonar 2 o por encima de la presión arterial pulmonar (Pa) en la zona pulmonar 1, la presencia de enclavamiento reflejará la presión alveolar en lugar de la presión intravascular. AD, aurícula derecha; AP, arteria pulmonar; </w:t>
      </w:r>
      <w:r>
        <w:rPr>
          <w:i/>
          <w:spacing w:val="-3"/>
          <w:sz w:val="22"/>
        </w:rPr>
        <w:t>VD, </w:t>
      </w:r>
      <w:r>
        <w:rPr>
          <w:i/>
          <w:sz w:val="22"/>
        </w:rPr>
        <w:t>ventrículo derecho; </w:t>
      </w:r>
      <w:r>
        <w:rPr>
          <w:i/>
          <w:spacing w:val="-3"/>
          <w:sz w:val="22"/>
        </w:rPr>
        <w:t>VI, </w:t>
      </w:r>
      <w:r>
        <w:rPr>
          <w:i/>
          <w:sz w:val="22"/>
        </w:rPr>
        <w:t>ventrículo</w:t>
      </w:r>
      <w:r>
        <w:rPr>
          <w:i/>
          <w:spacing w:val="10"/>
          <w:sz w:val="22"/>
        </w:rPr>
        <w:t> </w:t>
      </w:r>
      <w:r>
        <w:rPr>
          <w:i/>
          <w:sz w:val="22"/>
        </w:rPr>
        <w:t>izquierdo.</w:t>
      </w:r>
    </w:p>
    <w:p>
      <w:pPr>
        <w:pStyle w:val="BodyText"/>
        <w:rPr>
          <w:i/>
          <w:sz w:val="22"/>
        </w:rPr>
      </w:pPr>
    </w:p>
    <w:p>
      <w:pPr>
        <w:pStyle w:val="Heading2"/>
        <w:numPr>
          <w:ilvl w:val="2"/>
          <w:numId w:val="5"/>
        </w:numPr>
        <w:tabs>
          <w:tab w:pos="816" w:val="left" w:leader="none"/>
        </w:tabs>
        <w:spacing w:line="240" w:lineRule="auto" w:before="157" w:after="0"/>
        <w:ind w:left="815" w:right="0" w:hanging="663"/>
        <w:jc w:val="both"/>
      </w:pPr>
      <w:bookmarkStart w:name="_bookmark43" w:id="74"/>
      <w:bookmarkEnd w:id="74"/>
      <w:r>
        <w:rPr>
          <w:b w:val="0"/>
        </w:rPr>
      </w:r>
      <w:bookmarkStart w:name="_bookmark43" w:id="75"/>
      <w:bookmarkEnd w:id="75"/>
      <w:r>
        <w:rPr/>
        <w:t>Í</w:t>
      </w:r>
      <w:r>
        <w:rPr/>
        <w:t>ndice de resistencia vascular sistémica</w:t>
      </w:r>
      <w:r>
        <w:rPr>
          <w:spacing w:val="-24"/>
        </w:rPr>
        <w:t> </w:t>
      </w:r>
      <w:r>
        <w:rPr/>
        <w:t>(IRVS)</w:t>
      </w:r>
    </w:p>
    <w:p>
      <w:pPr>
        <w:pStyle w:val="BodyText"/>
        <w:rPr>
          <w:b/>
        </w:rPr>
      </w:pPr>
    </w:p>
    <w:p>
      <w:pPr>
        <w:pStyle w:val="BodyText"/>
        <w:spacing w:before="9"/>
        <w:rPr>
          <w:b/>
          <w:sz w:val="23"/>
        </w:rPr>
      </w:pPr>
    </w:p>
    <w:p>
      <w:pPr>
        <w:pStyle w:val="BodyText"/>
        <w:spacing w:line="360" w:lineRule="auto"/>
        <w:ind w:left="152" w:firstLine="710"/>
      </w:pPr>
      <w:r>
        <w:rPr/>
        <w:t>El índice de resistencia vascular sistémica IRVS es un parámetro que refleja las resistencias vasculares periféricas. Se calcula a través del gradiente de presiones desde la</w:t>
      </w:r>
    </w:p>
    <w:p>
      <w:pPr>
        <w:spacing w:after="0" w:line="360" w:lineRule="auto"/>
        <w:sectPr>
          <w:pgSz w:w="12240" w:h="15840"/>
          <w:pgMar w:header="0" w:footer="1651" w:top="1500" w:bottom="1840" w:left="1720" w:right="1420"/>
        </w:sectPr>
      </w:pPr>
    </w:p>
    <w:p>
      <w:pPr>
        <w:pStyle w:val="BodyText"/>
        <w:spacing w:before="7"/>
        <w:rPr>
          <w:sz w:val="20"/>
        </w:rPr>
      </w:pPr>
    </w:p>
    <w:p>
      <w:pPr>
        <w:pStyle w:val="BodyText"/>
        <w:spacing w:line="360" w:lineRule="auto" w:before="69"/>
        <w:ind w:left="152" w:right="106"/>
      </w:pPr>
      <w:r>
        <w:rPr/>
        <w:t>aorta hasta la aurícula derecha, y está inversamente relacionada con el flujo sanguíneo (índice cardíaco).</w:t>
      </w:r>
    </w:p>
    <w:p>
      <w:pPr>
        <w:pStyle w:val="BodyText"/>
        <w:spacing w:before="4"/>
        <w:ind w:left="995" w:right="236"/>
        <w:jc w:val="center"/>
      </w:pPr>
      <w:r>
        <w:rPr/>
        <w:t>IRVS = (PAM - PVC) x 80 / IC</w:t>
      </w:r>
    </w:p>
    <w:p>
      <w:pPr>
        <w:pStyle w:val="BodyText"/>
        <w:spacing w:line="360" w:lineRule="auto" w:before="141"/>
        <w:ind w:left="152" w:right="100" w:firstLine="710"/>
        <w:jc w:val="both"/>
      </w:pPr>
      <w:r>
        <w:rPr/>
        <w:t>La evidente similitud entre el aparato cardiovascular y un circuito eléctrico </w:t>
      </w:r>
      <w:r>
        <w:rPr>
          <w:spacing w:val="-3"/>
        </w:rPr>
        <w:t>ha </w:t>
      </w:r>
      <w:r>
        <w:rPr/>
        <w:t>permito desarrollar una relación entre </w:t>
      </w:r>
      <w:r>
        <w:rPr>
          <w:spacing w:val="-5"/>
        </w:rPr>
        <w:t>la </w:t>
      </w:r>
      <w:r>
        <w:rPr/>
        <w:t>presión arterial y el flujo sanguíneo con </w:t>
      </w:r>
      <w:r>
        <w:rPr>
          <w:spacing w:val="-5"/>
        </w:rPr>
        <w:t>la </w:t>
      </w:r>
      <w:r>
        <w:rPr/>
        <w:t>fórmula de </w:t>
      </w:r>
      <w:r>
        <w:rPr>
          <w:spacing w:val="-3"/>
        </w:rPr>
        <w:t>la </w:t>
      </w:r>
      <w:r>
        <w:rPr/>
        <w:t>ley Ohm: E (voltaje) = (intensidad) × R (resistencia). La caída de </w:t>
      </w:r>
      <w:r>
        <w:rPr>
          <w:spacing w:val="-3"/>
        </w:rPr>
        <w:t>la </w:t>
      </w:r>
      <w:r>
        <w:rPr/>
        <w:t>presión arterial a </w:t>
      </w:r>
      <w:r>
        <w:rPr>
          <w:spacing w:val="-5"/>
        </w:rPr>
        <w:t>lo </w:t>
      </w:r>
      <w:r>
        <w:rPr/>
        <w:t>largo del lecho vascular equivale al producto del flujo sanguíneo que </w:t>
      </w:r>
      <w:r>
        <w:rPr>
          <w:spacing w:val="-5"/>
        </w:rPr>
        <w:t>lo </w:t>
      </w:r>
      <w:r>
        <w:rPr/>
        <w:t>atraviesa y </w:t>
      </w:r>
      <w:r>
        <w:rPr>
          <w:spacing w:val="-3"/>
        </w:rPr>
        <w:t>la </w:t>
      </w:r>
      <w:r>
        <w:rPr/>
        <w:t>resistencia del flujo que ejerce el lecho. A partir de esta ecuación puede obtenerse otra que exprese </w:t>
      </w:r>
      <w:r>
        <w:rPr>
          <w:spacing w:val="-3"/>
        </w:rPr>
        <w:t>la </w:t>
      </w:r>
      <w:r>
        <w:rPr/>
        <w:t>resistencia del aparato cardiovascular, si bien puede utilizarse esta fórmula para calcular el lecho vascular regional, su aplicación </w:t>
      </w:r>
      <w:r>
        <w:rPr>
          <w:spacing w:val="-3"/>
        </w:rPr>
        <w:t>más </w:t>
      </w:r>
      <w:r>
        <w:rPr/>
        <w:t>habitual consiste en determinar el IRVS global y </w:t>
      </w:r>
      <w:r>
        <w:rPr>
          <w:spacing w:val="-3"/>
        </w:rPr>
        <w:t>la </w:t>
      </w:r>
      <w:r>
        <w:rPr/>
        <w:t>resistencia vascular pulmonar (RVP).La estimación </w:t>
      </w:r>
      <w:r>
        <w:rPr>
          <w:spacing w:val="2"/>
        </w:rPr>
        <w:t>del </w:t>
      </w:r>
      <w:r>
        <w:rPr/>
        <w:t>IRVS resulta </w:t>
      </w:r>
      <w:r>
        <w:rPr>
          <w:spacing w:val="2"/>
        </w:rPr>
        <w:t>útil </w:t>
      </w:r>
      <w:r>
        <w:rPr/>
        <w:t>para determinar </w:t>
      </w:r>
      <w:r>
        <w:rPr>
          <w:spacing w:val="-5"/>
        </w:rPr>
        <w:t>la </w:t>
      </w:r>
      <w:r>
        <w:rPr/>
        <w:t>influencia del tono vascular sobre </w:t>
      </w:r>
      <w:r>
        <w:rPr>
          <w:spacing w:val="-3"/>
        </w:rPr>
        <w:t>la </w:t>
      </w:r>
      <w:r>
        <w:rPr/>
        <w:t>función cardiaca (McGregor M, </w:t>
      </w:r>
      <w:r>
        <w:rPr>
          <w:i/>
        </w:rPr>
        <w:t>et </w:t>
      </w:r>
      <w:r>
        <w:rPr>
          <w:i/>
        </w:rPr>
        <w:t>al</w:t>
      </w:r>
      <w:r>
        <w:rPr/>
        <w:t>. 2000).El IRVS es importante por dos razones: (1) regula </w:t>
      </w:r>
      <w:r>
        <w:rPr>
          <w:spacing w:val="-3"/>
        </w:rPr>
        <w:t>la </w:t>
      </w:r>
      <w:r>
        <w:rPr/>
        <w:t>presión arterial (2) regula </w:t>
      </w:r>
      <w:r>
        <w:rPr>
          <w:spacing w:val="-3"/>
        </w:rPr>
        <w:t>la </w:t>
      </w:r>
      <w:r>
        <w:rPr/>
        <w:t>perfusión tisular periférica(Crowe 2005, </w:t>
      </w:r>
      <w:r>
        <w:rPr>
          <w:spacing w:val="-4"/>
        </w:rPr>
        <w:t>Muir</w:t>
      </w:r>
      <w:r>
        <w:rPr>
          <w:spacing w:val="-5"/>
        </w:rPr>
        <w:t> </w:t>
      </w:r>
      <w:r>
        <w:rPr/>
        <w:t>2005).</w:t>
      </w:r>
    </w:p>
    <w:p>
      <w:pPr>
        <w:pStyle w:val="BodyText"/>
      </w:pPr>
    </w:p>
    <w:p>
      <w:pPr>
        <w:pStyle w:val="Heading2"/>
        <w:numPr>
          <w:ilvl w:val="2"/>
          <w:numId w:val="5"/>
        </w:numPr>
        <w:tabs>
          <w:tab w:pos="816" w:val="left" w:leader="none"/>
        </w:tabs>
        <w:spacing w:line="240" w:lineRule="auto" w:before="150" w:after="0"/>
        <w:ind w:left="815" w:right="0" w:hanging="663"/>
        <w:jc w:val="left"/>
      </w:pPr>
      <w:bookmarkStart w:name="_bookmark44" w:id="76"/>
      <w:bookmarkEnd w:id="76"/>
      <w:r>
        <w:rPr>
          <w:b w:val="0"/>
        </w:rPr>
      </w:r>
      <w:bookmarkStart w:name="_bookmark44" w:id="77"/>
      <w:bookmarkEnd w:id="77"/>
      <w:r>
        <w:rPr/>
        <w:t>Í</w:t>
      </w:r>
      <w:r>
        <w:rPr/>
        <w:t>ndice de trabajo sistólico ventricular izquierdo</w:t>
      </w:r>
      <w:r>
        <w:rPr>
          <w:spacing w:val="-32"/>
        </w:rPr>
        <w:t> </w:t>
      </w:r>
      <w:r>
        <w:rPr/>
        <w:t>(ITSVI)</w:t>
      </w:r>
    </w:p>
    <w:p>
      <w:pPr>
        <w:pStyle w:val="BodyText"/>
        <w:rPr>
          <w:b/>
        </w:rPr>
      </w:pPr>
    </w:p>
    <w:p>
      <w:pPr>
        <w:pStyle w:val="BodyText"/>
        <w:spacing w:before="4"/>
        <w:rPr>
          <w:b/>
          <w:sz w:val="23"/>
        </w:rPr>
      </w:pPr>
    </w:p>
    <w:p>
      <w:pPr>
        <w:pStyle w:val="BodyText"/>
        <w:spacing w:line="360" w:lineRule="auto"/>
        <w:ind w:left="152" w:right="112" w:firstLine="710"/>
        <w:jc w:val="both"/>
      </w:pPr>
      <w:r>
        <w:rPr/>
        <w:t>Este parámetro refleja el trabajo realizado por el ventrículo para eyectar la sangre hacia la aorta. Dependerá de la fuerza o presión ejercida (presión arterial media menos presión capilar) y del volumen eyectado (volumen sistólico), por lo que se puede calcular con los datos aportados por el CAP (Álvarez J 1989).</w:t>
      </w:r>
    </w:p>
    <w:p>
      <w:pPr>
        <w:pStyle w:val="BodyText"/>
        <w:spacing w:before="4"/>
        <w:ind w:left="987" w:right="236"/>
        <w:jc w:val="center"/>
      </w:pPr>
      <w:r>
        <w:rPr/>
        <w:t>ITSVI = (PAM - PCP) x IVS (x 0.0136)</w:t>
      </w:r>
    </w:p>
    <w:p>
      <w:pPr>
        <w:pStyle w:val="BodyText"/>
      </w:pPr>
    </w:p>
    <w:p>
      <w:pPr>
        <w:pStyle w:val="BodyText"/>
        <w:spacing w:before="3"/>
      </w:pPr>
    </w:p>
    <w:p>
      <w:pPr>
        <w:pStyle w:val="Heading2"/>
        <w:numPr>
          <w:ilvl w:val="2"/>
          <w:numId w:val="5"/>
        </w:numPr>
        <w:tabs>
          <w:tab w:pos="936" w:val="left" w:leader="none"/>
        </w:tabs>
        <w:spacing w:line="240" w:lineRule="auto" w:before="0" w:after="0"/>
        <w:ind w:left="935" w:right="0" w:hanging="783"/>
        <w:jc w:val="left"/>
      </w:pPr>
      <w:bookmarkStart w:name="_bookmark45" w:id="78"/>
      <w:bookmarkEnd w:id="78"/>
      <w:r>
        <w:rPr>
          <w:b w:val="0"/>
        </w:rPr>
      </w:r>
      <w:bookmarkStart w:name="_bookmark45" w:id="79"/>
      <w:bookmarkEnd w:id="79"/>
      <w:r>
        <w:rPr/>
        <w:t>Í</w:t>
      </w:r>
      <w:r>
        <w:rPr/>
        <w:t>ndice de trabajo sistólico ventricular derecho</w:t>
      </w:r>
      <w:r>
        <w:rPr>
          <w:spacing w:val="-26"/>
        </w:rPr>
        <w:t> </w:t>
      </w:r>
      <w:r>
        <w:rPr/>
        <w:t>(ITSVD)</w:t>
      </w:r>
    </w:p>
    <w:p>
      <w:pPr>
        <w:pStyle w:val="BodyText"/>
        <w:rPr>
          <w:b/>
        </w:rPr>
      </w:pPr>
    </w:p>
    <w:p>
      <w:pPr>
        <w:pStyle w:val="BodyText"/>
        <w:spacing w:before="9"/>
        <w:rPr>
          <w:b/>
          <w:sz w:val="23"/>
        </w:rPr>
      </w:pPr>
    </w:p>
    <w:p>
      <w:pPr>
        <w:pStyle w:val="BodyText"/>
        <w:spacing w:line="360" w:lineRule="auto"/>
        <w:ind w:left="152" w:right="102" w:firstLine="710"/>
        <w:jc w:val="both"/>
      </w:pPr>
      <w:r>
        <w:rPr/>
        <w:t>El índice del trabajo sistólico del ventrículo derecho (ITSVD), es un parámetro que refleja de forma similar, el trabajo necesario para mover el volumen sistólico a través de la circulación pulmonar. Se calcula a partir de la presión arterial pulmonar media, la presión</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152"/>
      </w:pPr>
      <w:r>
        <w:rPr/>
        <w:t>venosa central y del valor del volumen sistólico, el cual es representado por la siguiente formula (Sun LS </w:t>
      </w:r>
      <w:r>
        <w:rPr>
          <w:i/>
        </w:rPr>
        <w:t>et al</w:t>
      </w:r>
      <w:r>
        <w:rPr/>
        <w:t>. 2010).</w:t>
      </w:r>
    </w:p>
    <w:p>
      <w:pPr>
        <w:pStyle w:val="BodyText"/>
        <w:spacing w:before="4"/>
        <w:ind w:left="2966"/>
      </w:pPr>
      <w:r>
        <w:rPr/>
        <w:t>ITSVD = (PAP - PVC) x IVS (x 0.0136)</w:t>
      </w:r>
    </w:p>
    <w:p>
      <w:pPr>
        <w:pStyle w:val="BodyText"/>
      </w:pPr>
    </w:p>
    <w:p>
      <w:pPr>
        <w:pStyle w:val="BodyText"/>
        <w:spacing w:before="7"/>
      </w:pPr>
    </w:p>
    <w:p>
      <w:pPr>
        <w:pStyle w:val="Heading2"/>
        <w:numPr>
          <w:ilvl w:val="2"/>
          <w:numId w:val="5"/>
        </w:numPr>
        <w:tabs>
          <w:tab w:pos="936" w:val="left" w:leader="none"/>
        </w:tabs>
        <w:spacing w:line="240" w:lineRule="auto" w:before="0" w:after="0"/>
        <w:ind w:left="935" w:right="0" w:hanging="783"/>
        <w:jc w:val="left"/>
      </w:pPr>
      <w:bookmarkStart w:name="_bookmark46" w:id="80"/>
      <w:bookmarkEnd w:id="80"/>
      <w:r>
        <w:rPr>
          <w:b w:val="0"/>
        </w:rPr>
      </w:r>
      <w:bookmarkStart w:name="_bookmark46" w:id="81"/>
      <w:bookmarkEnd w:id="81"/>
      <w:r>
        <w:rPr/>
        <w:t>Í</w:t>
      </w:r>
      <w:r>
        <w:rPr/>
        <w:t>ndice de resistencia vascular pulmonar</w:t>
      </w:r>
      <w:r>
        <w:rPr>
          <w:spacing w:val="-28"/>
        </w:rPr>
        <w:t> </w:t>
      </w:r>
      <w:r>
        <w:rPr/>
        <w:t>(IRVP)</w:t>
      </w:r>
    </w:p>
    <w:p>
      <w:pPr>
        <w:pStyle w:val="BodyText"/>
        <w:rPr>
          <w:b/>
        </w:rPr>
      </w:pPr>
    </w:p>
    <w:p>
      <w:pPr>
        <w:pStyle w:val="BodyText"/>
        <w:spacing w:before="4"/>
        <w:rPr>
          <w:b/>
          <w:sz w:val="23"/>
        </w:rPr>
      </w:pPr>
    </w:p>
    <w:p>
      <w:pPr>
        <w:pStyle w:val="BodyText"/>
        <w:spacing w:line="360" w:lineRule="auto"/>
        <w:ind w:left="152" w:right="99" w:firstLine="710"/>
        <w:jc w:val="both"/>
      </w:pPr>
      <w:r>
        <w:rPr/>
        <w:t>El papel de los agentes farmacológicos en </w:t>
      </w:r>
      <w:r>
        <w:rPr>
          <w:spacing w:val="-3"/>
        </w:rPr>
        <w:t>la </w:t>
      </w:r>
      <w:r>
        <w:rPr/>
        <w:t>determinación de las presiones y las resistencias vasculares pulmonares es complicado </w:t>
      </w:r>
      <w:r>
        <w:rPr>
          <w:spacing w:val="-5"/>
        </w:rPr>
        <w:t>ya </w:t>
      </w:r>
      <w:r>
        <w:rPr/>
        <w:t>que muchos agentes vasoactivos tienen tanto efecto directos sobre los vasos sanguíneos pulmonares como indirectos,  a través de modificaciones del GC y </w:t>
      </w:r>
      <w:r>
        <w:rPr>
          <w:spacing w:val="2"/>
        </w:rPr>
        <w:t>del </w:t>
      </w:r>
      <w:r>
        <w:rPr/>
        <w:t>flujo sanguíneo pulmonar. Las modificaciones de </w:t>
      </w:r>
      <w:r>
        <w:rPr>
          <w:spacing w:val="-5"/>
        </w:rPr>
        <w:t>la </w:t>
      </w:r>
      <w:r>
        <w:rPr/>
        <w:t>presión y del índice resistencia vascular pulmonar IRVP, pueden tener efectos  significativos sobre el intercambio de gases o de líquidos en el pulmón. Un IRVP puede provocar un incremento de </w:t>
      </w:r>
      <w:r>
        <w:rPr>
          <w:spacing w:val="-5"/>
        </w:rPr>
        <w:t>la </w:t>
      </w:r>
      <w:r>
        <w:rPr/>
        <w:t>presión arterial pulmonar si se mantiene constante el GC y se promueve una </w:t>
      </w:r>
      <w:r>
        <w:rPr>
          <w:spacing w:val="-3"/>
        </w:rPr>
        <w:t>mayor </w:t>
      </w:r>
      <w:r>
        <w:rPr/>
        <w:t>extravasación de líquidos al intersticio</w:t>
      </w:r>
      <w:r>
        <w:rPr>
          <w:spacing w:val="-14"/>
        </w:rPr>
        <w:t> </w:t>
      </w:r>
      <w:r>
        <w:rPr/>
        <w:t>pulmonar.</w:t>
      </w:r>
    </w:p>
    <w:p>
      <w:pPr>
        <w:pStyle w:val="BodyText"/>
        <w:spacing w:line="357" w:lineRule="auto" w:before="4"/>
        <w:ind w:left="152" w:right="109" w:firstLine="710"/>
        <w:jc w:val="both"/>
      </w:pPr>
      <w:r>
        <w:rPr/>
        <w:t>Las modificaciones regionales del IRVS son particularmente importantes, ya que pueden alterar la distribución relativa del flujo sanguíneo dentro del pulmón y provocar alteraciones de ventilación-perfusión, acompañándose en el intercambio gaseoso. Paralelamente, las resistencias pulmonares son proporcionales al gradiente a través de la vasculatura pulmonar, desde la arteria pulmonar hasta la aurícula izquierda (representada por la PCP), e inversamente proporcional al índice cardíaco. IRVP = (PAP - PCP) x 80 / IC 250-340 din-seg-m</w:t>
      </w:r>
      <w:r>
        <w:rPr>
          <w:position w:val="9"/>
          <w:sz w:val="16"/>
        </w:rPr>
        <w:t>2</w:t>
      </w:r>
      <w:r>
        <w:rPr/>
        <w:t>/cm</w:t>
      </w:r>
      <w:r>
        <w:rPr>
          <w:position w:val="9"/>
          <w:sz w:val="16"/>
        </w:rPr>
        <w:t>5</w:t>
      </w:r>
      <w:r>
        <w:rPr/>
        <w:t>. El IRVS puede alterarse mediante mecanismos diferentes. Un GC mayor (flujo pulmonar incrementado, una elevación de la aurícula izquierda o ambos mecanismos, pueden provocar cambios pasivos del diámetro de los vasos  pulmonares. (Price HL. </w:t>
      </w:r>
      <w:r>
        <w:rPr>
          <w:i/>
        </w:rPr>
        <w:t>et al</w:t>
      </w:r>
      <w:r>
        <w:rPr/>
        <w:t>. 1969; Marshall BE. E </w:t>
      </w:r>
      <w:r>
        <w:rPr>
          <w:i/>
        </w:rPr>
        <w:t>et al</w:t>
      </w:r>
      <w:r>
        <w:rPr/>
        <w:t>. 1971).</w:t>
      </w:r>
    </w:p>
    <w:p>
      <w:pPr>
        <w:spacing w:after="0" w:line="357" w:lineRule="auto"/>
        <w:jc w:val="both"/>
        <w:sectPr>
          <w:pgSz w:w="12240" w:h="15840"/>
          <w:pgMar w:header="0" w:footer="1651" w:top="1500" w:bottom="1840" w:left="1720" w:right="1420"/>
        </w:sectPr>
      </w:pPr>
    </w:p>
    <w:p>
      <w:pPr>
        <w:pStyle w:val="BodyText"/>
        <w:spacing w:before="8"/>
        <w:rPr>
          <w:sz w:val="21"/>
        </w:rPr>
      </w:pPr>
    </w:p>
    <w:p>
      <w:pPr>
        <w:pStyle w:val="Heading1"/>
        <w:ind w:right="145"/>
      </w:pPr>
      <w:bookmarkStart w:name="_bookmark47" w:id="82"/>
      <w:bookmarkEnd w:id="82"/>
      <w:r>
        <w:rPr>
          <w:b w:val="0"/>
        </w:rPr>
      </w:r>
      <w:r>
        <w:rPr/>
        <w:t>CAPITULO III</w:t>
      </w:r>
    </w:p>
    <w:p>
      <w:pPr>
        <w:pStyle w:val="BodyText"/>
        <w:rPr>
          <w:b/>
          <w:sz w:val="13"/>
        </w:rPr>
      </w:pPr>
      <w:r>
        <w:rPr/>
        <w:pict>
          <v:line style="position:absolute;mso-position-horizontal-relative:page;mso-position-vertical-relative:paragraph;z-index:1288;mso-wrap-distance-left:0;mso-wrap-distance-right:0" from="92.208pt,10.171667pt" to="537.098pt,10.171667pt" stroked="true" strokeweight="1.44pt" strokecolor="#000000">
            <w10:wrap type="topAndBottom"/>
          </v:line>
        </w:pict>
      </w:r>
    </w:p>
    <w:p>
      <w:pPr>
        <w:pStyle w:val="BodyText"/>
        <w:spacing w:before="5"/>
        <w:rPr>
          <w:b/>
          <w:sz w:val="2"/>
        </w:rPr>
      </w:pPr>
    </w:p>
    <w:p>
      <w:pPr>
        <w:pStyle w:val="BodyText"/>
        <w:spacing w:line="20" w:lineRule="exact"/>
        <w:ind w:left="116"/>
        <w:rPr>
          <w:sz w:val="2"/>
        </w:rPr>
      </w:pPr>
      <w:r>
        <w:rPr>
          <w:sz w:val="2"/>
        </w:rPr>
        <w:pict>
          <v:group style="width:445.65pt;height:.75pt;mso-position-horizontal-relative:char;mso-position-vertical-relative:line" coordorigin="0,0" coordsize="8913,15">
            <v:line style="position:absolute" from="8,8" to="8905,8" stroked="true" strokeweight=".72pt" strokecolor="#000000"/>
          </v:group>
        </w:pict>
      </w:r>
      <w:r>
        <w:rPr>
          <w:sz w:val="2"/>
        </w:rPr>
      </w:r>
    </w:p>
    <w:p>
      <w:pPr>
        <w:pStyle w:val="BodyText"/>
        <w:spacing w:before="2"/>
        <w:rPr>
          <w:b/>
          <w:sz w:val="29"/>
        </w:rPr>
      </w:pPr>
    </w:p>
    <w:p>
      <w:pPr>
        <w:pStyle w:val="Heading2"/>
        <w:numPr>
          <w:ilvl w:val="0"/>
          <w:numId w:val="2"/>
        </w:numPr>
        <w:tabs>
          <w:tab w:pos="398" w:val="left" w:leader="none"/>
        </w:tabs>
        <w:spacing w:line="240" w:lineRule="auto" w:before="69" w:after="0"/>
        <w:ind w:left="397" w:right="0" w:hanging="245"/>
        <w:jc w:val="left"/>
      </w:pPr>
      <w:bookmarkStart w:name="_bookmark48" w:id="83"/>
      <w:bookmarkEnd w:id="83"/>
      <w:r>
        <w:rPr>
          <w:b w:val="0"/>
        </w:rPr>
      </w:r>
      <w:bookmarkStart w:name="_bookmark48" w:id="84"/>
      <w:bookmarkEnd w:id="84"/>
      <w:r>
        <w:rPr/>
        <w:t>Ju</w:t>
      </w:r>
      <w:r>
        <w:rPr/>
        <w:t>stificación</w:t>
      </w:r>
    </w:p>
    <w:p>
      <w:pPr>
        <w:pStyle w:val="BodyText"/>
        <w:spacing w:line="360" w:lineRule="auto" w:before="132"/>
        <w:ind w:left="152" w:right="127" w:firstLine="710"/>
      </w:pPr>
      <w:r>
        <w:rPr/>
        <w:t>Evaluar los cambios cardiovasculares que ocurren con la utilización de la combinación de lidocaína y dexmedetomidina en perros anestesiados con sevoflurano.</w:t>
      </w:r>
    </w:p>
    <w:p>
      <w:pPr>
        <w:spacing w:after="0" w:line="360" w:lineRule="auto"/>
        <w:sectPr>
          <w:pgSz w:w="12240" w:h="15840"/>
          <w:pgMar w:header="0" w:footer="1651" w:top="1500" w:bottom="1840" w:left="1720" w:right="1380"/>
        </w:sectPr>
      </w:pPr>
    </w:p>
    <w:p>
      <w:pPr>
        <w:pStyle w:val="BodyText"/>
        <w:spacing w:before="8"/>
        <w:rPr>
          <w:sz w:val="21"/>
        </w:rPr>
      </w:pPr>
    </w:p>
    <w:p>
      <w:pPr>
        <w:pStyle w:val="Heading1"/>
        <w:ind w:right="141"/>
      </w:pPr>
      <w:bookmarkStart w:name="_bookmark51" w:id="85"/>
      <w:bookmarkEnd w:id="85"/>
      <w:r>
        <w:rPr>
          <w:b w:val="0"/>
        </w:rPr>
      </w:r>
      <w:bookmarkStart w:name="_bookmark49" w:id="86"/>
      <w:bookmarkEnd w:id="86"/>
      <w:r>
        <w:rPr>
          <w:b w:val="0"/>
        </w:rPr>
      </w:r>
      <w:r>
        <w:rPr/>
        <w:t>CAPITULO IV</w:t>
      </w:r>
    </w:p>
    <w:p>
      <w:pPr>
        <w:pStyle w:val="BodyText"/>
        <w:rPr>
          <w:b/>
          <w:sz w:val="13"/>
        </w:rPr>
      </w:pPr>
      <w:r>
        <w:rPr/>
        <w:pict>
          <v:line style="position:absolute;mso-position-horizontal-relative:page;mso-position-vertical-relative:paragraph;z-index:1336;mso-wrap-distance-left:0;mso-wrap-distance-right:0" from="92.208pt,10.171667pt" to="537.098pt,10.171667pt" stroked="true" strokeweight="1.44pt" strokecolor="#000000">
            <w10:wrap type="topAndBottom"/>
          </v:line>
        </w:pict>
      </w:r>
    </w:p>
    <w:p>
      <w:pPr>
        <w:pStyle w:val="BodyText"/>
        <w:spacing w:before="5"/>
        <w:rPr>
          <w:b/>
          <w:sz w:val="2"/>
        </w:rPr>
      </w:pPr>
    </w:p>
    <w:p>
      <w:pPr>
        <w:pStyle w:val="BodyText"/>
        <w:spacing w:line="20" w:lineRule="exact"/>
        <w:ind w:left="116"/>
        <w:rPr>
          <w:sz w:val="2"/>
        </w:rPr>
      </w:pPr>
      <w:r>
        <w:rPr>
          <w:sz w:val="2"/>
        </w:rPr>
        <w:pict>
          <v:group style="width:445.65pt;height:.75pt;mso-position-horizontal-relative:char;mso-position-vertical-relative:line" coordorigin="0,0" coordsize="8913,15">
            <v:line style="position:absolute" from="8,8" to="8905,8" stroked="true" strokeweight=".72pt" strokecolor="#000000"/>
          </v:group>
        </w:pict>
      </w:r>
      <w:r>
        <w:rPr>
          <w:sz w:val="2"/>
        </w:rPr>
      </w:r>
    </w:p>
    <w:p>
      <w:pPr>
        <w:pStyle w:val="BodyText"/>
        <w:spacing w:before="2"/>
        <w:rPr>
          <w:b/>
          <w:sz w:val="29"/>
        </w:rPr>
      </w:pPr>
    </w:p>
    <w:p>
      <w:pPr>
        <w:pStyle w:val="Heading2"/>
        <w:numPr>
          <w:ilvl w:val="0"/>
          <w:numId w:val="2"/>
        </w:numPr>
        <w:tabs>
          <w:tab w:pos="398" w:val="left" w:leader="none"/>
        </w:tabs>
        <w:spacing w:line="240" w:lineRule="auto" w:before="69" w:after="0"/>
        <w:ind w:left="397" w:right="0" w:hanging="245"/>
        <w:jc w:val="left"/>
      </w:pPr>
      <w:bookmarkStart w:name="_bookmark50" w:id="87"/>
      <w:bookmarkEnd w:id="87"/>
      <w:r>
        <w:rPr>
          <w:b w:val="0"/>
        </w:rPr>
      </w:r>
      <w:bookmarkStart w:name="_bookmark50" w:id="88"/>
      <w:bookmarkEnd w:id="88"/>
      <w:r>
        <w:rPr/>
        <w:t>Hi</w:t>
      </w:r>
      <w:r>
        <w:rPr/>
        <w:t>pótesis</w:t>
      </w:r>
    </w:p>
    <w:p>
      <w:pPr>
        <w:pStyle w:val="BodyText"/>
        <w:rPr>
          <w:b/>
        </w:rPr>
      </w:pPr>
    </w:p>
    <w:p>
      <w:pPr>
        <w:pStyle w:val="BodyText"/>
        <w:spacing w:before="4"/>
        <w:rPr>
          <w:b/>
          <w:sz w:val="23"/>
        </w:rPr>
      </w:pPr>
    </w:p>
    <w:p>
      <w:pPr>
        <w:pStyle w:val="BodyText"/>
        <w:spacing w:line="360" w:lineRule="auto"/>
        <w:ind w:left="152" w:right="127" w:firstLine="710"/>
      </w:pPr>
      <w:r>
        <w:rPr/>
        <w:t>La combinación de lidocaína y dexmedetomidina son capaces de mejorar los cambios cardiovasculares ocasionados por la utilización única de dexmedetomidina.</w:t>
      </w:r>
    </w:p>
    <w:p>
      <w:pPr>
        <w:spacing w:after="0" w:line="360" w:lineRule="auto"/>
        <w:sectPr>
          <w:pgSz w:w="12240" w:h="15840"/>
          <w:pgMar w:header="0" w:footer="1651" w:top="1500" w:bottom="1840" w:left="1720" w:right="1380"/>
        </w:sectPr>
      </w:pPr>
    </w:p>
    <w:p>
      <w:pPr>
        <w:pStyle w:val="BodyText"/>
        <w:spacing w:before="8"/>
        <w:rPr>
          <w:sz w:val="21"/>
        </w:rPr>
      </w:pPr>
    </w:p>
    <w:p>
      <w:pPr>
        <w:pStyle w:val="Heading1"/>
        <w:ind w:right="147"/>
      </w:pPr>
      <w:r>
        <w:rPr/>
        <w:t>CAPITULO V</w:t>
      </w:r>
    </w:p>
    <w:p>
      <w:pPr>
        <w:pStyle w:val="BodyText"/>
        <w:rPr>
          <w:b/>
          <w:sz w:val="13"/>
        </w:rPr>
      </w:pPr>
      <w:r>
        <w:rPr/>
        <w:pict>
          <v:line style="position:absolute;mso-position-horizontal-relative:page;mso-position-vertical-relative:paragraph;z-index:1384;mso-wrap-distance-left:0;mso-wrap-distance-right:0" from="92.208pt,10.171667pt" to="537.098pt,10.171667pt" stroked="true" strokeweight="1.44pt" strokecolor="#000000">
            <w10:wrap type="topAndBottom"/>
          </v:line>
        </w:pict>
      </w:r>
    </w:p>
    <w:p>
      <w:pPr>
        <w:pStyle w:val="BodyText"/>
        <w:spacing w:before="5"/>
        <w:rPr>
          <w:b/>
          <w:sz w:val="2"/>
        </w:rPr>
      </w:pPr>
    </w:p>
    <w:p>
      <w:pPr>
        <w:pStyle w:val="BodyText"/>
        <w:spacing w:line="20" w:lineRule="exact"/>
        <w:ind w:left="116"/>
        <w:rPr>
          <w:sz w:val="2"/>
        </w:rPr>
      </w:pPr>
      <w:r>
        <w:rPr>
          <w:sz w:val="2"/>
        </w:rPr>
        <w:pict>
          <v:group style="width:445.65pt;height:.75pt;mso-position-horizontal-relative:char;mso-position-vertical-relative:line" coordorigin="0,0" coordsize="8913,15">
            <v:line style="position:absolute" from="8,8" to="8905,8" stroked="true" strokeweight=".72pt" strokecolor="#000000"/>
          </v:group>
        </w:pict>
      </w:r>
      <w:r>
        <w:rPr>
          <w:sz w:val="2"/>
        </w:rPr>
      </w:r>
    </w:p>
    <w:p>
      <w:pPr>
        <w:pStyle w:val="BodyText"/>
        <w:spacing w:before="2"/>
        <w:rPr>
          <w:b/>
          <w:sz w:val="29"/>
        </w:rPr>
      </w:pPr>
    </w:p>
    <w:p>
      <w:pPr>
        <w:pStyle w:val="Heading2"/>
        <w:numPr>
          <w:ilvl w:val="0"/>
          <w:numId w:val="2"/>
        </w:numPr>
        <w:tabs>
          <w:tab w:pos="398" w:val="left" w:leader="none"/>
        </w:tabs>
        <w:spacing w:line="240" w:lineRule="auto" w:before="69" w:after="0"/>
        <w:ind w:left="397" w:right="0" w:hanging="245"/>
        <w:jc w:val="left"/>
      </w:pPr>
      <w:bookmarkStart w:name="_bookmark52" w:id="89"/>
      <w:bookmarkEnd w:id="89"/>
      <w:r>
        <w:rPr>
          <w:b w:val="0"/>
        </w:rPr>
      </w:r>
      <w:bookmarkStart w:name="_bookmark52" w:id="90"/>
      <w:bookmarkEnd w:id="90"/>
      <w:r>
        <w:rPr/>
        <w:t>O</w:t>
      </w:r>
      <w:r>
        <w:rPr/>
        <w:t>bjetivo</w:t>
      </w:r>
    </w:p>
    <w:p>
      <w:pPr>
        <w:pStyle w:val="BodyText"/>
        <w:spacing w:line="362" w:lineRule="auto" w:before="132"/>
        <w:ind w:left="152" w:right="151" w:firstLine="710"/>
        <w:jc w:val="both"/>
      </w:pPr>
      <w:r>
        <w:rPr/>
        <w:t>Evaluar el efecto cardiovascular de la combinación de lidocaína y dexmedetomidina con una dosis de impregnación seguido de una infusión continua en perros anestesiados con sevoflurano.</w:t>
      </w:r>
    </w:p>
    <w:p>
      <w:pPr>
        <w:spacing w:after="0" w:line="362" w:lineRule="auto"/>
        <w:jc w:val="both"/>
        <w:sectPr>
          <w:pgSz w:w="12240" w:h="15840"/>
          <w:pgMar w:header="0" w:footer="1651" w:top="1500" w:bottom="1840" w:left="1720" w:right="1380"/>
        </w:sectPr>
      </w:pPr>
    </w:p>
    <w:p>
      <w:pPr>
        <w:pStyle w:val="BodyText"/>
        <w:spacing w:before="8"/>
        <w:rPr>
          <w:sz w:val="21"/>
        </w:rPr>
      </w:pPr>
    </w:p>
    <w:p>
      <w:pPr>
        <w:pStyle w:val="Heading1"/>
      </w:pPr>
      <w:bookmarkStart w:name="_bookmark53" w:id="91"/>
      <w:bookmarkEnd w:id="91"/>
      <w:r>
        <w:rPr>
          <w:b w:val="0"/>
        </w:rPr>
      </w:r>
      <w:r>
        <w:rPr/>
        <w:t>CAPITULO VI</w:t>
      </w:r>
    </w:p>
    <w:p>
      <w:pPr>
        <w:pStyle w:val="BodyText"/>
        <w:rPr>
          <w:b/>
          <w:sz w:val="13"/>
        </w:rPr>
      </w:pPr>
      <w:r>
        <w:rPr/>
        <w:pict>
          <v:line style="position:absolute;mso-position-horizontal-relative:page;mso-position-vertical-relative:paragraph;z-index:1432;mso-wrap-distance-left:0;mso-wrap-distance-right:0" from="92.208pt,10.171667pt" to="537.098pt,10.171667pt" stroked="true" strokeweight="1.44pt" strokecolor="#000000">
            <w10:wrap type="topAndBottom"/>
          </v:line>
        </w:pict>
      </w:r>
    </w:p>
    <w:p>
      <w:pPr>
        <w:pStyle w:val="BodyText"/>
        <w:spacing w:before="5"/>
        <w:rPr>
          <w:b/>
          <w:sz w:val="2"/>
        </w:rPr>
      </w:pPr>
    </w:p>
    <w:p>
      <w:pPr>
        <w:pStyle w:val="BodyText"/>
        <w:spacing w:line="20" w:lineRule="exact"/>
        <w:ind w:left="116"/>
        <w:rPr>
          <w:sz w:val="2"/>
        </w:rPr>
      </w:pPr>
      <w:r>
        <w:rPr>
          <w:sz w:val="2"/>
        </w:rPr>
        <w:pict>
          <v:group style="width:445.65pt;height:.75pt;mso-position-horizontal-relative:char;mso-position-vertical-relative:line" coordorigin="0,0" coordsize="8913,15">
            <v:line style="position:absolute" from="8,8" to="8905,8" stroked="true" strokeweight=".72pt" strokecolor="#000000"/>
          </v:group>
        </w:pict>
      </w:r>
      <w:r>
        <w:rPr>
          <w:sz w:val="2"/>
        </w:rPr>
      </w:r>
    </w:p>
    <w:p>
      <w:pPr>
        <w:pStyle w:val="BodyText"/>
        <w:spacing w:before="2"/>
        <w:rPr>
          <w:b/>
          <w:sz w:val="29"/>
        </w:rPr>
      </w:pPr>
    </w:p>
    <w:p>
      <w:pPr>
        <w:pStyle w:val="Heading2"/>
        <w:numPr>
          <w:ilvl w:val="0"/>
          <w:numId w:val="2"/>
        </w:numPr>
        <w:tabs>
          <w:tab w:pos="393" w:val="left" w:leader="none"/>
        </w:tabs>
        <w:spacing w:line="240" w:lineRule="auto" w:before="69" w:after="0"/>
        <w:ind w:left="393" w:right="0" w:hanging="241"/>
        <w:jc w:val="left"/>
      </w:pPr>
      <w:bookmarkStart w:name="_bookmark54" w:id="92"/>
      <w:bookmarkEnd w:id="92"/>
      <w:r>
        <w:rPr>
          <w:b w:val="0"/>
        </w:rPr>
      </w:r>
      <w:bookmarkStart w:name="_bookmark54" w:id="93"/>
      <w:bookmarkEnd w:id="93"/>
      <w:r>
        <w:rPr/>
        <w:t>M</w:t>
      </w:r>
      <w:r>
        <w:rPr/>
        <w:t>aterial y</w:t>
      </w:r>
      <w:r>
        <w:rPr>
          <w:spacing w:val="-1"/>
        </w:rPr>
        <w:t> </w:t>
      </w:r>
      <w:r>
        <w:rPr/>
        <w:t>Método</w:t>
      </w:r>
    </w:p>
    <w:p>
      <w:pPr>
        <w:pStyle w:val="BodyText"/>
        <w:spacing w:line="362" w:lineRule="auto" w:before="132"/>
        <w:ind w:left="152" w:right="157" w:firstLine="710"/>
        <w:jc w:val="both"/>
      </w:pPr>
      <w:r>
        <w:rPr/>
        <w:t>Este estudio fue aprobado por el comité de ética para la utilización de animales con fines de experimentación de la Facultad de Medicina Veterinaria y Zootecnia de la Universidad Autónoma del Estado de México, con número de registro No. DCARM-1412</w:t>
      </w:r>
    </w:p>
    <w:p>
      <w:pPr>
        <w:pStyle w:val="BodyText"/>
      </w:pPr>
    </w:p>
    <w:p>
      <w:pPr>
        <w:pStyle w:val="Heading2"/>
        <w:numPr>
          <w:ilvl w:val="1"/>
          <w:numId w:val="2"/>
        </w:numPr>
        <w:tabs>
          <w:tab w:pos="518" w:val="left" w:leader="none"/>
        </w:tabs>
        <w:spacing w:line="240" w:lineRule="auto" w:before="143" w:after="0"/>
        <w:ind w:left="517" w:right="0" w:hanging="365"/>
        <w:jc w:val="left"/>
      </w:pPr>
      <w:bookmarkStart w:name="_bookmark55" w:id="94"/>
      <w:bookmarkEnd w:id="94"/>
      <w:r>
        <w:rPr>
          <w:b w:val="0"/>
        </w:rPr>
      </w:r>
      <w:bookmarkStart w:name="_bookmark55" w:id="95"/>
      <w:bookmarkEnd w:id="95"/>
      <w:r>
        <w:rPr/>
        <w:t>Ani</w:t>
      </w:r>
      <w:r>
        <w:rPr/>
        <w:t>males</w:t>
      </w:r>
    </w:p>
    <w:p>
      <w:pPr>
        <w:pStyle w:val="BodyText"/>
        <w:spacing w:line="360" w:lineRule="auto" w:before="132"/>
        <w:ind w:left="152" w:right="140" w:firstLine="710"/>
        <w:jc w:val="both"/>
      </w:pPr>
      <w:r>
        <w:rPr/>
        <w:t>En este estudio se utilizaron 6 perros adultos con una edad de 1 – 2 años con un  peso de 18 ± 5 </w:t>
      </w:r>
      <w:r>
        <w:rPr>
          <w:spacing w:val="-3"/>
        </w:rPr>
        <w:t>Kg </w:t>
      </w:r>
      <w:r>
        <w:rPr/>
        <w:t>(media ± ds), los cuales fueron incluidos en un estudio experimental prospectivo aleatorizado cruzado, </w:t>
      </w:r>
      <w:r>
        <w:rPr>
          <w:spacing w:val="-3"/>
        </w:rPr>
        <w:t>simple </w:t>
      </w:r>
      <w:r>
        <w:rPr/>
        <w:t>ciego. En cada perro se utilizó un periodo de descanso de dos semanas entre cada tratamiento. Cada individuo </w:t>
      </w:r>
      <w:r>
        <w:rPr>
          <w:spacing w:val="-3"/>
        </w:rPr>
        <w:t>fue </w:t>
      </w:r>
      <w:r>
        <w:rPr/>
        <w:t>estudiado en </w:t>
      </w:r>
      <w:r>
        <w:rPr>
          <w:spacing w:val="4"/>
        </w:rPr>
        <w:t>tres </w:t>
      </w:r>
      <w:r>
        <w:rPr/>
        <w:t>ocasiones. Con el objetivo de que cada perro recibiera uno de los tratamientos en una sola ocasión se generaron números de datos aleatorizados por </w:t>
      </w:r>
      <w:r>
        <w:rPr>
          <w:spacing w:val="-4"/>
        </w:rPr>
        <w:t>medio </w:t>
      </w:r>
      <w:r>
        <w:rPr/>
        <w:t>de</w:t>
      </w:r>
      <w:r>
        <w:rPr>
          <w:spacing w:val="-1"/>
        </w:rPr>
        <w:t> </w:t>
      </w:r>
      <w:r>
        <w:rPr/>
        <w:t>computadora.</w:t>
      </w:r>
    </w:p>
    <w:p>
      <w:pPr>
        <w:pStyle w:val="BodyText"/>
        <w:spacing w:line="360" w:lineRule="auto" w:before="8"/>
        <w:ind w:left="152" w:right="142" w:firstLine="710"/>
        <w:jc w:val="both"/>
      </w:pPr>
      <w:r>
        <w:rPr/>
        <w:t>Para determinar el estado de salud de cada perro en todos los animales se realizó examen físico general en donde se realizó estudio electrocardiográfico (ECG), se tomaron muestras de sangre para realizar hemograma completo así como para determinar los siguientes analitos en la química sanguínea: urea, creatinina, fosforo, albumina, glucosa, fosfatasa alcalina sérica (FAS), aspartato aminotranferasa (AST), alanino aminotranferasa (ALT), gama glutamil transpeptidasa (GGT), y en todos los animales se obtuvo un muestra de orina para realizar examen general de orina y pruebas para diagnóstico de dirofiliarasis y parásitos gastrointestinales.</w:t>
      </w:r>
    </w:p>
    <w:p>
      <w:pPr>
        <w:pStyle w:val="BodyText"/>
        <w:spacing w:line="360" w:lineRule="auto" w:before="8"/>
        <w:ind w:left="152" w:right="149" w:firstLine="710"/>
        <w:jc w:val="both"/>
      </w:pPr>
      <w:r>
        <w:rPr/>
        <w:t>Una vez que se determinó un adecuado estado de salud los perros fueron vacunados contra distemper, parvovirus, hepatitis infecciosa y leptospira, los animales se mantuvieron en jaulas del Hospital Veterinario para Pequeñas Especies de la Facultad de Medicina Veterinaria y Zootecnia de la Universidad Autónoma del Estado México durante un mes antes de realizar el estudio. Se realizó ayuno de sólidos pero no de líquidos durante 8 horas antes de realizar cada procedimiento anestésico.</w:t>
      </w:r>
    </w:p>
    <w:p>
      <w:pPr>
        <w:spacing w:after="0" w:line="360" w:lineRule="auto"/>
        <w:jc w:val="both"/>
        <w:sectPr>
          <w:pgSz w:w="12240" w:h="15840"/>
          <w:pgMar w:header="0" w:footer="1651" w:top="1500" w:bottom="1840" w:left="1720" w:right="1380"/>
        </w:sectPr>
      </w:pPr>
    </w:p>
    <w:p>
      <w:pPr>
        <w:pStyle w:val="BodyText"/>
        <w:spacing w:before="1"/>
        <w:rPr>
          <w:sz w:val="21"/>
        </w:rPr>
      </w:pPr>
    </w:p>
    <w:p>
      <w:pPr>
        <w:pStyle w:val="Heading2"/>
        <w:numPr>
          <w:ilvl w:val="1"/>
          <w:numId w:val="2"/>
        </w:numPr>
        <w:tabs>
          <w:tab w:pos="518" w:val="left" w:leader="none"/>
        </w:tabs>
        <w:spacing w:line="240" w:lineRule="auto" w:before="69" w:after="0"/>
        <w:ind w:left="517" w:right="0" w:hanging="365"/>
        <w:jc w:val="left"/>
      </w:pPr>
      <w:bookmarkStart w:name="_bookmark56" w:id="96"/>
      <w:bookmarkEnd w:id="96"/>
      <w:r>
        <w:rPr>
          <w:b w:val="0"/>
        </w:rPr>
      </w:r>
      <w:bookmarkStart w:name="_bookmark56" w:id="97"/>
      <w:bookmarkEnd w:id="97"/>
      <w:r>
        <w:rPr/>
        <w:t>P</w:t>
      </w:r>
      <w:r>
        <w:rPr/>
        <w:t>rocedimiento</w:t>
      </w:r>
      <w:r>
        <w:rPr>
          <w:spacing w:val="-14"/>
        </w:rPr>
        <w:t> </w:t>
      </w:r>
      <w:r>
        <w:rPr/>
        <w:t>Anestésico</w:t>
      </w:r>
    </w:p>
    <w:p>
      <w:pPr>
        <w:pStyle w:val="BodyText"/>
        <w:rPr>
          <w:b/>
        </w:rPr>
      </w:pPr>
    </w:p>
    <w:p>
      <w:pPr>
        <w:pStyle w:val="BodyText"/>
        <w:spacing w:before="4"/>
        <w:rPr>
          <w:b/>
          <w:sz w:val="23"/>
        </w:rPr>
      </w:pPr>
    </w:p>
    <w:p>
      <w:pPr>
        <w:pStyle w:val="BodyText"/>
        <w:spacing w:line="357" w:lineRule="auto" w:before="1"/>
        <w:ind w:left="152" w:right="103" w:firstLine="710"/>
        <w:jc w:val="both"/>
      </w:pPr>
      <w:r>
        <w:rPr/>
        <w:t>En todos los animales se cateterizo </w:t>
      </w:r>
      <w:r>
        <w:rPr>
          <w:spacing w:val="-5"/>
        </w:rPr>
        <w:t>la </w:t>
      </w:r>
      <w:r>
        <w:rPr/>
        <w:t>vena cefálica previa antisepsia de </w:t>
      </w:r>
      <w:r>
        <w:rPr>
          <w:spacing w:val="-3"/>
        </w:rPr>
        <w:t>la </w:t>
      </w:r>
      <w:r>
        <w:rPr/>
        <w:t>zona por </w:t>
      </w:r>
      <w:r>
        <w:rPr>
          <w:spacing w:val="-3"/>
        </w:rPr>
        <w:t>medio </w:t>
      </w:r>
      <w:r>
        <w:rPr/>
        <w:t>de un catéter del número 20G, con el objetivo de proporcionar terapia de líquidos con suero </w:t>
      </w:r>
      <w:r>
        <w:rPr>
          <w:spacing w:val="-3"/>
        </w:rPr>
        <w:t>salino </w:t>
      </w:r>
      <w:r>
        <w:rPr/>
        <w:t>fisiológico (Solution CS; Pisa Farmacéutica, México</w:t>
      </w:r>
      <w:r>
        <w:rPr>
          <w:position w:val="9"/>
          <w:sz w:val="16"/>
        </w:rPr>
        <w:t>®</w:t>
      </w:r>
      <w:r>
        <w:rPr/>
        <w:t>) a una velocidad de infusión de 3mL/Kg/hora, así como para </w:t>
      </w:r>
      <w:r>
        <w:rPr>
          <w:spacing w:val="-5"/>
        </w:rPr>
        <w:t>la </w:t>
      </w:r>
      <w:r>
        <w:rPr/>
        <w:t>administración de medicamentos </w:t>
      </w:r>
      <w:r>
        <w:rPr>
          <w:i/>
        </w:rPr>
        <w:t>(figura 1). </w:t>
      </w:r>
      <w:r>
        <w:rPr/>
        <w:t>La inducción anestésica se realizó por </w:t>
      </w:r>
      <w:r>
        <w:rPr>
          <w:spacing w:val="-4"/>
        </w:rPr>
        <w:t>medio </w:t>
      </w:r>
      <w:r>
        <w:rPr/>
        <w:t>de mascarilla facial utilizando sevoflurano (Forane; Baxter Laboratories, USA</w:t>
      </w:r>
      <w:r>
        <w:rPr>
          <w:position w:val="9"/>
          <w:sz w:val="16"/>
        </w:rPr>
        <w:t>®</w:t>
      </w:r>
      <w:r>
        <w:rPr/>
        <w:t>) a una concentración del 5%, utilizando un </w:t>
      </w:r>
      <w:r>
        <w:rPr>
          <w:spacing w:val="-3"/>
        </w:rPr>
        <w:t>flujo </w:t>
      </w:r>
      <w:r>
        <w:rPr/>
        <w:t>de oxígeno de 5 litros/minuto </w:t>
      </w:r>
      <w:r>
        <w:rPr>
          <w:i/>
        </w:rPr>
        <w:t>(figura 2)</w:t>
      </w:r>
      <w:r>
        <w:rPr/>
        <w:t>. Una vez alcanzado el plano anestésico deseado se realizó </w:t>
      </w:r>
      <w:r>
        <w:rPr>
          <w:spacing w:val="-5"/>
        </w:rPr>
        <w:t>la </w:t>
      </w:r>
      <w:r>
        <w:rPr/>
        <w:t>intubación orotraqueal por </w:t>
      </w:r>
      <w:r>
        <w:rPr>
          <w:spacing w:val="-4"/>
        </w:rPr>
        <w:t>medio </w:t>
      </w:r>
      <w:r>
        <w:rPr/>
        <w:t>de un tubo de diámetro interno adecuado previamente seleccionada. </w:t>
      </w:r>
      <w:r>
        <w:rPr>
          <w:spacing w:val="3"/>
        </w:rPr>
        <w:t>El </w:t>
      </w:r>
      <w:r>
        <w:rPr/>
        <w:t>tubo orotraqueal fue conectado a un circuito de reinhalación con un flujo de oxígeno de 100 mL/Kg/min el cual se disminuyó a 50 mL/Kg/minuto después de 10 minutos. La anestesia fue mantenida en todos los animales con sevoflurano vaporizado en oxígeno al</w:t>
      </w:r>
      <w:r>
        <w:rPr>
          <w:spacing w:val="-8"/>
        </w:rPr>
        <w:t> </w:t>
      </w:r>
      <w:r>
        <w:rPr/>
        <w:t>100%.</w:t>
      </w:r>
    </w:p>
    <w:p>
      <w:pPr>
        <w:pStyle w:val="BodyText"/>
        <w:spacing w:before="10"/>
        <w:rPr>
          <w:sz w:val="13"/>
        </w:rPr>
      </w:pPr>
      <w:r>
        <w:rPr/>
        <w:pict>
          <v:group style="position:absolute;margin-left:92.050003pt;margin-top:9.932652pt;width:426.65pt;height:130.0500pt;mso-position-horizontal-relative:page;mso-position-vertical-relative:paragraph;z-index:1480;mso-wrap-distance-left:0;mso-wrap-distance-right:0" coordorigin="1841,199" coordsize="8533,2601">
            <v:shape style="position:absolute;left:1841;top:199;width:2690;height:2601" type="#_x0000_t75" stroked="false">
              <v:imagedata r:id="rId25" o:title=""/>
            </v:shape>
            <v:shape style="position:absolute;left:4547;top:331;width:5827;height:2462" type="#_x0000_t75" stroked="false">
              <v:imagedata r:id="rId26" o:title=""/>
            </v:shape>
            <w10:wrap type="topAndBottom"/>
          </v:group>
        </w:pict>
      </w:r>
    </w:p>
    <w:p>
      <w:pPr>
        <w:pStyle w:val="BodyText"/>
        <w:spacing w:before="9"/>
        <w:rPr>
          <w:sz w:val="18"/>
        </w:rPr>
      </w:pPr>
    </w:p>
    <w:p>
      <w:pPr>
        <w:spacing w:before="0"/>
        <w:ind w:left="152" w:right="0" w:firstLine="0"/>
        <w:jc w:val="left"/>
        <w:rPr>
          <w:i/>
          <w:sz w:val="22"/>
        </w:rPr>
      </w:pPr>
      <w:bookmarkStart w:name="_bookmark57" w:id="98"/>
      <w:bookmarkEnd w:id="98"/>
      <w:r>
        <w:rPr/>
      </w:r>
      <w:r>
        <w:rPr>
          <w:i/>
          <w:sz w:val="22"/>
        </w:rPr>
        <w:t>IMAGEN 1. Cateterización de la vena cefálica para la administración de líquidos y fármacos.</w:t>
      </w:r>
    </w:p>
    <w:p>
      <w:pPr>
        <w:pStyle w:val="BodyText"/>
        <w:rPr>
          <w:i/>
          <w:sz w:val="22"/>
        </w:rPr>
      </w:pPr>
    </w:p>
    <w:p>
      <w:pPr>
        <w:pStyle w:val="Heading2"/>
        <w:numPr>
          <w:ilvl w:val="1"/>
          <w:numId w:val="2"/>
        </w:numPr>
        <w:tabs>
          <w:tab w:pos="518" w:val="left" w:leader="none"/>
        </w:tabs>
        <w:spacing w:line="240" w:lineRule="auto" w:before="133" w:after="0"/>
        <w:ind w:left="517" w:right="0" w:hanging="365"/>
        <w:jc w:val="left"/>
      </w:pPr>
      <w:bookmarkStart w:name="_bookmark58" w:id="99"/>
      <w:bookmarkEnd w:id="99"/>
      <w:r>
        <w:rPr>
          <w:b w:val="0"/>
        </w:rPr>
      </w:r>
      <w:bookmarkStart w:name="_bookmark58" w:id="100"/>
      <w:bookmarkEnd w:id="100"/>
      <w:r>
        <w:rPr/>
        <w:t>I</w:t>
      </w:r>
      <w:r>
        <w:rPr/>
        <w:t>nstrumentación</w:t>
      </w:r>
    </w:p>
    <w:p>
      <w:pPr>
        <w:pStyle w:val="BodyText"/>
        <w:rPr>
          <w:b/>
        </w:rPr>
      </w:pPr>
    </w:p>
    <w:p>
      <w:pPr>
        <w:pStyle w:val="BodyText"/>
        <w:spacing w:before="9"/>
        <w:rPr>
          <w:b/>
          <w:sz w:val="23"/>
        </w:rPr>
      </w:pPr>
    </w:p>
    <w:p>
      <w:pPr>
        <w:spacing w:before="0"/>
        <w:ind w:left="863" w:right="0" w:firstLine="0"/>
        <w:jc w:val="left"/>
        <w:rPr>
          <w:b/>
          <w:i/>
          <w:sz w:val="24"/>
        </w:rPr>
      </w:pPr>
      <w:r>
        <w:rPr>
          <w:b/>
          <w:i/>
          <w:sz w:val="24"/>
        </w:rPr>
        <w:t>Ventilación mecánica</w:t>
      </w:r>
    </w:p>
    <w:p>
      <w:pPr>
        <w:pStyle w:val="BodyText"/>
        <w:spacing w:line="357" w:lineRule="auto" w:before="131"/>
        <w:ind w:left="152" w:right="100" w:firstLine="710"/>
        <w:jc w:val="both"/>
      </w:pPr>
      <w:r>
        <w:rPr>
          <w:position w:val="2"/>
        </w:rPr>
        <w:t>Para mantener niveles de CO</w:t>
      </w:r>
      <w:r>
        <w:rPr>
          <w:sz w:val="16"/>
        </w:rPr>
        <w:t>2 </w:t>
      </w:r>
      <w:r>
        <w:rPr>
          <w:position w:val="2"/>
        </w:rPr>
        <w:t>espirado (EtCO</w:t>
      </w:r>
      <w:r>
        <w:rPr>
          <w:sz w:val="16"/>
        </w:rPr>
        <w:t>2</w:t>
      </w:r>
      <w:r>
        <w:rPr>
          <w:position w:val="2"/>
        </w:rPr>
        <w:t>) entre  32  a  45  mmHg (4.4-5.9 </w:t>
      </w:r>
      <w:r>
        <w:rPr/>
        <w:t>kPa) en todos los animales se instauro ventilación por presión positiva   </w:t>
      </w:r>
      <w:r>
        <w:rPr>
          <w:spacing w:val="16"/>
        </w:rPr>
        <w:t> </w:t>
      </w:r>
      <w:r>
        <w:rPr/>
        <w:t>intermitente VPPI,</w:t>
      </w:r>
    </w:p>
    <w:p>
      <w:pPr>
        <w:spacing w:after="0" w:line="357"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152" w:right="188"/>
      </w:pPr>
      <w:r>
        <w:rPr/>
        <w:t>por </w:t>
      </w:r>
      <w:r>
        <w:rPr>
          <w:spacing w:val="-4"/>
        </w:rPr>
        <w:t>medio </w:t>
      </w:r>
      <w:r>
        <w:rPr/>
        <w:t>de un ventilador en modo presumétrico (Dräger Vamos; Dräger Medical, Lübeck, Germany</w:t>
      </w:r>
      <w:r>
        <w:rPr>
          <w:spacing w:val="-11"/>
        </w:rPr>
        <w:t> </w:t>
      </w:r>
      <w:r>
        <w:rPr/>
        <w:t>®).</w:t>
      </w:r>
    </w:p>
    <w:p>
      <w:pPr>
        <w:pStyle w:val="BodyText"/>
        <w:rPr>
          <w:sz w:val="20"/>
        </w:rPr>
      </w:pPr>
    </w:p>
    <w:p>
      <w:pPr>
        <w:pStyle w:val="BodyText"/>
        <w:spacing w:before="6"/>
        <w:rPr>
          <w:sz w:val="10"/>
        </w:rPr>
      </w:pPr>
      <w:r>
        <w:rPr/>
        <w:drawing>
          <wp:anchor distT="0" distB="0" distL="0" distR="0" allowOverlap="1" layoutInCell="1" locked="0" behindDoc="0" simplePos="0" relativeHeight="1504">
            <wp:simplePos x="0" y="0"/>
            <wp:positionH relativeFrom="page">
              <wp:posOffset>2667000</wp:posOffset>
            </wp:positionH>
            <wp:positionV relativeFrom="paragraph">
              <wp:posOffset>101990</wp:posOffset>
            </wp:positionV>
            <wp:extent cx="3130140" cy="1848230"/>
            <wp:effectExtent l="0" t="0" r="0" b="0"/>
            <wp:wrapTopAndBottom/>
            <wp:docPr id="21" name="image13.jpeg" descr=""/>
            <wp:cNvGraphicFramePr>
              <a:graphicFrameLocks noChangeAspect="1"/>
            </wp:cNvGraphicFramePr>
            <a:graphic>
              <a:graphicData uri="http://schemas.openxmlformats.org/drawingml/2006/picture">
                <pic:pic>
                  <pic:nvPicPr>
                    <pic:cNvPr id="22" name="image13.jpeg"/>
                    <pic:cNvPicPr/>
                  </pic:nvPicPr>
                  <pic:blipFill>
                    <a:blip r:embed="rId28" cstate="print"/>
                    <a:stretch>
                      <a:fillRect/>
                    </a:stretch>
                  </pic:blipFill>
                  <pic:spPr>
                    <a:xfrm>
                      <a:off x="0" y="0"/>
                      <a:ext cx="3130140" cy="1848230"/>
                    </a:xfrm>
                    <a:prstGeom prst="rect">
                      <a:avLst/>
                    </a:prstGeom>
                  </pic:spPr>
                </pic:pic>
              </a:graphicData>
            </a:graphic>
          </wp:anchor>
        </w:drawing>
      </w:r>
    </w:p>
    <w:p>
      <w:pPr>
        <w:spacing w:line="250" w:lineRule="exact" w:before="73"/>
        <w:ind w:left="152" w:right="0" w:firstLine="0"/>
        <w:jc w:val="left"/>
        <w:rPr>
          <w:i/>
          <w:sz w:val="22"/>
        </w:rPr>
      </w:pPr>
      <w:bookmarkStart w:name="_bookmark59" w:id="101"/>
      <w:bookmarkEnd w:id="101"/>
      <w:r>
        <w:rPr/>
      </w:r>
      <w:r>
        <w:rPr>
          <w:i/>
          <w:sz w:val="22"/>
        </w:rPr>
        <w:t>IMAGEN 2. Inducción con mascarilla facial utilizando sevoflurano a una concentración de 5% </w:t>
      </w:r>
      <w:r>
        <w:rPr>
          <w:i/>
          <w:sz w:val="22"/>
        </w:rPr>
        <w:t>vaporizado en oxígeno al 100% a un flujo de 5 L/min.</w:t>
      </w:r>
    </w:p>
    <w:p>
      <w:pPr>
        <w:pStyle w:val="BodyText"/>
        <w:rPr>
          <w:i/>
          <w:sz w:val="22"/>
        </w:rPr>
      </w:pPr>
    </w:p>
    <w:p>
      <w:pPr>
        <w:pStyle w:val="Heading2"/>
        <w:numPr>
          <w:ilvl w:val="1"/>
          <w:numId w:val="2"/>
        </w:numPr>
        <w:tabs>
          <w:tab w:pos="513" w:val="left" w:leader="none"/>
        </w:tabs>
        <w:spacing w:line="240" w:lineRule="auto" w:before="130" w:after="0"/>
        <w:ind w:left="513" w:right="0" w:hanging="361"/>
        <w:jc w:val="left"/>
      </w:pPr>
      <w:bookmarkStart w:name="_bookmark60" w:id="102"/>
      <w:bookmarkEnd w:id="102"/>
      <w:r>
        <w:rPr>
          <w:b w:val="0"/>
        </w:rPr>
      </w:r>
      <w:bookmarkStart w:name="_bookmark60" w:id="103"/>
      <w:bookmarkEnd w:id="103"/>
      <w:r>
        <w:rPr/>
        <w:t>M</w:t>
      </w:r>
      <w:r>
        <w:rPr/>
        <w:t>onitorización</w:t>
      </w:r>
      <w:r>
        <w:rPr>
          <w:spacing w:val="-10"/>
        </w:rPr>
        <w:t> </w:t>
      </w:r>
      <w:r>
        <w:rPr/>
        <w:t>General</w:t>
      </w:r>
    </w:p>
    <w:p>
      <w:pPr>
        <w:pStyle w:val="BodyText"/>
        <w:rPr>
          <w:b/>
        </w:rPr>
      </w:pPr>
    </w:p>
    <w:p>
      <w:pPr>
        <w:pStyle w:val="BodyText"/>
        <w:spacing w:before="9"/>
        <w:rPr>
          <w:b/>
          <w:sz w:val="23"/>
        </w:rPr>
      </w:pPr>
    </w:p>
    <w:p>
      <w:pPr>
        <w:pStyle w:val="BodyText"/>
        <w:spacing w:line="360" w:lineRule="auto"/>
        <w:ind w:left="152" w:right="100" w:firstLine="710"/>
        <w:jc w:val="both"/>
      </w:pPr>
      <w:r>
        <w:rPr/>
        <w:t>En todos los perros se monitorizo </w:t>
      </w:r>
      <w:r>
        <w:rPr>
          <w:spacing w:val="-5"/>
        </w:rPr>
        <w:t>la </w:t>
      </w:r>
      <w:r>
        <w:rPr/>
        <w:t>frecuencia cardiaca (FC) por </w:t>
      </w:r>
      <w:r>
        <w:rPr>
          <w:spacing w:val="-3"/>
        </w:rPr>
        <w:t>medio </w:t>
      </w:r>
      <w:r>
        <w:rPr/>
        <w:t>de </w:t>
      </w:r>
      <w:r>
        <w:rPr>
          <w:spacing w:val="-3"/>
        </w:rPr>
        <w:t>la </w:t>
      </w:r>
      <w:r>
        <w:rPr/>
        <w:t>colocación de electrodos, frecuencia respiratoria a través de espirometría, oximetría de  </w:t>
      </w:r>
      <w:r>
        <w:rPr>
          <w:position w:val="2"/>
        </w:rPr>
        <w:t>pulso (SpO</w:t>
      </w:r>
      <w:r>
        <w:rPr>
          <w:sz w:val="16"/>
        </w:rPr>
        <w:t>2</w:t>
      </w:r>
      <w:r>
        <w:rPr>
          <w:position w:val="2"/>
        </w:rPr>
        <w:t>) colocando un sensor por infrarrojos en </w:t>
      </w:r>
      <w:r>
        <w:rPr>
          <w:spacing w:val="-5"/>
          <w:position w:val="2"/>
        </w:rPr>
        <w:t>la </w:t>
      </w:r>
      <w:r>
        <w:rPr>
          <w:position w:val="2"/>
        </w:rPr>
        <w:t>arteria sublingual, temperatura </w:t>
      </w:r>
      <w:r>
        <w:rPr/>
        <w:t>corporal por </w:t>
      </w:r>
      <w:r>
        <w:rPr>
          <w:spacing w:val="-4"/>
        </w:rPr>
        <w:t>medio </w:t>
      </w:r>
      <w:r>
        <w:rPr/>
        <w:t>de termómetro esofágico, fracción inspirada (Fi) y espirada (FET) de sevoflurano a través de un analizador de halogenados conectado en </w:t>
      </w:r>
      <w:r>
        <w:rPr>
          <w:spacing w:val="-5"/>
        </w:rPr>
        <w:t>la </w:t>
      </w:r>
      <w:r>
        <w:rPr>
          <w:spacing w:val="2"/>
        </w:rPr>
        <w:t>parte </w:t>
      </w:r>
      <w:r>
        <w:rPr/>
        <w:t>proximal </w:t>
      </w:r>
      <w:r>
        <w:rPr>
          <w:spacing w:val="2"/>
        </w:rPr>
        <w:t>del </w:t>
      </w:r>
      <w:r>
        <w:rPr/>
        <w:t>tubo</w:t>
      </w:r>
      <w:r>
        <w:rPr>
          <w:spacing w:val="-7"/>
        </w:rPr>
        <w:t> </w:t>
      </w:r>
      <w:r>
        <w:rPr/>
        <w:t>endotraqueal.</w:t>
      </w:r>
    </w:p>
    <w:p>
      <w:pPr>
        <w:pStyle w:val="BodyText"/>
      </w:pPr>
    </w:p>
    <w:p>
      <w:pPr>
        <w:pStyle w:val="Heading2"/>
        <w:numPr>
          <w:ilvl w:val="1"/>
          <w:numId w:val="2"/>
        </w:numPr>
        <w:tabs>
          <w:tab w:pos="576" w:val="left" w:leader="none"/>
        </w:tabs>
        <w:spacing w:line="240" w:lineRule="auto" w:before="146" w:after="0"/>
        <w:ind w:left="575" w:right="0" w:hanging="360"/>
        <w:jc w:val="left"/>
      </w:pPr>
      <w:bookmarkStart w:name="_bookmark61" w:id="104"/>
      <w:bookmarkEnd w:id="104"/>
      <w:r>
        <w:rPr>
          <w:b w:val="0"/>
        </w:rPr>
      </w:r>
      <w:bookmarkStart w:name="_bookmark61" w:id="105"/>
      <w:bookmarkEnd w:id="105"/>
      <w:r>
        <w:rPr/>
        <w:t>M</w:t>
      </w:r>
      <w:r>
        <w:rPr/>
        <w:t>onitorización de </w:t>
      </w:r>
      <w:r>
        <w:rPr>
          <w:spacing w:val="-3"/>
        </w:rPr>
        <w:t>la </w:t>
      </w:r>
      <w:r>
        <w:rPr/>
        <w:t>presión arterial</w:t>
      </w:r>
      <w:r>
        <w:rPr>
          <w:spacing w:val="-9"/>
        </w:rPr>
        <w:t> </w:t>
      </w:r>
      <w:r>
        <w:rPr/>
        <w:t>sistémica</w:t>
      </w:r>
    </w:p>
    <w:p>
      <w:pPr>
        <w:pStyle w:val="BodyText"/>
        <w:rPr>
          <w:b/>
        </w:rPr>
      </w:pPr>
    </w:p>
    <w:p>
      <w:pPr>
        <w:pStyle w:val="BodyText"/>
        <w:spacing w:before="9"/>
        <w:rPr>
          <w:b/>
          <w:sz w:val="23"/>
        </w:rPr>
      </w:pPr>
    </w:p>
    <w:p>
      <w:pPr>
        <w:pStyle w:val="BodyText"/>
        <w:spacing w:line="360" w:lineRule="auto"/>
        <w:ind w:left="152" w:right="102" w:firstLine="710"/>
        <w:jc w:val="both"/>
      </w:pPr>
      <w:r>
        <w:rPr/>
        <w:t>Todos los animales fueron colocados en posición de decúbito lateral y se cateterizo </w:t>
      </w:r>
      <w:r>
        <w:rPr>
          <w:spacing w:val="-3"/>
        </w:rPr>
        <w:t>la </w:t>
      </w:r>
      <w:r>
        <w:rPr/>
        <w:t>arteria dorsal metatarsiana por </w:t>
      </w:r>
      <w:r>
        <w:rPr>
          <w:spacing w:val="-4"/>
        </w:rPr>
        <w:t>medio </w:t>
      </w:r>
      <w:r>
        <w:rPr/>
        <w:t>de un catéter de número 20 G previa antisepsia de  </w:t>
      </w:r>
      <w:r>
        <w:rPr>
          <w:spacing w:val="-3"/>
        </w:rPr>
        <w:t>la </w:t>
      </w:r>
      <w:r>
        <w:rPr/>
        <w:t>zona </w:t>
      </w:r>
      <w:r>
        <w:rPr>
          <w:i/>
        </w:rPr>
        <w:t>(figura 3). </w:t>
      </w:r>
      <w:r>
        <w:rPr/>
        <w:t>Una vez cateterizada </w:t>
      </w:r>
      <w:r>
        <w:rPr>
          <w:spacing w:val="-3"/>
        </w:rPr>
        <w:t>la </w:t>
      </w:r>
      <w:r>
        <w:rPr/>
        <w:t>arteria el catéter se </w:t>
      </w:r>
      <w:r>
        <w:rPr>
          <w:spacing w:val="-3"/>
        </w:rPr>
        <w:t>lavó </w:t>
      </w:r>
      <w:r>
        <w:rPr/>
        <w:t>con una solución de suero </w:t>
      </w:r>
      <w:r>
        <w:rPr>
          <w:spacing w:val="-3"/>
        </w:rPr>
        <w:t>salino </w:t>
      </w:r>
      <w:r>
        <w:rPr/>
        <w:t>fisiológico previamente prepara con heparina a una concentración de 5 UI por mililitro. El catéter se conectó a un transductor el cual fue calibrado a aire ambiente a </w:t>
      </w:r>
      <w:r>
        <w:rPr>
          <w:spacing w:val="16"/>
        </w:rPr>
        <w:t> </w:t>
      </w:r>
      <w:r>
        <w:rPr/>
        <w:t>nivel</w:t>
      </w:r>
    </w:p>
    <w:p>
      <w:pPr>
        <w:spacing w:after="0" w:line="360" w:lineRule="auto"/>
        <w:jc w:val="both"/>
        <w:sectPr>
          <w:footerReference w:type="default" r:id="rId27"/>
          <w:pgSz w:w="12240" w:h="15840"/>
          <w:pgMar w:footer="1651" w:header="0" w:top="1500" w:bottom="1840" w:left="1720" w:right="1420"/>
        </w:sectPr>
      </w:pPr>
    </w:p>
    <w:p>
      <w:pPr>
        <w:pStyle w:val="BodyText"/>
        <w:spacing w:before="7"/>
        <w:rPr>
          <w:sz w:val="20"/>
        </w:rPr>
      </w:pPr>
    </w:p>
    <w:p>
      <w:pPr>
        <w:pStyle w:val="BodyText"/>
        <w:spacing w:line="360" w:lineRule="auto" w:before="69"/>
        <w:ind w:left="292" w:right="394"/>
        <w:rPr>
          <w:i/>
        </w:rPr>
      </w:pPr>
      <w:r>
        <w:rPr/>
        <w:t>del corazón, para </w:t>
      </w:r>
      <w:r>
        <w:rPr>
          <w:spacing w:val="-5"/>
        </w:rPr>
        <w:t>la </w:t>
      </w:r>
      <w:r>
        <w:rPr/>
        <w:t>monitorización de </w:t>
      </w:r>
      <w:r>
        <w:rPr>
          <w:spacing w:val="-5"/>
        </w:rPr>
        <w:t>la </w:t>
      </w:r>
      <w:r>
        <w:rPr/>
        <w:t>presión arterial sistólica (PAS), diastólica (PAD)  y media (PAM). </w:t>
      </w:r>
      <w:r>
        <w:rPr>
          <w:i/>
        </w:rPr>
        <w:t>(Figura</w:t>
      </w:r>
      <w:r>
        <w:rPr>
          <w:i/>
          <w:spacing w:val="-12"/>
        </w:rPr>
        <w:t> </w:t>
      </w:r>
      <w:r>
        <w:rPr>
          <w:i/>
        </w:rPr>
        <w:t>4).</w:t>
      </w:r>
    </w:p>
    <w:p>
      <w:pPr>
        <w:pStyle w:val="BodyText"/>
        <w:rPr>
          <w:i/>
          <w:sz w:val="20"/>
        </w:rPr>
      </w:pPr>
    </w:p>
    <w:p>
      <w:pPr>
        <w:pStyle w:val="BodyText"/>
        <w:spacing w:before="10"/>
        <w:rPr>
          <w:i/>
          <w:sz w:val="16"/>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77"/>
        <w:gridCol w:w="5142"/>
      </w:tblGrid>
      <w:tr>
        <w:trPr>
          <w:trHeight w:val="2574" w:hRule="exact"/>
        </w:trPr>
        <w:tc>
          <w:tcPr>
            <w:tcW w:w="4077" w:type="dxa"/>
          </w:tcPr>
          <w:p>
            <w:pPr>
              <w:pStyle w:val="TableParagraph"/>
              <w:spacing w:before="0"/>
              <w:ind w:left="215"/>
              <w:rPr>
                <w:sz w:val="20"/>
              </w:rPr>
            </w:pPr>
            <w:r>
              <w:rPr>
                <w:sz w:val="20"/>
              </w:rPr>
              <w:drawing>
                <wp:inline distT="0" distB="0" distL="0" distR="0">
                  <wp:extent cx="2388759" cy="1596771"/>
                  <wp:effectExtent l="0" t="0" r="0" b="0"/>
                  <wp:docPr id="23" name="image14.jpeg" descr=""/>
                  <wp:cNvGraphicFramePr>
                    <a:graphicFrameLocks noChangeAspect="1"/>
                  </wp:cNvGraphicFramePr>
                  <a:graphic>
                    <a:graphicData uri="http://schemas.openxmlformats.org/drawingml/2006/picture">
                      <pic:pic>
                        <pic:nvPicPr>
                          <pic:cNvPr id="24" name="image14.jpeg"/>
                          <pic:cNvPicPr/>
                        </pic:nvPicPr>
                        <pic:blipFill>
                          <a:blip r:embed="rId30" cstate="print"/>
                          <a:stretch>
                            <a:fillRect/>
                          </a:stretch>
                        </pic:blipFill>
                        <pic:spPr>
                          <a:xfrm>
                            <a:off x="0" y="0"/>
                            <a:ext cx="2388759" cy="1596771"/>
                          </a:xfrm>
                          <a:prstGeom prst="rect">
                            <a:avLst/>
                          </a:prstGeom>
                        </pic:spPr>
                      </pic:pic>
                    </a:graphicData>
                  </a:graphic>
                </wp:inline>
              </w:drawing>
            </w:r>
            <w:r>
              <w:rPr>
                <w:sz w:val="20"/>
              </w:rPr>
            </w:r>
          </w:p>
        </w:tc>
        <w:tc>
          <w:tcPr>
            <w:tcW w:w="5142" w:type="dxa"/>
          </w:tcPr>
          <w:p>
            <w:pPr>
              <w:pStyle w:val="TableParagraph"/>
              <w:spacing w:before="0"/>
              <w:ind w:left="112"/>
              <w:rPr>
                <w:sz w:val="20"/>
              </w:rPr>
            </w:pPr>
            <w:r>
              <w:rPr>
                <w:sz w:val="20"/>
              </w:rPr>
              <w:drawing>
                <wp:inline distT="0" distB="0" distL="0" distR="0">
                  <wp:extent cx="3089265" cy="1596771"/>
                  <wp:effectExtent l="0" t="0" r="0" b="0"/>
                  <wp:docPr id="25" name="image15.jpeg" descr=""/>
                  <wp:cNvGraphicFramePr>
                    <a:graphicFrameLocks noChangeAspect="1"/>
                  </wp:cNvGraphicFramePr>
                  <a:graphic>
                    <a:graphicData uri="http://schemas.openxmlformats.org/drawingml/2006/picture">
                      <pic:pic>
                        <pic:nvPicPr>
                          <pic:cNvPr id="26" name="image15.jpeg"/>
                          <pic:cNvPicPr/>
                        </pic:nvPicPr>
                        <pic:blipFill>
                          <a:blip r:embed="rId31" cstate="print"/>
                          <a:stretch>
                            <a:fillRect/>
                          </a:stretch>
                        </pic:blipFill>
                        <pic:spPr>
                          <a:xfrm>
                            <a:off x="0" y="0"/>
                            <a:ext cx="3089265" cy="1596771"/>
                          </a:xfrm>
                          <a:prstGeom prst="rect">
                            <a:avLst/>
                          </a:prstGeom>
                        </pic:spPr>
                      </pic:pic>
                    </a:graphicData>
                  </a:graphic>
                </wp:inline>
              </w:drawing>
            </w:r>
            <w:r>
              <w:rPr>
                <w:sz w:val="20"/>
              </w:rPr>
            </w:r>
          </w:p>
        </w:tc>
      </w:tr>
      <w:tr>
        <w:trPr>
          <w:trHeight w:val="365" w:hRule="exact"/>
        </w:trPr>
        <w:tc>
          <w:tcPr>
            <w:tcW w:w="4077" w:type="dxa"/>
          </w:tcPr>
          <w:p>
            <w:pPr>
              <w:pStyle w:val="TableParagraph"/>
              <w:spacing w:before="50"/>
              <w:ind w:left="0" w:right="1913"/>
              <w:jc w:val="right"/>
              <w:rPr>
                <w:sz w:val="22"/>
              </w:rPr>
            </w:pPr>
            <w:r>
              <w:rPr>
                <w:w w:val="100"/>
                <w:sz w:val="22"/>
              </w:rPr>
              <w:t>A</w:t>
            </w:r>
          </w:p>
        </w:tc>
        <w:tc>
          <w:tcPr>
            <w:tcW w:w="5142" w:type="dxa"/>
          </w:tcPr>
          <w:p>
            <w:pPr>
              <w:pStyle w:val="TableParagraph"/>
              <w:spacing w:before="50"/>
              <w:ind w:left="0" w:right="75"/>
              <w:jc w:val="center"/>
              <w:rPr>
                <w:sz w:val="22"/>
              </w:rPr>
            </w:pPr>
            <w:r>
              <w:rPr>
                <w:w w:val="100"/>
                <w:sz w:val="22"/>
              </w:rPr>
              <w:t>B</w:t>
            </w:r>
          </w:p>
        </w:tc>
      </w:tr>
      <w:tr>
        <w:trPr>
          <w:trHeight w:val="2479" w:hRule="exact"/>
        </w:trPr>
        <w:tc>
          <w:tcPr>
            <w:tcW w:w="4077" w:type="dxa"/>
          </w:tcPr>
          <w:p>
            <w:pPr>
              <w:pStyle w:val="TableParagraph"/>
              <w:spacing w:before="8"/>
              <w:ind w:left="0"/>
              <w:rPr>
                <w:i/>
                <w:sz w:val="5"/>
              </w:rPr>
            </w:pPr>
          </w:p>
          <w:p>
            <w:pPr>
              <w:pStyle w:val="TableParagraph"/>
              <w:spacing w:before="0"/>
              <w:rPr>
                <w:sz w:val="20"/>
              </w:rPr>
            </w:pPr>
            <w:r>
              <w:rPr>
                <w:sz w:val="20"/>
              </w:rPr>
              <w:drawing>
                <wp:inline distT="0" distB="0" distL="0" distR="0">
                  <wp:extent cx="2409758" cy="1403985"/>
                  <wp:effectExtent l="0" t="0" r="0" b="0"/>
                  <wp:docPr id="27" name="image16.jpeg" descr=""/>
                  <wp:cNvGraphicFramePr>
                    <a:graphicFrameLocks noChangeAspect="1"/>
                  </wp:cNvGraphicFramePr>
                  <a:graphic>
                    <a:graphicData uri="http://schemas.openxmlformats.org/drawingml/2006/picture">
                      <pic:pic>
                        <pic:nvPicPr>
                          <pic:cNvPr id="28" name="image16.jpeg"/>
                          <pic:cNvPicPr/>
                        </pic:nvPicPr>
                        <pic:blipFill>
                          <a:blip r:embed="rId32" cstate="print"/>
                          <a:stretch>
                            <a:fillRect/>
                          </a:stretch>
                        </pic:blipFill>
                        <pic:spPr>
                          <a:xfrm>
                            <a:off x="0" y="0"/>
                            <a:ext cx="2409758" cy="1403985"/>
                          </a:xfrm>
                          <a:prstGeom prst="rect">
                            <a:avLst/>
                          </a:prstGeom>
                        </pic:spPr>
                      </pic:pic>
                    </a:graphicData>
                  </a:graphic>
                </wp:inline>
              </w:drawing>
            </w:r>
            <w:r>
              <w:rPr>
                <w:sz w:val="20"/>
              </w:rPr>
            </w:r>
          </w:p>
          <w:p>
            <w:pPr>
              <w:pStyle w:val="TableParagraph"/>
              <w:spacing w:before="7"/>
              <w:ind w:left="0"/>
              <w:rPr>
                <w:i/>
                <w:sz w:val="17"/>
              </w:rPr>
            </w:pPr>
          </w:p>
        </w:tc>
        <w:tc>
          <w:tcPr>
            <w:tcW w:w="5142" w:type="dxa"/>
          </w:tcPr>
          <w:p>
            <w:pPr>
              <w:pStyle w:val="TableParagraph"/>
              <w:spacing w:before="8"/>
              <w:ind w:left="0"/>
              <w:rPr>
                <w:i/>
                <w:sz w:val="5"/>
              </w:rPr>
            </w:pPr>
          </w:p>
          <w:p>
            <w:pPr>
              <w:pStyle w:val="TableParagraph"/>
              <w:spacing w:before="0"/>
              <w:ind w:left="218"/>
              <w:rPr>
                <w:sz w:val="20"/>
              </w:rPr>
            </w:pPr>
            <w:r>
              <w:rPr>
                <w:sz w:val="20"/>
              </w:rPr>
              <w:drawing>
                <wp:inline distT="0" distB="0" distL="0" distR="0">
                  <wp:extent cx="2959082" cy="1496187"/>
                  <wp:effectExtent l="0" t="0" r="0" b="0"/>
                  <wp:docPr id="29" name="image17.jpeg" descr=""/>
                  <wp:cNvGraphicFramePr>
                    <a:graphicFrameLocks noChangeAspect="1"/>
                  </wp:cNvGraphicFramePr>
                  <a:graphic>
                    <a:graphicData uri="http://schemas.openxmlformats.org/drawingml/2006/picture">
                      <pic:pic>
                        <pic:nvPicPr>
                          <pic:cNvPr id="30" name="image17.jpeg"/>
                          <pic:cNvPicPr/>
                        </pic:nvPicPr>
                        <pic:blipFill>
                          <a:blip r:embed="rId33" cstate="print"/>
                          <a:stretch>
                            <a:fillRect/>
                          </a:stretch>
                        </pic:blipFill>
                        <pic:spPr>
                          <a:xfrm>
                            <a:off x="0" y="0"/>
                            <a:ext cx="2959082" cy="1496187"/>
                          </a:xfrm>
                          <a:prstGeom prst="rect">
                            <a:avLst/>
                          </a:prstGeom>
                        </pic:spPr>
                      </pic:pic>
                    </a:graphicData>
                  </a:graphic>
                </wp:inline>
              </w:drawing>
            </w:r>
            <w:r>
              <w:rPr>
                <w:sz w:val="20"/>
              </w:rPr>
            </w:r>
          </w:p>
        </w:tc>
      </w:tr>
      <w:tr>
        <w:trPr>
          <w:trHeight w:val="296" w:hRule="exact"/>
        </w:trPr>
        <w:tc>
          <w:tcPr>
            <w:tcW w:w="4077" w:type="dxa"/>
          </w:tcPr>
          <w:p>
            <w:pPr>
              <w:pStyle w:val="TableParagraph"/>
              <w:spacing w:before="48"/>
              <w:ind w:left="0" w:right="1920"/>
              <w:jc w:val="right"/>
              <w:rPr>
                <w:sz w:val="22"/>
              </w:rPr>
            </w:pPr>
            <w:r>
              <w:rPr>
                <w:w w:val="100"/>
                <w:sz w:val="22"/>
              </w:rPr>
              <w:t>C</w:t>
            </w:r>
          </w:p>
        </w:tc>
        <w:tc>
          <w:tcPr>
            <w:tcW w:w="5142" w:type="dxa"/>
          </w:tcPr>
          <w:p>
            <w:pPr>
              <w:pStyle w:val="TableParagraph"/>
              <w:spacing w:before="48"/>
              <w:ind w:left="0" w:right="72"/>
              <w:jc w:val="center"/>
              <w:rPr>
                <w:sz w:val="22"/>
              </w:rPr>
            </w:pPr>
            <w:r>
              <w:rPr>
                <w:w w:val="100"/>
                <w:sz w:val="22"/>
              </w:rPr>
              <w:t>D</w:t>
            </w:r>
          </w:p>
        </w:tc>
      </w:tr>
    </w:tbl>
    <w:p>
      <w:pPr>
        <w:spacing w:line="240" w:lineRule="auto" w:before="126"/>
        <w:ind w:left="292" w:right="306" w:firstLine="0"/>
        <w:jc w:val="both"/>
        <w:rPr>
          <w:i/>
          <w:sz w:val="22"/>
        </w:rPr>
      </w:pPr>
      <w:bookmarkStart w:name="_bookmark62" w:id="106"/>
      <w:bookmarkEnd w:id="106"/>
      <w:r>
        <w:rPr/>
      </w:r>
      <w:r>
        <w:rPr>
          <w:i/>
          <w:sz w:val="22"/>
        </w:rPr>
        <w:t>IMAGEN 3. Cateterización de la arteria dorsal metatarsiana para medición de la presión arterial </w:t>
      </w:r>
      <w:r>
        <w:rPr>
          <w:i/>
          <w:sz w:val="22"/>
        </w:rPr>
        <w:t>sistólica, diastólica y media, así como para la obtención de muestras de sangre arterial para su análisis gasométrico: a, b) antisepsia c) cateterización d) conexión al transductor.</w:t>
      </w:r>
    </w:p>
    <w:p>
      <w:pPr>
        <w:pStyle w:val="BodyText"/>
        <w:rPr>
          <w:i/>
          <w:sz w:val="20"/>
        </w:rPr>
      </w:pPr>
    </w:p>
    <w:p>
      <w:pPr>
        <w:pStyle w:val="BodyText"/>
        <w:spacing w:before="6"/>
        <w:rPr>
          <w:i/>
          <w:sz w:val="12"/>
        </w:rPr>
      </w:pPr>
      <w:r>
        <w:rPr/>
        <w:pict>
          <v:group style="position:absolute;margin-left:106.800003pt;margin-top:9.181567pt;width:424.35pt;height:122.65pt;mso-position-horizontal-relative:page;mso-position-vertical-relative:paragraph;z-index:1528;mso-wrap-distance-left:0;mso-wrap-distance-right:0" coordorigin="2136,184" coordsize="8487,2453">
            <v:shape style="position:absolute;left:2136;top:184;width:4314;height:2437" type="#_x0000_t75" stroked="false">
              <v:imagedata r:id="rId34" o:title=""/>
            </v:shape>
            <v:shape style="position:absolute;left:6492;top:193;width:4131;height:2444" type="#_x0000_t75" stroked="false">
              <v:imagedata r:id="rId35" o:title=""/>
            </v:shape>
            <w10:wrap type="topAndBottom"/>
          </v:group>
        </w:pict>
      </w:r>
    </w:p>
    <w:p>
      <w:pPr>
        <w:tabs>
          <w:tab w:pos="7183" w:val="left" w:leader="none"/>
        </w:tabs>
        <w:spacing w:before="30"/>
        <w:ind w:left="1003" w:right="394" w:firstLine="0"/>
        <w:jc w:val="left"/>
        <w:rPr>
          <w:sz w:val="22"/>
        </w:rPr>
      </w:pPr>
      <w:r>
        <w:rPr>
          <w:sz w:val="22"/>
        </w:rPr>
        <w:t>a</w:t>
        <w:tab/>
        <w:t>b</w:t>
      </w:r>
    </w:p>
    <w:p>
      <w:pPr>
        <w:spacing w:before="121"/>
        <w:ind w:left="292" w:right="308" w:firstLine="0"/>
        <w:jc w:val="both"/>
        <w:rPr>
          <w:i/>
          <w:sz w:val="22"/>
        </w:rPr>
      </w:pPr>
      <w:bookmarkStart w:name="_bookmark63" w:id="107"/>
      <w:bookmarkEnd w:id="107"/>
      <w:r>
        <w:rPr/>
      </w:r>
      <w:r>
        <w:rPr>
          <w:i/>
          <w:sz w:val="22"/>
        </w:rPr>
        <w:t>IMAGEN 4. a) Componentes de la cabeza de transductor para la medición de la presión arterial </w:t>
      </w:r>
      <w:r>
        <w:rPr>
          <w:i/>
          <w:sz w:val="22"/>
        </w:rPr>
        <w:t>sistémica, b) con calibración cero a nivel del corazón.</w:t>
      </w:r>
    </w:p>
    <w:p>
      <w:pPr>
        <w:spacing w:after="0"/>
        <w:jc w:val="both"/>
        <w:rPr>
          <w:sz w:val="22"/>
        </w:rPr>
        <w:sectPr>
          <w:footerReference w:type="default" r:id="rId29"/>
          <w:pgSz w:w="12240" w:h="15840"/>
          <w:pgMar w:footer="1651" w:header="0" w:top="1500" w:bottom="1840" w:left="1580" w:right="1220"/>
          <w:pgNumType w:start="41"/>
        </w:sectPr>
      </w:pPr>
    </w:p>
    <w:p>
      <w:pPr>
        <w:pStyle w:val="BodyText"/>
        <w:spacing w:before="1"/>
        <w:rPr>
          <w:i/>
          <w:sz w:val="21"/>
        </w:rPr>
      </w:pPr>
    </w:p>
    <w:p>
      <w:pPr>
        <w:pStyle w:val="Heading2"/>
        <w:numPr>
          <w:ilvl w:val="1"/>
          <w:numId w:val="2"/>
        </w:numPr>
        <w:tabs>
          <w:tab w:pos="553" w:val="left" w:leader="none"/>
        </w:tabs>
        <w:spacing w:line="240" w:lineRule="auto" w:before="69" w:after="0"/>
        <w:ind w:left="553" w:right="0" w:hanging="361"/>
        <w:jc w:val="both"/>
      </w:pPr>
      <w:bookmarkStart w:name="_bookmark64" w:id="108"/>
      <w:bookmarkEnd w:id="108"/>
      <w:r>
        <w:rPr>
          <w:b w:val="0"/>
        </w:rPr>
      </w:r>
      <w:bookmarkStart w:name="_bookmark64" w:id="109"/>
      <w:bookmarkEnd w:id="109"/>
      <w:r>
        <w:rPr/>
        <w:t>M</w:t>
      </w:r>
      <w:r>
        <w:rPr/>
        <w:t>onitorización del Gasto</w:t>
      </w:r>
      <w:r>
        <w:rPr>
          <w:spacing w:val="-17"/>
        </w:rPr>
        <w:t> </w:t>
      </w:r>
      <w:r>
        <w:rPr/>
        <w:t>Cardiaco</w:t>
      </w:r>
    </w:p>
    <w:p>
      <w:pPr>
        <w:pStyle w:val="BodyText"/>
        <w:spacing w:line="357" w:lineRule="auto" w:before="132" w:after="13"/>
        <w:ind w:left="192" w:right="102" w:firstLine="710"/>
        <w:jc w:val="both"/>
      </w:pPr>
      <w:r>
        <w:rPr/>
        <w:t>Un catéter de termodilución Swan-Ganz del número 7 Fr y de 4 lúmenes (Balloon- tipped, thermodilution output catheter, Arrow International, NC, USA</w:t>
      </w:r>
      <w:r>
        <w:rPr>
          <w:position w:val="9"/>
          <w:sz w:val="16"/>
        </w:rPr>
        <w:t>®</w:t>
      </w:r>
      <w:r>
        <w:rPr/>
        <w:t>), </w:t>
      </w:r>
      <w:r>
        <w:rPr>
          <w:i/>
        </w:rPr>
        <w:t>(figura 5) </w:t>
      </w:r>
      <w:r>
        <w:rPr>
          <w:spacing w:val="-3"/>
        </w:rPr>
        <w:t>fue </w:t>
      </w:r>
      <w:r>
        <w:rPr/>
        <w:t>introducido de manera percutánea en </w:t>
      </w:r>
      <w:r>
        <w:rPr>
          <w:spacing w:val="-3"/>
        </w:rPr>
        <w:t>la </w:t>
      </w:r>
      <w:r>
        <w:rPr/>
        <w:t>vena yugular derecha previa antisepsia de </w:t>
      </w:r>
      <w:r>
        <w:rPr>
          <w:spacing w:val="-3"/>
        </w:rPr>
        <w:t>la </w:t>
      </w:r>
      <w:r>
        <w:rPr/>
        <w:t>zona (</w:t>
      </w:r>
      <w:r>
        <w:rPr>
          <w:i/>
        </w:rPr>
        <w:t>figura</w:t>
      </w:r>
      <w:r>
        <w:rPr/>
        <w:t>6). Para </w:t>
      </w:r>
      <w:r>
        <w:rPr>
          <w:spacing w:val="-4"/>
        </w:rPr>
        <w:t>ello</w:t>
      </w:r>
      <w:r>
        <w:rPr>
          <w:spacing w:val="52"/>
        </w:rPr>
        <w:t> </w:t>
      </w:r>
      <w:r>
        <w:rPr/>
        <w:t>se utilizó un introductor hemostático (Introducer </w:t>
      </w:r>
      <w:r>
        <w:rPr>
          <w:spacing w:val="-4"/>
        </w:rPr>
        <w:t>Kit</w:t>
      </w:r>
      <w:r>
        <w:rPr>
          <w:spacing w:val="52"/>
        </w:rPr>
        <w:t> </w:t>
      </w:r>
      <w:r>
        <w:rPr/>
        <w:t>Arrow International</w:t>
      </w:r>
      <w:r>
        <w:rPr>
          <w:position w:val="9"/>
          <w:sz w:val="16"/>
        </w:rPr>
        <w:t>®</w:t>
      </w:r>
      <w:r>
        <w:rPr/>
        <w:t>) el cual fue introducido en </w:t>
      </w:r>
      <w:r>
        <w:rPr>
          <w:spacing w:val="-3"/>
        </w:rPr>
        <w:t>la </w:t>
      </w:r>
      <w:r>
        <w:rPr/>
        <w:t>vena yugular por </w:t>
      </w:r>
      <w:r>
        <w:rPr>
          <w:spacing w:val="-3"/>
        </w:rPr>
        <w:t>medio </w:t>
      </w:r>
      <w:r>
        <w:rPr/>
        <w:t>de </w:t>
      </w:r>
      <w:r>
        <w:rPr>
          <w:spacing w:val="-3"/>
        </w:rPr>
        <w:t>la </w:t>
      </w:r>
      <w:r>
        <w:rPr/>
        <w:t>técnica de Seldinger (</w:t>
      </w:r>
      <w:r>
        <w:rPr>
          <w:i/>
        </w:rPr>
        <w:t>figura 7, 8, 9</w:t>
      </w:r>
      <w:r>
        <w:rPr/>
        <w:t>). El puerto amarillo o distal se conectó a un transductor de presión para poder evaluar las características gráficas en el monitor al momento de introducir </w:t>
      </w:r>
      <w:r>
        <w:rPr>
          <w:spacing w:val="4"/>
        </w:rPr>
        <w:t>el </w:t>
      </w:r>
      <w:r>
        <w:rPr/>
        <w:t>catéter de flotación de </w:t>
      </w:r>
      <w:r>
        <w:rPr>
          <w:spacing w:val="-5"/>
        </w:rPr>
        <w:t>la </w:t>
      </w:r>
      <w:r>
        <w:rPr/>
        <w:t>arteria pulmonar (Swan-Ganz).</w:t>
      </w: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61"/>
        <w:gridCol w:w="4360"/>
      </w:tblGrid>
      <w:tr>
        <w:trPr>
          <w:trHeight w:val="2325" w:hRule="exact"/>
        </w:trPr>
        <w:tc>
          <w:tcPr>
            <w:tcW w:w="4561" w:type="dxa"/>
          </w:tcPr>
          <w:p>
            <w:pPr>
              <w:pStyle w:val="TableParagraph"/>
              <w:spacing w:before="0"/>
              <w:rPr>
                <w:sz w:val="20"/>
              </w:rPr>
            </w:pPr>
            <w:r>
              <w:rPr>
                <w:sz w:val="20"/>
              </w:rPr>
              <w:drawing>
                <wp:inline distT="0" distB="0" distL="0" distR="0">
                  <wp:extent cx="2653012" cy="1422749"/>
                  <wp:effectExtent l="0" t="0" r="0" b="0"/>
                  <wp:docPr id="31" name="image20.png" descr=""/>
                  <wp:cNvGraphicFramePr>
                    <a:graphicFrameLocks noChangeAspect="1"/>
                  </wp:cNvGraphicFramePr>
                  <a:graphic>
                    <a:graphicData uri="http://schemas.openxmlformats.org/drawingml/2006/picture">
                      <pic:pic>
                        <pic:nvPicPr>
                          <pic:cNvPr id="32" name="image20.png"/>
                          <pic:cNvPicPr/>
                        </pic:nvPicPr>
                        <pic:blipFill>
                          <a:blip r:embed="rId36" cstate="print"/>
                          <a:stretch>
                            <a:fillRect/>
                          </a:stretch>
                        </pic:blipFill>
                        <pic:spPr>
                          <a:xfrm>
                            <a:off x="0" y="0"/>
                            <a:ext cx="2653012" cy="1422749"/>
                          </a:xfrm>
                          <a:prstGeom prst="rect">
                            <a:avLst/>
                          </a:prstGeom>
                        </pic:spPr>
                      </pic:pic>
                    </a:graphicData>
                  </a:graphic>
                </wp:inline>
              </w:drawing>
            </w:r>
            <w:r>
              <w:rPr>
                <w:sz w:val="20"/>
              </w:rPr>
            </w:r>
          </w:p>
        </w:tc>
        <w:tc>
          <w:tcPr>
            <w:tcW w:w="4360" w:type="dxa"/>
          </w:tcPr>
          <w:p>
            <w:pPr>
              <w:pStyle w:val="TableParagraph"/>
              <w:spacing w:before="0"/>
              <w:ind w:left="357"/>
              <w:rPr>
                <w:sz w:val="20"/>
              </w:rPr>
            </w:pPr>
            <w:r>
              <w:rPr>
                <w:sz w:val="20"/>
              </w:rPr>
              <w:drawing>
                <wp:inline distT="0" distB="0" distL="0" distR="0">
                  <wp:extent cx="2442242" cy="1397127"/>
                  <wp:effectExtent l="0" t="0" r="0" b="0"/>
                  <wp:docPr id="33" name="image21.jpeg" descr=""/>
                  <wp:cNvGraphicFramePr>
                    <a:graphicFrameLocks noChangeAspect="1"/>
                  </wp:cNvGraphicFramePr>
                  <a:graphic>
                    <a:graphicData uri="http://schemas.openxmlformats.org/drawingml/2006/picture">
                      <pic:pic>
                        <pic:nvPicPr>
                          <pic:cNvPr id="34" name="image21.jpeg"/>
                          <pic:cNvPicPr/>
                        </pic:nvPicPr>
                        <pic:blipFill>
                          <a:blip r:embed="rId37" cstate="print"/>
                          <a:stretch>
                            <a:fillRect/>
                          </a:stretch>
                        </pic:blipFill>
                        <pic:spPr>
                          <a:xfrm>
                            <a:off x="0" y="0"/>
                            <a:ext cx="2442242" cy="1397127"/>
                          </a:xfrm>
                          <a:prstGeom prst="rect">
                            <a:avLst/>
                          </a:prstGeom>
                        </pic:spPr>
                      </pic:pic>
                    </a:graphicData>
                  </a:graphic>
                </wp:inline>
              </w:drawing>
            </w:r>
            <w:r>
              <w:rPr>
                <w:sz w:val="20"/>
              </w:rPr>
            </w:r>
          </w:p>
        </w:tc>
      </w:tr>
      <w:tr>
        <w:trPr>
          <w:trHeight w:val="360" w:hRule="exact"/>
        </w:trPr>
        <w:tc>
          <w:tcPr>
            <w:tcW w:w="4561" w:type="dxa"/>
          </w:tcPr>
          <w:p>
            <w:pPr>
              <w:pStyle w:val="TableParagraph"/>
              <w:spacing w:before="50"/>
              <w:ind w:left="0" w:right="2181"/>
              <w:jc w:val="right"/>
              <w:rPr>
                <w:b/>
                <w:sz w:val="22"/>
              </w:rPr>
            </w:pPr>
            <w:r>
              <w:rPr>
                <w:b/>
                <w:w w:val="100"/>
                <w:sz w:val="22"/>
              </w:rPr>
              <w:t>A</w:t>
            </w:r>
          </w:p>
        </w:tc>
        <w:tc>
          <w:tcPr>
            <w:tcW w:w="4360" w:type="dxa"/>
          </w:tcPr>
          <w:p>
            <w:pPr>
              <w:pStyle w:val="TableParagraph"/>
              <w:spacing w:before="50"/>
              <w:ind w:left="0" w:right="2020"/>
              <w:jc w:val="right"/>
              <w:rPr>
                <w:b/>
                <w:sz w:val="22"/>
              </w:rPr>
            </w:pPr>
            <w:r>
              <w:rPr>
                <w:b/>
                <w:w w:val="100"/>
                <w:sz w:val="22"/>
              </w:rPr>
              <w:t>B</w:t>
            </w:r>
          </w:p>
        </w:tc>
      </w:tr>
      <w:tr>
        <w:trPr>
          <w:trHeight w:val="2628" w:hRule="exact"/>
        </w:trPr>
        <w:tc>
          <w:tcPr>
            <w:tcW w:w="4561" w:type="dxa"/>
          </w:tcPr>
          <w:p>
            <w:pPr>
              <w:pStyle w:val="TableParagraph"/>
              <w:spacing w:before="3"/>
              <w:ind w:left="0"/>
              <w:rPr>
                <w:sz w:val="5"/>
              </w:rPr>
            </w:pPr>
          </w:p>
          <w:p>
            <w:pPr>
              <w:pStyle w:val="TableParagraph"/>
              <w:spacing w:before="0"/>
              <w:ind w:left="469"/>
              <w:rPr>
                <w:sz w:val="20"/>
              </w:rPr>
            </w:pPr>
            <w:r>
              <w:rPr>
                <w:sz w:val="20"/>
              </w:rPr>
              <w:drawing>
                <wp:inline distT="0" distB="0" distL="0" distR="0">
                  <wp:extent cx="2316552" cy="1431036"/>
                  <wp:effectExtent l="0" t="0" r="0" b="0"/>
                  <wp:docPr id="35" name="image22.jpeg" descr=""/>
                  <wp:cNvGraphicFramePr>
                    <a:graphicFrameLocks noChangeAspect="1"/>
                  </wp:cNvGraphicFramePr>
                  <a:graphic>
                    <a:graphicData uri="http://schemas.openxmlformats.org/drawingml/2006/picture">
                      <pic:pic>
                        <pic:nvPicPr>
                          <pic:cNvPr id="36" name="image22.jpeg"/>
                          <pic:cNvPicPr/>
                        </pic:nvPicPr>
                        <pic:blipFill>
                          <a:blip r:embed="rId38" cstate="print"/>
                          <a:stretch>
                            <a:fillRect/>
                          </a:stretch>
                        </pic:blipFill>
                        <pic:spPr>
                          <a:xfrm>
                            <a:off x="0" y="0"/>
                            <a:ext cx="2316552" cy="1431036"/>
                          </a:xfrm>
                          <a:prstGeom prst="rect">
                            <a:avLst/>
                          </a:prstGeom>
                        </pic:spPr>
                      </pic:pic>
                    </a:graphicData>
                  </a:graphic>
                </wp:inline>
              </w:drawing>
            </w:r>
            <w:r>
              <w:rPr>
                <w:sz w:val="20"/>
              </w:rPr>
            </w:r>
          </w:p>
          <w:p>
            <w:pPr>
              <w:pStyle w:val="TableParagraph"/>
              <w:spacing w:before="3"/>
              <w:ind w:left="0"/>
              <w:rPr>
                <w:sz w:val="27"/>
              </w:rPr>
            </w:pPr>
          </w:p>
        </w:tc>
        <w:tc>
          <w:tcPr>
            <w:tcW w:w="4360" w:type="dxa"/>
          </w:tcPr>
          <w:p>
            <w:pPr>
              <w:pStyle w:val="TableParagraph"/>
              <w:spacing w:before="3"/>
              <w:ind w:left="0"/>
              <w:rPr>
                <w:sz w:val="5"/>
              </w:rPr>
            </w:pPr>
          </w:p>
          <w:p>
            <w:pPr>
              <w:pStyle w:val="TableParagraph"/>
              <w:spacing w:before="0"/>
              <w:ind w:left="170"/>
              <w:rPr>
                <w:sz w:val="20"/>
              </w:rPr>
            </w:pPr>
            <w:r>
              <w:rPr>
                <w:sz w:val="20"/>
              </w:rPr>
              <w:drawing>
                <wp:inline distT="0" distB="0" distL="0" distR="0">
                  <wp:extent cx="2444082" cy="1564766"/>
                  <wp:effectExtent l="0" t="0" r="0" b="0"/>
                  <wp:docPr id="37" name="image23.jpeg" descr=""/>
                  <wp:cNvGraphicFramePr>
                    <a:graphicFrameLocks noChangeAspect="1"/>
                  </wp:cNvGraphicFramePr>
                  <a:graphic>
                    <a:graphicData uri="http://schemas.openxmlformats.org/drawingml/2006/picture">
                      <pic:pic>
                        <pic:nvPicPr>
                          <pic:cNvPr id="38" name="image23.jpeg"/>
                          <pic:cNvPicPr/>
                        </pic:nvPicPr>
                        <pic:blipFill>
                          <a:blip r:embed="rId39" cstate="print"/>
                          <a:stretch>
                            <a:fillRect/>
                          </a:stretch>
                        </pic:blipFill>
                        <pic:spPr>
                          <a:xfrm>
                            <a:off x="0" y="0"/>
                            <a:ext cx="2444082" cy="1564766"/>
                          </a:xfrm>
                          <a:prstGeom prst="rect">
                            <a:avLst/>
                          </a:prstGeom>
                        </pic:spPr>
                      </pic:pic>
                    </a:graphicData>
                  </a:graphic>
                </wp:inline>
              </w:drawing>
            </w:r>
            <w:r>
              <w:rPr>
                <w:sz w:val="20"/>
              </w:rPr>
            </w:r>
          </w:p>
        </w:tc>
      </w:tr>
      <w:tr>
        <w:trPr>
          <w:trHeight w:val="302" w:hRule="exact"/>
        </w:trPr>
        <w:tc>
          <w:tcPr>
            <w:tcW w:w="4561" w:type="dxa"/>
          </w:tcPr>
          <w:p>
            <w:pPr>
              <w:pStyle w:val="TableParagraph"/>
              <w:spacing w:before="53"/>
              <w:ind w:left="0" w:right="2181"/>
              <w:jc w:val="right"/>
              <w:rPr>
                <w:b/>
                <w:sz w:val="22"/>
              </w:rPr>
            </w:pPr>
            <w:r>
              <w:rPr>
                <w:b/>
                <w:w w:val="100"/>
                <w:sz w:val="22"/>
              </w:rPr>
              <w:t>C</w:t>
            </w:r>
          </w:p>
        </w:tc>
        <w:tc>
          <w:tcPr>
            <w:tcW w:w="4360" w:type="dxa"/>
          </w:tcPr>
          <w:p>
            <w:pPr>
              <w:pStyle w:val="TableParagraph"/>
              <w:spacing w:before="53"/>
              <w:ind w:left="0" w:right="2014"/>
              <w:jc w:val="right"/>
              <w:rPr>
                <w:b/>
                <w:sz w:val="22"/>
              </w:rPr>
            </w:pPr>
            <w:r>
              <w:rPr>
                <w:b/>
                <w:w w:val="100"/>
                <w:sz w:val="22"/>
              </w:rPr>
              <w:t>D</w:t>
            </w:r>
          </w:p>
        </w:tc>
      </w:tr>
    </w:tbl>
    <w:p>
      <w:pPr>
        <w:spacing w:line="240" w:lineRule="auto" w:before="126"/>
        <w:ind w:left="192" w:right="103" w:firstLine="0"/>
        <w:jc w:val="both"/>
        <w:rPr>
          <w:i/>
          <w:sz w:val="22"/>
        </w:rPr>
      </w:pPr>
      <w:bookmarkStart w:name="_bookmark65" w:id="110"/>
      <w:bookmarkEnd w:id="110"/>
      <w:r>
        <w:rPr/>
      </w:r>
      <w:r>
        <w:rPr>
          <w:i/>
          <w:sz w:val="22"/>
        </w:rPr>
        <w:t>IMAGEN 5. (a) Características del catéter de termodilución de 110 centímetros para la medición </w:t>
      </w:r>
      <w:r>
        <w:rPr>
          <w:i/>
          <w:sz w:val="22"/>
        </w:rPr>
        <w:t>del gasto cardiaco. Donde se observan los diferentes puertos: puerto amarillo o distal para evaluar la presión de la arteria pulmonar y obtener muestras de sangre venosa mixta, puerto azul o proximal para la evaluación de la presión venosa central y administrar solución salina fisiológica, puerto rojo para la insuflación del balón, para evaluar la presión pulmonar por oclusión (b), el puerto blanco o termistor para evaluar la temperatura corporal y llevar a cabo la técnica de termodilución (c), (d) balón de oclusión de la arteria pulmonar.</w:t>
      </w:r>
    </w:p>
    <w:p>
      <w:pPr>
        <w:spacing w:after="0" w:line="240" w:lineRule="auto"/>
        <w:jc w:val="both"/>
        <w:rPr>
          <w:sz w:val="22"/>
        </w:rPr>
        <w:sectPr>
          <w:pgSz w:w="12240" w:h="15840"/>
          <w:pgMar w:header="0" w:footer="1651" w:top="1500" w:bottom="1840" w:left="1680" w:right="1420"/>
        </w:sectPr>
      </w:pPr>
    </w:p>
    <w:p>
      <w:pPr>
        <w:pStyle w:val="BodyText"/>
        <w:spacing w:before="3"/>
        <w:rPr>
          <w:i/>
          <w:sz w:val="27"/>
        </w:rPr>
      </w:pPr>
    </w:p>
    <w:p>
      <w:pPr>
        <w:pStyle w:val="BodyText"/>
        <w:ind w:left="1482"/>
        <w:rPr>
          <w:sz w:val="20"/>
        </w:rPr>
      </w:pPr>
      <w:r>
        <w:rPr>
          <w:sz w:val="20"/>
        </w:rPr>
        <w:drawing>
          <wp:inline distT="0" distB="0" distL="0" distR="0">
            <wp:extent cx="4367969" cy="2839212"/>
            <wp:effectExtent l="0" t="0" r="0" b="0"/>
            <wp:docPr id="39" name="image24.jpeg" descr=""/>
            <wp:cNvGraphicFramePr>
              <a:graphicFrameLocks noChangeAspect="1"/>
            </wp:cNvGraphicFramePr>
            <a:graphic>
              <a:graphicData uri="http://schemas.openxmlformats.org/drawingml/2006/picture">
                <pic:pic>
                  <pic:nvPicPr>
                    <pic:cNvPr id="40" name="image24.jpeg"/>
                    <pic:cNvPicPr/>
                  </pic:nvPicPr>
                  <pic:blipFill>
                    <a:blip r:embed="rId40" cstate="print"/>
                    <a:stretch>
                      <a:fillRect/>
                    </a:stretch>
                  </pic:blipFill>
                  <pic:spPr>
                    <a:xfrm>
                      <a:off x="0" y="0"/>
                      <a:ext cx="4367969" cy="2839212"/>
                    </a:xfrm>
                    <a:prstGeom prst="rect">
                      <a:avLst/>
                    </a:prstGeom>
                  </pic:spPr>
                </pic:pic>
              </a:graphicData>
            </a:graphic>
          </wp:inline>
        </w:drawing>
      </w:r>
      <w:r>
        <w:rPr>
          <w:sz w:val="20"/>
        </w:rPr>
      </w:r>
    </w:p>
    <w:p>
      <w:pPr>
        <w:spacing w:before="120"/>
        <w:ind w:left="152" w:right="0" w:firstLine="0"/>
        <w:jc w:val="left"/>
        <w:rPr>
          <w:i/>
          <w:sz w:val="22"/>
        </w:rPr>
      </w:pPr>
      <w:bookmarkStart w:name="_bookmark66" w:id="111"/>
      <w:bookmarkEnd w:id="111"/>
      <w:r>
        <w:rPr/>
      </w:r>
      <w:r>
        <w:rPr>
          <w:i/>
          <w:sz w:val="22"/>
        </w:rPr>
        <w:t>IMAGEN 6. Cateterización de la vena yugular derecha por medio de un catéter del número 17 G, </w:t>
      </w:r>
      <w:r>
        <w:rPr>
          <w:i/>
          <w:sz w:val="22"/>
        </w:rPr>
        <w:t>previa antisepsia de la zona.</w:t>
      </w:r>
    </w:p>
    <w:p>
      <w:pPr>
        <w:pStyle w:val="BodyText"/>
        <w:rPr>
          <w:i/>
          <w:sz w:val="20"/>
        </w:rPr>
      </w:pPr>
    </w:p>
    <w:p>
      <w:pPr>
        <w:pStyle w:val="BodyText"/>
        <w:spacing w:before="3"/>
        <w:rPr>
          <w:i/>
          <w:sz w:val="10"/>
        </w:rPr>
      </w:pPr>
      <w:r>
        <w:rPr/>
        <w:drawing>
          <wp:anchor distT="0" distB="0" distL="0" distR="0" allowOverlap="1" layoutInCell="1" locked="0" behindDoc="0" simplePos="0" relativeHeight="1552">
            <wp:simplePos x="0" y="0"/>
            <wp:positionH relativeFrom="page">
              <wp:posOffset>1905000</wp:posOffset>
            </wp:positionH>
            <wp:positionV relativeFrom="paragraph">
              <wp:posOffset>99969</wp:posOffset>
            </wp:positionV>
            <wp:extent cx="4653073" cy="2854642"/>
            <wp:effectExtent l="0" t="0" r="0" b="0"/>
            <wp:wrapTopAndBottom/>
            <wp:docPr id="41" name="image25.jpeg" descr=""/>
            <wp:cNvGraphicFramePr>
              <a:graphicFrameLocks noChangeAspect="1"/>
            </wp:cNvGraphicFramePr>
            <a:graphic>
              <a:graphicData uri="http://schemas.openxmlformats.org/drawingml/2006/picture">
                <pic:pic>
                  <pic:nvPicPr>
                    <pic:cNvPr id="42" name="image25.jpeg"/>
                    <pic:cNvPicPr/>
                  </pic:nvPicPr>
                  <pic:blipFill>
                    <a:blip r:embed="rId41" cstate="print"/>
                    <a:stretch>
                      <a:fillRect/>
                    </a:stretch>
                  </pic:blipFill>
                  <pic:spPr>
                    <a:xfrm>
                      <a:off x="0" y="0"/>
                      <a:ext cx="4653073" cy="2854642"/>
                    </a:xfrm>
                    <a:prstGeom prst="rect">
                      <a:avLst/>
                    </a:prstGeom>
                  </pic:spPr>
                </pic:pic>
              </a:graphicData>
            </a:graphic>
          </wp:anchor>
        </w:drawing>
      </w:r>
    </w:p>
    <w:p>
      <w:pPr>
        <w:spacing w:before="68"/>
        <w:ind w:left="152" w:right="106" w:firstLine="0"/>
        <w:jc w:val="left"/>
        <w:rPr>
          <w:i/>
          <w:sz w:val="22"/>
        </w:rPr>
      </w:pPr>
      <w:bookmarkStart w:name="_bookmark67" w:id="112"/>
      <w:bookmarkEnd w:id="112"/>
      <w:r>
        <w:rPr/>
      </w:r>
      <w:r>
        <w:rPr>
          <w:i/>
          <w:sz w:val="22"/>
        </w:rPr>
        <w:t>IMAGEN 7. Introducción del fiador a través del catéter endovenoso para la realización de la </w:t>
      </w:r>
      <w:r>
        <w:rPr>
          <w:i/>
          <w:sz w:val="22"/>
        </w:rPr>
        <w:t>técnica de Seldinger para la introducción del dilatador vascular.</w:t>
      </w:r>
    </w:p>
    <w:p>
      <w:pPr>
        <w:spacing w:after="0"/>
        <w:jc w:val="left"/>
        <w:rPr>
          <w:sz w:val="22"/>
        </w:rPr>
        <w:sectPr>
          <w:pgSz w:w="12240" w:h="15840"/>
          <w:pgMar w:header="0" w:footer="1651" w:top="1500" w:bottom="1840" w:left="1720" w:right="1420"/>
        </w:sectPr>
      </w:pPr>
    </w:p>
    <w:p>
      <w:pPr>
        <w:pStyle w:val="BodyText"/>
        <w:spacing w:before="3"/>
        <w:rPr>
          <w:i/>
          <w:sz w:val="27"/>
        </w:rPr>
      </w:pPr>
    </w:p>
    <w:p>
      <w:pPr>
        <w:pStyle w:val="BodyText"/>
        <w:ind w:left="1880"/>
        <w:rPr>
          <w:sz w:val="20"/>
        </w:rPr>
      </w:pPr>
      <w:r>
        <w:rPr>
          <w:sz w:val="20"/>
        </w:rPr>
        <w:drawing>
          <wp:inline distT="0" distB="0" distL="0" distR="0">
            <wp:extent cx="3862191" cy="2839212"/>
            <wp:effectExtent l="0" t="0" r="0" b="0"/>
            <wp:docPr id="43" name="image26.jpeg" descr=""/>
            <wp:cNvGraphicFramePr>
              <a:graphicFrameLocks noChangeAspect="1"/>
            </wp:cNvGraphicFramePr>
            <a:graphic>
              <a:graphicData uri="http://schemas.openxmlformats.org/drawingml/2006/picture">
                <pic:pic>
                  <pic:nvPicPr>
                    <pic:cNvPr id="44" name="image26.jpeg"/>
                    <pic:cNvPicPr/>
                  </pic:nvPicPr>
                  <pic:blipFill>
                    <a:blip r:embed="rId42" cstate="print"/>
                    <a:stretch>
                      <a:fillRect/>
                    </a:stretch>
                  </pic:blipFill>
                  <pic:spPr>
                    <a:xfrm>
                      <a:off x="0" y="0"/>
                      <a:ext cx="3862191" cy="2839212"/>
                    </a:xfrm>
                    <a:prstGeom prst="rect">
                      <a:avLst/>
                    </a:prstGeom>
                  </pic:spPr>
                </pic:pic>
              </a:graphicData>
            </a:graphic>
          </wp:inline>
        </w:drawing>
      </w:r>
      <w:r>
        <w:rPr>
          <w:sz w:val="20"/>
        </w:rPr>
      </w:r>
    </w:p>
    <w:p>
      <w:pPr>
        <w:spacing w:before="115"/>
        <w:ind w:left="152" w:right="0" w:firstLine="0"/>
        <w:jc w:val="left"/>
        <w:rPr>
          <w:i/>
          <w:sz w:val="22"/>
        </w:rPr>
      </w:pPr>
      <w:bookmarkStart w:name="_bookmark68" w:id="113"/>
      <w:bookmarkEnd w:id="113"/>
      <w:r>
        <w:rPr/>
      </w:r>
      <w:r>
        <w:rPr>
          <w:i/>
          <w:sz w:val="22"/>
        </w:rPr>
        <w:t>IMAGEN 8. Introductor armado (Introducer Kit Arrow International</w:t>
      </w:r>
      <w:r>
        <w:rPr>
          <w:i/>
          <w:position w:val="8"/>
          <w:sz w:val="14"/>
        </w:rPr>
        <w:t>®</w:t>
      </w:r>
      <w:r>
        <w:rPr>
          <w:i/>
          <w:sz w:val="22"/>
        </w:rPr>
        <w:t>) y colocado por medio de la </w:t>
      </w:r>
      <w:r>
        <w:rPr>
          <w:i/>
          <w:sz w:val="22"/>
        </w:rPr>
        <w:t>técnica de Seldinger.</w:t>
      </w:r>
    </w:p>
    <w:p>
      <w:pPr>
        <w:pStyle w:val="BodyText"/>
        <w:rPr>
          <w:i/>
          <w:sz w:val="20"/>
        </w:rPr>
      </w:pPr>
    </w:p>
    <w:p>
      <w:pPr>
        <w:pStyle w:val="BodyText"/>
        <w:spacing w:before="3"/>
        <w:rPr>
          <w:i/>
          <w:sz w:val="10"/>
        </w:rPr>
      </w:pPr>
      <w:r>
        <w:rPr/>
        <w:drawing>
          <wp:anchor distT="0" distB="0" distL="0" distR="0" allowOverlap="1" layoutInCell="1" locked="0" behindDoc="0" simplePos="0" relativeHeight="1576">
            <wp:simplePos x="0" y="0"/>
            <wp:positionH relativeFrom="page">
              <wp:posOffset>2216150</wp:posOffset>
            </wp:positionH>
            <wp:positionV relativeFrom="paragraph">
              <wp:posOffset>99969</wp:posOffset>
            </wp:positionV>
            <wp:extent cx="4028281" cy="2854642"/>
            <wp:effectExtent l="0" t="0" r="0" b="0"/>
            <wp:wrapTopAndBottom/>
            <wp:docPr id="45" name="image27.jpeg" descr=""/>
            <wp:cNvGraphicFramePr>
              <a:graphicFrameLocks noChangeAspect="1"/>
            </wp:cNvGraphicFramePr>
            <a:graphic>
              <a:graphicData uri="http://schemas.openxmlformats.org/drawingml/2006/picture">
                <pic:pic>
                  <pic:nvPicPr>
                    <pic:cNvPr id="46" name="image27.jpeg"/>
                    <pic:cNvPicPr/>
                  </pic:nvPicPr>
                  <pic:blipFill>
                    <a:blip r:embed="rId43" cstate="print"/>
                    <a:stretch>
                      <a:fillRect/>
                    </a:stretch>
                  </pic:blipFill>
                  <pic:spPr>
                    <a:xfrm>
                      <a:off x="0" y="0"/>
                      <a:ext cx="4028281" cy="2854642"/>
                    </a:xfrm>
                    <a:prstGeom prst="rect">
                      <a:avLst/>
                    </a:prstGeom>
                  </pic:spPr>
                </pic:pic>
              </a:graphicData>
            </a:graphic>
          </wp:anchor>
        </w:drawing>
      </w:r>
    </w:p>
    <w:p>
      <w:pPr>
        <w:spacing w:before="68"/>
        <w:ind w:left="152" w:right="0" w:firstLine="0"/>
        <w:jc w:val="left"/>
        <w:rPr>
          <w:i/>
          <w:sz w:val="22"/>
        </w:rPr>
      </w:pPr>
      <w:bookmarkStart w:name="_bookmark69" w:id="114"/>
      <w:bookmarkEnd w:id="114"/>
      <w:r>
        <w:rPr/>
      </w:r>
      <w:r>
        <w:rPr>
          <w:i/>
          <w:sz w:val="22"/>
        </w:rPr>
        <w:t>IMAGEN 9. Paso del catéter de Swan-Ganz a través de la válvula hemostática del introductor.</w:t>
      </w:r>
    </w:p>
    <w:p>
      <w:pPr>
        <w:pStyle w:val="BodyText"/>
        <w:rPr>
          <w:i/>
          <w:sz w:val="22"/>
        </w:rPr>
      </w:pPr>
    </w:p>
    <w:p>
      <w:pPr>
        <w:pStyle w:val="BodyText"/>
        <w:spacing w:line="360" w:lineRule="auto" w:before="128"/>
        <w:ind w:left="152" w:right="106" w:firstLine="710"/>
        <w:jc w:val="both"/>
      </w:pPr>
      <w:r>
        <w:rPr/>
        <w:t>La primera grafica de presión que observamos es al entrar a la aurícula derecha, al pasar por el ventrículo derecho se observa una gráfica de mayor presión lo que indica la entrada  del  catéter  al  ventrículo   derecho   para  posteriormente  anclarse  en  la     arteria</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before="69"/>
        <w:ind w:left="152"/>
        <w:jc w:val="both"/>
      </w:pPr>
      <w:r>
        <w:rPr/>
        <w:t>pulmonar. Una vez que el catéter se encuentra en la arteria pulmonar el balón se insufla con</w:t>
      </w:r>
    </w:p>
    <w:p>
      <w:pPr>
        <w:pStyle w:val="BodyText"/>
        <w:spacing w:line="360" w:lineRule="auto" w:before="137"/>
        <w:ind w:left="152" w:right="104"/>
        <w:jc w:val="both"/>
        <w:rPr>
          <w:i/>
        </w:rPr>
      </w:pPr>
      <w:r>
        <w:rPr/>
        <w:t>0.5 – 1 ml de aire para poder obtener la gráfica característica de aplanamiento, que ocasiona la presión pulmonar por oclusión de la arteria pulmonar (</w:t>
      </w:r>
      <w:r>
        <w:rPr>
          <w:i/>
        </w:rPr>
        <w:t>figura 10; a, b, c, d, e)</w:t>
      </w:r>
      <w:r>
        <w:rPr/>
        <w:t>. La adecuada colocación del catéter de flotación de la arteria pulmonar se confirmó por medio de estudio radiográfico lateral de tórax </w:t>
      </w:r>
      <w:r>
        <w:rPr>
          <w:i/>
        </w:rPr>
        <w:t>(figura 11).</w:t>
      </w:r>
    </w:p>
    <w:p>
      <w:pPr>
        <w:spacing w:after="0" w:line="360" w:lineRule="auto"/>
        <w:jc w:val="both"/>
        <w:sectPr>
          <w:pgSz w:w="12240" w:h="15840"/>
          <w:pgMar w:header="0" w:footer="1651" w:top="1500" w:bottom="1840" w:left="1720" w:right="1420"/>
        </w:sectPr>
      </w:pPr>
    </w:p>
    <w:p>
      <w:pPr>
        <w:pStyle w:val="BodyText"/>
        <w:rPr>
          <w:i/>
          <w:sz w:val="20"/>
        </w:rPr>
      </w:pPr>
    </w:p>
    <w:p>
      <w:pPr>
        <w:pStyle w:val="BodyText"/>
        <w:rPr>
          <w:i/>
          <w:sz w:val="20"/>
        </w:rPr>
      </w:pPr>
    </w:p>
    <w:p>
      <w:pPr>
        <w:pStyle w:val="BodyText"/>
        <w:spacing w:before="10"/>
        <w:rPr>
          <w:i/>
          <w:sz w:val="19"/>
        </w:rPr>
      </w:pPr>
    </w:p>
    <w:tbl>
      <w:tblPr>
        <w:tblW w:w="0" w:type="auto"/>
        <w:jc w:val="left"/>
        <w:tblInd w:w="16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15"/>
        <w:gridCol w:w="4165"/>
      </w:tblGrid>
      <w:tr>
        <w:trPr>
          <w:trHeight w:val="3144" w:hRule="exact"/>
        </w:trPr>
        <w:tc>
          <w:tcPr>
            <w:tcW w:w="8680" w:type="dxa"/>
            <w:gridSpan w:val="2"/>
          </w:tcPr>
          <w:p>
            <w:pPr>
              <w:pStyle w:val="TableParagraph"/>
              <w:spacing w:before="0"/>
              <w:ind w:left="1703"/>
              <w:rPr>
                <w:sz w:val="20"/>
              </w:rPr>
            </w:pPr>
            <w:r>
              <w:rPr>
                <w:sz w:val="20"/>
              </w:rPr>
              <w:drawing>
                <wp:inline distT="0" distB="0" distL="0" distR="0">
                  <wp:extent cx="3454425" cy="1958721"/>
                  <wp:effectExtent l="0" t="0" r="0" b="0"/>
                  <wp:docPr id="47" name="image28.png" descr=""/>
                  <wp:cNvGraphicFramePr>
                    <a:graphicFrameLocks noChangeAspect="1"/>
                  </wp:cNvGraphicFramePr>
                  <a:graphic>
                    <a:graphicData uri="http://schemas.openxmlformats.org/drawingml/2006/picture">
                      <pic:pic>
                        <pic:nvPicPr>
                          <pic:cNvPr id="48" name="image28.png"/>
                          <pic:cNvPicPr/>
                        </pic:nvPicPr>
                        <pic:blipFill>
                          <a:blip r:embed="rId44" cstate="print"/>
                          <a:stretch>
                            <a:fillRect/>
                          </a:stretch>
                        </pic:blipFill>
                        <pic:spPr>
                          <a:xfrm>
                            <a:off x="0" y="0"/>
                            <a:ext cx="3454425" cy="1958721"/>
                          </a:xfrm>
                          <a:prstGeom prst="rect">
                            <a:avLst/>
                          </a:prstGeom>
                        </pic:spPr>
                      </pic:pic>
                    </a:graphicData>
                  </a:graphic>
                </wp:inline>
              </w:drawing>
            </w:r>
            <w:r>
              <w:rPr>
                <w:sz w:val="20"/>
              </w:rPr>
            </w:r>
          </w:p>
        </w:tc>
      </w:tr>
      <w:tr>
        <w:trPr>
          <w:trHeight w:val="365" w:hRule="exact"/>
        </w:trPr>
        <w:tc>
          <w:tcPr>
            <w:tcW w:w="4515" w:type="dxa"/>
          </w:tcPr>
          <w:p>
            <w:pPr>
              <w:pStyle w:val="TableParagraph"/>
              <w:spacing w:before="49"/>
              <w:ind w:left="0" w:right="55"/>
              <w:jc w:val="right"/>
              <w:rPr>
                <w:sz w:val="22"/>
              </w:rPr>
            </w:pPr>
            <w:r>
              <w:rPr>
                <w:w w:val="100"/>
                <w:sz w:val="22"/>
              </w:rPr>
              <w:t>a</w:t>
            </w:r>
          </w:p>
        </w:tc>
        <w:tc>
          <w:tcPr>
            <w:tcW w:w="4165" w:type="dxa"/>
          </w:tcPr>
          <w:p>
            <w:pPr/>
          </w:p>
        </w:tc>
      </w:tr>
      <w:tr>
        <w:trPr>
          <w:trHeight w:val="3209" w:hRule="exact"/>
        </w:trPr>
        <w:tc>
          <w:tcPr>
            <w:tcW w:w="4515" w:type="dxa"/>
          </w:tcPr>
          <w:p>
            <w:pPr>
              <w:pStyle w:val="TableParagraph"/>
              <w:spacing w:before="9"/>
              <w:ind w:left="0"/>
              <w:rPr>
                <w:i/>
                <w:sz w:val="5"/>
              </w:rPr>
            </w:pPr>
          </w:p>
          <w:p>
            <w:pPr>
              <w:pStyle w:val="TableParagraph"/>
              <w:spacing w:before="0"/>
              <w:ind w:left="555"/>
              <w:rPr>
                <w:sz w:val="20"/>
              </w:rPr>
            </w:pPr>
            <w:r>
              <w:rPr>
                <w:sz w:val="20"/>
              </w:rPr>
              <w:drawing>
                <wp:inline distT="0" distB="0" distL="0" distR="0">
                  <wp:extent cx="2060271" cy="1964817"/>
                  <wp:effectExtent l="0" t="0" r="0" b="0"/>
                  <wp:docPr id="49" name="image29.jpeg" descr=""/>
                  <wp:cNvGraphicFramePr>
                    <a:graphicFrameLocks noChangeAspect="1"/>
                  </wp:cNvGraphicFramePr>
                  <a:graphic>
                    <a:graphicData uri="http://schemas.openxmlformats.org/drawingml/2006/picture">
                      <pic:pic>
                        <pic:nvPicPr>
                          <pic:cNvPr id="50" name="image29.jpeg"/>
                          <pic:cNvPicPr/>
                        </pic:nvPicPr>
                        <pic:blipFill>
                          <a:blip r:embed="rId45" cstate="print"/>
                          <a:stretch>
                            <a:fillRect/>
                          </a:stretch>
                        </pic:blipFill>
                        <pic:spPr>
                          <a:xfrm>
                            <a:off x="0" y="0"/>
                            <a:ext cx="2060271" cy="1964817"/>
                          </a:xfrm>
                          <a:prstGeom prst="rect">
                            <a:avLst/>
                          </a:prstGeom>
                        </pic:spPr>
                      </pic:pic>
                    </a:graphicData>
                  </a:graphic>
                </wp:inline>
              </w:drawing>
            </w:r>
            <w:r>
              <w:rPr>
                <w:sz w:val="20"/>
              </w:rPr>
            </w:r>
          </w:p>
        </w:tc>
        <w:tc>
          <w:tcPr>
            <w:tcW w:w="4165" w:type="dxa"/>
          </w:tcPr>
          <w:p>
            <w:pPr>
              <w:pStyle w:val="TableParagraph"/>
              <w:spacing w:before="9"/>
              <w:ind w:left="0"/>
              <w:rPr>
                <w:i/>
                <w:sz w:val="5"/>
              </w:rPr>
            </w:pPr>
          </w:p>
          <w:p>
            <w:pPr>
              <w:pStyle w:val="TableParagraph"/>
              <w:spacing w:before="0"/>
              <w:ind w:left="504"/>
              <w:rPr>
                <w:sz w:val="20"/>
              </w:rPr>
            </w:pPr>
            <w:r>
              <w:rPr>
                <w:sz w:val="20"/>
              </w:rPr>
              <w:drawing>
                <wp:inline distT="0" distB="0" distL="0" distR="0">
                  <wp:extent cx="2110820" cy="1934813"/>
                  <wp:effectExtent l="0" t="0" r="0" b="0"/>
                  <wp:docPr id="51" name="image30.jpeg" descr=""/>
                  <wp:cNvGraphicFramePr>
                    <a:graphicFrameLocks noChangeAspect="1"/>
                  </wp:cNvGraphicFramePr>
                  <a:graphic>
                    <a:graphicData uri="http://schemas.openxmlformats.org/drawingml/2006/picture">
                      <pic:pic>
                        <pic:nvPicPr>
                          <pic:cNvPr id="52" name="image30.jpeg"/>
                          <pic:cNvPicPr/>
                        </pic:nvPicPr>
                        <pic:blipFill>
                          <a:blip r:embed="rId46" cstate="print"/>
                          <a:stretch>
                            <a:fillRect/>
                          </a:stretch>
                        </pic:blipFill>
                        <pic:spPr>
                          <a:xfrm>
                            <a:off x="0" y="0"/>
                            <a:ext cx="2110820" cy="1934813"/>
                          </a:xfrm>
                          <a:prstGeom prst="rect">
                            <a:avLst/>
                          </a:prstGeom>
                        </pic:spPr>
                      </pic:pic>
                    </a:graphicData>
                  </a:graphic>
                </wp:inline>
              </w:drawing>
            </w:r>
            <w:r>
              <w:rPr>
                <w:sz w:val="20"/>
              </w:rPr>
            </w:r>
          </w:p>
        </w:tc>
      </w:tr>
      <w:tr>
        <w:trPr>
          <w:trHeight w:val="365" w:hRule="exact"/>
        </w:trPr>
        <w:tc>
          <w:tcPr>
            <w:tcW w:w="4515" w:type="dxa"/>
          </w:tcPr>
          <w:p>
            <w:pPr>
              <w:pStyle w:val="TableParagraph"/>
              <w:spacing w:before="48"/>
              <w:ind w:left="2112"/>
              <w:rPr>
                <w:sz w:val="22"/>
              </w:rPr>
            </w:pPr>
            <w:r>
              <w:rPr>
                <w:w w:val="100"/>
                <w:sz w:val="22"/>
              </w:rPr>
              <w:t>b</w:t>
            </w:r>
          </w:p>
        </w:tc>
        <w:tc>
          <w:tcPr>
            <w:tcW w:w="4165" w:type="dxa"/>
          </w:tcPr>
          <w:p>
            <w:pPr>
              <w:pStyle w:val="TableParagraph"/>
              <w:spacing w:before="48"/>
              <w:ind w:left="0" w:right="1934"/>
              <w:jc w:val="right"/>
              <w:rPr>
                <w:sz w:val="22"/>
              </w:rPr>
            </w:pPr>
            <w:r>
              <w:rPr>
                <w:w w:val="100"/>
                <w:sz w:val="22"/>
              </w:rPr>
              <w:t>c</w:t>
            </w:r>
          </w:p>
        </w:tc>
      </w:tr>
      <w:tr>
        <w:trPr>
          <w:trHeight w:val="2943" w:hRule="exact"/>
        </w:trPr>
        <w:tc>
          <w:tcPr>
            <w:tcW w:w="4515" w:type="dxa"/>
          </w:tcPr>
          <w:p>
            <w:pPr>
              <w:pStyle w:val="TableParagraph"/>
              <w:spacing w:before="11"/>
              <w:ind w:left="0"/>
              <w:rPr>
                <w:i/>
                <w:sz w:val="5"/>
              </w:rPr>
            </w:pPr>
          </w:p>
          <w:p>
            <w:pPr>
              <w:pStyle w:val="TableParagraph"/>
              <w:spacing w:before="0"/>
              <w:rPr>
                <w:sz w:val="20"/>
              </w:rPr>
            </w:pPr>
            <w:r>
              <w:rPr>
                <w:sz w:val="20"/>
              </w:rPr>
              <w:drawing>
                <wp:inline distT="0" distB="0" distL="0" distR="0">
                  <wp:extent cx="2511243" cy="1726120"/>
                  <wp:effectExtent l="0" t="0" r="0" b="0"/>
                  <wp:docPr id="53" name="image31.jpeg" descr=""/>
                  <wp:cNvGraphicFramePr>
                    <a:graphicFrameLocks noChangeAspect="1"/>
                  </wp:cNvGraphicFramePr>
                  <a:graphic>
                    <a:graphicData uri="http://schemas.openxmlformats.org/drawingml/2006/picture">
                      <pic:pic>
                        <pic:nvPicPr>
                          <pic:cNvPr id="54" name="image31.jpeg"/>
                          <pic:cNvPicPr/>
                        </pic:nvPicPr>
                        <pic:blipFill>
                          <a:blip r:embed="rId47" cstate="print"/>
                          <a:stretch>
                            <a:fillRect/>
                          </a:stretch>
                        </pic:blipFill>
                        <pic:spPr>
                          <a:xfrm>
                            <a:off x="0" y="0"/>
                            <a:ext cx="2511243" cy="1726120"/>
                          </a:xfrm>
                          <a:prstGeom prst="rect">
                            <a:avLst/>
                          </a:prstGeom>
                        </pic:spPr>
                      </pic:pic>
                    </a:graphicData>
                  </a:graphic>
                </wp:inline>
              </w:drawing>
            </w:r>
            <w:r>
              <w:rPr>
                <w:sz w:val="20"/>
              </w:rPr>
            </w:r>
          </w:p>
        </w:tc>
        <w:tc>
          <w:tcPr>
            <w:tcW w:w="4165" w:type="dxa"/>
          </w:tcPr>
          <w:p>
            <w:pPr>
              <w:pStyle w:val="TableParagraph"/>
              <w:spacing w:before="11"/>
              <w:ind w:left="0"/>
              <w:rPr>
                <w:i/>
                <w:sz w:val="5"/>
              </w:rPr>
            </w:pPr>
          </w:p>
          <w:p>
            <w:pPr>
              <w:pStyle w:val="TableParagraph"/>
              <w:spacing w:before="0"/>
              <w:ind w:left="384"/>
              <w:rPr>
                <w:sz w:val="20"/>
              </w:rPr>
            </w:pPr>
            <w:r>
              <w:rPr>
                <w:sz w:val="20"/>
              </w:rPr>
              <w:drawing>
                <wp:inline distT="0" distB="0" distL="0" distR="0">
                  <wp:extent cx="2299128" cy="1796414"/>
                  <wp:effectExtent l="0" t="0" r="0" b="0"/>
                  <wp:docPr id="55" name="image32.jpeg" descr=""/>
                  <wp:cNvGraphicFramePr>
                    <a:graphicFrameLocks noChangeAspect="1"/>
                  </wp:cNvGraphicFramePr>
                  <a:graphic>
                    <a:graphicData uri="http://schemas.openxmlformats.org/drawingml/2006/picture">
                      <pic:pic>
                        <pic:nvPicPr>
                          <pic:cNvPr id="56" name="image32.jpeg"/>
                          <pic:cNvPicPr/>
                        </pic:nvPicPr>
                        <pic:blipFill>
                          <a:blip r:embed="rId48" cstate="print"/>
                          <a:stretch>
                            <a:fillRect/>
                          </a:stretch>
                        </pic:blipFill>
                        <pic:spPr>
                          <a:xfrm>
                            <a:off x="0" y="0"/>
                            <a:ext cx="2299128" cy="1796414"/>
                          </a:xfrm>
                          <a:prstGeom prst="rect">
                            <a:avLst/>
                          </a:prstGeom>
                        </pic:spPr>
                      </pic:pic>
                    </a:graphicData>
                  </a:graphic>
                </wp:inline>
              </w:drawing>
            </w:r>
            <w:r>
              <w:rPr>
                <w:sz w:val="20"/>
              </w:rPr>
            </w:r>
          </w:p>
        </w:tc>
      </w:tr>
      <w:tr>
        <w:trPr>
          <w:trHeight w:val="297" w:hRule="exact"/>
        </w:trPr>
        <w:tc>
          <w:tcPr>
            <w:tcW w:w="4515" w:type="dxa"/>
          </w:tcPr>
          <w:p>
            <w:pPr>
              <w:pStyle w:val="TableParagraph"/>
              <w:spacing w:before="48"/>
              <w:ind w:left="2112"/>
              <w:rPr>
                <w:sz w:val="22"/>
              </w:rPr>
            </w:pPr>
            <w:r>
              <w:rPr>
                <w:w w:val="100"/>
                <w:sz w:val="22"/>
              </w:rPr>
              <w:t>d</w:t>
            </w:r>
          </w:p>
        </w:tc>
        <w:tc>
          <w:tcPr>
            <w:tcW w:w="4165" w:type="dxa"/>
          </w:tcPr>
          <w:p>
            <w:pPr>
              <w:pStyle w:val="TableParagraph"/>
              <w:spacing w:before="48"/>
              <w:ind w:left="0" w:right="1934"/>
              <w:jc w:val="right"/>
              <w:rPr>
                <w:sz w:val="22"/>
              </w:rPr>
            </w:pPr>
            <w:r>
              <w:rPr>
                <w:w w:val="100"/>
                <w:sz w:val="22"/>
              </w:rPr>
              <w:t>e</w:t>
            </w:r>
          </w:p>
        </w:tc>
      </w:tr>
    </w:tbl>
    <w:p>
      <w:pPr>
        <w:spacing w:line="240" w:lineRule="auto" w:before="126"/>
        <w:ind w:left="152" w:right="101" w:firstLine="0"/>
        <w:jc w:val="both"/>
        <w:rPr>
          <w:i/>
          <w:sz w:val="22"/>
        </w:rPr>
      </w:pPr>
      <w:bookmarkStart w:name="_bookmark70" w:id="115"/>
      <w:bookmarkEnd w:id="115"/>
      <w:r>
        <w:rPr/>
      </w:r>
      <w:r>
        <w:rPr>
          <w:i/>
          <w:sz w:val="22"/>
        </w:rPr>
        <w:t>IMAGEN 10. La línea roja muestra las características de presión al introducir el catéter de </w:t>
      </w:r>
      <w:r>
        <w:rPr>
          <w:i/>
          <w:sz w:val="22"/>
        </w:rPr>
        <w:t>termodilución Swan-Ganz (a), al pasar por el atrio derecho (b), ventrículo derecho(c) y al entrar a la arteria pulmonar (d), al insuflar el balón podemos observar la gráfica característica de la presión de oclusión de la arteria pulmonar (e).</w:t>
      </w:r>
    </w:p>
    <w:p>
      <w:pPr>
        <w:spacing w:after="0" w:line="240" w:lineRule="auto"/>
        <w:jc w:val="both"/>
        <w:rPr>
          <w:sz w:val="22"/>
        </w:rPr>
        <w:sectPr>
          <w:pgSz w:w="12240" w:h="15840"/>
          <w:pgMar w:header="0" w:footer="1651" w:top="1500" w:bottom="1840" w:left="1720" w:right="1420"/>
        </w:sectPr>
      </w:pPr>
    </w:p>
    <w:p>
      <w:pPr>
        <w:pStyle w:val="BodyText"/>
        <w:spacing w:before="3"/>
        <w:rPr>
          <w:i/>
          <w:sz w:val="27"/>
        </w:rPr>
      </w:pPr>
    </w:p>
    <w:p>
      <w:pPr>
        <w:pStyle w:val="BodyText"/>
        <w:ind w:left="862"/>
        <w:rPr>
          <w:sz w:val="20"/>
        </w:rPr>
      </w:pPr>
      <w:r>
        <w:rPr>
          <w:sz w:val="20"/>
        </w:rPr>
        <w:drawing>
          <wp:inline distT="0" distB="0" distL="0" distR="0">
            <wp:extent cx="5031871" cy="3803904"/>
            <wp:effectExtent l="0" t="0" r="0" b="0"/>
            <wp:docPr id="57" name="image33.png" descr=""/>
            <wp:cNvGraphicFramePr>
              <a:graphicFrameLocks noChangeAspect="1"/>
            </wp:cNvGraphicFramePr>
            <a:graphic>
              <a:graphicData uri="http://schemas.openxmlformats.org/drawingml/2006/picture">
                <pic:pic>
                  <pic:nvPicPr>
                    <pic:cNvPr id="58" name="image33.png"/>
                    <pic:cNvPicPr/>
                  </pic:nvPicPr>
                  <pic:blipFill>
                    <a:blip r:embed="rId49" cstate="print"/>
                    <a:stretch>
                      <a:fillRect/>
                    </a:stretch>
                  </pic:blipFill>
                  <pic:spPr>
                    <a:xfrm>
                      <a:off x="0" y="0"/>
                      <a:ext cx="5031871" cy="3803904"/>
                    </a:xfrm>
                    <a:prstGeom prst="rect">
                      <a:avLst/>
                    </a:prstGeom>
                  </pic:spPr>
                </pic:pic>
              </a:graphicData>
            </a:graphic>
          </wp:inline>
        </w:drawing>
      </w:r>
      <w:r>
        <w:rPr>
          <w:sz w:val="20"/>
        </w:rPr>
      </w:r>
    </w:p>
    <w:p>
      <w:pPr>
        <w:spacing w:before="118"/>
        <w:ind w:left="152" w:right="0" w:firstLine="0"/>
        <w:jc w:val="left"/>
        <w:rPr>
          <w:i/>
          <w:sz w:val="22"/>
        </w:rPr>
      </w:pPr>
      <w:bookmarkStart w:name="_bookmark71" w:id="116"/>
      <w:bookmarkEnd w:id="116"/>
      <w:r>
        <w:rPr/>
      </w:r>
      <w:r>
        <w:rPr>
          <w:i/>
          <w:sz w:val="22"/>
        </w:rPr>
        <w:t>IMAGEN 11. Estudio radiográfico que confirma la posición del catéter de flotación de la arteria </w:t>
      </w:r>
      <w:r>
        <w:rPr>
          <w:i/>
          <w:sz w:val="22"/>
        </w:rPr>
        <w:t>pulmonar (Swan-Ganz) anclado a la arteria pulmonar.</w:t>
      </w:r>
    </w:p>
    <w:p>
      <w:pPr>
        <w:pStyle w:val="BodyText"/>
        <w:rPr>
          <w:i/>
          <w:sz w:val="22"/>
        </w:rPr>
      </w:pPr>
    </w:p>
    <w:p>
      <w:pPr>
        <w:pStyle w:val="BodyText"/>
        <w:spacing w:line="360" w:lineRule="auto" w:before="128"/>
        <w:ind w:left="152" w:right="108" w:firstLine="710"/>
        <w:jc w:val="both"/>
      </w:pPr>
      <w:r>
        <w:rPr/>
        <w:t>Fueron colocados 1 transductor al puerto distal (amarillo) para evaluar la presión pulmonar media (PPM) y la presión pulmonar por oclusión de la arteria pulmonar (POAP), y otro transductor fue colocado en el puerto proximal (azul) para evaluar la presión venosa central (PVC). Todos los transductores de presión fueron calibrados a cero exponiendo el transductor a aire ambiente a nivel del corazón.</w:t>
      </w:r>
    </w:p>
    <w:p>
      <w:pPr>
        <w:pStyle w:val="BodyText"/>
      </w:pPr>
    </w:p>
    <w:p>
      <w:pPr>
        <w:pStyle w:val="BodyText"/>
        <w:spacing w:line="360" w:lineRule="auto" w:before="141"/>
        <w:ind w:left="152" w:right="105" w:firstLine="710"/>
        <w:jc w:val="both"/>
      </w:pPr>
      <w:r>
        <w:rPr/>
        <w:t>La presión por oclusión de la arteria pulmonar, (presión pulmonar o  presión en cuña) (POAP) fue obtenida insuflando el balón distal del catéter de Swan- Ganz al final de la espiración. Para la evaluación del gasto cardíaco se administró un volumen de 10 mL de solución salina fisiológica a una temperatura de 0–4ºC de manera rápida a través del puerto proximal al final de la espiración </w:t>
      </w:r>
      <w:r>
        <w:rPr>
          <w:i/>
        </w:rPr>
        <w:t>(figura 12). </w:t>
      </w:r>
      <w:r>
        <w:rPr/>
        <w:t>Se realizaron tres mediciones consecutivas en donde no existiera una variación mayor al 20% entre cada una, y el promedio obtenido   fue</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152" w:right="109"/>
        <w:jc w:val="both"/>
        <w:rPr>
          <w:i/>
        </w:rPr>
      </w:pPr>
      <w:r>
        <w:rPr/>
        <w:t>considerado como el gasto cardiaco (GC L/min) </w:t>
      </w:r>
      <w:r>
        <w:rPr>
          <w:i/>
        </w:rPr>
        <w:t>(figura 12, 13). </w:t>
      </w:r>
      <w:r>
        <w:rPr/>
        <w:t>Las muestras de sangre arterial y de sangre venosa mixta fueron obtenidas de manera anaeróbica de la arteria dorsal metatarsiana y de la arteria pulmonar respectivamente para evaluar pH, presión parcial de </w:t>
      </w:r>
      <w:r>
        <w:rPr>
          <w:position w:val="2"/>
        </w:rPr>
        <w:t>oxígeno en sangre arterial (PaO</w:t>
      </w:r>
      <w:r>
        <w:rPr>
          <w:sz w:val="16"/>
        </w:rPr>
        <w:t>2</w:t>
      </w:r>
      <w:r>
        <w:rPr>
          <w:position w:val="2"/>
        </w:rPr>
        <w:t>), presión parcial de dióxido de carbono en sangre arterial (PaCO</w:t>
      </w:r>
      <w:r>
        <w:rPr>
          <w:sz w:val="16"/>
        </w:rPr>
        <w:t>2</w:t>
      </w:r>
      <w:r>
        <w:rPr>
          <w:position w:val="2"/>
        </w:rPr>
        <w:t>), bicarbonato (HCO</w:t>
      </w:r>
      <w:r>
        <w:rPr>
          <w:sz w:val="16"/>
        </w:rPr>
        <w:t>3</w:t>
      </w:r>
      <w:r>
        <w:rPr>
          <w:position w:val="2"/>
        </w:rPr>
        <w:t>), hematocrito (Hto), lactato y glucosa </w:t>
      </w:r>
      <w:r>
        <w:rPr>
          <w:i/>
          <w:position w:val="2"/>
        </w:rPr>
        <w:t>(figura 14).</w:t>
      </w:r>
    </w:p>
    <w:p>
      <w:pPr>
        <w:pStyle w:val="BodyText"/>
        <w:spacing w:line="362" w:lineRule="auto"/>
        <w:ind w:left="152" w:right="105" w:firstLine="710"/>
        <w:jc w:val="both"/>
      </w:pPr>
      <w:r>
        <w:rPr/>
        <w:t>El termistor del catéter de Swan-Ganz fu utilizado para monitorizar la temperatura corporal (T°), la cual fue mantenida entre 37.5-38.8ºC, por medio de tapetes de circulación de aire. Cada análisis de gases sanguíneos fue corregido en base a la temperatura corporal.</w:t>
      </w:r>
    </w:p>
    <w:p>
      <w:pPr>
        <w:spacing w:before="0"/>
        <w:ind w:left="152" w:right="0" w:firstLine="0"/>
        <w:jc w:val="both"/>
        <w:rPr>
          <w:i/>
          <w:sz w:val="22"/>
        </w:rPr>
      </w:pPr>
      <w:bookmarkStart w:name="_bookmark72" w:id="117"/>
      <w:bookmarkEnd w:id="117"/>
      <w:r>
        <w:rPr/>
      </w:r>
      <w:r>
        <w:rPr>
          <w:i/>
          <w:w w:val="100"/>
          <w:sz w:val="22"/>
        </w:rPr>
        <w:t>.</w:t>
      </w:r>
    </w:p>
    <w:p>
      <w:pPr>
        <w:pStyle w:val="BodyText"/>
        <w:rPr>
          <w:i/>
          <w:sz w:val="20"/>
        </w:rPr>
      </w:pPr>
    </w:p>
    <w:p>
      <w:pPr>
        <w:pStyle w:val="BodyText"/>
        <w:spacing w:before="11"/>
        <w:rPr>
          <w:i/>
          <w:sz w:val="11"/>
        </w:rPr>
      </w:pPr>
      <w:r>
        <w:rPr/>
        <w:drawing>
          <wp:anchor distT="0" distB="0" distL="0" distR="0" allowOverlap="1" layoutInCell="1" locked="0" behindDoc="0" simplePos="0" relativeHeight="1600">
            <wp:simplePos x="0" y="0"/>
            <wp:positionH relativeFrom="page">
              <wp:posOffset>2172970</wp:posOffset>
            </wp:positionH>
            <wp:positionV relativeFrom="paragraph">
              <wp:posOffset>112288</wp:posOffset>
            </wp:positionV>
            <wp:extent cx="4132974" cy="2196083"/>
            <wp:effectExtent l="0" t="0" r="0" b="0"/>
            <wp:wrapTopAndBottom/>
            <wp:docPr id="59" name="image34.jpeg" descr=""/>
            <wp:cNvGraphicFramePr>
              <a:graphicFrameLocks noChangeAspect="1"/>
            </wp:cNvGraphicFramePr>
            <a:graphic>
              <a:graphicData uri="http://schemas.openxmlformats.org/drawingml/2006/picture">
                <pic:pic>
                  <pic:nvPicPr>
                    <pic:cNvPr id="60" name="image34.jpeg"/>
                    <pic:cNvPicPr/>
                  </pic:nvPicPr>
                  <pic:blipFill>
                    <a:blip r:embed="rId50" cstate="print"/>
                    <a:stretch>
                      <a:fillRect/>
                    </a:stretch>
                  </pic:blipFill>
                  <pic:spPr>
                    <a:xfrm>
                      <a:off x="0" y="0"/>
                      <a:ext cx="4132974" cy="2196083"/>
                    </a:xfrm>
                    <a:prstGeom prst="rect">
                      <a:avLst/>
                    </a:prstGeom>
                  </pic:spPr>
                </pic:pic>
              </a:graphicData>
            </a:graphic>
          </wp:anchor>
        </w:drawing>
      </w:r>
    </w:p>
    <w:p>
      <w:pPr>
        <w:spacing w:before="59"/>
        <w:ind w:left="152" w:right="0" w:firstLine="0"/>
        <w:jc w:val="left"/>
        <w:rPr>
          <w:i/>
          <w:sz w:val="22"/>
        </w:rPr>
      </w:pPr>
      <w:r>
        <w:rPr>
          <w:i/>
          <w:sz w:val="22"/>
        </w:rPr>
        <w:t>IMAGEN 12. Administración rápida de 10 mL de suero salino fisiológico a través del puerto </w:t>
      </w:r>
      <w:r>
        <w:rPr>
          <w:i/>
          <w:sz w:val="22"/>
        </w:rPr>
        <w:t>proximal o azul</w:t>
      </w:r>
    </w:p>
    <w:p>
      <w:pPr>
        <w:spacing w:after="0"/>
        <w:jc w:val="left"/>
        <w:rPr>
          <w:sz w:val="22"/>
        </w:rPr>
        <w:sectPr>
          <w:pgSz w:w="12240" w:h="15840"/>
          <w:pgMar w:header="0" w:footer="1651" w:top="1500" w:bottom="1840" w:left="1720" w:right="1420"/>
        </w:sectPr>
      </w:pPr>
    </w:p>
    <w:p>
      <w:pPr>
        <w:pStyle w:val="BodyText"/>
        <w:spacing w:before="3"/>
        <w:rPr>
          <w:i/>
          <w:sz w:val="27"/>
        </w:rPr>
      </w:pPr>
    </w:p>
    <w:p>
      <w:pPr>
        <w:pStyle w:val="BodyText"/>
        <w:ind w:left="1429"/>
        <w:rPr>
          <w:sz w:val="20"/>
        </w:rPr>
      </w:pPr>
      <w:r>
        <w:rPr>
          <w:sz w:val="20"/>
        </w:rPr>
        <w:drawing>
          <wp:inline distT="0" distB="0" distL="0" distR="0">
            <wp:extent cx="4488041" cy="2589180"/>
            <wp:effectExtent l="0" t="0" r="0" b="0"/>
            <wp:docPr id="61" name="image35.jpeg" descr=""/>
            <wp:cNvGraphicFramePr>
              <a:graphicFrameLocks noChangeAspect="1"/>
            </wp:cNvGraphicFramePr>
            <a:graphic>
              <a:graphicData uri="http://schemas.openxmlformats.org/drawingml/2006/picture">
                <pic:pic>
                  <pic:nvPicPr>
                    <pic:cNvPr id="62" name="image35.jpeg"/>
                    <pic:cNvPicPr/>
                  </pic:nvPicPr>
                  <pic:blipFill>
                    <a:blip r:embed="rId51" cstate="print"/>
                    <a:stretch>
                      <a:fillRect/>
                    </a:stretch>
                  </pic:blipFill>
                  <pic:spPr>
                    <a:xfrm>
                      <a:off x="0" y="0"/>
                      <a:ext cx="4488041" cy="2589180"/>
                    </a:xfrm>
                    <a:prstGeom prst="rect">
                      <a:avLst/>
                    </a:prstGeom>
                  </pic:spPr>
                </pic:pic>
              </a:graphicData>
            </a:graphic>
          </wp:inline>
        </w:drawing>
      </w:r>
      <w:r>
        <w:rPr>
          <w:sz w:val="20"/>
        </w:rPr>
      </w:r>
    </w:p>
    <w:p>
      <w:pPr>
        <w:spacing w:before="72"/>
        <w:ind w:left="152" w:right="183" w:firstLine="0"/>
        <w:jc w:val="both"/>
        <w:rPr>
          <w:i/>
          <w:sz w:val="22"/>
        </w:rPr>
      </w:pPr>
      <w:r>
        <w:rPr>
          <w:i/>
          <w:sz w:val="22"/>
        </w:rPr>
        <w:t>IMAGEN 13. Curva de termodilución en el monitor que proporciona el gasto cardíaco en  </w:t>
      </w:r>
      <w:r>
        <w:rPr>
          <w:i/>
          <w:sz w:val="22"/>
        </w:rPr>
        <w:t>diferentes tiempos, (Model: BeneView T8. Shenzhen Mindray Bio-Medical Electronics Co., Ltd. China).</w:t>
      </w:r>
    </w:p>
    <w:p>
      <w:pPr>
        <w:pStyle w:val="BodyText"/>
        <w:spacing w:before="10"/>
        <w:rPr>
          <w:i/>
          <w:sz w:val="29"/>
        </w:rPr>
      </w:pPr>
      <w:r>
        <w:rPr/>
        <w:drawing>
          <wp:anchor distT="0" distB="0" distL="0" distR="0" allowOverlap="1" layoutInCell="1" locked="0" behindDoc="0" simplePos="0" relativeHeight="1624">
            <wp:simplePos x="0" y="0"/>
            <wp:positionH relativeFrom="page">
              <wp:posOffset>1188719</wp:posOffset>
            </wp:positionH>
            <wp:positionV relativeFrom="paragraph">
              <wp:posOffset>242958</wp:posOffset>
            </wp:positionV>
            <wp:extent cx="2765594" cy="1731644"/>
            <wp:effectExtent l="0" t="0" r="0" b="0"/>
            <wp:wrapTopAndBottom/>
            <wp:docPr id="63" name="image36.jpeg" descr=""/>
            <wp:cNvGraphicFramePr>
              <a:graphicFrameLocks noChangeAspect="1"/>
            </wp:cNvGraphicFramePr>
            <a:graphic>
              <a:graphicData uri="http://schemas.openxmlformats.org/drawingml/2006/picture">
                <pic:pic>
                  <pic:nvPicPr>
                    <pic:cNvPr id="64" name="image36.jpeg"/>
                    <pic:cNvPicPr/>
                  </pic:nvPicPr>
                  <pic:blipFill>
                    <a:blip r:embed="rId52" cstate="print"/>
                    <a:stretch>
                      <a:fillRect/>
                    </a:stretch>
                  </pic:blipFill>
                  <pic:spPr>
                    <a:xfrm>
                      <a:off x="0" y="0"/>
                      <a:ext cx="2765594" cy="1731644"/>
                    </a:xfrm>
                    <a:prstGeom prst="rect">
                      <a:avLst/>
                    </a:prstGeom>
                  </pic:spPr>
                </pic:pic>
              </a:graphicData>
            </a:graphic>
          </wp:anchor>
        </w:drawing>
      </w:r>
      <w:r>
        <w:rPr/>
        <w:drawing>
          <wp:anchor distT="0" distB="0" distL="0" distR="0" allowOverlap="1" layoutInCell="1" locked="0" behindDoc="0" simplePos="0" relativeHeight="1648">
            <wp:simplePos x="0" y="0"/>
            <wp:positionH relativeFrom="page">
              <wp:posOffset>4114800</wp:posOffset>
            </wp:positionH>
            <wp:positionV relativeFrom="paragraph">
              <wp:posOffset>242958</wp:posOffset>
            </wp:positionV>
            <wp:extent cx="2718893" cy="1740217"/>
            <wp:effectExtent l="0" t="0" r="0" b="0"/>
            <wp:wrapTopAndBottom/>
            <wp:docPr id="65" name="image37.jpeg" descr=""/>
            <wp:cNvGraphicFramePr>
              <a:graphicFrameLocks noChangeAspect="1"/>
            </wp:cNvGraphicFramePr>
            <a:graphic>
              <a:graphicData uri="http://schemas.openxmlformats.org/drawingml/2006/picture">
                <pic:pic>
                  <pic:nvPicPr>
                    <pic:cNvPr id="66" name="image37.jpeg"/>
                    <pic:cNvPicPr/>
                  </pic:nvPicPr>
                  <pic:blipFill>
                    <a:blip r:embed="rId53" cstate="print"/>
                    <a:stretch>
                      <a:fillRect/>
                    </a:stretch>
                  </pic:blipFill>
                  <pic:spPr>
                    <a:xfrm>
                      <a:off x="0" y="0"/>
                      <a:ext cx="2718893" cy="1740217"/>
                    </a:xfrm>
                    <a:prstGeom prst="rect">
                      <a:avLst/>
                    </a:prstGeom>
                  </pic:spPr>
                </pic:pic>
              </a:graphicData>
            </a:graphic>
          </wp:anchor>
        </w:drawing>
      </w:r>
    </w:p>
    <w:p>
      <w:pPr>
        <w:spacing w:before="114"/>
        <w:ind w:left="152" w:right="98" w:firstLine="0"/>
        <w:jc w:val="both"/>
        <w:rPr>
          <w:i/>
          <w:sz w:val="22"/>
        </w:rPr>
      </w:pPr>
      <w:bookmarkStart w:name="_bookmark73" w:id="118"/>
      <w:bookmarkEnd w:id="118"/>
      <w:r>
        <w:rPr/>
      </w:r>
      <w:r>
        <w:rPr>
          <w:i/>
          <w:sz w:val="22"/>
        </w:rPr>
        <w:t>IMAGEN 14. (a) Jeringa de 3 mililitros con heparina de litio (b) Obtención de sangre de la arteria </w:t>
      </w:r>
      <w:r>
        <w:rPr>
          <w:i/>
          <w:sz w:val="22"/>
        </w:rPr>
        <w:t>dorsal metatarsiana para su análisis gasométrico</w:t>
      </w:r>
    </w:p>
    <w:p>
      <w:pPr>
        <w:pStyle w:val="BodyText"/>
        <w:rPr>
          <w:i/>
          <w:sz w:val="22"/>
        </w:rPr>
      </w:pPr>
    </w:p>
    <w:p>
      <w:pPr>
        <w:pStyle w:val="BodyText"/>
        <w:rPr>
          <w:i/>
          <w:sz w:val="22"/>
        </w:rPr>
      </w:pPr>
    </w:p>
    <w:p>
      <w:pPr>
        <w:pStyle w:val="Heading2"/>
        <w:spacing w:before="154"/>
        <w:ind w:left="152" w:firstLine="0"/>
        <w:jc w:val="both"/>
      </w:pPr>
      <w:bookmarkStart w:name="_bookmark74" w:id="119"/>
      <w:bookmarkEnd w:id="119"/>
      <w:r>
        <w:rPr>
          <w:b w:val="0"/>
        </w:rPr>
      </w:r>
      <w:r>
        <w:rPr/>
        <w:t>6.6.1 Cálculos y Mediciones de los Parámetros Cardiovasculares</w:t>
      </w:r>
    </w:p>
    <w:p>
      <w:pPr>
        <w:pStyle w:val="BodyText"/>
        <w:rPr>
          <w:b/>
        </w:rPr>
      </w:pPr>
    </w:p>
    <w:p>
      <w:pPr>
        <w:pStyle w:val="BodyText"/>
        <w:spacing w:before="9"/>
        <w:rPr>
          <w:b/>
          <w:sz w:val="23"/>
        </w:rPr>
      </w:pPr>
    </w:p>
    <w:p>
      <w:pPr>
        <w:pStyle w:val="BodyText"/>
        <w:spacing w:line="360" w:lineRule="auto"/>
        <w:ind w:left="152" w:right="188" w:firstLine="710"/>
        <w:jc w:val="both"/>
      </w:pPr>
      <w:r>
        <w:rPr/>
        <w:t>Una vez terminada </w:t>
      </w:r>
      <w:r>
        <w:rPr>
          <w:spacing w:val="-3"/>
        </w:rPr>
        <w:t>la </w:t>
      </w:r>
      <w:r>
        <w:rPr/>
        <w:t>instrumentación, </w:t>
      </w:r>
      <w:r>
        <w:rPr>
          <w:spacing w:val="-5"/>
        </w:rPr>
        <w:t>la </w:t>
      </w:r>
      <w:r>
        <w:rPr/>
        <w:t>fracción espirada de sevoflurano (FetSev) fue mantenida a una concentración de 1.8 % durante 30 minutos en base a un estudio previo (Morán </w:t>
      </w:r>
      <w:r>
        <w:rPr>
          <w:i/>
        </w:rPr>
        <w:t>et al</w:t>
      </w:r>
      <w:r>
        <w:rPr/>
        <w:t>., 2014). Este momento </w:t>
      </w:r>
      <w:r>
        <w:rPr>
          <w:spacing w:val="-3"/>
        </w:rPr>
        <w:t>fue </w:t>
      </w:r>
      <w:r>
        <w:rPr/>
        <w:t>considerado </w:t>
      </w:r>
      <w:r>
        <w:rPr>
          <w:spacing w:val="-3"/>
        </w:rPr>
        <w:t>como </w:t>
      </w:r>
      <w:r>
        <w:rPr/>
        <w:t>el tiempo basal y se realizaron  las siguientes mediciones: frecuencia cardiaca (FC), presión arterial sistólica (PAS),</w:t>
      </w:r>
      <w:r>
        <w:rPr>
          <w:spacing w:val="-41"/>
        </w:rPr>
        <w:t> </w:t>
      </w:r>
      <w:r>
        <w:rPr/>
        <w:t>presión</w:t>
      </w:r>
    </w:p>
    <w:p>
      <w:pPr>
        <w:pStyle w:val="BodyText"/>
        <w:spacing w:before="4"/>
        <w:ind w:left="152"/>
        <w:jc w:val="both"/>
      </w:pPr>
      <w:r>
        <w:rPr/>
        <w:t>arterial  diastólica  (PAD),  presión  arterial  media  (PAM),  gasto  cardiaco  (GC),  presión</w:t>
      </w:r>
    </w:p>
    <w:p>
      <w:pPr>
        <w:spacing w:after="0"/>
        <w:jc w:val="both"/>
        <w:sectPr>
          <w:pgSz w:w="12240" w:h="15840"/>
          <w:pgMar w:header="0" w:footer="1651" w:top="1500" w:bottom="1840" w:left="1720" w:right="1340"/>
        </w:sectPr>
      </w:pPr>
    </w:p>
    <w:p>
      <w:pPr>
        <w:pStyle w:val="BodyText"/>
        <w:spacing w:before="7"/>
        <w:rPr>
          <w:sz w:val="20"/>
        </w:rPr>
      </w:pPr>
    </w:p>
    <w:p>
      <w:pPr>
        <w:pStyle w:val="BodyText"/>
        <w:spacing w:line="360" w:lineRule="auto" w:before="69"/>
        <w:ind w:left="152" w:right="110"/>
        <w:jc w:val="both"/>
      </w:pPr>
      <w:r>
        <w:rPr/>
        <w:t>pulmonar arterial pulmonar media (PAPM), presión de oclusión de la arteria pulmonar (POAP), presión venosa central (PVC), temperatura corporal, y se toman muestras  de sangre arterial y  sangre venosa mixta para su análisis gasométrico.</w:t>
      </w:r>
    </w:p>
    <w:p>
      <w:pPr>
        <w:pStyle w:val="BodyText"/>
        <w:spacing w:line="357" w:lineRule="auto" w:before="8"/>
        <w:ind w:left="152" w:right="100" w:firstLine="710"/>
        <w:jc w:val="both"/>
      </w:pPr>
      <w:r>
        <w:rPr/>
        <w:t>El índice cardiaco (IC), índice de eyección (IE), resistencia vascular sistémica (RVS), resistencia vascular pulmonar (RVP), índice de trabajo ventricular izquierdo (ITVI), </w:t>
      </w:r>
      <w:r>
        <w:rPr>
          <w:position w:val="2"/>
        </w:rPr>
        <w:t>índice de trabajo ventricular derecho (ITVD), liberación de oxígeno a los tejidos (DO</w:t>
      </w:r>
      <w:r>
        <w:rPr>
          <w:sz w:val="16"/>
        </w:rPr>
        <w:t>2</w:t>
      </w:r>
      <w:r>
        <w:rPr>
          <w:position w:val="2"/>
        </w:rPr>
        <w:t>) y consumo de oxígeno tisular (VO</w:t>
      </w:r>
      <w:r>
        <w:rPr>
          <w:sz w:val="16"/>
        </w:rPr>
        <w:t>2</w:t>
      </w:r>
      <w:r>
        <w:rPr>
          <w:position w:val="2"/>
        </w:rPr>
        <w:t>) fueron evaluados en base a las siguientes formulas:</w:t>
      </w:r>
    </w:p>
    <w:p>
      <w:pPr>
        <w:spacing w:line="345" w:lineRule="auto" w:before="0"/>
        <w:ind w:left="152" w:right="115" w:firstLine="710"/>
        <w:jc w:val="both"/>
        <w:rPr>
          <w:sz w:val="24"/>
        </w:rPr>
      </w:pPr>
      <w:r>
        <w:rPr>
          <w:i/>
          <w:sz w:val="24"/>
        </w:rPr>
        <w:t>IC = GC/SC (m</w:t>
      </w:r>
      <w:r>
        <w:rPr>
          <w:i/>
          <w:position w:val="9"/>
          <w:sz w:val="16"/>
        </w:rPr>
        <w:t>2</w:t>
      </w:r>
      <w:r>
        <w:rPr>
          <w:i/>
          <w:sz w:val="24"/>
        </w:rPr>
        <w:t>), en donde GC </w:t>
      </w:r>
      <w:r>
        <w:rPr>
          <w:sz w:val="24"/>
        </w:rPr>
        <w:t>= a gasto cardiaco en L/minuto y SC = superficie corporal en m</w:t>
      </w:r>
      <w:r>
        <w:rPr>
          <w:position w:val="9"/>
          <w:sz w:val="16"/>
        </w:rPr>
        <w:t>2</w:t>
      </w:r>
      <w:r>
        <w:rPr>
          <w:sz w:val="24"/>
        </w:rPr>
        <w:t>.</w:t>
      </w:r>
    </w:p>
    <w:p>
      <w:pPr>
        <w:spacing w:line="360" w:lineRule="auto" w:before="0"/>
        <w:ind w:left="152" w:right="111" w:firstLine="710"/>
        <w:jc w:val="both"/>
        <w:rPr>
          <w:sz w:val="24"/>
        </w:rPr>
      </w:pPr>
      <w:r>
        <w:rPr>
          <w:i/>
          <w:sz w:val="24"/>
        </w:rPr>
        <w:t>IE = IC/FC, en donde IC </w:t>
      </w:r>
      <w:r>
        <w:rPr>
          <w:sz w:val="24"/>
        </w:rPr>
        <w:t>= índice cardiaco en L/minuto/m</w:t>
      </w:r>
      <w:r>
        <w:rPr>
          <w:position w:val="9"/>
          <w:sz w:val="16"/>
        </w:rPr>
        <w:t>2 </w:t>
      </w:r>
      <w:r>
        <w:rPr>
          <w:sz w:val="24"/>
        </w:rPr>
        <w:t>y FC = frecuencia cardiaca en latidos minuto.</w:t>
      </w:r>
    </w:p>
    <w:p>
      <w:pPr>
        <w:spacing w:line="360" w:lineRule="auto" w:before="0"/>
        <w:ind w:left="152" w:right="108" w:firstLine="710"/>
        <w:jc w:val="both"/>
        <w:rPr>
          <w:sz w:val="24"/>
        </w:rPr>
      </w:pPr>
      <w:r>
        <w:rPr>
          <w:i/>
          <w:sz w:val="24"/>
        </w:rPr>
        <w:t>RVS = (PAM – PVC) x 79.92/IC (m</w:t>
      </w:r>
      <w:r>
        <w:rPr>
          <w:i/>
          <w:position w:val="9"/>
          <w:sz w:val="16"/>
        </w:rPr>
        <w:t>2</w:t>
      </w:r>
      <w:r>
        <w:rPr>
          <w:i/>
          <w:sz w:val="24"/>
        </w:rPr>
        <w:t>), en donde PAM </w:t>
      </w:r>
      <w:r>
        <w:rPr>
          <w:sz w:val="24"/>
        </w:rPr>
        <w:t>= presión media arterial media en mmHg y PVC = presión venosa central en mmHg.</w:t>
      </w:r>
    </w:p>
    <w:p>
      <w:pPr>
        <w:spacing w:line="362" w:lineRule="auto" w:before="0"/>
        <w:ind w:left="152" w:right="111" w:firstLine="710"/>
        <w:jc w:val="both"/>
        <w:rPr>
          <w:sz w:val="24"/>
        </w:rPr>
      </w:pPr>
      <w:r>
        <w:rPr>
          <w:i/>
          <w:sz w:val="24"/>
        </w:rPr>
        <w:t>RVP = (PMAP – POAP) x 79.92/IC (m</w:t>
      </w:r>
      <w:r>
        <w:rPr>
          <w:i/>
          <w:position w:val="9"/>
          <w:sz w:val="16"/>
        </w:rPr>
        <w:t>2</w:t>
      </w:r>
      <w:r>
        <w:rPr>
          <w:i/>
          <w:sz w:val="24"/>
        </w:rPr>
        <w:t>), en donde PMAP </w:t>
      </w:r>
      <w:r>
        <w:rPr>
          <w:sz w:val="24"/>
        </w:rPr>
        <w:t>= presión media de la arteria pulmonar en mmHg, y POAP = presión de oclusión de la arteria pulmonar  en mmHg.</w:t>
      </w:r>
    </w:p>
    <w:p>
      <w:pPr>
        <w:pStyle w:val="BodyText"/>
        <w:spacing w:before="1"/>
        <w:ind w:left="863"/>
      </w:pPr>
      <w:r>
        <w:rPr>
          <w:i/>
        </w:rPr>
        <w:t>ITVI </w:t>
      </w:r>
      <w:r>
        <w:rPr/>
        <w:t>= IE x PAM x 0.0144.</w:t>
      </w:r>
    </w:p>
    <w:p>
      <w:pPr>
        <w:spacing w:line="357" w:lineRule="auto" w:before="120"/>
        <w:ind w:left="152" w:right="105" w:firstLine="710"/>
        <w:jc w:val="both"/>
        <w:rPr>
          <w:sz w:val="24"/>
        </w:rPr>
      </w:pPr>
      <w:r>
        <w:rPr>
          <w:i/>
          <w:position w:val="2"/>
          <w:sz w:val="24"/>
        </w:rPr>
        <w:t>DO</w:t>
      </w:r>
      <w:r>
        <w:rPr>
          <w:i/>
          <w:sz w:val="16"/>
        </w:rPr>
        <w:t>2 </w:t>
      </w:r>
      <w:r>
        <w:rPr>
          <w:i/>
          <w:position w:val="2"/>
          <w:sz w:val="24"/>
        </w:rPr>
        <w:t>= CaO</w:t>
      </w:r>
      <w:r>
        <w:rPr>
          <w:i/>
          <w:sz w:val="16"/>
        </w:rPr>
        <w:t>2 </w:t>
      </w:r>
      <w:r>
        <w:rPr>
          <w:i/>
          <w:position w:val="2"/>
          <w:sz w:val="24"/>
        </w:rPr>
        <w:t>x (CO (m</w:t>
      </w:r>
      <w:r>
        <w:rPr>
          <w:i/>
          <w:position w:val="11"/>
          <w:sz w:val="16"/>
        </w:rPr>
        <w:t>2</w:t>
      </w:r>
      <w:r>
        <w:rPr>
          <w:i/>
          <w:position w:val="2"/>
          <w:sz w:val="24"/>
        </w:rPr>
        <w:t>) x 10), en donde CaO</w:t>
      </w:r>
      <w:r>
        <w:rPr>
          <w:i/>
          <w:sz w:val="16"/>
        </w:rPr>
        <w:t>2</w:t>
      </w:r>
      <w:r>
        <w:rPr>
          <w:position w:val="2"/>
          <w:sz w:val="24"/>
        </w:rPr>
        <w:t>= contenido de oxígeno en sangre </w:t>
      </w:r>
      <w:r>
        <w:rPr>
          <w:sz w:val="24"/>
        </w:rPr>
        <w:t>arterial en mL/dL.</w:t>
      </w:r>
    </w:p>
    <w:p>
      <w:pPr>
        <w:spacing w:line="357" w:lineRule="auto" w:before="0"/>
        <w:ind w:left="152" w:right="106" w:firstLine="710"/>
        <w:jc w:val="both"/>
        <w:rPr>
          <w:sz w:val="24"/>
        </w:rPr>
      </w:pPr>
      <w:r>
        <w:rPr>
          <w:i/>
          <w:position w:val="2"/>
          <w:sz w:val="24"/>
        </w:rPr>
        <w:t>VO</w:t>
      </w:r>
      <w:r>
        <w:rPr>
          <w:i/>
          <w:sz w:val="16"/>
        </w:rPr>
        <w:t>2 </w:t>
      </w:r>
      <w:r>
        <w:rPr>
          <w:i/>
          <w:position w:val="2"/>
          <w:sz w:val="24"/>
        </w:rPr>
        <w:t>= (CaO</w:t>
      </w:r>
      <w:r>
        <w:rPr>
          <w:i/>
          <w:sz w:val="16"/>
        </w:rPr>
        <w:t>2 </w:t>
      </w:r>
      <w:r>
        <w:rPr>
          <w:i/>
          <w:position w:val="2"/>
          <w:sz w:val="24"/>
        </w:rPr>
        <w:t>– CmvO</w:t>
      </w:r>
      <w:r>
        <w:rPr>
          <w:i/>
          <w:sz w:val="16"/>
        </w:rPr>
        <w:t>2</w:t>
      </w:r>
      <w:r>
        <w:rPr>
          <w:i/>
          <w:position w:val="2"/>
          <w:sz w:val="24"/>
        </w:rPr>
        <w:t>) x (CO (m</w:t>
      </w:r>
      <w:r>
        <w:rPr>
          <w:i/>
          <w:position w:val="11"/>
          <w:sz w:val="16"/>
        </w:rPr>
        <w:t>2</w:t>
      </w:r>
      <w:r>
        <w:rPr>
          <w:i/>
          <w:position w:val="2"/>
          <w:sz w:val="24"/>
        </w:rPr>
        <w:t>) x 10), en dondeCmvO</w:t>
      </w:r>
      <w:r>
        <w:rPr>
          <w:i/>
          <w:sz w:val="16"/>
        </w:rPr>
        <w:t>2 </w:t>
      </w:r>
      <w:r>
        <w:rPr>
          <w:position w:val="2"/>
          <w:sz w:val="24"/>
        </w:rPr>
        <w:t>= contenido de oxígeno </w:t>
      </w:r>
      <w:r>
        <w:rPr>
          <w:sz w:val="24"/>
        </w:rPr>
        <w:t>en sangre venosa mixta en mL/dL.</w:t>
      </w:r>
    </w:p>
    <w:p>
      <w:pPr>
        <w:pStyle w:val="BodyText"/>
      </w:pPr>
    </w:p>
    <w:p>
      <w:pPr>
        <w:pStyle w:val="Heading2"/>
        <w:numPr>
          <w:ilvl w:val="1"/>
          <w:numId w:val="6"/>
        </w:numPr>
        <w:tabs>
          <w:tab w:pos="518" w:val="left" w:leader="none"/>
        </w:tabs>
        <w:spacing w:line="240" w:lineRule="auto" w:before="149" w:after="0"/>
        <w:ind w:left="517" w:right="0" w:hanging="365"/>
        <w:jc w:val="both"/>
      </w:pPr>
      <w:bookmarkStart w:name="_bookmark75" w:id="120"/>
      <w:bookmarkEnd w:id="120"/>
      <w:r>
        <w:rPr>
          <w:b w:val="0"/>
        </w:rPr>
      </w:r>
      <w:bookmarkStart w:name="_bookmark75" w:id="121"/>
      <w:bookmarkEnd w:id="121"/>
      <w:r>
        <w:rPr/>
        <w:t>G</w:t>
      </w:r>
      <w:r>
        <w:rPr/>
        <w:t>rupos de</w:t>
      </w:r>
      <w:r>
        <w:rPr>
          <w:spacing w:val="-20"/>
        </w:rPr>
        <w:t> </w:t>
      </w:r>
      <w:r>
        <w:rPr/>
        <w:t>Experimentación</w:t>
      </w:r>
    </w:p>
    <w:p>
      <w:pPr>
        <w:pStyle w:val="BodyText"/>
        <w:spacing w:line="362" w:lineRule="auto" w:before="132"/>
        <w:ind w:left="152" w:right="108" w:firstLine="710"/>
        <w:jc w:val="both"/>
      </w:pPr>
      <w:r>
        <w:rPr/>
        <w:t>Una vez evaluados los valores basales los animales fueron distribuidos aleatoriamente para recibir uno de los siguientes tratamientos:</w:t>
      </w:r>
    </w:p>
    <w:p>
      <w:pPr>
        <w:pStyle w:val="BodyText"/>
      </w:pPr>
    </w:p>
    <w:p>
      <w:pPr>
        <w:pStyle w:val="BodyText"/>
        <w:spacing w:line="360" w:lineRule="auto" w:before="138"/>
        <w:ind w:left="152" w:right="104" w:firstLine="710"/>
        <w:jc w:val="both"/>
      </w:pPr>
      <w:r>
        <w:rPr>
          <w:b/>
        </w:rPr>
        <w:t>Grupo Lidocaína (LIDO): </w:t>
      </w:r>
      <w:r>
        <w:rPr/>
        <w:t>Los animales pertenecientes a este grupo se les administro una dosis de carga de lidocaína a 2 mg/Kg por vía intravenosa e inmediatamente después se inició una infusión continua de 100 µg/Kg/min de lidocaína.</w:t>
      </w:r>
    </w:p>
    <w:p>
      <w:pPr>
        <w:spacing w:after="0" w:line="360" w:lineRule="auto"/>
        <w:jc w:val="both"/>
        <w:sectPr>
          <w:footerReference w:type="default" r:id="rId54"/>
          <w:pgSz w:w="12240" w:h="15840"/>
          <w:pgMar w:footer="1651" w:header="0" w:top="1500" w:bottom="1840" w:left="1720" w:right="1420"/>
        </w:sectPr>
      </w:pPr>
    </w:p>
    <w:p>
      <w:pPr>
        <w:pStyle w:val="BodyText"/>
        <w:rPr>
          <w:sz w:val="20"/>
        </w:rPr>
      </w:pPr>
    </w:p>
    <w:p>
      <w:pPr>
        <w:pStyle w:val="BodyText"/>
        <w:rPr>
          <w:sz w:val="20"/>
        </w:rPr>
      </w:pPr>
    </w:p>
    <w:p>
      <w:pPr>
        <w:pStyle w:val="BodyText"/>
        <w:spacing w:before="6"/>
        <w:rPr>
          <w:sz w:val="16"/>
        </w:rPr>
      </w:pPr>
    </w:p>
    <w:p>
      <w:pPr>
        <w:pStyle w:val="BodyText"/>
        <w:spacing w:line="360" w:lineRule="auto" w:before="69"/>
        <w:ind w:left="152" w:right="107" w:firstLine="710"/>
        <w:jc w:val="both"/>
      </w:pPr>
      <w:bookmarkStart w:name="_bookmark76" w:id="122"/>
      <w:bookmarkEnd w:id="122"/>
      <w:r>
        <w:rPr/>
      </w:r>
      <w:r>
        <w:rPr>
          <w:b/>
        </w:rPr>
        <w:t>Grupo Dexmedetomidina (DEX): </w:t>
      </w:r>
      <w:r>
        <w:rPr/>
        <w:t>Los animales pertenecientes a este grupo se les administro una dosis de carga de dexmedetomidina de 2 µg/Kg por vía intravenosa e inmediatamente después se administró una infusión continua de dexmedetomidina a una dosis de 2 µg/Kg/hr.</w:t>
      </w:r>
    </w:p>
    <w:p>
      <w:pPr>
        <w:pStyle w:val="BodyText"/>
      </w:pPr>
    </w:p>
    <w:p>
      <w:pPr>
        <w:pStyle w:val="BodyText"/>
        <w:spacing w:line="360" w:lineRule="auto" w:before="141"/>
        <w:ind w:left="152" w:right="109" w:firstLine="710"/>
        <w:jc w:val="both"/>
      </w:pPr>
      <w:r>
        <w:rPr>
          <w:b/>
        </w:rPr>
        <w:t>Grupo Lidocaína + Dexmedetomidina (LID-DEX): </w:t>
      </w:r>
      <w:r>
        <w:rPr/>
        <w:t>Los animales pertenecientes  a este grupo reciben una dosis de carga de lidocaína y dexmedetomidina a una dosis de carga de 2 mg/Kg y 2 µg/Kg por </w:t>
      </w:r>
      <w:r>
        <w:rPr>
          <w:spacing w:val="-4"/>
        </w:rPr>
        <w:t>vía </w:t>
      </w:r>
      <w:r>
        <w:rPr/>
        <w:t>intravenosa respectivamente. Inmediatamente después se inicia con una infusión continua de lidocaína a una dosis de 100 µg/Kg/min y una infusión continua de dexmedetomidina a una dosis de 2</w:t>
      </w:r>
      <w:r>
        <w:rPr>
          <w:spacing w:val="-21"/>
        </w:rPr>
        <w:t> </w:t>
      </w:r>
      <w:r>
        <w:rPr/>
        <w:t>µg/Kg/hr.</w:t>
      </w:r>
    </w:p>
    <w:p>
      <w:pPr>
        <w:pStyle w:val="BodyText"/>
        <w:spacing w:line="360" w:lineRule="auto" w:before="8"/>
        <w:ind w:left="152" w:right="109" w:firstLine="710"/>
        <w:jc w:val="both"/>
      </w:pPr>
      <w:r>
        <w:rPr/>
        <w:t>En todos los grupos las dosis de carga fueron diluidas en agua inyectable hasta alcanzar un volumen total de 3 mL.</w:t>
      </w:r>
    </w:p>
    <w:p>
      <w:pPr>
        <w:pStyle w:val="BodyText"/>
        <w:spacing w:line="362" w:lineRule="auto" w:before="4"/>
        <w:ind w:left="152" w:right="116" w:firstLine="710"/>
        <w:jc w:val="both"/>
      </w:pPr>
      <w:r>
        <w:rPr/>
        <w:t>Los tratamientos en infusión continua fueron diluidos en solución salina fisiológica hasta alcanzar un volumen total de 60 </w:t>
      </w:r>
      <w:r>
        <w:rPr>
          <w:spacing w:val="-3"/>
        </w:rPr>
        <w:t>mL, </w:t>
      </w:r>
      <w:r>
        <w:rPr/>
        <w:t>los cuales fueron administrados por </w:t>
      </w:r>
      <w:r>
        <w:rPr>
          <w:spacing w:val="-4"/>
        </w:rPr>
        <w:t>medio </w:t>
      </w:r>
      <w:r>
        <w:rPr/>
        <w:t>de una bomba de infusión (Colleague; Baxter Healthcare, IL,</w:t>
      </w:r>
      <w:r>
        <w:rPr>
          <w:spacing w:val="-26"/>
        </w:rPr>
        <w:t> </w:t>
      </w:r>
      <w:r>
        <w:rPr/>
        <w:t>USA).</w:t>
      </w:r>
    </w:p>
    <w:p>
      <w:pPr>
        <w:pStyle w:val="BodyText"/>
        <w:spacing w:line="360" w:lineRule="auto" w:before="1"/>
        <w:ind w:left="152" w:right="108" w:firstLine="710"/>
        <w:jc w:val="both"/>
      </w:pPr>
      <w:r>
        <w:rPr/>
        <w:t>Una vez administrados los tratamiento, la fracción espirada de sevoflurano (FESev) se disminuyó a 1.38±0.08%, 1.10±0.23% y 0.78±0.14% para el grupo LID, DEX y LID- DEX respectivamente, basados en un estudio previo. Todos los  parámetros cardiovasculares y gasométricos fueron evaluados 60 minutos después de haber iniciado el tratamiento en base a la vida media (t ½) de cada fármaco.</w:t>
      </w:r>
    </w:p>
    <w:p>
      <w:pPr>
        <w:pStyle w:val="BodyText"/>
        <w:spacing w:line="360" w:lineRule="auto" w:before="4"/>
        <w:ind w:left="152" w:right="109"/>
        <w:jc w:val="both"/>
      </w:pPr>
      <w:r>
        <w:rPr/>
        <w:t>Una vez concluido el estudio se suspendió la administración de la infusión continua y de sevoflurano, cuando los perros presentaban reflejo deglutorio se retiraba el tubo endotraqueal, y se les administro 2 mg/Kg de carprofeno por vía subcutánea cada 24 horas durante dos días. Todos los perros fueron dados en adopción al concluir la investigación.</w:t>
      </w:r>
    </w:p>
    <w:p>
      <w:pPr>
        <w:spacing w:after="0" w:line="360" w:lineRule="auto"/>
        <w:jc w:val="both"/>
        <w:sectPr>
          <w:footerReference w:type="default" r:id="rId55"/>
          <w:pgSz w:w="12240" w:h="15840"/>
          <w:pgMar w:footer="1591" w:header="0" w:top="1500" w:bottom="1780" w:left="1720" w:right="1420"/>
          <w:pgNumType w:start="51"/>
        </w:sectPr>
      </w:pPr>
    </w:p>
    <w:p>
      <w:pPr>
        <w:pStyle w:val="BodyText"/>
        <w:spacing w:before="1"/>
        <w:rPr>
          <w:sz w:val="21"/>
        </w:rPr>
      </w:pPr>
    </w:p>
    <w:p>
      <w:pPr>
        <w:pStyle w:val="Heading2"/>
        <w:numPr>
          <w:ilvl w:val="1"/>
          <w:numId w:val="6"/>
        </w:numPr>
        <w:tabs>
          <w:tab w:pos="518" w:val="left" w:leader="none"/>
        </w:tabs>
        <w:spacing w:line="240" w:lineRule="auto" w:before="69" w:after="0"/>
        <w:ind w:left="517" w:right="0" w:hanging="365"/>
        <w:jc w:val="left"/>
      </w:pPr>
      <w:r>
        <w:rPr/>
        <w:t>Análisis</w:t>
      </w:r>
      <w:r>
        <w:rPr>
          <w:spacing w:val="-12"/>
        </w:rPr>
        <w:t> </w:t>
      </w:r>
      <w:r>
        <w:rPr/>
        <w:t>Estadístico</w:t>
      </w:r>
    </w:p>
    <w:p>
      <w:pPr>
        <w:pStyle w:val="BodyText"/>
        <w:rPr>
          <w:b/>
        </w:rPr>
      </w:pPr>
    </w:p>
    <w:p>
      <w:pPr>
        <w:pStyle w:val="BodyText"/>
        <w:spacing w:before="2"/>
        <w:rPr>
          <w:b/>
          <w:sz w:val="23"/>
        </w:rPr>
      </w:pPr>
    </w:p>
    <w:p>
      <w:pPr>
        <w:pStyle w:val="BodyText"/>
        <w:spacing w:line="360" w:lineRule="auto"/>
        <w:ind w:left="152" w:right="102" w:firstLine="292"/>
        <w:jc w:val="both"/>
      </w:pPr>
      <w:r>
        <w:rPr/>
        <w:t>Todos los datos fueron expresados como </w:t>
      </w:r>
      <w:r>
        <w:rPr>
          <w:spacing w:val="-3"/>
        </w:rPr>
        <w:t>media </w:t>
      </w:r>
      <w:r>
        <w:rPr/>
        <w:t>y desviación estándar (m</w:t>
      </w:r>
      <w:r>
        <w:rPr>
          <w:rFonts w:ascii="Symbol" w:hAnsi="Symbol"/>
        </w:rPr>
        <w:t></w:t>
      </w:r>
      <w:r>
        <w:rPr/>
        <w:t>ds). </w:t>
      </w:r>
      <w:r>
        <w:rPr>
          <w:spacing w:val="3"/>
        </w:rPr>
        <w:t>El  </w:t>
      </w:r>
      <w:r>
        <w:rPr/>
        <w:t>análisis estadístico se realizó por </w:t>
      </w:r>
      <w:r>
        <w:rPr>
          <w:spacing w:val="-4"/>
        </w:rPr>
        <w:t>medio </w:t>
      </w:r>
      <w:r>
        <w:rPr/>
        <w:t>del software GraphPad 6 (GraphPad Software, Inc </w:t>
      </w:r>
      <w:r>
        <w:rPr>
          <w:spacing w:val="-3"/>
        </w:rPr>
        <w:t>CA, </w:t>
      </w:r>
      <w:r>
        <w:rPr/>
        <w:t>USA). Se utilizó una prueba de D’ Agostino-Pearson para evaluar </w:t>
      </w:r>
      <w:r>
        <w:rPr>
          <w:spacing w:val="-3"/>
        </w:rPr>
        <w:t>la </w:t>
      </w:r>
      <w:r>
        <w:rPr/>
        <w:t>normalidad de los datos. Los datos fueron evaluados por </w:t>
      </w:r>
      <w:r>
        <w:rPr>
          <w:spacing w:val="-4"/>
        </w:rPr>
        <w:t>medio </w:t>
      </w:r>
      <w:r>
        <w:rPr/>
        <w:t>de un análisis de varianza (ANOVA) sola vía para medidas repetidas y una prueba post-hoc Holm-Sidak cuando se encontró significancia estadística. </w:t>
      </w:r>
      <w:r>
        <w:rPr>
          <w:spacing w:val="3"/>
        </w:rPr>
        <w:t>El </w:t>
      </w:r>
      <w:r>
        <w:rPr/>
        <w:t>valor de significancia fue aceptada con un valor de p &lt;</w:t>
      </w:r>
      <w:r>
        <w:rPr>
          <w:spacing w:val="-36"/>
        </w:rPr>
        <w:t> </w:t>
      </w:r>
      <w:r>
        <w:rPr/>
        <w:t>0.05.</w:t>
      </w:r>
    </w:p>
    <w:p>
      <w:pPr>
        <w:spacing w:after="0" w:line="360" w:lineRule="auto"/>
        <w:jc w:val="both"/>
        <w:sectPr>
          <w:pgSz w:w="12240" w:h="15840"/>
          <w:pgMar w:header="0" w:footer="1591" w:top="1500" w:bottom="1840" w:left="1720" w:right="1420"/>
        </w:sectPr>
      </w:pPr>
    </w:p>
    <w:p>
      <w:pPr>
        <w:pStyle w:val="BodyText"/>
        <w:spacing w:before="8"/>
        <w:rPr>
          <w:sz w:val="21"/>
        </w:rPr>
      </w:pPr>
    </w:p>
    <w:p>
      <w:pPr>
        <w:pStyle w:val="Heading1"/>
      </w:pPr>
      <w:bookmarkStart w:name="_bookmark77" w:id="123"/>
      <w:bookmarkEnd w:id="123"/>
      <w:r>
        <w:rPr>
          <w:b w:val="0"/>
        </w:rPr>
      </w:r>
      <w:r>
        <w:rPr/>
        <w:t>CAPITULO VII</w:t>
      </w:r>
    </w:p>
    <w:p>
      <w:pPr>
        <w:pStyle w:val="BodyText"/>
        <w:rPr>
          <w:b/>
          <w:sz w:val="13"/>
        </w:rPr>
      </w:pPr>
      <w:r>
        <w:rPr/>
        <w:pict>
          <v:line style="position:absolute;mso-position-horizontal-relative:page;mso-position-vertical-relative:paragraph;z-index:1672;mso-wrap-distance-left:0;mso-wrap-distance-right:0" from="92.208pt,10.171667pt" to="537.098pt,10.171667pt" stroked="true" strokeweight="1.44pt" strokecolor="#000000">
            <w10:wrap type="topAndBottom"/>
          </v:line>
        </w:pict>
      </w:r>
    </w:p>
    <w:p>
      <w:pPr>
        <w:pStyle w:val="BodyText"/>
        <w:spacing w:before="5"/>
        <w:rPr>
          <w:b/>
          <w:sz w:val="2"/>
        </w:rPr>
      </w:pPr>
    </w:p>
    <w:p>
      <w:pPr>
        <w:pStyle w:val="BodyText"/>
        <w:spacing w:line="20" w:lineRule="exact"/>
        <w:ind w:left="116"/>
        <w:rPr>
          <w:sz w:val="2"/>
        </w:rPr>
      </w:pPr>
      <w:r>
        <w:rPr>
          <w:sz w:val="2"/>
        </w:rPr>
        <w:pict>
          <v:group style="width:445.65pt;height:.75pt;mso-position-horizontal-relative:char;mso-position-vertical-relative:line" coordorigin="0,0" coordsize="8913,15">
            <v:line style="position:absolute" from="8,8" to="8905,8" stroked="true" strokeweight=".72pt" strokecolor="#000000"/>
          </v:group>
        </w:pict>
      </w:r>
      <w:r>
        <w:rPr>
          <w:sz w:val="2"/>
        </w:rPr>
      </w:r>
    </w:p>
    <w:p>
      <w:pPr>
        <w:pStyle w:val="BodyText"/>
        <w:spacing w:before="2"/>
        <w:rPr>
          <w:b/>
          <w:sz w:val="29"/>
        </w:rPr>
      </w:pPr>
    </w:p>
    <w:p>
      <w:pPr>
        <w:pStyle w:val="Heading2"/>
        <w:numPr>
          <w:ilvl w:val="0"/>
          <w:numId w:val="2"/>
        </w:numPr>
        <w:tabs>
          <w:tab w:pos="398" w:val="left" w:leader="none"/>
        </w:tabs>
        <w:spacing w:line="240" w:lineRule="auto" w:before="69" w:after="0"/>
        <w:ind w:left="397" w:right="0" w:hanging="245"/>
        <w:jc w:val="left"/>
      </w:pPr>
      <w:bookmarkStart w:name="_bookmark78" w:id="124"/>
      <w:bookmarkEnd w:id="124"/>
      <w:r>
        <w:rPr>
          <w:b w:val="0"/>
        </w:rPr>
      </w:r>
      <w:bookmarkStart w:name="_bookmark78" w:id="125"/>
      <w:bookmarkEnd w:id="125"/>
      <w:r>
        <w:rPr/>
        <w:t>R</w:t>
      </w:r>
      <w:r>
        <w:rPr/>
        <w:t>esultados</w:t>
      </w:r>
    </w:p>
    <w:p>
      <w:pPr>
        <w:pStyle w:val="Heading2"/>
        <w:numPr>
          <w:ilvl w:val="1"/>
          <w:numId w:val="2"/>
        </w:numPr>
        <w:tabs>
          <w:tab w:pos="518" w:val="left" w:leader="none"/>
        </w:tabs>
        <w:spacing w:line="240" w:lineRule="auto" w:before="137" w:after="0"/>
        <w:ind w:left="517" w:right="0" w:hanging="365"/>
        <w:jc w:val="left"/>
      </w:pPr>
      <w:bookmarkStart w:name="_bookmark79" w:id="126"/>
      <w:bookmarkEnd w:id="126"/>
      <w:r>
        <w:rPr>
          <w:b w:val="0"/>
        </w:rPr>
      </w:r>
      <w:bookmarkStart w:name="_bookmark79" w:id="127"/>
      <w:bookmarkEnd w:id="127"/>
      <w:r>
        <w:rPr/>
        <w:t>A</w:t>
      </w:r>
      <w:r>
        <w:rPr/>
        <w:t>rtículo Científico número</w:t>
      </w:r>
      <w:r>
        <w:rPr>
          <w:spacing w:val="-16"/>
        </w:rPr>
        <w:t> </w:t>
      </w:r>
      <w:r>
        <w:rPr/>
        <w:t>1</w:t>
      </w:r>
    </w:p>
    <w:p>
      <w:pPr>
        <w:pStyle w:val="BodyText"/>
        <w:spacing w:before="6"/>
        <w:rPr>
          <w:b/>
          <w:sz w:val="25"/>
        </w:rPr>
      </w:pPr>
      <w:r>
        <w:rPr/>
        <w:drawing>
          <wp:anchor distT="0" distB="0" distL="0" distR="0" allowOverlap="1" layoutInCell="1" locked="0" behindDoc="0" simplePos="0" relativeHeight="1720">
            <wp:simplePos x="0" y="0"/>
            <wp:positionH relativeFrom="page">
              <wp:posOffset>1887220</wp:posOffset>
            </wp:positionH>
            <wp:positionV relativeFrom="paragraph">
              <wp:posOffset>211255</wp:posOffset>
            </wp:positionV>
            <wp:extent cx="4545118" cy="6007417"/>
            <wp:effectExtent l="0" t="0" r="0" b="0"/>
            <wp:wrapTopAndBottom/>
            <wp:docPr id="67" name="image38.jpeg" descr=""/>
            <wp:cNvGraphicFramePr>
              <a:graphicFrameLocks noChangeAspect="1"/>
            </wp:cNvGraphicFramePr>
            <a:graphic>
              <a:graphicData uri="http://schemas.openxmlformats.org/drawingml/2006/picture">
                <pic:pic>
                  <pic:nvPicPr>
                    <pic:cNvPr id="68" name="image38.jpeg"/>
                    <pic:cNvPicPr/>
                  </pic:nvPicPr>
                  <pic:blipFill>
                    <a:blip r:embed="rId56" cstate="print"/>
                    <a:stretch>
                      <a:fillRect/>
                    </a:stretch>
                  </pic:blipFill>
                  <pic:spPr>
                    <a:xfrm>
                      <a:off x="0" y="0"/>
                      <a:ext cx="4545118" cy="6007417"/>
                    </a:xfrm>
                    <a:prstGeom prst="rect">
                      <a:avLst/>
                    </a:prstGeom>
                  </pic:spPr>
                </pic:pic>
              </a:graphicData>
            </a:graphic>
          </wp:anchor>
        </w:drawing>
      </w:r>
    </w:p>
    <w:p>
      <w:pPr>
        <w:spacing w:after="0"/>
        <w:rPr>
          <w:sz w:val="25"/>
        </w:rPr>
        <w:sectPr>
          <w:pgSz w:w="12240" w:h="15840"/>
          <w:pgMar w:header="0" w:footer="1591" w:top="1500" w:bottom="1840" w:left="1720" w:right="1380"/>
        </w:sectPr>
      </w:pPr>
    </w:p>
    <w:p>
      <w:pPr>
        <w:pStyle w:val="BodyText"/>
        <w:spacing w:before="3"/>
        <w:rPr>
          <w:sz w:val="27"/>
        </w:rPr>
      </w:pPr>
    </w:p>
    <w:p>
      <w:pPr>
        <w:pStyle w:val="BodyText"/>
        <w:ind w:left="152"/>
        <w:rPr>
          <w:sz w:val="20"/>
        </w:rPr>
      </w:pPr>
      <w:r>
        <w:rPr>
          <w:sz w:val="20"/>
        </w:rPr>
        <w:drawing>
          <wp:inline distT="0" distB="0" distL="0" distR="0">
            <wp:extent cx="5262120" cy="7649622"/>
            <wp:effectExtent l="0" t="0" r="0" b="0"/>
            <wp:docPr id="69" name="image39.jpeg" descr=""/>
            <wp:cNvGraphicFramePr>
              <a:graphicFrameLocks noChangeAspect="1"/>
            </wp:cNvGraphicFramePr>
            <a:graphic>
              <a:graphicData uri="http://schemas.openxmlformats.org/drawingml/2006/picture">
                <pic:pic>
                  <pic:nvPicPr>
                    <pic:cNvPr id="70" name="image39.jpeg"/>
                    <pic:cNvPicPr/>
                  </pic:nvPicPr>
                  <pic:blipFill>
                    <a:blip r:embed="rId57" cstate="print"/>
                    <a:stretch>
                      <a:fillRect/>
                    </a:stretch>
                  </pic:blipFill>
                  <pic:spPr>
                    <a:xfrm>
                      <a:off x="0" y="0"/>
                      <a:ext cx="5262120" cy="7649622"/>
                    </a:xfrm>
                    <a:prstGeom prst="rect">
                      <a:avLst/>
                    </a:prstGeom>
                  </pic:spPr>
                </pic:pic>
              </a:graphicData>
            </a:graphic>
          </wp:inline>
        </w:drawing>
      </w:r>
      <w:r>
        <w:rPr>
          <w:sz w:val="20"/>
        </w:rPr>
      </w:r>
    </w:p>
    <w:p>
      <w:pPr>
        <w:spacing w:after="0"/>
        <w:rPr>
          <w:sz w:val="20"/>
        </w:rPr>
        <w:sectPr>
          <w:pgSz w:w="12240" w:h="15840"/>
          <w:pgMar w:header="0" w:footer="1591" w:top="1500" w:bottom="1780" w:left="1720" w:right="1420"/>
        </w:sectPr>
      </w:pPr>
    </w:p>
    <w:p>
      <w:pPr>
        <w:pStyle w:val="BodyText"/>
        <w:spacing w:before="4"/>
        <w:rPr>
          <w:sz w:val="17"/>
        </w:rPr>
      </w:pPr>
      <w:r>
        <w:rPr/>
        <w:drawing>
          <wp:anchor distT="0" distB="0" distL="0" distR="0" allowOverlap="1" layoutInCell="1" locked="0" behindDoc="0" simplePos="0" relativeHeight="1744">
            <wp:simplePos x="0" y="0"/>
            <wp:positionH relativeFrom="page">
              <wp:posOffset>1188719</wp:posOffset>
            </wp:positionH>
            <wp:positionV relativeFrom="page">
              <wp:posOffset>1151889</wp:posOffset>
            </wp:positionV>
            <wp:extent cx="5364480" cy="7769859"/>
            <wp:effectExtent l="0" t="0" r="0" b="0"/>
            <wp:wrapNone/>
            <wp:docPr id="71" name="image40.jpeg" descr=""/>
            <wp:cNvGraphicFramePr>
              <a:graphicFrameLocks noChangeAspect="1"/>
            </wp:cNvGraphicFramePr>
            <a:graphic>
              <a:graphicData uri="http://schemas.openxmlformats.org/drawingml/2006/picture">
                <pic:pic>
                  <pic:nvPicPr>
                    <pic:cNvPr id="72" name="image40.jpeg"/>
                    <pic:cNvPicPr/>
                  </pic:nvPicPr>
                  <pic:blipFill>
                    <a:blip r:embed="rId58" cstate="print"/>
                    <a:stretch>
                      <a:fillRect/>
                    </a:stretch>
                  </pic:blipFill>
                  <pic:spPr>
                    <a:xfrm>
                      <a:off x="0" y="0"/>
                      <a:ext cx="5364480" cy="7769859"/>
                    </a:xfrm>
                    <a:prstGeom prst="rect">
                      <a:avLst/>
                    </a:prstGeom>
                  </pic:spPr>
                </pic:pic>
              </a:graphicData>
            </a:graphic>
          </wp:anchor>
        </w:drawing>
      </w:r>
    </w:p>
    <w:p>
      <w:pPr>
        <w:spacing w:after="0"/>
        <w:rPr>
          <w:sz w:val="17"/>
        </w:rPr>
        <w:sectPr>
          <w:pgSz w:w="12240" w:h="15840"/>
          <w:pgMar w:header="0" w:footer="1591" w:top="1500" w:bottom="1780" w:left="1720" w:right="1420"/>
        </w:sectPr>
      </w:pPr>
    </w:p>
    <w:p>
      <w:pPr>
        <w:pStyle w:val="BodyText"/>
        <w:spacing w:before="4"/>
        <w:rPr>
          <w:sz w:val="17"/>
        </w:rPr>
      </w:pPr>
      <w:r>
        <w:rPr/>
        <w:drawing>
          <wp:anchor distT="0" distB="0" distL="0" distR="0" allowOverlap="1" layoutInCell="1" locked="0" behindDoc="0" simplePos="0" relativeHeight="1768">
            <wp:simplePos x="0" y="0"/>
            <wp:positionH relativeFrom="page">
              <wp:posOffset>1188719</wp:posOffset>
            </wp:positionH>
            <wp:positionV relativeFrom="page">
              <wp:posOffset>1151889</wp:posOffset>
            </wp:positionV>
            <wp:extent cx="5410200" cy="7879080"/>
            <wp:effectExtent l="0" t="0" r="0" b="0"/>
            <wp:wrapNone/>
            <wp:docPr id="73" name="image41.jpeg" descr=""/>
            <wp:cNvGraphicFramePr>
              <a:graphicFrameLocks noChangeAspect="1"/>
            </wp:cNvGraphicFramePr>
            <a:graphic>
              <a:graphicData uri="http://schemas.openxmlformats.org/drawingml/2006/picture">
                <pic:pic>
                  <pic:nvPicPr>
                    <pic:cNvPr id="74" name="image41.jpeg"/>
                    <pic:cNvPicPr/>
                  </pic:nvPicPr>
                  <pic:blipFill>
                    <a:blip r:embed="rId59" cstate="print"/>
                    <a:stretch>
                      <a:fillRect/>
                    </a:stretch>
                  </pic:blipFill>
                  <pic:spPr>
                    <a:xfrm>
                      <a:off x="0" y="0"/>
                      <a:ext cx="5410200" cy="7879080"/>
                    </a:xfrm>
                    <a:prstGeom prst="rect">
                      <a:avLst/>
                    </a:prstGeom>
                  </pic:spPr>
                </pic:pic>
              </a:graphicData>
            </a:graphic>
          </wp:anchor>
        </w:drawing>
      </w:r>
    </w:p>
    <w:p>
      <w:pPr>
        <w:spacing w:after="0"/>
        <w:rPr>
          <w:sz w:val="17"/>
        </w:rPr>
        <w:sectPr>
          <w:pgSz w:w="12240" w:h="15840"/>
          <w:pgMar w:header="0" w:footer="1591" w:top="1500" w:bottom="1780" w:left="1720" w:right="1420"/>
        </w:sectPr>
      </w:pPr>
    </w:p>
    <w:p>
      <w:pPr>
        <w:pStyle w:val="BodyText"/>
        <w:spacing w:before="4"/>
        <w:rPr>
          <w:sz w:val="17"/>
        </w:rPr>
      </w:pPr>
      <w:r>
        <w:rPr/>
        <w:drawing>
          <wp:anchor distT="0" distB="0" distL="0" distR="0" allowOverlap="1" layoutInCell="1" locked="0" behindDoc="0" simplePos="0" relativeHeight="1792">
            <wp:simplePos x="0" y="0"/>
            <wp:positionH relativeFrom="page">
              <wp:posOffset>1188719</wp:posOffset>
            </wp:positionH>
            <wp:positionV relativeFrom="page">
              <wp:posOffset>1151889</wp:posOffset>
            </wp:positionV>
            <wp:extent cx="5452745" cy="7903845"/>
            <wp:effectExtent l="0" t="0" r="0" b="0"/>
            <wp:wrapNone/>
            <wp:docPr id="75" name="image42.jpeg" descr=""/>
            <wp:cNvGraphicFramePr>
              <a:graphicFrameLocks noChangeAspect="1"/>
            </wp:cNvGraphicFramePr>
            <a:graphic>
              <a:graphicData uri="http://schemas.openxmlformats.org/drawingml/2006/picture">
                <pic:pic>
                  <pic:nvPicPr>
                    <pic:cNvPr id="76" name="image42.jpeg"/>
                    <pic:cNvPicPr/>
                  </pic:nvPicPr>
                  <pic:blipFill>
                    <a:blip r:embed="rId60" cstate="print"/>
                    <a:stretch>
                      <a:fillRect/>
                    </a:stretch>
                  </pic:blipFill>
                  <pic:spPr>
                    <a:xfrm>
                      <a:off x="0" y="0"/>
                      <a:ext cx="5452745" cy="7903845"/>
                    </a:xfrm>
                    <a:prstGeom prst="rect">
                      <a:avLst/>
                    </a:prstGeom>
                  </pic:spPr>
                </pic:pic>
              </a:graphicData>
            </a:graphic>
          </wp:anchor>
        </w:drawing>
      </w:r>
    </w:p>
    <w:p>
      <w:pPr>
        <w:spacing w:after="0"/>
        <w:rPr>
          <w:sz w:val="17"/>
        </w:rPr>
        <w:sectPr>
          <w:pgSz w:w="12240" w:h="15840"/>
          <w:pgMar w:header="0" w:footer="1591" w:top="1500" w:bottom="1780" w:left="1720" w:right="1420"/>
        </w:sectPr>
      </w:pPr>
    </w:p>
    <w:p>
      <w:pPr>
        <w:pStyle w:val="BodyText"/>
        <w:spacing w:before="4"/>
        <w:rPr>
          <w:sz w:val="17"/>
        </w:rPr>
      </w:pPr>
      <w:r>
        <w:rPr/>
        <w:drawing>
          <wp:anchor distT="0" distB="0" distL="0" distR="0" allowOverlap="1" layoutInCell="1" locked="0" behindDoc="0" simplePos="0" relativeHeight="1816">
            <wp:simplePos x="0" y="0"/>
            <wp:positionH relativeFrom="page">
              <wp:posOffset>1188719</wp:posOffset>
            </wp:positionH>
            <wp:positionV relativeFrom="page">
              <wp:posOffset>1151889</wp:posOffset>
            </wp:positionV>
            <wp:extent cx="5437505" cy="7903845"/>
            <wp:effectExtent l="0" t="0" r="0" b="0"/>
            <wp:wrapNone/>
            <wp:docPr id="77" name="image43.jpeg" descr=""/>
            <wp:cNvGraphicFramePr>
              <a:graphicFrameLocks noChangeAspect="1"/>
            </wp:cNvGraphicFramePr>
            <a:graphic>
              <a:graphicData uri="http://schemas.openxmlformats.org/drawingml/2006/picture">
                <pic:pic>
                  <pic:nvPicPr>
                    <pic:cNvPr id="78" name="image43.jpeg"/>
                    <pic:cNvPicPr/>
                  </pic:nvPicPr>
                  <pic:blipFill>
                    <a:blip r:embed="rId61" cstate="print"/>
                    <a:stretch>
                      <a:fillRect/>
                    </a:stretch>
                  </pic:blipFill>
                  <pic:spPr>
                    <a:xfrm>
                      <a:off x="0" y="0"/>
                      <a:ext cx="5437505" cy="7903845"/>
                    </a:xfrm>
                    <a:prstGeom prst="rect">
                      <a:avLst/>
                    </a:prstGeom>
                  </pic:spPr>
                </pic:pic>
              </a:graphicData>
            </a:graphic>
          </wp:anchor>
        </w:drawing>
      </w:r>
    </w:p>
    <w:p>
      <w:pPr>
        <w:spacing w:after="0"/>
        <w:rPr>
          <w:sz w:val="17"/>
        </w:rPr>
        <w:sectPr>
          <w:pgSz w:w="12240" w:h="15840"/>
          <w:pgMar w:header="0" w:footer="1591" w:top="1500" w:bottom="1780" w:left="1720" w:right="1420"/>
        </w:sectPr>
      </w:pPr>
    </w:p>
    <w:p>
      <w:pPr>
        <w:pStyle w:val="BodyText"/>
        <w:spacing w:before="11"/>
        <w:rPr>
          <w:sz w:val="26"/>
        </w:rPr>
      </w:pPr>
    </w:p>
    <w:p>
      <w:pPr>
        <w:pStyle w:val="BodyText"/>
        <w:ind w:left="152"/>
        <w:rPr>
          <w:sz w:val="20"/>
        </w:rPr>
      </w:pPr>
      <w:r>
        <w:rPr>
          <w:sz w:val="20"/>
        </w:rPr>
        <w:drawing>
          <wp:inline distT="0" distB="0" distL="0" distR="0">
            <wp:extent cx="5491386" cy="2723959"/>
            <wp:effectExtent l="0" t="0" r="0" b="0"/>
            <wp:docPr id="79" name="image44.jpeg" descr=""/>
            <wp:cNvGraphicFramePr>
              <a:graphicFrameLocks noChangeAspect="1"/>
            </wp:cNvGraphicFramePr>
            <a:graphic>
              <a:graphicData uri="http://schemas.openxmlformats.org/drawingml/2006/picture">
                <pic:pic>
                  <pic:nvPicPr>
                    <pic:cNvPr id="80" name="image44.jpeg"/>
                    <pic:cNvPicPr/>
                  </pic:nvPicPr>
                  <pic:blipFill>
                    <a:blip r:embed="rId62" cstate="print"/>
                    <a:stretch>
                      <a:fillRect/>
                    </a:stretch>
                  </pic:blipFill>
                  <pic:spPr>
                    <a:xfrm>
                      <a:off x="0" y="0"/>
                      <a:ext cx="5491386" cy="2723959"/>
                    </a:xfrm>
                    <a:prstGeom prst="rect">
                      <a:avLst/>
                    </a:prstGeom>
                  </pic:spPr>
                </pic:pic>
              </a:graphicData>
            </a:graphic>
          </wp:inline>
        </w:drawing>
      </w:r>
      <w:r>
        <w:rPr>
          <w:sz w:val="20"/>
        </w:rPr>
      </w:r>
    </w:p>
    <w:p>
      <w:pPr>
        <w:spacing w:after="0"/>
        <w:rPr>
          <w:sz w:val="20"/>
        </w:rPr>
        <w:sectPr>
          <w:pgSz w:w="12240" w:h="15840"/>
          <w:pgMar w:header="0" w:footer="1591" w:top="1500" w:bottom="1780" w:left="1720" w:right="1420"/>
        </w:sectPr>
      </w:pPr>
    </w:p>
    <w:p>
      <w:pPr>
        <w:pStyle w:val="BodyText"/>
        <w:spacing w:before="1"/>
        <w:rPr>
          <w:sz w:val="21"/>
        </w:rPr>
      </w:pPr>
    </w:p>
    <w:p>
      <w:pPr>
        <w:pStyle w:val="Heading2"/>
        <w:numPr>
          <w:ilvl w:val="1"/>
          <w:numId w:val="2"/>
        </w:numPr>
        <w:tabs>
          <w:tab w:pos="1058" w:val="left" w:leader="none"/>
        </w:tabs>
        <w:spacing w:line="240" w:lineRule="auto" w:before="69" w:after="0"/>
        <w:ind w:left="1057" w:right="0" w:hanging="365"/>
        <w:jc w:val="left"/>
      </w:pPr>
      <w:bookmarkStart w:name="_bookmark80" w:id="128"/>
      <w:bookmarkEnd w:id="128"/>
      <w:r>
        <w:rPr>
          <w:b w:val="0"/>
        </w:rPr>
      </w:r>
      <w:bookmarkStart w:name="_bookmark80" w:id="129"/>
      <w:bookmarkEnd w:id="129"/>
      <w:r>
        <w:rPr/>
        <w:t>A</w:t>
      </w:r>
      <w:r>
        <w:rPr/>
        <w:t>rtículo científico 2. Correo del</w:t>
      </w:r>
      <w:r>
        <w:rPr>
          <w:spacing w:val="-16"/>
        </w:rPr>
        <w:t> </w:t>
      </w:r>
      <w:r>
        <w:rPr/>
        <w:t>editor</w:t>
      </w:r>
    </w:p>
    <w:p>
      <w:pPr>
        <w:pStyle w:val="BodyText"/>
        <w:spacing w:before="2"/>
        <w:rPr>
          <w:b/>
          <w:sz w:val="18"/>
        </w:rPr>
      </w:pPr>
      <w:r>
        <w:rPr/>
        <w:drawing>
          <wp:anchor distT="0" distB="0" distL="0" distR="0" allowOverlap="1" layoutInCell="1" locked="0" behindDoc="0" simplePos="0" relativeHeight="1840">
            <wp:simplePos x="0" y="0"/>
            <wp:positionH relativeFrom="page">
              <wp:posOffset>817880</wp:posOffset>
            </wp:positionH>
            <wp:positionV relativeFrom="paragraph">
              <wp:posOffset>157788</wp:posOffset>
            </wp:positionV>
            <wp:extent cx="5800526" cy="6535483"/>
            <wp:effectExtent l="0" t="0" r="0" b="0"/>
            <wp:wrapTopAndBottom/>
            <wp:docPr id="81" name="image45.jpeg" descr=""/>
            <wp:cNvGraphicFramePr>
              <a:graphicFrameLocks noChangeAspect="1"/>
            </wp:cNvGraphicFramePr>
            <a:graphic>
              <a:graphicData uri="http://schemas.openxmlformats.org/drawingml/2006/picture">
                <pic:pic>
                  <pic:nvPicPr>
                    <pic:cNvPr id="82" name="image45.jpeg"/>
                    <pic:cNvPicPr/>
                  </pic:nvPicPr>
                  <pic:blipFill>
                    <a:blip r:embed="rId64" cstate="print"/>
                    <a:stretch>
                      <a:fillRect/>
                    </a:stretch>
                  </pic:blipFill>
                  <pic:spPr>
                    <a:xfrm>
                      <a:off x="0" y="0"/>
                      <a:ext cx="5800526" cy="6535483"/>
                    </a:xfrm>
                    <a:prstGeom prst="rect">
                      <a:avLst/>
                    </a:prstGeom>
                  </pic:spPr>
                </pic:pic>
              </a:graphicData>
            </a:graphic>
          </wp:anchor>
        </w:drawing>
      </w:r>
    </w:p>
    <w:p>
      <w:pPr>
        <w:spacing w:after="0"/>
        <w:rPr>
          <w:sz w:val="18"/>
        </w:rPr>
        <w:sectPr>
          <w:footerReference w:type="default" r:id="rId63"/>
          <w:pgSz w:w="12240" w:h="15840"/>
          <w:pgMar w:footer="1591" w:header="0" w:top="1500" w:bottom="1780" w:left="1180" w:right="1420"/>
        </w:sectPr>
      </w:pPr>
    </w:p>
    <w:p>
      <w:pPr>
        <w:pStyle w:val="BodyText"/>
        <w:spacing w:before="3"/>
        <w:rPr>
          <w:sz w:val="27"/>
        </w:rPr>
      </w:pPr>
    </w:p>
    <w:p>
      <w:pPr>
        <w:pStyle w:val="BodyText"/>
        <w:ind w:left="152"/>
        <w:rPr>
          <w:sz w:val="20"/>
        </w:rPr>
      </w:pPr>
      <w:r>
        <w:rPr>
          <w:sz w:val="20"/>
        </w:rPr>
        <w:drawing>
          <wp:inline distT="0" distB="0" distL="0" distR="0">
            <wp:extent cx="5947962" cy="7590948"/>
            <wp:effectExtent l="0" t="0" r="0" b="0"/>
            <wp:docPr id="83" name="image46.png" descr=""/>
            <wp:cNvGraphicFramePr>
              <a:graphicFrameLocks noChangeAspect="1"/>
            </wp:cNvGraphicFramePr>
            <a:graphic>
              <a:graphicData uri="http://schemas.openxmlformats.org/drawingml/2006/picture">
                <pic:pic>
                  <pic:nvPicPr>
                    <pic:cNvPr id="84" name="image46.png"/>
                    <pic:cNvPicPr/>
                  </pic:nvPicPr>
                  <pic:blipFill>
                    <a:blip r:embed="rId66" cstate="print"/>
                    <a:stretch>
                      <a:fillRect/>
                    </a:stretch>
                  </pic:blipFill>
                  <pic:spPr>
                    <a:xfrm>
                      <a:off x="0" y="0"/>
                      <a:ext cx="5947962" cy="7590948"/>
                    </a:xfrm>
                    <a:prstGeom prst="rect">
                      <a:avLst/>
                    </a:prstGeom>
                  </pic:spPr>
                </pic:pic>
              </a:graphicData>
            </a:graphic>
          </wp:inline>
        </w:drawing>
      </w:r>
      <w:r>
        <w:rPr>
          <w:sz w:val="20"/>
        </w:rPr>
      </w:r>
    </w:p>
    <w:p>
      <w:pPr>
        <w:spacing w:after="0"/>
        <w:rPr>
          <w:sz w:val="20"/>
        </w:rPr>
        <w:sectPr>
          <w:footerReference w:type="default" r:id="rId65"/>
          <w:pgSz w:w="12240" w:h="15840"/>
          <w:pgMar w:footer="1591" w:header="0" w:top="1500" w:bottom="1780" w:left="1720" w:right="800"/>
          <w:pgNumType w:start="61"/>
        </w:sectPr>
      </w:pPr>
    </w:p>
    <w:p>
      <w:pPr>
        <w:pStyle w:val="BodyText"/>
        <w:spacing w:before="3"/>
        <w:rPr>
          <w:sz w:val="27"/>
        </w:rPr>
      </w:pPr>
    </w:p>
    <w:p>
      <w:pPr>
        <w:pStyle w:val="BodyText"/>
        <w:ind w:left="152"/>
        <w:rPr>
          <w:sz w:val="20"/>
        </w:rPr>
      </w:pPr>
      <w:r>
        <w:rPr>
          <w:sz w:val="20"/>
        </w:rPr>
        <w:drawing>
          <wp:inline distT="0" distB="0" distL="0" distR="0">
            <wp:extent cx="5990420" cy="7654004"/>
            <wp:effectExtent l="0" t="0" r="0" b="0"/>
            <wp:docPr id="85" name="image47.png" descr=""/>
            <wp:cNvGraphicFramePr>
              <a:graphicFrameLocks noChangeAspect="1"/>
            </wp:cNvGraphicFramePr>
            <a:graphic>
              <a:graphicData uri="http://schemas.openxmlformats.org/drawingml/2006/picture">
                <pic:pic>
                  <pic:nvPicPr>
                    <pic:cNvPr id="86" name="image47.png"/>
                    <pic:cNvPicPr/>
                  </pic:nvPicPr>
                  <pic:blipFill>
                    <a:blip r:embed="rId67" cstate="print"/>
                    <a:stretch>
                      <a:fillRect/>
                    </a:stretch>
                  </pic:blipFill>
                  <pic:spPr>
                    <a:xfrm>
                      <a:off x="0" y="0"/>
                      <a:ext cx="5990420" cy="7654004"/>
                    </a:xfrm>
                    <a:prstGeom prst="rect">
                      <a:avLst/>
                    </a:prstGeom>
                  </pic:spPr>
                </pic:pic>
              </a:graphicData>
            </a:graphic>
          </wp:inline>
        </w:drawing>
      </w:r>
      <w:r>
        <w:rPr>
          <w:sz w:val="20"/>
        </w:rPr>
      </w:r>
    </w:p>
    <w:p>
      <w:pPr>
        <w:spacing w:after="0"/>
        <w:rPr>
          <w:sz w:val="20"/>
        </w:rPr>
        <w:sectPr>
          <w:pgSz w:w="12240" w:h="15840"/>
          <w:pgMar w:header="0" w:footer="1591" w:top="1500" w:bottom="1780" w:left="1720" w:right="800"/>
        </w:sectPr>
      </w:pPr>
    </w:p>
    <w:p>
      <w:pPr>
        <w:pStyle w:val="BodyText"/>
        <w:spacing w:before="3"/>
        <w:rPr>
          <w:sz w:val="27"/>
        </w:rPr>
      </w:pPr>
      <w:r>
        <w:rPr/>
        <w:pict>
          <v:shape style="position:absolute;margin-left:93.599998pt;margin-top:90.699997pt;width:472.8pt;height:619.8pt;mso-position-horizontal-relative:page;mso-position-vertical-relative:page;z-index:-60016"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0"/>
                    <w:rPr>
                      <w:sz w:val="20"/>
                    </w:rPr>
                  </w:pPr>
                </w:p>
                <w:p>
                  <w:pPr>
                    <w:spacing w:line="265" w:lineRule="exact" w:before="0"/>
                    <w:ind w:left="0" w:right="612" w:firstLine="0"/>
                    <w:jc w:val="right"/>
                    <w:rPr>
                      <w:rFonts w:ascii="Calibri"/>
                      <w:sz w:val="22"/>
                    </w:rPr>
                  </w:pPr>
                  <w:r>
                    <w:rPr>
                      <w:rFonts w:ascii="Calibri"/>
                      <w:sz w:val="22"/>
                    </w:rPr>
                    <w:t>63</w:t>
                  </w:r>
                </w:p>
              </w:txbxContent>
            </v:textbox>
            <w10:wrap type="none"/>
          </v:shape>
        </w:pict>
      </w:r>
    </w:p>
    <w:p>
      <w:pPr>
        <w:pStyle w:val="BodyText"/>
        <w:ind w:left="152"/>
        <w:rPr>
          <w:sz w:val="20"/>
        </w:rPr>
      </w:pPr>
      <w:r>
        <w:rPr>
          <w:sz w:val="20"/>
        </w:rPr>
        <w:drawing>
          <wp:inline distT="0" distB="0" distL="0" distR="0">
            <wp:extent cx="5987226" cy="7786687"/>
            <wp:effectExtent l="0" t="0" r="0" b="0"/>
            <wp:docPr id="87" name="image48.png" descr=""/>
            <wp:cNvGraphicFramePr>
              <a:graphicFrameLocks noChangeAspect="1"/>
            </wp:cNvGraphicFramePr>
            <a:graphic>
              <a:graphicData uri="http://schemas.openxmlformats.org/drawingml/2006/picture">
                <pic:pic>
                  <pic:nvPicPr>
                    <pic:cNvPr id="88" name="image48.png"/>
                    <pic:cNvPicPr/>
                  </pic:nvPicPr>
                  <pic:blipFill>
                    <a:blip r:embed="rId69" cstate="print"/>
                    <a:stretch>
                      <a:fillRect/>
                    </a:stretch>
                  </pic:blipFill>
                  <pic:spPr>
                    <a:xfrm>
                      <a:off x="0" y="0"/>
                      <a:ext cx="5987226" cy="7786687"/>
                    </a:xfrm>
                    <a:prstGeom prst="rect">
                      <a:avLst/>
                    </a:prstGeom>
                  </pic:spPr>
                </pic:pic>
              </a:graphicData>
            </a:graphic>
          </wp:inline>
        </w:drawing>
      </w:r>
      <w:r>
        <w:rPr>
          <w:sz w:val="20"/>
        </w:rPr>
      </w:r>
    </w:p>
    <w:p>
      <w:pPr>
        <w:spacing w:after="0"/>
        <w:rPr>
          <w:sz w:val="20"/>
        </w:rPr>
        <w:sectPr>
          <w:footerReference w:type="default" r:id="rId68"/>
          <w:pgSz w:w="12240" w:h="15840"/>
          <w:pgMar w:footer="0" w:header="0" w:top="1500" w:bottom="280" w:left="1720" w:right="800"/>
        </w:sectPr>
      </w:pPr>
    </w:p>
    <w:p>
      <w:pPr>
        <w:pStyle w:val="BodyText"/>
        <w:spacing w:before="11"/>
        <w:rPr>
          <w:sz w:val="26"/>
        </w:rPr>
      </w:pPr>
    </w:p>
    <w:p>
      <w:pPr>
        <w:pStyle w:val="BodyText"/>
        <w:ind w:left="152"/>
        <w:rPr>
          <w:sz w:val="20"/>
        </w:rPr>
      </w:pPr>
      <w:r>
        <w:rPr>
          <w:sz w:val="20"/>
        </w:rPr>
        <w:drawing>
          <wp:inline distT="0" distB="0" distL="0" distR="0">
            <wp:extent cx="5984749" cy="7673340"/>
            <wp:effectExtent l="0" t="0" r="0" b="0"/>
            <wp:docPr id="89" name="image49.png" descr=""/>
            <wp:cNvGraphicFramePr>
              <a:graphicFrameLocks noChangeAspect="1"/>
            </wp:cNvGraphicFramePr>
            <a:graphic>
              <a:graphicData uri="http://schemas.openxmlformats.org/drawingml/2006/picture">
                <pic:pic>
                  <pic:nvPicPr>
                    <pic:cNvPr id="90" name="image49.png"/>
                    <pic:cNvPicPr/>
                  </pic:nvPicPr>
                  <pic:blipFill>
                    <a:blip r:embed="rId71" cstate="print"/>
                    <a:stretch>
                      <a:fillRect/>
                    </a:stretch>
                  </pic:blipFill>
                  <pic:spPr>
                    <a:xfrm>
                      <a:off x="0" y="0"/>
                      <a:ext cx="5984749" cy="7673340"/>
                    </a:xfrm>
                    <a:prstGeom prst="rect">
                      <a:avLst/>
                    </a:prstGeom>
                  </pic:spPr>
                </pic:pic>
              </a:graphicData>
            </a:graphic>
          </wp:inline>
        </w:drawing>
      </w:r>
      <w:r>
        <w:rPr>
          <w:sz w:val="20"/>
        </w:rPr>
      </w:r>
    </w:p>
    <w:p>
      <w:pPr>
        <w:spacing w:after="0"/>
        <w:rPr>
          <w:sz w:val="20"/>
        </w:rPr>
        <w:sectPr>
          <w:footerReference w:type="default" r:id="rId70"/>
          <w:pgSz w:w="12240" w:h="15840"/>
          <w:pgMar w:footer="1591" w:header="0" w:top="1500" w:bottom="1780" w:left="1720" w:right="800"/>
          <w:pgNumType w:start="64"/>
        </w:sectPr>
      </w:pPr>
    </w:p>
    <w:p>
      <w:pPr>
        <w:pStyle w:val="BodyText"/>
        <w:spacing w:before="11"/>
        <w:rPr>
          <w:sz w:val="26"/>
        </w:rPr>
      </w:pPr>
    </w:p>
    <w:p>
      <w:pPr>
        <w:pStyle w:val="BodyText"/>
        <w:ind w:left="152"/>
        <w:rPr>
          <w:sz w:val="20"/>
        </w:rPr>
      </w:pPr>
      <w:r>
        <w:rPr>
          <w:sz w:val="20"/>
        </w:rPr>
        <w:drawing>
          <wp:inline distT="0" distB="0" distL="0" distR="0">
            <wp:extent cx="6008205" cy="7570946"/>
            <wp:effectExtent l="0" t="0" r="0" b="0"/>
            <wp:docPr id="91" name="image50.png" descr=""/>
            <wp:cNvGraphicFramePr>
              <a:graphicFrameLocks noChangeAspect="1"/>
            </wp:cNvGraphicFramePr>
            <a:graphic>
              <a:graphicData uri="http://schemas.openxmlformats.org/drawingml/2006/picture">
                <pic:pic>
                  <pic:nvPicPr>
                    <pic:cNvPr id="92" name="image50.png"/>
                    <pic:cNvPicPr/>
                  </pic:nvPicPr>
                  <pic:blipFill>
                    <a:blip r:embed="rId72" cstate="print"/>
                    <a:stretch>
                      <a:fillRect/>
                    </a:stretch>
                  </pic:blipFill>
                  <pic:spPr>
                    <a:xfrm>
                      <a:off x="0" y="0"/>
                      <a:ext cx="6008205" cy="7570946"/>
                    </a:xfrm>
                    <a:prstGeom prst="rect">
                      <a:avLst/>
                    </a:prstGeom>
                  </pic:spPr>
                </pic:pic>
              </a:graphicData>
            </a:graphic>
          </wp:inline>
        </w:drawing>
      </w:r>
      <w:r>
        <w:rPr>
          <w:sz w:val="20"/>
        </w:rPr>
      </w:r>
    </w:p>
    <w:p>
      <w:pPr>
        <w:spacing w:after="0"/>
        <w:rPr>
          <w:sz w:val="20"/>
        </w:rPr>
        <w:sectPr>
          <w:pgSz w:w="12240" w:h="15840"/>
          <w:pgMar w:header="0" w:footer="1591" w:top="1500" w:bottom="1780" w:left="1720" w:right="760"/>
        </w:sectPr>
      </w:pPr>
    </w:p>
    <w:p>
      <w:pPr>
        <w:pStyle w:val="BodyText"/>
        <w:spacing w:before="11"/>
        <w:rPr>
          <w:sz w:val="26"/>
        </w:rPr>
      </w:pPr>
    </w:p>
    <w:p>
      <w:pPr>
        <w:pStyle w:val="BodyText"/>
        <w:ind w:left="152"/>
        <w:rPr>
          <w:sz w:val="20"/>
        </w:rPr>
      </w:pPr>
      <w:r>
        <w:rPr>
          <w:sz w:val="20"/>
        </w:rPr>
        <w:drawing>
          <wp:inline distT="0" distB="0" distL="0" distR="0">
            <wp:extent cx="6145915" cy="7572375"/>
            <wp:effectExtent l="0" t="0" r="0" b="0"/>
            <wp:docPr id="93" name="image51.png" descr=""/>
            <wp:cNvGraphicFramePr>
              <a:graphicFrameLocks noChangeAspect="1"/>
            </wp:cNvGraphicFramePr>
            <a:graphic>
              <a:graphicData uri="http://schemas.openxmlformats.org/drawingml/2006/picture">
                <pic:pic>
                  <pic:nvPicPr>
                    <pic:cNvPr id="94" name="image51.png"/>
                    <pic:cNvPicPr/>
                  </pic:nvPicPr>
                  <pic:blipFill>
                    <a:blip r:embed="rId73" cstate="print"/>
                    <a:stretch>
                      <a:fillRect/>
                    </a:stretch>
                  </pic:blipFill>
                  <pic:spPr>
                    <a:xfrm>
                      <a:off x="0" y="0"/>
                      <a:ext cx="6145915" cy="7572375"/>
                    </a:xfrm>
                    <a:prstGeom prst="rect">
                      <a:avLst/>
                    </a:prstGeom>
                  </pic:spPr>
                </pic:pic>
              </a:graphicData>
            </a:graphic>
          </wp:inline>
        </w:drawing>
      </w:r>
      <w:r>
        <w:rPr>
          <w:sz w:val="20"/>
        </w:rPr>
      </w:r>
    </w:p>
    <w:p>
      <w:pPr>
        <w:spacing w:after="0"/>
        <w:rPr>
          <w:sz w:val="20"/>
        </w:rPr>
        <w:sectPr>
          <w:pgSz w:w="12240" w:h="15840"/>
          <w:pgMar w:header="0" w:footer="1591" w:top="1500" w:bottom="1780" w:left="1720" w:right="540"/>
        </w:sectPr>
      </w:pPr>
    </w:p>
    <w:p>
      <w:pPr>
        <w:pStyle w:val="BodyText"/>
        <w:spacing w:before="11"/>
        <w:rPr>
          <w:sz w:val="26"/>
        </w:rPr>
      </w:pPr>
    </w:p>
    <w:p>
      <w:pPr>
        <w:pStyle w:val="BodyText"/>
        <w:ind w:left="152"/>
        <w:rPr>
          <w:sz w:val="20"/>
        </w:rPr>
      </w:pPr>
      <w:r>
        <w:rPr>
          <w:sz w:val="20"/>
        </w:rPr>
        <w:drawing>
          <wp:inline distT="0" distB="0" distL="0" distR="0">
            <wp:extent cx="6061525" cy="7674387"/>
            <wp:effectExtent l="0" t="0" r="0" b="0"/>
            <wp:docPr id="95" name="image52.png" descr=""/>
            <wp:cNvGraphicFramePr>
              <a:graphicFrameLocks noChangeAspect="1"/>
            </wp:cNvGraphicFramePr>
            <a:graphic>
              <a:graphicData uri="http://schemas.openxmlformats.org/drawingml/2006/picture">
                <pic:pic>
                  <pic:nvPicPr>
                    <pic:cNvPr id="96" name="image52.png"/>
                    <pic:cNvPicPr/>
                  </pic:nvPicPr>
                  <pic:blipFill>
                    <a:blip r:embed="rId74" cstate="print"/>
                    <a:stretch>
                      <a:fillRect/>
                    </a:stretch>
                  </pic:blipFill>
                  <pic:spPr>
                    <a:xfrm>
                      <a:off x="0" y="0"/>
                      <a:ext cx="6061525" cy="7674387"/>
                    </a:xfrm>
                    <a:prstGeom prst="rect">
                      <a:avLst/>
                    </a:prstGeom>
                  </pic:spPr>
                </pic:pic>
              </a:graphicData>
            </a:graphic>
          </wp:inline>
        </w:drawing>
      </w:r>
      <w:r>
        <w:rPr>
          <w:sz w:val="20"/>
        </w:rPr>
      </w:r>
    </w:p>
    <w:p>
      <w:pPr>
        <w:spacing w:after="0"/>
        <w:rPr>
          <w:sz w:val="20"/>
        </w:rPr>
        <w:sectPr>
          <w:pgSz w:w="12240" w:h="15840"/>
          <w:pgMar w:header="0" w:footer="1591" w:top="1500" w:bottom="1780" w:left="1720" w:right="680"/>
        </w:sectPr>
      </w:pPr>
    </w:p>
    <w:p>
      <w:pPr>
        <w:pStyle w:val="BodyText"/>
        <w:spacing w:before="11"/>
        <w:rPr>
          <w:sz w:val="26"/>
        </w:rPr>
      </w:pPr>
    </w:p>
    <w:p>
      <w:pPr>
        <w:pStyle w:val="BodyText"/>
        <w:ind w:left="152"/>
        <w:rPr>
          <w:sz w:val="20"/>
        </w:rPr>
      </w:pPr>
      <w:r>
        <w:rPr>
          <w:sz w:val="20"/>
        </w:rPr>
        <w:drawing>
          <wp:inline distT="0" distB="0" distL="0" distR="0">
            <wp:extent cx="6122292" cy="7674387"/>
            <wp:effectExtent l="0" t="0" r="0" b="0"/>
            <wp:docPr id="97" name="image53.png" descr=""/>
            <wp:cNvGraphicFramePr>
              <a:graphicFrameLocks noChangeAspect="1"/>
            </wp:cNvGraphicFramePr>
            <a:graphic>
              <a:graphicData uri="http://schemas.openxmlformats.org/drawingml/2006/picture">
                <pic:pic>
                  <pic:nvPicPr>
                    <pic:cNvPr id="98" name="image53.png"/>
                    <pic:cNvPicPr/>
                  </pic:nvPicPr>
                  <pic:blipFill>
                    <a:blip r:embed="rId75" cstate="print"/>
                    <a:stretch>
                      <a:fillRect/>
                    </a:stretch>
                  </pic:blipFill>
                  <pic:spPr>
                    <a:xfrm>
                      <a:off x="0" y="0"/>
                      <a:ext cx="6122292" cy="7674387"/>
                    </a:xfrm>
                    <a:prstGeom prst="rect">
                      <a:avLst/>
                    </a:prstGeom>
                  </pic:spPr>
                </pic:pic>
              </a:graphicData>
            </a:graphic>
          </wp:inline>
        </w:drawing>
      </w:r>
      <w:r>
        <w:rPr>
          <w:sz w:val="20"/>
        </w:rPr>
      </w:r>
    </w:p>
    <w:p>
      <w:pPr>
        <w:spacing w:after="0"/>
        <w:rPr>
          <w:sz w:val="20"/>
        </w:rPr>
        <w:sectPr>
          <w:pgSz w:w="12240" w:h="15840"/>
          <w:pgMar w:header="0" w:footer="1591" w:top="1500" w:bottom="1780" w:left="1720" w:right="580"/>
        </w:sectPr>
      </w:pPr>
    </w:p>
    <w:p>
      <w:pPr>
        <w:pStyle w:val="BodyText"/>
        <w:spacing w:before="11"/>
        <w:rPr>
          <w:sz w:val="26"/>
        </w:rPr>
      </w:pPr>
    </w:p>
    <w:p>
      <w:pPr>
        <w:pStyle w:val="BodyText"/>
        <w:ind w:left="152"/>
        <w:rPr>
          <w:sz w:val="20"/>
        </w:rPr>
      </w:pPr>
      <w:r>
        <w:rPr>
          <w:sz w:val="20"/>
        </w:rPr>
        <w:drawing>
          <wp:inline distT="0" distB="0" distL="0" distR="0">
            <wp:extent cx="6004867" cy="7640955"/>
            <wp:effectExtent l="0" t="0" r="0" b="0"/>
            <wp:docPr id="99" name="image54.png" descr=""/>
            <wp:cNvGraphicFramePr>
              <a:graphicFrameLocks noChangeAspect="1"/>
            </wp:cNvGraphicFramePr>
            <a:graphic>
              <a:graphicData uri="http://schemas.openxmlformats.org/drawingml/2006/picture">
                <pic:pic>
                  <pic:nvPicPr>
                    <pic:cNvPr id="100" name="image54.png"/>
                    <pic:cNvPicPr/>
                  </pic:nvPicPr>
                  <pic:blipFill>
                    <a:blip r:embed="rId76" cstate="print"/>
                    <a:stretch>
                      <a:fillRect/>
                    </a:stretch>
                  </pic:blipFill>
                  <pic:spPr>
                    <a:xfrm>
                      <a:off x="0" y="0"/>
                      <a:ext cx="6004867" cy="7640955"/>
                    </a:xfrm>
                    <a:prstGeom prst="rect">
                      <a:avLst/>
                    </a:prstGeom>
                  </pic:spPr>
                </pic:pic>
              </a:graphicData>
            </a:graphic>
          </wp:inline>
        </w:drawing>
      </w:r>
      <w:r>
        <w:rPr>
          <w:sz w:val="20"/>
        </w:rPr>
      </w:r>
    </w:p>
    <w:p>
      <w:pPr>
        <w:spacing w:after="0"/>
        <w:rPr>
          <w:sz w:val="20"/>
        </w:rPr>
        <w:sectPr>
          <w:pgSz w:w="12240" w:h="15840"/>
          <w:pgMar w:header="0" w:footer="1591" w:top="1500" w:bottom="1780" w:left="1720" w:right="740"/>
        </w:sectPr>
      </w:pPr>
    </w:p>
    <w:p>
      <w:pPr>
        <w:pStyle w:val="BodyText"/>
        <w:spacing w:before="11"/>
        <w:rPr>
          <w:sz w:val="26"/>
        </w:rPr>
      </w:pPr>
    </w:p>
    <w:p>
      <w:pPr>
        <w:pStyle w:val="BodyText"/>
        <w:ind w:left="152"/>
        <w:rPr>
          <w:sz w:val="20"/>
        </w:rPr>
      </w:pPr>
      <w:r>
        <w:rPr>
          <w:sz w:val="20"/>
        </w:rPr>
        <w:drawing>
          <wp:inline distT="0" distB="0" distL="0" distR="0">
            <wp:extent cx="6107101" cy="7674387"/>
            <wp:effectExtent l="0" t="0" r="0" b="0"/>
            <wp:docPr id="101" name="image55.png" descr=""/>
            <wp:cNvGraphicFramePr>
              <a:graphicFrameLocks noChangeAspect="1"/>
            </wp:cNvGraphicFramePr>
            <a:graphic>
              <a:graphicData uri="http://schemas.openxmlformats.org/drawingml/2006/picture">
                <pic:pic>
                  <pic:nvPicPr>
                    <pic:cNvPr id="102" name="image55.png"/>
                    <pic:cNvPicPr/>
                  </pic:nvPicPr>
                  <pic:blipFill>
                    <a:blip r:embed="rId78" cstate="print"/>
                    <a:stretch>
                      <a:fillRect/>
                    </a:stretch>
                  </pic:blipFill>
                  <pic:spPr>
                    <a:xfrm>
                      <a:off x="0" y="0"/>
                      <a:ext cx="6107101" cy="7674387"/>
                    </a:xfrm>
                    <a:prstGeom prst="rect">
                      <a:avLst/>
                    </a:prstGeom>
                  </pic:spPr>
                </pic:pic>
              </a:graphicData>
            </a:graphic>
          </wp:inline>
        </w:drawing>
      </w:r>
      <w:r>
        <w:rPr>
          <w:sz w:val="20"/>
        </w:rPr>
      </w:r>
    </w:p>
    <w:p>
      <w:pPr>
        <w:spacing w:after="0"/>
        <w:rPr>
          <w:sz w:val="20"/>
        </w:rPr>
        <w:sectPr>
          <w:footerReference w:type="default" r:id="rId77"/>
          <w:pgSz w:w="12240" w:h="15840"/>
          <w:pgMar w:footer="1591" w:header="0" w:top="1500" w:bottom="1780" w:left="1720" w:right="620"/>
        </w:sectPr>
      </w:pPr>
    </w:p>
    <w:p>
      <w:pPr>
        <w:pStyle w:val="BodyText"/>
        <w:spacing w:before="11"/>
        <w:rPr>
          <w:sz w:val="26"/>
        </w:rPr>
      </w:pPr>
    </w:p>
    <w:p>
      <w:pPr>
        <w:pStyle w:val="BodyText"/>
        <w:ind w:left="152"/>
        <w:rPr>
          <w:sz w:val="20"/>
        </w:rPr>
      </w:pPr>
      <w:r>
        <w:rPr>
          <w:sz w:val="20"/>
        </w:rPr>
        <w:drawing>
          <wp:inline distT="0" distB="0" distL="0" distR="0">
            <wp:extent cx="6006514" cy="7643050"/>
            <wp:effectExtent l="0" t="0" r="0" b="0"/>
            <wp:docPr id="103" name="image56.png" descr=""/>
            <wp:cNvGraphicFramePr>
              <a:graphicFrameLocks noChangeAspect="1"/>
            </wp:cNvGraphicFramePr>
            <a:graphic>
              <a:graphicData uri="http://schemas.openxmlformats.org/drawingml/2006/picture">
                <pic:pic>
                  <pic:nvPicPr>
                    <pic:cNvPr id="104" name="image56.png"/>
                    <pic:cNvPicPr/>
                  </pic:nvPicPr>
                  <pic:blipFill>
                    <a:blip r:embed="rId80" cstate="print"/>
                    <a:stretch>
                      <a:fillRect/>
                    </a:stretch>
                  </pic:blipFill>
                  <pic:spPr>
                    <a:xfrm>
                      <a:off x="0" y="0"/>
                      <a:ext cx="6006514" cy="7643050"/>
                    </a:xfrm>
                    <a:prstGeom prst="rect">
                      <a:avLst/>
                    </a:prstGeom>
                  </pic:spPr>
                </pic:pic>
              </a:graphicData>
            </a:graphic>
          </wp:inline>
        </w:drawing>
      </w:r>
      <w:r>
        <w:rPr>
          <w:sz w:val="20"/>
        </w:rPr>
      </w:r>
    </w:p>
    <w:p>
      <w:pPr>
        <w:spacing w:after="0"/>
        <w:rPr>
          <w:sz w:val="20"/>
        </w:rPr>
        <w:sectPr>
          <w:footerReference w:type="default" r:id="rId79"/>
          <w:pgSz w:w="12240" w:h="15840"/>
          <w:pgMar w:footer="1591" w:header="0" w:top="1500" w:bottom="1780" w:left="1720" w:right="740"/>
          <w:pgNumType w:start="71"/>
        </w:sectPr>
      </w:pPr>
    </w:p>
    <w:p>
      <w:pPr>
        <w:pStyle w:val="BodyText"/>
        <w:spacing w:before="11"/>
        <w:rPr>
          <w:sz w:val="26"/>
        </w:rPr>
      </w:pPr>
    </w:p>
    <w:p>
      <w:pPr>
        <w:pStyle w:val="BodyText"/>
        <w:ind w:left="152"/>
        <w:rPr>
          <w:sz w:val="20"/>
        </w:rPr>
      </w:pPr>
      <w:r>
        <w:rPr>
          <w:sz w:val="20"/>
        </w:rPr>
        <w:drawing>
          <wp:inline distT="0" distB="0" distL="0" distR="0">
            <wp:extent cx="6100141" cy="7590948"/>
            <wp:effectExtent l="0" t="0" r="0" b="0"/>
            <wp:docPr id="105" name="image57.png" descr=""/>
            <wp:cNvGraphicFramePr>
              <a:graphicFrameLocks noChangeAspect="1"/>
            </wp:cNvGraphicFramePr>
            <a:graphic>
              <a:graphicData uri="http://schemas.openxmlformats.org/drawingml/2006/picture">
                <pic:pic>
                  <pic:nvPicPr>
                    <pic:cNvPr id="106" name="image57.png"/>
                    <pic:cNvPicPr/>
                  </pic:nvPicPr>
                  <pic:blipFill>
                    <a:blip r:embed="rId81" cstate="print"/>
                    <a:stretch>
                      <a:fillRect/>
                    </a:stretch>
                  </pic:blipFill>
                  <pic:spPr>
                    <a:xfrm>
                      <a:off x="0" y="0"/>
                      <a:ext cx="6100141" cy="7590948"/>
                    </a:xfrm>
                    <a:prstGeom prst="rect">
                      <a:avLst/>
                    </a:prstGeom>
                  </pic:spPr>
                </pic:pic>
              </a:graphicData>
            </a:graphic>
          </wp:inline>
        </w:drawing>
      </w:r>
      <w:r>
        <w:rPr>
          <w:sz w:val="20"/>
        </w:rPr>
      </w:r>
    </w:p>
    <w:p>
      <w:pPr>
        <w:spacing w:after="0"/>
        <w:rPr>
          <w:sz w:val="20"/>
        </w:rPr>
        <w:sectPr>
          <w:pgSz w:w="12240" w:h="15840"/>
          <w:pgMar w:header="0" w:footer="1591" w:top="1500" w:bottom="1780" w:left="1720" w:right="640"/>
        </w:sectPr>
      </w:pPr>
    </w:p>
    <w:p>
      <w:pPr>
        <w:pStyle w:val="BodyText"/>
        <w:spacing w:before="3"/>
        <w:rPr>
          <w:sz w:val="27"/>
        </w:rPr>
      </w:pPr>
    </w:p>
    <w:p>
      <w:pPr>
        <w:pStyle w:val="BodyText"/>
        <w:ind w:left="152"/>
        <w:rPr>
          <w:sz w:val="20"/>
        </w:rPr>
      </w:pPr>
      <w:r>
        <w:rPr>
          <w:sz w:val="20"/>
        </w:rPr>
        <w:drawing>
          <wp:inline distT="0" distB="0" distL="0" distR="0">
            <wp:extent cx="6072116" cy="7694771"/>
            <wp:effectExtent l="0" t="0" r="0" b="0"/>
            <wp:docPr id="107" name="image58.png" descr=""/>
            <wp:cNvGraphicFramePr>
              <a:graphicFrameLocks noChangeAspect="1"/>
            </wp:cNvGraphicFramePr>
            <a:graphic>
              <a:graphicData uri="http://schemas.openxmlformats.org/drawingml/2006/picture">
                <pic:pic>
                  <pic:nvPicPr>
                    <pic:cNvPr id="108" name="image58.png"/>
                    <pic:cNvPicPr/>
                  </pic:nvPicPr>
                  <pic:blipFill>
                    <a:blip r:embed="rId82" cstate="print"/>
                    <a:stretch>
                      <a:fillRect/>
                    </a:stretch>
                  </pic:blipFill>
                  <pic:spPr>
                    <a:xfrm>
                      <a:off x="0" y="0"/>
                      <a:ext cx="6072116" cy="7694771"/>
                    </a:xfrm>
                    <a:prstGeom prst="rect">
                      <a:avLst/>
                    </a:prstGeom>
                  </pic:spPr>
                </pic:pic>
              </a:graphicData>
            </a:graphic>
          </wp:inline>
        </w:drawing>
      </w:r>
      <w:r>
        <w:rPr>
          <w:sz w:val="20"/>
        </w:rPr>
      </w:r>
    </w:p>
    <w:p>
      <w:pPr>
        <w:spacing w:after="0"/>
        <w:rPr>
          <w:sz w:val="20"/>
        </w:rPr>
        <w:sectPr>
          <w:pgSz w:w="12240" w:h="15840"/>
          <w:pgMar w:header="0" w:footer="1591" w:top="1500" w:bottom="1780" w:left="1720" w:right="680"/>
        </w:sectPr>
      </w:pPr>
    </w:p>
    <w:p>
      <w:pPr>
        <w:pStyle w:val="BodyText"/>
        <w:spacing w:before="3"/>
        <w:rPr>
          <w:sz w:val="27"/>
        </w:rPr>
      </w:pPr>
    </w:p>
    <w:p>
      <w:pPr>
        <w:pStyle w:val="BodyText"/>
        <w:ind w:left="152"/>
        <w:rPr>
          <w:sz w:val="20"/>
        </w:rPr>
      </w:pPr>
      <w:r>
        <w:rPr>
          <w:sz w:val="20"/>
        </w:rPr>
        <w:drawing>
          <wp:inline distT="0" distB="0" distL="0" distR="0">
            <wp:extent cx="6024852" cy="7673340"/>
            <wp:effectExtent l="0" t="0" r="0" b="0"/>
            <wp:docPr id="109" name="image59.png" descr=""/>
            <wp:cNvGraphicFramePr>
              <a:graphicFrameLocks noChangeAspect="1"/>
            </wp:cNvGraphicFramePr>
            <a:graphic>
              <a:graphicData uri="http://schemas.openxmlformats.org/drawingml/2006/picture">
                <pic:pic>
                  <pic:nvPicPr>
                    <pic:cNvPr id="110" name="image59.png"/>
                    <pic:cNvPicPr/>
                  </pic:nvPicPr>
                  <pic:blipFill>
                    <a:blip r:embed="rId83" cstate="print"/>
                    <a:stretch>
                      <a:fillRect/>
                    </a:stretch>
                  </pic:blipFill>
                  <pic:spPr>
                    <a:xfrm>
                      <a:off x="0" y="0"/>
                      <a:ext cx="6024852" cy="7673340"/>
                    </a:xfrm>
                    <a:prstGeom prst="rect">
                      <a:avLst/>
                    </a:prstGeom>
                  </pic:spPr>
                </pic:pic>
              </a:graphicData>
            </a:graphic>
          </wp:inline>
        </w:drawing>
      </w:r>
      <w:r>
        <w:rPr>
          <w:sz w:val="20"/>
        </w:rPr>
      </w:r>
    </w:p>
    <w:p>
      <w:pPr>
        <w:spacing w:after="0"/>
        <w:rPr>
          <w:sz w:val="20"/>
        </w:rPr>
        <w:sectPr>
          <w:pgSz w:w="12240" w:h="15840"/>
          <w:pgMar w:header="0" w:footer="1591" w:top="1500" w:bottom="1780" w:left="1720" w:right="740"/>
        </w:sectPr>
      </w:pPr>
    </w:p>
    <w:p>
      <w:pPr>
        <w:pStyle w:val="BodyText"/>
        <w:spacing w:before="3"/>
        <w:rPr>
          <w:sz w:val="27"/>
        </w:rPr>
      </w:pPr>
    </w:p>
    <w:p>
      <w:pPr>
        <w:pStyle w:val="BodyText"/>
        <w:ind w:left="152"/>
        <w:rPr>
          <w:sz w:val="20"/>
        </w:rPr>
      </w:pPr>
      <w:r>
        <w:rPr>
          <w:sz w:val="20"/>
        </w:rPr>
        <w:drawing>
          <wp:inline distT="0" distB="0" distL="0" distR="0">
            <wp:extent cx="6016186" cy="7643050"/>
            <wp:effectExtent l="0" t="0" r="0" b="0"/>
            <wp:docPr id="111" name="image60.png" descr=""/>
            <wp:cNvGraphicFramePr>
              <a:graphicFrameLocks noChangeAspect="1"/>
            </wp:cNvGraphicFramePr>
            <a:graphic>
              <a:graphicData uri="http://schemas.openxmlformats.org/drawingml/2006/picture">
                <pic:pic>
                  <pic:nvPicPr>
                    <pic:cNvPr id="112" name="image60.png"/>
                    <pic:cNvPicPr/>
                  </pic:nvPicPr>
                  <pic:blipFill>
                    <a:blip r:embed="rId84" cstate="print"/>
                    <a:stretch>
                      <a:fillRect/>
                    </a:stretch>
                  </pic:blipFill>
                  <pic:spPr>
                    <a:xfrm>
                      <a:off x="0" y="0"/>
                      <a:ext cx="6016186" cy="7643050"/>
                    </a:xfrm>
                    <a:prstGeom prst="rect">
                      <a:avLst/>
                    </a:prstGeom>
                  </pic:spPr>
                </pic:pic>
              </a:graphicData>
            </a:graphic>
          </wp:inline>
        </w:drawing>
      </w:r>
      <w:r>
        <w:rPr>
          <w:sz w:val="20"/>
        </w:rPr>
      </w:r>
    </w:p>
    <w:p>
      <w:pPr>
        <w:spacing w:after="0"/>
        <w:rPr>
          <w:sz w:val="20"/>
        </w:rPr>
        <w:sectPr>
          <w:pgSz w:w="12240" w:h="15840"/>
          <w:pgMar w:header="0" w:footer="1591" w:top="1500" w:bottom="1780" w:left="1720" w:right="700"/>
        </w:sectPr>
      </w:pPr>
    </w:p>
    <w:p>
      <w:pPr>
        <w:pStyle w:val="BodyText"/>
        <w:spacing w:before="11"/>
        <w:rPr>
          <w:sz w:val="26"/>
        </w:rPr>
      </w:pPr>
    </w:p>
    <w:p>
      <w:pPr>
        <w:pStyle w:val="BodyText"/>
        <w:ind w:left="152"/>
        <w:rPr>
          <w:sz w:val="20"/>
        </w:rPr>
      </w:pPr>
      <w:r>
        <w:rPr>
          <w:sz w:val="20"/>
        </w:rPr>
        <w:drawing>
          <wp:inline distT="0" distB="0" distL="0" distR="0">
            <wp:extent cx="6061320" cy="7622857"/>
            <wp:effectExtent l="0" t="0" r="0" b="0"/>
            <wp:docPr id="113" name="image61.png" descr=""/>
            <wp:cNvGraphicFramePr>
              <a:graphicFrameLocks noChangeAspect="1"/>
            </wp:cNvGraphicFramePr>
            <a:graphic>
              <a:graphicData uri="http://schemas.openxmlformats.org/drawingml/2006/picture">
                <pic:pic>
                  <pic:nvPicPr>
                    <pic:cNvPr id="114" name="image61.png"/>
                    <pic:cNvPicPr/>
                  </pic:nvPicPr>
                  <pic:blipFill>
                    <a:blip r:embed="rId85" cstate="print"/>
                    <a:stretch>
                      <a:fillRect/>
                    </a:stretch>
                  </pic:blipFill>
                  <pic:spPr>
                    <a:xfrm>
                      <a:off x="0" y="0"/>
                      <a:ext cx="6061320" cy="7622857"/>
                    </a:xfrm>
                    <a:prstGeom prst="rect">
                      <a:avLst/>
                    </a:prstGeom>
                  </pic:spPr>
                </pic:pic>
              </a:graphicData>
            </a:graphic>
          </wp:inline>
        </w:drawing>
      </w:r>
      <w:r>
        <w:rPr>
          <w:sz w:val="20"/>
        </w:rPr>
      </w:r>
    </w:p>
    <w:p>
      <w:pPr>
        <w:spacing w:after="0"/>
        <w:rPr>
          <w:sz w:val="20"/>
        </w:rPr>
        <w:sectPr>
          <w:pgSz w:w="12240" w:h="15840"/>
          <w:pgMar w:header="0" w:footer="1591" w:top="1500" w:bottom="1780" w:left="1720" w:right="680"/>
        </w:sectPr>
      </w:pPr>
    </w:p>
    <w:p>
      <w:pPr>
        <w:pStyle w:val="BodyText"/>
        <w:spacing w:before="11"/>
        <w:rPr>
          <w:sz w:val="26"/>
        </w:rPr>
      </w:pPr>
    </w:p>
    <w:p>
      <w:pPr>
        <w:pStyle w:val="BodyText"/>
        <w:ind w:left="152"/>
        <w:rPr>
          <w:sz w:val="20"/>
        </w:rPr>
      </w:pPr>
      <w:r>
        <w:rPr>
          <w:sz w:val="20"/>
        </w:rPr>
        <w:drawing>
          <wp:inline distT="0" distB="0" distL="0" distR="0">
            <wp:extent cx="6027995" cy="7580947"/>
            <wp:effectExtent l="0" t="0" r="0" b="0"/>
            <wp:docPr id="115" name="image62.png" descr=""/>
            <wp:cNvGraphicFramePr>
              <a:graphicFrameLocks noChangeAspect="1"/>
            </wp:cNvGraphicFramePr>
            <a:graphic>
              <a:graphicData uri="http://schemas.openxmlformats.org/drawingml/2006/picture">
                <pic:pic>
                  <pic:nvPicPr>
                    <pic:cNvPr id="116" name="image62.png"/>
                    <pic:cNvPicPr/>
                  </pic:nvPicPr>
                  <pic:blipFill>
                    <a:blip r:embed="rId86" cstate="print"/>
                    <a:stretch>
                      <a:fillRect/>
                    </a:stretch>
                  </pic:blipFill>
                  <pic:spPr>
                    <a:xfrm>
                      <a:off x="0" y="0"/>
                      <a:ext cx="6027995" cy="7580947"/>
                    </a:xfrm>
                    <a:prstGeom prst="rect">
                      <a:avLst/>
                    </a:prstGeom>
                  </pic:spPr>
                </pic:pic>
              </a:graphicData>
            </a:graphic>
          </wp:inline>
        </w:drawing>
      </w:r>
      <w:r>
        <w:rPr>
          <w:sz w:val="20"/>
        </w:rPr>
      </w:r>
    </w:p>
    <w:p>
      <w:pPr>
        <w:spacing w:after="0"/>
        <w:rPr>
          <w:sz w:val="20"/>
        </w:rPr>
        <w:sectPr>
          <w:pgSz w:w="12240" w:h="15840"/>
          <w:pgMar w:header="0" w:footer="1591" w:top="1500" w:bottom="1780" w:left="1720" w:right="680"/>
        </w:sectPr>
      </w:pPr>
    </w:p>
    <w:p>
      <w:pPr>
        <w:pStyle w:val="BodyText"/>
        <w:spacing w:before="3"/>
        <w:rPr>
          <w:sz w:val="27"/>
        </w:rPr>
      </w:pPr>
    </w:p>
    <w:p>
      <w:pPr>
        <w:pStyle w:val="BodyText"/>
        <w:ind w:left="152"/>
        <w:rPr>
          <w:sz w:val="20"/>
        </w:rPr>
      </w:pPr>
      <w:r>
        <w:rPr>
          <w:sz w:val="20"/>
        </w:rPr>
        <w:drawing>
          <wp:inline distT="0" distB="0" distL="0" distR="0">
            <wp:extent cx="6048619" cy="7528559"/>
            <wp:effectExtent l="0" t="0" r="0" b="0"/>
            <wp:docPr id="117" name="image63.png" descr=""/>
            <wp:cNvGraphicFramePr>
              <a:graphicFrameLocks noChangeAspect="1"/>
            </wp:cNvGraphicFramePr>
            <a:graphic>
              <a:graphicData uri="http://schemas.openxmlformats.org/drawingml/2006/picture">
                <pic:pic>
                  <pic:nvPicPr>
                    <pic:cNvPr id="118" name="image63.png"/>
                    <pic:cNvPicPr/>
                  </pic:nvPicPr>
                  <pic:blipFill>
                    <a:blip r:embed="rId87" cstate="print"/>
                    <a:stretch>
                      <a:fillRect/>
                    </a:stretch>
                  </pic:blipFill>
                  <pic:spPr>
                    <a:xfrm>
                      <a:off x="0" y="0"/>
                      <a:ext cx="6048619" cy="7528559"/>
                    </a:xfrm>
                    <a:prstGeom prst="rect">
                      <a:avLst/>
                    </a:prstGeom>
                  </pic:spPr>
                </pic:pic>
              </a:graphicData>
            </a:graphic>
          </wp:inline>
        </w:drawing>
      </w:r>
      <w:r>
        <w:rPr>
          <w:sz w:val="20"/>
        </w:rPr>
      </w:r>
    </w:p>
    <w:p>
      <w:pPr>
        <w:spacing w:after="0"/>
        <w:rPr>
          <w:sz w:val="20"/>
        </w:rPr>
        <w:sectPr>
          <w:pgSz w:w="12240" w:h="15840"/>
          <w:pgMar w:header="0" w:footer="1591" w:top="1500" w:bottom="1780" w:left="1720" w:right="680"/>
        </w:sectPr>
      </w:pPr>
    </w:p>
    <w:p>
      <w:pPr>
        <w:pStyle w:val="BodyText"/>
        <w:spacing w:before="8"/>
        <w:rPr>
          <w:sz w:val="21"/>
        </w:rPr>
      </w:pPr>
    </w:p>
    <w:p>
      <w:pPr>
        <w:pStyle w:val="Heading1"/>
        <w:ind w:right="145"/>
      </w:pPr>
      <w:bookmarkStart w:name="_bookmark81" w:id="130"/>
      <w:bookmarkEnd w:id="130"/>
      <w:r>
        <w:rPr>
          <w:b w:val="0"/>
        </w:rPr>
      </w:r>
      <w:r>
        <w:rPr/>
        <w:t>CAPITULO VIII</w:t>
      </w:r>
    </w:p>
    <w:p>
      <w:pPr>
        <w:pStyle w:val="BodyText"/>
        <w:rPr>
          <w:b/>
          <w:sz w:val="13"/>
        </w:rPr>
      </w:pPr>
      <w:r>
        <w:rPr/>
        <w:pict>
          <v:line style="position:absolute;mso-position-horizontal-relative:page;mso-position-vertical-relative:paragraph;z-index:1888;mso-wrap-distance-left:0;mso-wrap-distance-right:0" from="92.208pt,10.171667pt" to="537.098pt,10.171667pt" stroked="true" strokeweight="1.44pt" strokecolor="#000000">
            <w10:wrap type="topAndBottom"/>
          </v:line>
        </w:pict>
      </w:r>
    </w:p>
    <w:p>
      <w:pPr>
        <w:pStyle w:val="BodyText"/>
        <w:spacing w:before="5"/>
        <w:rPr>
          <w:b/>
          <w:sz w:val="2"/>
        </w:rPr>
      </w:pPr>
    </w:p>
    <w:p>
      <w:pPr>
        <w:pStyle w:val="BodyText"/>
        <w:spacing w:line="20" w:lineRule="exact"/>
        <w:ind w:left="116"/>
        <w:rPr>
          <w:sz w:val="2"/>
        </w:rPr>
      </w:pPr>
      <w:r>
        <w:rPr>
          <w:sz w:val="2"/>
        </w:rPr>
        <w:pict>
          <v:group style="width:445.65pt;height:.75pt;mso-position-horizontal-relative:char;mso-position-vertical-relative:line" coordorigin="0,0" coordsize="8913,15">
            <v:line style="position:absolute" from="8,8" to="8905,8" stroked="true" strokeweight=".72pt" strokecolor="#000000"/>
          </v:group>
        </w:pict>
      </w:r>
      <w:r>
        <w:rPr>
          <w:sz w:val="2"/>
        </w:rPr>
      </w:r>
    </w:p>
    <w:p>
      <w:pPr>
        <w:pStyle w:val="BodyText"/>
        <w:spacing w:before="2"/>
        <w:rPr>
          <w:b/>
          <w:sz w:val="29"/>
        </w:rPr>
      </w:pPr>
    </w:p>
    <w:p>
      <w:pPr>
        <w:pStyle w:val="Heading2"/>
        <w:numPr>
          <w:ilvl w:val="0"/>
          <w:numId w:val="2"/>
        </w:numPr>
        <w:tabs>
          <w:tab w:pos="398" w:val="left" w:leader="none"/>
        </w:tabs>
        <w:spacing w:line="240" w:lineRule="auto" w:before="69" w:after="0"/>
        <w:ind w:left="397" w:right="0" w:hanging="245"/>
        <w:jc w:val="left"/>
      </w:pPr>
      <w:bookmarkStart w:name="_bookmark82" w:id="131"/>
      <w:bookmarkEnd w:id="131"/>
      <w:r>
        <w:rPr>
          <w:b w:val="0"/>
        </w:rPr>
      </w:r>
      <w:bookmarkStart w:name="_bookmark82" w:id="132"/>
      <w:bookmarkEnd w:id="132"/>
      <w:r>
        <w:rPr/>
        <w:t>Di</w:t>
      </w:r>
      <w:r>
        <w:rPr/>
        <w:t>scusión</w:t>
      </w:r>
    </w:p>
    <w:p>
      <w:pPr>
        <w:pStyle w:val="BodyText"/>
        <w:rPr>
          <w:b/>
        </w:rPr>
      </w:pPr>
    </w:p>
    <w:p>
      <w:pPr>
        <w:pStyle w:val="BodyText"/>
        <w:spacing w:before="9"/>
        <w:rPr>
          <w:b/>
          <w:sz w:val="23"/>
        </w:rPr>
      </w:pPr>
    </w:p>
    <w:p>
      <w:pPr>
        <w:pStyle w:val="Heading2"/>
        <w:numPr>
          <w:ilvl w:val="1"/>
          <w:numId w:val="2"/>
        </w:numPr>
        <w:tabs>
          <w:tab w:pos="518" w:val="left" w:leader="none"/>
        </w:tabs>
        <w:spacing w:line="240" w:lineRule="auto" w:before="0" w:after="0"/>
        <w:ind w:left="517" w:right="0" w:hanging="365"/>
        <w:jc w:val="left"/>
      </w:pPr>
      <w:bookmarkStart w:name="_bookmark83" w:id="133"/>
      <w:bookmarkEnd w:id="133"/>
      <w:r>
        <w:rPr>
          <w:b w:val="0"/>
        </w:rPr>
      </w:r>
      <w:bookmarkStart w:name="_bookmark83" w:id="134"/>
      <w:bookmarkEnd w:id="134"/>
      <w:r>
        <w:rPr/>
        <w:t>E</w:t>
      </w:r>
      <w:r>
        <w:rPr/>
        <w:t>fectos</w:t>
      </w:r>
      <w:r>
        <w:rPr>
          <w:spacing w:val="-17"/>
        </w:rPr>
        <w:t> </w:t>
      </w:r>
      <w:r>
        <w:rPr/>
        <w:t>cardiovasculares</w:t>
      </w:r>
    </w:p>
    <w:p>
      <w:pPr>
        <w:pStyle w:val="BodyText"/>
        <w:rPr>
          <w:b/>
        </w:rPr>
      </w:pPr>
    </w:p>
    <w:p>
      <w:pPr>
        <w:pStyle w:val="BodyText"/>
        <w:spacing w:before="9"/>
        <w:rPr>
          <w:b/>
          <w:sz w:val="23"/>
        </w:rPr>
      </w:pPr>
    </w:p>
    <w:p>
      <w:pPr>
        <w:pStyle w:val="BodyText"/>
        <w:spacing w:line="360" w:lineRule="auto"/>
        <w:ind w:left="152" w:right="144" w:firstLine="710"/>
        <w:jc w:val="both"/>
      </w:pPr>
      <w:r>
        <w:rPr/>
        <w:t>Los resultados del presente estudio concluyen que la administración de un bolo intravenoso de lidocaína y dexmedetomidina seguido de una infusión continua produce cambios importantes en la fisiología cardiovascular y en los parámetros hemodinámicos evaluados en los grupos DEX y LID-DEX, cuando se comparó con el grupo LID y el valor basal. En lo que respecta a la concentración alveolar mínima CAM en perros anestesiados con sevoflurano, se observó una disminución estadísticamente significativa en los grupos DEX y LID-DEX en comparación con el grupo LID y su valor basal. Lo cual difiere con la hipótesis planteada en el inicio del estudio.</w:t>
      </w:r>
    </w:p>
    <w:p>
      <w:pPr>
        <w:pStyle w:val="BodyText"/>
      </w:pPr>
    </w:p>
    <w:p>
      <w:pPr>
        <w:pStyle w:val="Heading2"/>
        <w:numPr>
          <w:ilvl w:val="1"/>
          <w:numId w:val="2"/>
        </w:numPr>
        <w:tabs>
          <w:tab w:pos="518" w:val="left" w:leader="none"/>
        </w:tabs>
        <w:spacing w:line="240" w:lineRule="auto" w:before="150" w:after="0"/>
        <w:ind w:left="517" w:right="0" w:hanging="365"/>
        <w:jc w:val="left"/>
      </w:pPr>
      <w:bookmarkStart w:name="_bookmark84" w:id="135"/>
      <w:bookmarkEnd w:id="135"/>
      <w:r>
        <w:rPr>
          <w:b w:val="0"/>
        </w:rPr>
      </w:r>
      <w:bookmarkStart w:name="_bookmark84" w:id="136"/>
      <w:bookmarkEnd w:id="136"/>
      <w:r>
        <w:rPr/>
        <w:t>Ga</w:t>
      </w:r>
      <w:r>
        <w:rPr/>
        <w:t>sto Cardiaco e Índice</w:t>
      </w:r>
      <w:r>
        <w:rPr>
          <w:spacing w:val="-20"/>
        </w:rPr>
        <w:t> </w:t>
      </w:r>
      <w:r>
        <w:rPr/>
        <w:t>Cardiaco</w:t>
      </w:r>
    </w:p>
    <w:p>
      <w:pPr>
        <w:pStyle w:val="BodyText"/>
        <w:rPr>
          <w:b/>
        </w:rPr>
      </w:pPr>
    </w:p>
    <w:p>
      <w:pPr>
        <w:pStyle w:val="BodyText"/>
        <w:spacing w:before="4"/>
        <w:rPr>
          <w:b/>
          <w:sz w:val="23"/>
        </w:rPr>
      </w:pPr>
    </w:p>
    <w:p>
      <w:pPr>
        <w:pStyle w:val="BodyText"/>
        <w:spacing w:line="360" w:lineRule="auto"/>
        <w:ind w:left="152" w:right="142" w:firstLine="710"/>
        <w:jc w:val="both"/>
      </w:pPr>
      <w:r>
        <w:rPr/>
        <w:t>El gasto cardiaco es un parámetro que se </w:t>
      </w:r>
      <w:r>
        <w:rPr>
          <w:spacing w:val="-3"/>
        </w:rPr>
        <w:t>modifica </w:t>
      </w:r>
      <w:r>
        <w:rPr/>
        <w:t>de manera importante tras </w:t>
      </w:r>
      <w:r>
        <w:rPr>
          <w:spacing w:val="-5"/>
        </w:rPr>
        <w:t>la </w:t>
      </w:r>
      <w:r>
        <w:rPr/>
        <w:t>utilización de fármacos como son los agonistas de los receptores α2-adrenergicos, </w:t>
      </w:r>
      <w:r>
        <w:rPr>
          <w:spacing w:val="-5"/>
        </w:rPr>
        <w:t>la </w:t>
      </w:r>
      <w:r>
        <w:rPr/>
        <w:t>cual se </w:t>
      </w:r>
      <w:r>
        <w:rPr>
          <w:spacing w:val="-3"/>
        </w:rPr>
        <w:t>reflejó </w:t>
      </w:r>
      <w:r>
        <w:rPr/>
        <w:t>por el aumento de </w:t>
      </w:r>
      <w:r>
        <w:rPr>
          <w:spacing w:val="-3"/>
        </w:rPr>
        <w:t>la </w:t>
      </w:r>
      <w:r>
        <w:rPr/>
        <w:t>PAPO, RVS y por </w:t>
      </w:r>
      <w:r>
        <w:rPr>
          <w:spacing w:val="-5"/>
        </w:rPr>
        <w:t>la </w:t>
      </w:r>
      <w:r>
        <w:rPr/>
        <w:t>posterior disminución fisiológica mediada por barorreceptores de </w:t>
      </w:r>
      <w:r>
        <w:rPr>
          <w:spacing w:val="-5"/>
        </w:rPr>
        <w:t>la </w:t>
      </w:r>
      <w:r>
        <w:rPr/>
        <w:t>frecuencia cardiaca, </w:t>
      </w:r>
      <w:r>
        <w:rPr>
          <w:spacing w:val="-5"/>
        </w:rPr>
        <w:t>la </w:t>
      </w:r>
      <w:r>
        <w:rPr/>
        <w:t>cual se perpetúa debido a una reducción  del tono simpático (Sinclair 2003; Lin </w:t>
      </w:r>
      <w:r>
        <w:rPr>
          <w:i/>
        </w:rPr>
        <w:t>et al</w:t>
      </w:r>
      <w:r>
        <w:rPr/>
        <w:t>. 2008), en el presente estudio el gasto cardiaco disminuyo de manera estadísticamente significativa en el grupo DEX en un 44% y en </w:t>
      </w:r>
      <w:r>
        <w:rPr>
          <w:spacing w:val="4"/>
        </w:rPr>
        <w:t>el </w:t>
      </w:r>
      <w:r>
        <w:rPr/>
        <w:t>grupo LID-DEX en un 40%, cuando </w:t>
      </w:r>
      <w:r>
        <w:rPr>
          <w:spacing w:val="-3"/>
        </w:rPr>
        <w:t>fue </w:t>
      </w:r>
      <w:r>
        <w:rPr/>
        <w:t>comparado con el grupo LID y valor basal, se observó </w:t>
      </w:r>
      <w:r>
        <w:rPr>
          <w:spacing w:val="-3"/>
        </w:rPr>
        <w:t>solo </w:t>
      </w:r>
      <w:r>
        <w:rPr/>
        <w:t>una diferencia del 6 % entre ambos grupos, esto es muy similar a </w:t>
      </w:r>
      <w:r>
        <w:rPr>
          <w:spacing w:val="-5"/>
        </w:rPr>
        <w:t>lo </w:t>
      </w:r>
      <w:r>
        <w:rPr/>
        <w:t>reportado por el trabajo de Lin y cols, (2008), cuando los perros fueron anestesiados con isoflurano con una dosis de carga de dexmedetomidina de 25µg/m</w:t>
      </w:r>
      <w:r>
        <w:rPr>
          <w:position w:val="9"/>
          <w:sz w:val="16"/>
        </w:rPr>
        <w:t>-2</w:t>
      </w:r>
      <w:r>
        <w:rPr/>
        <w:t>, </w:t>
      </w:r>
      <w:r>
        <w:rPr>
          <w:spacing w:val="-5"/>
        </w:rPr>
        <w:t>lo </w:t>
      </w:r>
      <w:r>
        <w:rPr/>
        <w:t>que equivale a 1.2 µg/Kg IV, para posteriormente iniciar una infusión continua a 1.2 µg/Kg/hr, en donde se observó  </w:t>
      </w:r>
      <w:r>
        <w:rPr>
          <w:spacing w:val="3"/>
        </w:rPr>
        <w:t> </w:t>
      </w:r>
      <w:r>
        <w:rPr/>
        <w:t>una</w:t>
      </w:r>
    </w:p>
    <w:p>
      <w:pPr>
        <w:spacing w:after="0" w:line="360" w:lineRule="auto"/>
        <w:jc w:val="both"/>
        <w:sectPr>
          <w:pgSz w:w="12240" w:h="15840"/>
          <w:pgMar w:header="0" w:footer="1591" w:top="1500" w:bottom="1780" w:left="1720" w:right="1380"/>
        </w:sectPr>
      </w:pPr>
    </w:p>
    <w:p>
      <w:pPr>
        <w:pStyle w:val="BodyText"/>
        <w:spacing w:before="7"/>
        <w:rPr>
          <w:sz w:val="20"/>
        </w:rPr>
      </w:pPr>
    </w:p>
    <w:p>
      <w:pPr>
        <w:pStyle w:val="BodyText"/>
        <w:spacing w:line="360" w:lineRule="auto" w:before="69"/>
        <w:ind w:left="152" w:right="104"/>
        <w:jc w:val="both"/>
      </w:pPr>
      <w:r>
        <w:rPr/>
        <w:t>disminución del gasto cardiaco casi del 30 % , con nulos efectos a nivel respiratorio, así como adecuada oxigenación hacia los tejidos.</w:t>
      </w:r>
    </w:p>
    <w:p>
      <w:pPr>
        <w:pStyle w:val="BodyText"/>
        <w:spacing w:line="360" w:lineRule="auto" w:before="4"/>
        <w:ind w:left="152" w:right="102" w:firstLine="710"/>
        <w:jc w:val="both"/>
      </w:pPr>
      <w:r>
        <w:rPr/>
        <w:t>En un estudio realizado por Pascoe y cols, 2014, en donde se estudió a </w:t>
      </w:r>
      <w:r>
        <w:rPr>
          <w:spacing w:val="-3"/>
        </w:rPr>
        <w:t>la </w:t>
      </w:r>
      <w:r>
        <w:rPr/>
        <w:t>dexmedetomidina a una dosis de carga de 0.5 y 3 µg/Kg, seguido de una infusión continua de 0.5 y 3 µg/Kg/hr en perros anestesiados con isoflurano, se observó disminución </w:t>
      </w:r>
      <w:r>
        <w:rPr>
          <w:spacing w:val="2"/>
        </w:rPr>
        <w:t>del  </w:t>
      </w:r>
      <w:r>
        <w:rPr/>
        <w:t>gasto cardiaco de manera estadísticamente significativa en un 19% - 58% respectivamente al comparar con su valor basal , esto sugiere que los cambios cardiovasculares de </w:t>
      </w:r>
      <w:r>
        <w:rPr>
          <w:spacing w:val="-5"/>
        </w:rPr>
        <w:t>la </w:t>
      </w:r>
      <w:r>
        <w:rPr/>
        <w:t>dexmedetomidina  solo  ocurren  con  dosis  superiores  a  1.2  µg/Kg/hr.  La  dosis  de  </w:t>
      </w:r>
      <w:r>
        <w:rPr>
          <w:spacing w:val="10"/>
        </w:rPr>
        <w:t> </w:t>
      </w:r>
      <w:r>
        <w:rPr/>
        <w:t>0.5</w:t>
      </w:r>
    </w:p>
    <w:p>
      <w:pPr>
        <w:pStyle w:val="BodyText"/>
        <w:spacing w:before="4"/>
        <w:ind w:left="152"/>
        <w:jc w:val="both"/>
      </w:pPr>
      <w:r>
        <w:rPr/>
        <w:t>µg/Kg/hr ocasiono mínimos efectos cardiovasculares.</w:t>
      </w:r>
    </w:p>
    <w:p>
      <w:pPr>
        <w:pStyle w:val="BodyText"/>
        <w:spacing w:line="355" w:lineRule="auto" w:before="121"/>
        <w:ind w:left="152" w:right="101" w:firstLine="710"/>
        <w:jc w:val="right"/>
      </w:pPr>
      <w:r>
        <w:rPr/>
        <w:t>Lin y cols, 2008 investigaron que una dosis de carga de 25 µg/Kg/m</w:t>
      </w:r>
      <w:r>
        <w:rPr>
          <w:position w:val="9"/>
          <w:sz w:val="16"/>
        </w:rPr>
        <w:t>2 </w:t>
      </w:r>
      <w:r>
        <w:rPr/>
        <w:t>seguido de una infusión continua de 25 mcg/Kg/m</w:t>
      </w:r>
      <w:r>
        <w:rPr>
          <w:position w:val="9"/>
          <w:sz w:val="16"/>
        </w:rPr>
        <w:t>2</w:t>
      </w:r>
      <w:r>
        <w:rPr/>
        <w:t>/hr, equivalente a 1.2 µg/Kg/hr en perros</w:t>
      </w:r>
      <w:r>
        <w:rPr>
          <w:w w:val="99"/>
        </w:rPr>
        <w:t> </w:t>
      </w:r>
      <w:r>
        <w:rPr/>
        <w:t>anestesiados con isoflurano, se observó una disminución del 30% del gasto cardiaco con un incremento de la presión arterial media (PAM) y de la resistencia vascular sistémica (RVS).</w:t>
      </w:r>
    </w:p>
    <w:p>
      <w:pPr>
        <w:pStyle w:val="BodyText"/>
        <w:spacing w:line="362" w:lineRule="auto" w:before="9"/>
        <w:ind w:left="152" w:right="101" w:firstLine="710"/>
        <w:jc w:val="both"/>
      </w:pPr>
      <w:r>
        <w:rPr/>
        <w:t>En nuestro estudio observamos una disminución del gasto cardiaco en un en </w:t>
      </w:r>
      <w:r>
        <w:rPr>
          <w:spacing w:val="4"/>
        </w:rPr>
        <w:t>el </w:t>
      </w:r>
      <w:r>
        <w:rPr/>
        <w:t>grupo DEX en un 44 % y en el grupo LID-DEX del 40%, si bien nosotros utilizamos una dosis</w:t>
      </w:r>
      <w:r>
        <w:rPr>
          <w:spacing w:val="41"/>
        </w:rPr>
        <w:t> </w:t>
      </w:r>
      <w:r>
        <w:rPr/>
        <w:t>de</w:t>
      </w:r>
      <w:r>
        <w:rPr>
          <w:spacing w:val="42"/>
        </w:rPr>
        <w:t> </w:t>
      </w:r>
      <w:r>
        <w:rPr/>
        <w:t>carga</w:t>
      </w:r>
      <w:r>
        <w:rPr>
          <w:spacing w:val="42"/>
        </w:rPr>
        <w:t> </w:t>
      </w:r>
      <w:r>
        <w:rPr/>
        <w:t>de</w:t>
      </w:r>
      <w:r>
        <w:rPr>
          <w:spacing w:val="42"/>
        </w:rPr>
        <w:t> </w:t>
      </w:r>
      <w:r>
        <w:rPr/>
        <w:t>2</w:t>
      </w:r>
      <w:r>
        <w:rPr>
          <w:spacing w:val="43"/>
        </w:rPr>
        <w:t> </w:t>
      </w:r>
      <w:r>
        <w:rPr/>
        <w:t>µg/Kg</w:t>
      </w:r>
      <w:r>
        <w:rPr>
          <w:spacing w:val="43"/>
        </w:rPr>
        <w:t> </w:t>
      </w:r>
      <w:r>
        <w:rPr/>
        <w:t>por</w:t>
      </w:r>
      <w:r>
        <w:rPr>
          <w:spacing w:val="44"/>
        </w:rPr>
        <w:t> </w:t>
      </w:r>
      <w:r>
        <w:rPr>
          <w:spacing w:val="-4"/>
        </w:rPr>
        <w:t>vía</w:t>
      </w:r>
      <w:r>
        <w:rPr>
          <w:spacing w:val="47"/>
        </w:rPr>
        <w:t> </w:t>
      </w:r>
      <w:r>
        <w:rPr/>
        <w:t>intravenosa,</w:t>
      </w:r>
      <w:r>
        <w:rPr>
          <w:spacing w:val="45"/>
        </w:rPr>
        <w:t> </w:t>
      </w:r>
      <w:r>
        <w:rPr/>
        <w:t>seguido</w:t>
      </w:r>
      <w:r>
        <w:rPr>
          <w:spacing w:val="47"/>
        </w:rPr>
        <w:t> </w:t>
      </w:r>
      <w:r>
        <w:rPr/>
        <w:t>de</w:t>
      </w:r>
      <w:r>
        <w:rPr>
          <w:spacing w:val="42"/>
        </w:rPr>
        <w:t> </w:t>
      </w:r>
      <w:r>
        <w:rPr/>
        <w:t>una</w:t>
      </w:r>
      <w:r>
        <w:rPr>
          <w:spacing w:val="47"/>
        </w:rPr>
        <w:t> </w:t>
      </w:r>
      <w:r>
        <w:rPr/>
        <w:t>infusión</w:t>
      </w:r>
      <w:r>
        <w:rPr>
          <w:spacing w:val="38"/>
        </w:rPr>
        <w:t> </w:t>
      </w:r>
      <w:r>
        <w:rPr/>
        <w:t>continua</w:t>
      </w:r>
      <w:r>
        <w:rPr>
          <w:spacing w:val="42"/>
        </w:rPr>
        <w:t> </w:t>
      </w:r>
      <w:r>
        <w:rPr/>
        <w:t>de</w:t>
      </w:r>
      <w:r>
        <w:rPr>
          <w:spacing w:val="42"/>
        </w:rPr>
        <w:t> </w:t>
      </w:r>
      <w:r>
        <w:rPr/>
        <w:t>2</w:t>
      </w:r>
    </w:p>
    <w:p>
      <w:pPr>
        <w:pStyle w:val="BodyText"/>
        <w:spacing w:line="360" w:lineRule="auto" w:before="1"/>
        <w:ind w:left="152" w:right="104"/>
        <w:jc w:val="both"/>
      </w:pPr>
      <w:r>
        <w:rPr/>
        <w:t>µg/Kg/hr, en donde hemos podido observar cambios importantes a nivel del gasto cardiaco y de la resistencia vascular sistémica similar a lo reportado por Lin y cols, (2008), en donde solo se utilizó dexmedetomidina.</w:t>
      </w:r>
    </w:p>
    <w:p>
      <w:pPr>
        <w:pStyle w:val="BodyText"/>
        <w:spacing w:line="360" w:lineRule="auto" w:before="8"/>
        <w:ind w:left="152" w:right="106" w:firstLine="710"/>
        <w:jc w:val="both"/>
      </w:pPr>
      <w:r>
        <w:rPr/>
        <w:t>Se ha postulado que </w:t>
      </w:r>
      <w:r>
        <w:rPr>
          <w:spacing w:val="-3"/>
        </w:rPr>
        <w:t>la </w:t>
      </w:r>
      <w:r>
        <w:rPr/>
        <w:t>disminución del gasto cardíaco por parte de </w:t>
      </w:r>
      <w:r>
        <w:rPr>
          <w:spacing w:val="-3"/>
        </w:rPr>
        <w:t>la </w:t>
      </w:r>
      <w:r>
        <w:rPr/>
        <w:t>dexmedetomidina pudiera deberse a </w:t>
      </w:r>
      <w:r>
        <w:rPr>
          <w:spacing w:val="-3"/>
        </w:rPr>
        <w:t>la </w:t>
      </w:r>
      <w:r>
        <w:rPr/>
        <w:t>disminución de </w:t>
      </w:r>
      <w:r>
        <w:rPr>
          <w:spacing w:val="-5"/>
        </w:rPr>
        <w:t>la </w:t>
      </w:r>
      <w:r>
        <w:rPr/>
        <w:t>frecuencia cardíaca, aunque se  han sugerido otros mecanismos incluyendo efectos directos sobre </w:t>
      </w:r>
      <w:r>
        <w:rPr>
          <w:spacing w:val="-3"/>
        </w:rPr>
        <w:t>la </w:t>
      </w:r>
      <w:r>
        <w:rPr/>
        <w:t>contractilidad miocárdica (Flacke </w:t>
      </w:r>
      <w:r>
        <w:rPr>
          <w:i/>
        </w:rPr>
        <w:t>et al</w:t>
      </w:r>
      <w:r>
        <w:rPr/>
        <w:t>. 1990), el aumento de </w:t>
      </w:r>
      <w:r>
        <w:rPr>
          <w:spacing w:val="-3"/>
        </w:rPr>
        <w:t>la </w:t>
      </w:r>
      <w:r>
        <w:rPr/>
        <w:t>postcarga, aumento de </w:t>
      </w:r>
      <w:r>
        <w:rPr>
          <w:spacing w:val="-5"/>
        </w:rPr>
        <w:t>la </w:t>
      </w:r>
      <w:r>
        <w:rPr/>
        <w:t>resistencia vascular sistémica y disminución del tono simpático (Bloor </w:t>
      </w:r>
      <w:r>
        <w:rPr>
          <w:i/>
        </w:rPr>
        <w:t>et al</w:t>
      </w:r>
      <w:r>
        <w:rPr/>
        <w:t>.</w:t>
      </w:r>
      <w:r>
        <w:rPr>
          <w:spacing w:val="-24"/>
        </w:rPr>
        <w:t> </w:t>
      </w:r>
      <w:r>
        <w:rPr/>
        <w:t>1992).</w:t>
      </w:r>
    </w:p>
    <w:p>
      <w:pPr>
        <w:pStyle w:val="BodyText"/>
        <w:spacing w:line="360" w:lineRule="auto" w:before="8"/>
        <w:ind w:left="152" w:right="102" w:firstLine="710"/>
        <w:jc w:val="both"/>
      </w:pPr>
      <w:r>
        <w:rPr/>
        <w:t>Por otro </w:t>
      </w:r>
      <w:r>
        <w:rPr>
          <w:spacing w:val="-3"/>
        </w:rPr>
        <w:t>lado </w:t>
      </w:r>
      <w:r>
        <w:rPr/>
        <w:t>el </w:t>
      </w:r>
      <w:r>
        <w:rPr>
          <w:spacing w:val="-2"/>
        </w:rPr>
        <w:t>índice </w:t>
      </w:r>
      <w:r>
        <w:rPr/>
        <w:t>cardiaco </w:t>
      </w:r>
      <w:r>
        <w:rPr>
          <w:spacing w:val="-5"/>
        </w:rPr>
        <w:t>lC </w:t>
      </w:r>
      <w:r>
        <w:rPr/>
        <w:t>es otro parámetro que </w:t>
      </w:r>
      <w:r>
        <w:rPr>
          <w:spacing w:val="-2"/>
        </w:rPr>
        <w:t>disminuyo </w:t>
      </w:r>
      <w:r>
        <w:rPr/>
        <w:t>de manera estadísticamente significativa es nuestro estudio </w:t>
      </w:r>
      <w:r>
        <w:rPr>
          <w:spacing w:val="3"/>
        </w:rPr>
        <w:t>de </w:t>
      </w:r>
      <w:r>
        <w:rPr/>
        <w:t>manera similar al gasto cardíaco, en </w:t>
      </w:r>
      <w:r>
        <w:rPr>
          <w:spacing w:val="4"/>
        </w:rPr>
        <w:t>el </w:t>
      </w:r>
      <w:r>
        <w:rPr/>
        <w:t>grupo DEX en un 44% y su combinación LID-DEX en un 42% existiendo una diferencia del 5% entre ambos grupos, esto es muy similar a </w:t>
      </w:r>
      <w:r>
        <w:rPr>
          <w:spacing w:val="-5"/>
        </w:rPr>
        <w:t>lo </w:t>
      </w:r>
      <w:r>
        <w:rPr/>
        <w:t>reportado por el trabajo de (Pascoe </w:t>
      </w:r>
      <w:r>
        <w:rPr>
          <w:i/>
        </w:rPr>
        <w:t>et </w:t>
      </w:r>
      <w:r>
        <w:rPr>
          <w:i/>
        </w:rPr>
        <w:t>al</w:t>
      </w:r>
      <w:r>
        <w:rPr/>
        <w:t>.</w:t>
      </w:r>
      <w:r>
        <w:rPr>
          <w:spacing w:val="22"/>
        </w:rPr>
        <w:t> </w:t>
      </w:r>
      <w:r>
        <w:rPr/>
        <w:t>2014)</w:t>
      </w:r>
      <w:r>
        <w:rPr>
          <w:spacing w:val="21"/>
        </w:rPr>
        <w:t> </w:t>
      </w:r>
      <w:r>
        <w:rPr/>
        <w:t>cuando</w:t>
      </w:r>
      <w:r>
        <w:rPr>
          <w:spacing w:val="24"/>
        </w:rPr>
        <w:t> </w:t>
      </w:r>
      <w:r>
        <w:rPr/>
        <w:t>utilizo</w:t>
      </w:r>
      <w:r>
        <w:rPr>
          <w:spacing w:val="24"/>
        </w:rPr>
        <w:t> </w:t>
      </w:r>
      <w:r>
        <w:rPr/>
        <w:t>dosis</w:t>
      </w:r>
      <w:r>
        <w:rPr>
          <w:spacing w:val="18"/>
        </w:rPr>
        <w:t> </w:t>
      </w:r>
      <w:r>
        <w:rPr/>
        <w:t>de</w:t>
      </w:r>
      <w:r>
        <w:rPr>
          <w:spacing w:val="24"/>
        </w:rPr>
        <w:t> </w:t>
      </w:r>
      <w:r>
        <w:rPr/>
        <w:t>0.5</w:t>
      </w:r>
      <w:r>
        <w:rPr>
          <w:spacing w:val="25"/>
        </w:rPr>
        <w:t> </w:t>
      </w:r>
      <w:r>
        <w:rPr/>
        <w:t>y</w:t>
      </w:r>
      <w:r>
        <w:rPr>
          <w:spacing w:val="15"/>
        </w:rPr>
        <w:t> </w:t>
      </w:r>
      <w:r>
        <w:rPr/>
        <w:t>3</w:t>
      </w:r>
      <w:r>
        <w:rPr>
          <w:spacing w:val="24"/>
        </w:rPr>
        <w:t> </w:t>
      </w:r>
      <w:r>
        <w:rPr/>
        <w:t>µg/Kg/hr,</w:t>
      </w:r>
      <w:r>
        <w:rPr>
          <w:spacing w:val="22"/>
        </w:rPr>
        <w:t> </w:t>
      </w:r>
      <w:r>
        <w:rPr/>
        <w:t>en</w:t>
      </w:r>
      <w:r>
        <w:rPr>
          <w:spacing w:val="15"/>
        </w:rPr>
        <w:t> </w:t>
      </w:r>
      <w:r>
        <w:rPr/>
        <w:t>perros</w:t>
      </w:r>
      <w:r>
        <w:rPr>
          <w:spacing w:val="18"/>
        </w:rPr>
        <w:t> </w:t>
      </w:r>
      <w:r>
        <w:rPr/>
        <w:t>anestesiados</w:t>
      </w:r>
      <w:r>
        <w:rPr>
          <w:spacing w:val="18"/>
        </w:rPr>
        <w:t> </w:t>
      </w:r>
      <w:r>
        <w:rPr/>
        <w:t>con</w:t>
      </w:r>
      <w:r>
        <w:rPr>
          <w:spacing w:val="25"/>
        </w:rPr>
        <w:t> </w:t>
      </w:r>
      <w:r>
        <w:rPr/>
        <w:t>isoflurano</w:t>
      </w:r>
    </w:p>
    <w:p>
      <w:pPr>
        <w:spacing w:after="0" w:line="360" w:lineRule="auto"/>
        <w:jc w:val="both"/>
        <w:sectPr>
          <w:footerReference w:type="default" r:id="rId88"/>
          <w:pgSz w:w="12240" w:h="15840"/>
          <w:pgMar w:footer="1651" w:header="0" w:top="1500" w:bottom="1840" w:left="1720" w:right="1420"/>
        </w:sectPr>
      </w:pPr>
    </w:p>
    <w:p>
      <w:pPr>
        <w:pStyle w:val="BodyText"/>
        <w:spacing w:before="7"/>
        <w:rPr>
          <w:sz w:val="20"/>
        </w:rPr>
      </w:pPr>
    </w:p>
    <w:p>
      <w:pPr>
        <w:pStyle w:val="BodyText"/>
        <w:spacing w:line="360" w:lineRule="auto" w:before="69"/>
        <w:ind w:left="152"/>
      </w:pPr>
      <w:r>
        <w:rPr/>
        <w:t>observo una disminución del índice cardiaco del 17 y 56% respectivamente existiendo una diferencia de casi el 30% entre ambos grupos.</w:t>
      </w:r>
    </w:p>
    <w:p>
      <w:pPr>
        <w:pStyle w:val="BodyText"/>
        <w:spacing w:line="360" w:lineRule="auto" w:before="4"/>
        <w:ind w:left="152" w:right="105" w:firstLine="710"/>
        <w:jc w:val="both"/>
      </w:pPr>
      <w:r>
        <w:rPr/>
        <w:t>Sin embargo en otro estudio (Kaartinen </w:t>
      </w:r>
      <w:r>
        <w:rPr>
          <w:i/>
        </w:rPr>
        <w:t>et al </w:t>
      </w:r>
      <w:r>
        <w:rPr/>
        <w:t>2010) donde evaluaron los efectos hemodinámicos de la medetomidina en pacientes anestesiados con isoflurano a dosis de carga de 0.2, 0.5, 1.0, 1.7, 4.0, 12 µg/Kg/hr en infusión continua previo a la administración de un bolo de carga con las dosis antes mencionadas se observó una disminución del índice cardiaco del 45%, de las dosis anteriormente mencionadas las que menos efectos cardiovasculares ocasionaron a nivel cardiovascular fueron las dosis de 0.2-1.7 µg/Kg/hr en infusión continua. En nuestro estudio las dosis utilizadas de dexmedetomidina fueron de   2</w:t>
      </w:r>
    </w:p>
    <w:p>
      <w:pPr>
        <w:pStyle w:val="BodyText"/>
        <w:spacing w:before="4"/>
        <w:ind w:left="152"/>
      </w:pPr>
      <w:r>
        <w:rPr/>
        <w:t>µg/Kg/hr, similares a la del estudio realizado por Kaartinen en 2010.</w:t>
      </w:r>
    </w:p>
    <w:p>
      <w:pPr>
        <w:pStyle w:val="BodyText"/>
      </w:pPr>
    </w:p>
    <w:p>
      <w:pPr>
        <w:pStyle w:val="BodyText"/>
        <w:spacing w:before="3"/>
      </w:pPr>
    </w:p>
    <w:p>
      <w:pPr>
        <w:pStyle w:val="BodyText"/>
        <w:spacing w:line="364" w:lineRule="auto"/>
        <w:ind w:left="152" w:right="104" w:firstLine="710"/>
        <w:jc w:val="both"/>
      </w:pPr>
      <w:r>
        <w:rPr/>
        <w:t>Pascoe y cols. (2014) reportan que la concentración plasmática de dexmedetomidina necesaria para disminuir el índice cardiaco en un 50%, (IC50), concentración inhibitoria es de 0.45 ng/mL</w:t>
      </w:r>
      <w:r>
        <w:rPr>
          <w:rFonts w:ascii="Calibri" w:hAnsi="Calibri"/>
          <w:position w:val="8"/>
          <w:sz w:val="16"/>
        </w:rPr>
        <w:t>-2 </w:t>
      </w:r>
      <w:r>
        <w:rPr/>
        <w:t>y la concentración plasmática necesaria para disminuir la frecuencia cardiaca en 50% (IC50) es de 0.75 ng/mL</w:t>
      </w:r>
      <w:r>
        <w:rPr>
          <w:rFonts w:ascii="Calibri" w:hAnsi="Calibri"/>
          <w:position w:val="8"/>
          <w:sz w:val="16"/>
        </w:rPr>
        <w:t>-2</w:t>
      </w:r>
      <w:r>
        <w:rPr/>
        <w:t>, si bien en nuestro estudio no realizamos medición de concentraciones plasmáticas de la dexmedetomidina, el índice cardiaco bajo en un 50% en el grupo DEX y de la combinación LID-DEX lo cual puede correlacionarse con las concentraciones plasmáticas del estudio realizado por Pascoe en 2014.</w:t>
      </w:r>
    </w:p>
    <w:p>
      <w:pPr>
        <w:pStyle w:val="BodyText"/>
      </w:pPr>
    </w:p>
    <w:p>
      <w:pPr>
        <w:pStyle w:val="Heading2"/>
        <w:numPr>
          <w:ilvl w:val="1"/>
          <w:numId w:val="2"/>
        </w:numPr>
        <w:tabs>
          <w:tab w:pos="518" w:val="left" w:leader="none"/>
        </w:tabs>
        <w:spacing w:line="240" w:lineRule="auto" w:before="140" w:after="0"/>
        <w:ind w:left="517" w:right="0" w:hanging="365"/>
        <w:jc w:val="left"/>
      </w:pPr>
      <w:bookmarkStart w:name="_bookmark85" w:id="137"/>
      <w:bookmarkEnd w:id="137"/>
      <w:r>
        <w:rPr>
          <w:b w:val="0"/>
        </w:rPr>
      </w:r>
      <w:bookmarkStart w:name="_bookmark85" w:id="138"/>
      <w:bookmarkEnd w:id="138"/>
      <w:r>
        <w:rPr/>
        <w:t>P</w:t>
      </w:r>
      <w:r>
        <w:rPr/>
        <w:t>resión de oclusión de </w:t>
      </w:r>
      <w:r>
        <w:rPr>
          <w:spacing w:val="-3"/>
        </w:rPr>
        <w:t>la </w:t>
      </w:r>
      <w:r>
        <w:rPr/>
        <w:t>arteria pulmonar</w:t>
      </w:r>
      <w:r>
        <w:rPr>
          <w:spacing w:val="-24"/>
        </w:rPr>
        <w:t> </w:t>
      </w:r>
      <w:r>
        <w:rPr/>
        <w:t>(PAOP)</w:t>
      </w:r>
    </w:p>
    <w:p>
      <w:pPr>
        <w:pStyle w:val="BodyText"/>
        <w:rPr>
          <w:b/>
        </w:rPr>
      </w:pPr>
    </w:p>
    <w:p>
      <w:pPr>
        <w:pStyle w:val="BodyText"/>
        <w:spacing w:before="9"/>
        <w:rPr>
          <w:b/>
          <w:sz w:val="23"/>
        </w:rPr>
      </w:pPr>
    </w:p>
    <w:p>
      <w:pPr>
        <w:pStyle w:val="BodyText"/>
        <w:spacing w:line="360" w:lineRule="auto"/>
        <w:ind w:left="152" w:right="106" w:firstLine="710"/>
        <w:jc w:val="both"/>
      </w:pPr>
      <w:r>
        <w:rPr/>
        <w:t>La presión de oclusión de </w:t>
      </w:r>
      <w:r>
        <w:rPr>
          <w:spacing w:val="-5"/>
        </w:rPr>
        <w:t>la </w:t>
      </w:r>
      <w:r>
        <w:rPr/>
        <w:t>arteria pulmonar (PAOP) aumento de manera estadísticamente significativa en el grupo DEX en un 52% y en el grupo LID-DEX en un 50%, cuando se comparó con el grupo LID y el valor basal. Este aumento de </w:t>
      </w:r>
      <w:r>
        <w:rPr>
          <w:spacing w:val="-5"/>
        </w:rPr>
        <w:t>la </w:t>
      </w:r>
      <w:r>
        <w:rPr/>
        <w:t>presión pulmonar se </w:t>
      </w:r>
      <w:r>
        <w:rPr>
          <w:spacing w:val="-3"/>
        </w:rPr>
        <w:t>ha </w:t>
      </w:r>
      <w:r>
        <w:rPr/>
        <w:t>observado en varios estudios en donde se utilizan agonistas de los  receptores </w:t>
      </w:r>
      <w:r>
        <w:rPr>
          <w:spacing w:val="-3"/>
        </w:rPr>
        <w:t>alfa </w:t>
      </w:r>
      <w:r>
        <w:rPr/>
        <w:t>dos adrenérgicos (Bruno </w:t>
      </w:r>
      <w:r>
        <w:rPr>
          <w:i/>
        </w:rPr>
        <w:t>et al</w:t>
      </w:r>
      <w:r>
        <w:rPr/>
        <w:t>. 2001; Lin </w:t>
      </w:r>
      <w:r>
        <w:rPr>
          <w:i/>
        </w:rPr>
        <w:t>et al</w:t>
      </w:r>
      <w:r>
        <w:rPr/>
        <w:t>. 2008: Pascoe </w:t>
      </w:r>
      <w:r>
        <w:rPr>
          <w:i/>
        </w:rPr>
        <w:t>et al</w:t>
      </w:r>
      <w:r>
        <w:rPr>
          <w:i/>
          <w:spacing w:val="1"/>
        </w:rPr>
        <w:t> </w:t>
      </w:r>
      <w:r>
        <w:rPr/>
        <w:t>2006).</w:t>
      </w:r>
    </w:p>
    <w:p>
      <w:pPr>
        <w:pStyle w:val="BodyText"/>
        <w:spacing w:before="4"/>
        <w:ind w:left="392" w:right="236"/>
        <w:jc w:val="center"/>
      </w:pPr>
      <w:r>
        <w:rPr/>
        <w:t>Lin y cols. (2008) observo que una dosis de carga de dexmedetomidina a una dosis de 1</w:t>
      </w:r>
    </w:p>
    <w:p>
      <w:pPr>
        <w:pStyle w:val="BodyText"/>
        <w:spacing w:line="360" w:lineRule="auto" w:before="137"/>
        <w:ind w:left="152" w:right="106"/>
      </w:pPr>
      <w:r>
        <w:rPr/>
        <w:t>µg/Kg seguido de una infusión continua de 1 µg/Kg/hr en perros anestesiados con isoflurano  </w:t>
      </w:r>
      <w:r>
        <w:rPr>
          <w:spacing w:val="-3"/>
        </w:rPr>
        <w:t>la  </w:t>
      </w:r>
      <w:r>
        <w:rPr/>
        <w:t>POAP  aumento  en un 47%.  Sin embargo  en un estudio  de  Bruno  y </w:t>
      </w:r>
      <w:r>
        <w:rPr>
          <w:spacing w:val="53"/>
        </w:rPr>
        <w:t> </w:t>
      </w:r>
      <w:r>
        <w:rPr/>
        <w:t>cols.</w:t>
      </w:r>
    </w:p>
    <w:p>
      <w:pPr>
        <w:spacing w:after="0" w:line="360" w:lineRule="auto"/>
        <w:sectPr>
          <w:footerReference w:type="default" r:id="rId89"/>
          <w:pgSz w:w="12240" w:h="15840"/>
          <w:pgMar w:footer="1651" w:header="0" w:top="1500" w:bottom="1840" w:left="1720" w:right="1420"/>
          <w:pgNumType w:start="81"/>
        </w:sectPr>
      </w:pPr>
    </w:p>
    <w:p>
      <w:pPr>
        <w:pStyle w:val="BodyText"/>
        <w:spacing w:before="7"/>
        <w:rPr>
          <w:sz w:val="20"/>
        </w:rPr>
      </w:pPr>
    </w:p>
    <w:p>
      <w:pPr>
        <w:pStyle w:val="BodyText"/>
        <w:spacing w:line="360" w:lineRule="auto" w:before="69"/>
        <w:ind w:left="152" w:right="105"/>
        <w:jc w:val="both"/>
      </w:pPr>
      <w:r>
        <w:rPr/>
        <w:t>(2001), donde evaluaron los efectos cardiovasculares de </w:t>
      </w:r>
      <w:r>
        <w:rPr>
          <w:spacing w:val="-3"/>
        </w:rPr>
        <w:t>la </w:t>
      </w:r>
      <w:r>
        <w:rPr/>
        <w:t>romifidina en  perros anestesiados con isoflurano, utilizando dosis de carga de  5, 10, 25, 50, 100 µg/Kg, por </w:t>
      </w:r>
      <w:r>
        <w:rPr>
          <w:spacing w:val="53"/>
        </w:rPr>
        <w:t> </w:t>
      </w:r>
      <w:r>
        <w:rPr/>
        <w:t>vía</w:t>
      </w:r>
    </w:p>
    <w:p>
      <w:pPr>
        <w:pStyle w:val="BodyText"/>
        <w:spacing w:before="9"/>
        <w:ind w:left="152"/>
        <w:jc w:val="both"/>
      </w:pPr>
      <w:r>
        <w:rPr/>
        <w:t>intravenosa,  para  posteriormente  iniciar  una  infusión  continua  de  5,  10,  25,  50,   100</w:t>
      </w:r>
    </w:p>
    <w:p>
      <w:pPr>
        <w:pStyle w:val="BodyText"/>
        <w:spacing w:line="360" w:lineRule="auto" w:before="137"/>
        <w:ind w:left="152" w:right="104"/>
        <w:jc w:val="both"/>
      </w:pPr>
      <w:r>
        <w:rPr/>
        <w:t>µg/Kg/hr, se pudo observar aumento de manera estadísticamente significativa de la POAP con todas las dosis, sin embargo, con dosis mayores de 25 µg/Kg/hr, en infusión continua el efecto de aumento de la POAP se exacerba.</w:t>
      </w:r>
    </w:p>
    <w:p>
      <w:pPr>
        <w:pStyle w:val="BodyText"/>
        <w:spacing w:line="360" w:lineRule="auto" w:before="9"/>
        <w:ind w:left="152" w:right="105"/>
        <w:jc w:val="both"/>
      </w:pPr>
      <w:r>
        <w:rPr/>
        <w:t>En nuestro estudio, con dosis de 2 µg/Kg/hr en infusión continua se observó un aumento de manera estadísticamente significativa en </w:t>
      </w:r>
      <w:r>
        <w:rPr>
          <w:spacing w:val="-3"/>
        </w:rPr>
        <w:t>la </w:t>
      </w:r>
      <w:r>
        <w:rPr/>
        <w:t>PAOP, en los grupos DEX y LID-DEX, similar a </w:t>
      </w:r>
      <w:r>
        <w:rPr>
          <w:spacing w:val="-5"/>
        </w:rPr>
        <w:t>lo </w:t>
      </w:r>
      <w:r>
        <w:rPr/>
        <w:t>observado por, Bruno y cols,</w:t>
      </w:r>
      <w:r>
        <w:rPr>
          <w:spacing w:val="-1"/>
        </w:rPr>
        <w:t> </w:t>
      </w:r>
      <w:r>
        <w:rPr/>
        <w:t>2001.</w:t>
      </w:r>
    </w:p>
    <w:p>
      <w:pPr>
        <w:pStyle w:val="BodyText"/>
        <w:spacing w:line="360" w:lineRule="auto" w:before="4"/>
        <w:ind w:left="152" w:right="107" w:firstLine="710"/>
        <w:jc w:val="both"/>
      </w:pPr>
      <w:r>
        <w:rPr/>
        <w:t>Por otra parte en otro estudio cuando utilizaron dosis de 3 µg/Kg/hr el incremento  de </w:t>
      </w:r>
      <w:r>
        <w:rPr>
          <w:spacing w:val="-5"/>
        </w:rPr>
        <w:t>la </w:t>
      </w:r>
      <w:r>
        <w:rPr/>
        <w:t>PAOP fue en un 53%, similar a </w:t>
      </w:r>
      <w:r>
        <w:rPr>
          <w:spacing w:val="-5"/>
        </w:rPr>
        <w:t>lo </w:t>
      </w:r>
      <w:r>
        <w:rPr/>
        <w:t>observado en el presente estudio. La presión de oclusión de </w:t>
      </w:r>
      <w:r>
        <w:rPr>
          <w:spacing w:val="-3"/>
        </w:rPr>
        <w:t>la </w:t>
      </w:r>
      <w:r>
        <w:rPr/>
        <w:t>arteria pulmonar PAOP, el aumento está asociado a </w:t>
      </w:r>
      <w:r>
        <w:rPr>
          <w:spacing w:val="-5"/>
        </w:rPr>
        <w:t>la </w:t>
      </w:r>
      <w:r>
        <w:rPr/>
        <w:t>disminución del GC (Sheriff </w:t>
      </w:r>
      <w:r>
        <w:rPr>
          <w:i/>
        </w:rPr>
        <w:t>et al</w:t>
      </w:r>
      <w:r>
        <w:rPr/>
        <w:t>.</w:t>
      </w:r>
      <w:r>
        <w:rPr>
          <w:spacing w:val="-2"/>
        </w:rPr>
        <w:t> </w:t>
      </w:r>
      <w:r>
        <w:rPr/>
        <w:t>1993).</w:t>
      </w:r>
    </w:p>
    <w:p>
      <w:pPr>
        <w:pStyle w:val="BodyText"/>
      </w:pPr>
    </w:p>
    <w:p>
      <w:pPr>
        <w:pStyle w:val="Heading2"/>
        <w:numPr>
          <w:ilvl w:val="1"/>
          <w:numId w:val="2"/>
        </w:numPr>
        <w:tabs>
          <w:tab w:pos="518" w:val="left" w:leader="none"/>
        </w:tabs>
        <w:spacing w:line="240" w:lineRule="auto" w:before="150" w:after="0"/>
        <w:ind w:left="517" w:right="0" w:hanging="365"/>
        <w:jc w:val="both"/>
      </w:pPr>
      <w:bookmarkStart w:name="_bookmark86" w:id="139"/>
      <w:bookmarkEnd w:id="139"/>
      <w:r>
        <w:rPr>
          <w:b w:val="0"/>
        </w:rPr>
      </w:r>
      <w:bookmarkStart w:name="_bookmark86" w:id="140"/>
      <w:bookmarkEnd w:id="140"/>
      <w:r>
        <w:rPr/>
        <w:t>F</w:t>
      </w:r>
      <w:r>
        <w:rPr/>
        <w:t>recuencia</w:t>
      </w:r>
      <w:r>
        <w:rPr>
          <w:spacing w:val="-15"/>
        </w:rPr>
        <w:t> </w:t>
      </w:r>
      <w:r>
        <w:rPr/>
        <w:t>cardiaca</w:t>
      </w:r>
    </w:p>
    <w:p>
      <w:pPr>
        <w:pStyle w:val="BodyText"/>
        <w:rPr>
          <w:b/>
        </w:rPr>
      </w:pPr>
    </w:p>
    <w:p>
      <w:pPr>
        <w:pStyle w:val="BodyText"/>
        <w:spacing w:before="4"/>
        <w:rPr>
          <w:b/>
          <w:sz w:val="23"/>
        </w:rPr>
      </w:pPr>
    </w:p>
    <w:p>
      <w:pPr>
        <w:pStyle w:val="BodyText"/>
        <w:spacing w:line="360" w:lineRule="auto"/>
        <w:ind w:left="152" w:right="101" w:firstLine="710"/>
        <w:jc w:val="both"/>
      </w:pPr>
      <w:r>
        <w:rPr/>
        <w:t>En lo que respecta a la frecuencia cardiaca, es otro parámetro que disminuye de manera estadísticamente significativa tras la utilización de agonistas de los receptores α2- adrenergicos tal como lo observamos en nuestro estudio en los grupo DEX y en el grupo LID-DEX, en donde se observó una disminución de la FC de un 44% y 35% respectivamente cuando se comparó con el grupo LID y el valor basal, si bien todos los agonistas de los receptores α-2 adrenérgicos produce bradicardia, el mecanismo por el cual esto ocurre se debe a la disminuidos del tono simpático y el aumento de la resistencia vascular sistémica (RVS), (Pascoe </w:t>
      </w:r>
      <w:r>
        <w:rPr>
          <w:i/>
        </w:rPr>
        <w:t>et al </w:t>
      </w:r>
      <w:r>
        <w:rPr/>
        <w:t>2006; Talke </w:t>
      </w:r>
      <w:r>
        <w:rPr>
          <w:i/>
        </w:rPr>
        <w:t>et al</w:t>
      </w:r>
      <w:r>
        <w:rPr/>
        <w:t>. 2001).</w:t>
      </w:r>
    </w:p>
    <w:p>
      <w:pPr>
        <w:pStyle w:val="BodyText"/>
        <w:spacing w:line="360" w:lineRule="auto" w:before="4"/>
        <w:ind w:left="152" w:right="109" w:firstLine="710"/>
        <w:jc w:val="both"/>
      </w:pPr>
      <w:r>
        <w:rPr/>
        <w:t>Lin </w:t>
      </w:r>
      <w:r>
        <w:rPr>
          <w:i/>
        </w:rPr>
        <w:t>et al</w:t>
      </w:r>
      <w:r>
        <w:rPr/>
        <w:t>. 2008; Pascoe </w:t>
      </w:r>
      <w:r>
        <w:rPr>
          <w:i/>
        </w:rPr>
        <w:t>et al</w:t>
      </w:r>
      <w:r>
        <w:rPr/>
        <w:t>. 2006; Congdon </w:t>
      </w:r>
      <w:r>
        <w:rPr>
          <w:i/>
        </w:rPr>
        <w:t>et al</w:t>
      </w:r>
      <w:r>
        <w:rPr/>
        <w:t>. 2013, observaron que </w:t>
      </w:r>
      <w:r>
        <w:rPr>
          <w:spacing w:val="-3"/>
        </w:rPr>
        <w:t>la </w:t>
      </w:r>
      <w:r>
        <w:rPr/>
        <w:t>dexmedetomidina en infusión continua ocasiona bradicardia de manera significativa, </w:t>
      </w:r>
      <w:r>
        <w:rPr>
          <w:spacing w:val="-5"/>
        </w:rPr>
        <w:t>lo  </w:t>
      </w:r>
      <w:r>
        <w:rPr/>
        <w:t>cual es similar a </w:t>
      </w:r>
      <w:r>
        <w:rPr>
          <w:spacing w:val="-5"/>
        </w:rPr>
        <w:t>lo </w:t>
      </w:r>
      <w:r>
        <w:rPr/>
        <w:t>observado en nuestro estudio, en los grupos donde se utilizó dexmedetomidina.</w:t>
      </w:r>
    </w:p>
    <w:p>
      <w:pPr>
        <w:spacing w:after="0" w:line="360" w:lineRule="auto"/>
        <w:jc w:val="both"/>
        <w:sectPr>
          <w:pgSz w:w="12240" w:h="15840"/>
          <w:pgMar w:header="0" w:footer="1651" w:top="1500" w:bottom="1840" w:left="1720" w:right="1420"/>
        </w:sectPr>
      </w:pPr>
    </w:p>
    <w:p>
      <w:pPr>
        <w:pStyle w:val="BodyText"/>
        <w:spacing w:before="1"/>
        <w:rPr>
          <w:sz w:val="21"/>
        </w:rPr>
      </w:pPr>
    </w:p>
    <w:p>
      <w:pPr>
        <w:pStyle w:val="Heading2"/>
        <w:numPr>
          <w:ilvl w:val="1"/>
          <w:numId w:val="2"/>
        </w:numPr>
        <w:tabs>
          <w:tab w:pos="518" w:val="left" w:leader="none"/>
        </w:tabs>
        <w:spacing w:line="240" w:lineRule="auto" w:before="69" w:after="0"/>
        <w:ind w:left="517" w:right="0" w:hanging="365"/>
        <w:jc w:val="left"/>
      </w:pPr>
      <w:bookmarkStart w:name="_bookmark87" w:id="141"/>
      <w:bookmarkEnd w:id="141"/>
      <w:r>
        <w:rPr>
          <w:b w:val="0"/>
        </w:rPr>
      </w:r>
      <w:bookmarkStart w:name="_bookmark87" w:id="142"/>
      <w:bookmarkEnd w:id="142"/>
      <w:r>
        <w:rPr/>
        <w:t>R</w:t>
      </w:r>
      <w:r>
        <w:rPr/>
        <w:t>esistencia vascular</w:t>
      </w:r>
      <w:r>
        <w:rPr>
          <w:spacing w:val="-21"/>
        </w:rPr>
        <w:t> </w:t>
      </w:r>
      <w:r>
        <w:rPr/>
        <w:t>sistémica</w:t>
      </w:r>
    </w:p>
    <w:p>
      <w:pPr>
        <w:pStyle w:val="BodyText"/>
        <w:rPr>
          <w:b/>
        </w:rPr>
      </w:pPr>
    </w:p>
    <w:p>
      <w:pPr>
        <w:pStyle w:val="BodyText"/>
        <w:spacing w:before="4"/>
        <w:rPr>
          <w:b/>
          <w:sz w:val="23"/>
        </w:rPr>
      </w:pPr>
    </w:p>
    <w:p>
      <w:pPr>
        <w:pStyle w:val="BodyText"/>
        <w:spacing w:line="360" w:lineRule="auto" w:before="1"/>
        <w:ind w:left="152" w:right="101" w:firstLine="710"/>
        <w:jc w:val="both"/>
      </w:pPr>
      <w:r>
        <w:rPr/>
        <w:t>La resistencia vascular sistémica (RVS) aumento tras </w:t>
      </w:r>
      <w:r>
        <w:rPr>
          <w:spacing w:val="-5"/>
        </w:rPr>
        <w:t>la </w:t>
      </w:r>
      <w:r>
        <w:rPr/>
        <w:t>administración de dexmedetomidina en los grupos DEX y el grupo LID-DEX cuando se  comparó  con el grupo LID y el valor basal, este fenómeno también se observó en el estudio realizado por Pypendop y cols, 2011 y Lin y cols. 2008 en donde se observó que </w:t>
      </w:r>
      <w:r>
        <w:rPr>
          <w:spacing w:val="-3"/>
        </w:rPr>
        <w:t>la </w:t>
      </w:r>
      <w:r>
        <w:rPr/>
        <w:t>RVS aumento en un 51% cuando utilizaron una dosis de carga de dexmedetomidina de 1.2 µg/Kg seguido de una infusión continua de 25 µg/m</w:t>
      </w:r>
      <w:r>
        <w:rPr>
          <w:rFonts w:ascii="Calibri" w:hAnsi="Calibri"/>
        </w:rPr>
        <w:t>⁻</w:t>
      </w:r>
      <w:r>
        <w:rPr>
          <w:position w:val="9"/>
          <w:sz w:val="16"/>
        </w:rPr>
        <w:t>2 </w:t>
      </w:r>
      <w:r>
        <w:rPr/>
        <w:t>en perros anestesiados con isoflurano. Pascoe en el 2014, al utilizar dosis de dexmedetomidina de 3mcg/Kg/hr, observo un aumento de </w:t>
      </w:r>
      <w:r>
        <w:rPr>
          <w:spacing w:val="-3"/>
        </w:rPr>
        <w:t>la </w:t>
      </w:r>
      <w:r>
        <w:rPr/>
        <w:t>resistencia vascular sistémica en un 65%. Hyman y Kadowitz 1985; Ruffolo 1985; Duka </w:t>
      </w:r>
      <w:r>
        <w:rPr>
          <w:i/>
        </w:rPr>
        <w:t>et </w:t>
      </w:r>
      <w:r>
        <w:rPr>
          <w:i/>
        </w:rPr>
        <w:t>al</w:t>
      </w:r>
      <w:r>
        <w:rPr/>
        <w:t>. 2000; Talke </w:t>
      </w:r>
      <w:r>
        <w:rPr>
          <w:i/>
        </w:rPr>
        <w:t>et al</w:t>
      </w:r>
      <w:r>
        <w:rPr/>
        <w:t>. 2001; Willems </w:t>
      </w:r>
      <w:r>
        <w:rPr>
          <w:i/>
        </w:rPr>
        <w:t>et al</w:t>
      </w:r>
      <w:r>
        <w:rPr/>
        <w:t>. 2001; Gornemann </w:t>
      </w:r>
      <w:r>
        <w:rPr>
          <w:i/>
        </w:rPr>
        <w:t>et al</w:t>
      </w:r>
      <w:r>
        <w:rPr/>
        <w:t>. 2007, 2009, describen que este aumento de </w:t>
      </w:r>
      <w:r>
        <w:rPr>
          <w:spacing w:val="-5"/>
        </w:rPr>
        <w:t>la </w:t>
      </w:r>
      <w:r>
        <w:rPr/>
        <w:t>RVS puede estar relacionado con un efecto directo de los agonistas de los receptores α2-B adrenérgicos sobre </w:t>
      </w:r>
      <w:r>
        <w:rPr>
          <w:spacing w:val="-5"/>
        </w:rPr>
        <w:t>la </w:t>
      </w:r>
      <w:r>
        <w:rPr/>
        <w:t>musculatura </w:t>
      </w:r>
      <w:r>
        <w:rPr>
          <w:spacing w:val="-4"/>
        </w:rPr>
        <w:t>lisa </w:t>
      </w:r>
      <w:r>
        <w:rPr/>
        <w:t>de los vasos sanguíneos a nivel periférico, los cuales son responsables de </w:t>
      </w:r>
      <w:r>
        <w:rPr>
          <w:spacing w:val="-3"/>
        </w:rPr>
        <w:t>la </w:t>
      </w:r>
      <w:r>
        <w:rPr/>
        <w:t>acción hipertensora transitoria cuando se administra un fármaco agonista a dosis altas, sin embargo también depende de </w:t>
      </w:r>
      <w:r>
        <w:rPr>
          <w:spacing w:val="-3"/>
        </w:rPr>
        <w:t>la </w:t>
      </w:r>
      <w:r>
        <w:rPr/>
        <w:t>vía de administración  </w:t>
      </w:r>
      <w:r>
        <w:rPr>
          <w:spacing w:val="-5"/>
        </w:rPr>
        <w:t>ya </w:t>
      </w:r>
      <w:r>
        <w:rPr/>
        <w:t>sea IM o</w:t>
      </w:r>
      <w:r>
        <w:rPr>
          <w:spacing w:val="1"/>
        </w:rPr>
        <w:t> </w:t>
      </w:r>
      <w:r>
        <w:rPr/>
        <w:t>IV.</w:t>
      </w:r>
    </w:p>
    <w:p>
      <w:pPr>
        <w:pStyle w:val="BodyText"/>
      </w:pPr>
    </w:p>
    <w:p>
      <w:pPr>
        <w:pStyle w:val="BodyText"/>
      </w:pPr>
    </w:p>
    <w:p>
      <w:pPr>
        <w:pStyle w:val="BodyText"/>
        <w:spacing w:before="10"/>
      </w:pPr>
    </w:p>
    <w:p>
      <w:pPr>
        <w:pStyle w:val="Heading2"/>
        <w:numPr>
          <w:ilvl w:val="1"/>
          <w:numId w:val="2"/>
        </w:numPr>
        <w:tabs>
          <w:tab w:pos="518" w:val="left" w:leader="none"/>
        </w:tabs>
        <w:spacing w:line="240" w:lineRule="auto" w:before="1" w:after="0"/>
        <w:ind w:left="517" w:right="0" w:hanging="365"/>
        <w:jc w:val="left"/>
        <w:rPr>
          <w:sz w:val="16"/>
        </w:rPr>
      </w:pPr>
      <w:bookmarkStart w:name="_bookmark88" w:id="143"/>
      <w:bookmarkEnd w:id="143"/>
      <w:r>
        <w:rPr>
          <w:b w:val="0"/>
        </w:rPr>
      </w:r>
      <w:bookmarkStart w:name="_bookmark88" w:id="144"/>
      <w:bookmarkEnd w:id="144"/>
      <w:r>
        <w:rPr>
          <w:position w:val="2"/>
        </w:rPr>
        <w:t>L</w:t>
      </w:r>
      <w:r>
        <w:rPr>
          <w:position w:val="2"/>
        </w:rPr>
        <w:t>iberación de oxígeno a los tejidos DO</w:t>
      </w:r>
      <w:r>
        <w:rPr>
          <w:sz w:val="16"/>
        </w:rPr>
        <w:t>2</w:t>
      </w:r>
      <w:r>
        <w:rPr>
          <w:position w:val="2"/>
        </w:rPr>
        <w:t>/ Consumo de oxígeno tisular</w:t>
      </w:r>
      <w:r>
        <w:rPr>
          <w:spacing w:val="-28"/>
          <w:position w:val="2"/>
        </w:rPr>
        <w:t> </w:t>
      </w:r>
      <w:r>
        <w:rPr>
          <w:position w:val="2"/>
        </w:rPr>
        <w:t>VO</w:t>
      </w:r>
      <w:r>
        <w:rPr>
          <w:sz w:val="16"/>
        </w:rPr>
        <w:t>2</w:t>
      </w:r>
    </w:p>
    <w:p>
      <w:pPr>
        <w:pStyle w:val="BodyText"/>
        <w:rPr>
          <w:b/>
        </w:rPr>
      </w:pPr>
    </w:p>
    <w:p>
      <w:pPr>
        <w:pStyle w:val="BodyText"/>
        <w:spacing w:before="1"/>
        <w:rPr>
          <w:b/>
          <w:sz w:val="23"/>
        </w:rPr>
      </w:pPr>
    </w:p>
    <w:p>
      <w:pPr>
        <w:pStyle w:val="BodyText"/>
        <w:spacing w:line="360" w:lineRule="auto"/>
        <w:ind w:left="152" w:right="105" w:firstLine="710"/>
        <w:jc w:val="both"/>
      </w:pPr>
      <w:r>
        <w:rPr>
          <w:position w:val="2"/>
        </w:rPr>
        <w:t>Se ha observado que la dexmedetomidina disminuye los requerimientos del O</w:t>
      </w:r>
      <w:r>
        <w:rPr>
          <w:sz w:val="16"/>
        </w:rPr>
        <w:t>2 </w:t>
      </w:r>
      <w:r>
        <w:rPr>
          <w:position w:val="2"/>
        </w:rPr>
        <w:t>en </w:t>
      </w:r>
      <w:r>
        <w:rPr/>
        <w:t>todo el organismo y el flujo sanguíneo a los órganos vitales, hasta niveles por encima de rangos mínimos asociados con hipoperfusión, lo que indica que la redistribución del GC inducida por dexmedetomidina no afecta la oxigenación a los tejidos (Murrell </w:t>
      </w:r>
      <w:r>
        <w:rPr>
          <w:i/>
        </w:rPr>
        <w:t>et al</w:t>
      </w:r>
      <w:r>
        <w:rPr/>
        <w:t>. 2005).</w:t>
      </w:r>
    </w:p>
    <w:p>
      <w:pPr>
        <w:pStyle w:val="BodyText"/>
        <w:spacing w:line="357" w:lineRule="auto" w:before="4"/>
        <w:ind w:left="152" w:right="102" w:firstLine="710"/>
        <w:jc w:val="both"/>
      </w:pPr>
      <w:r>
        <w:rPr/>
        <w:t>Es importante mencionar que en nuestro estudio, la liberación de oxígeno hacia los </w:t>
      </w:r>
      <w:r>
        <w:rPr>
          <w:position w:val="2"/>
        </w:rPr>
        <w:t>tejidos (DO</w:t>
      </w:r>
      <w:r>
        <w:rPr>
          <w:sz w:val="16"/>
        </w:rPr>
        <w:t>2</w:t>
      </w:r>
      <w:r>
        <w:rPr>
          <w:position w:val="2"/>
        </w:rPr>
        <w:t>) disminuyó de manera significativa en los grupos DEX y su combinación </w:t>
      </w:r>
      <w:r>
        <w:rPr/>
        <w:t>LID-DEX con respecto al grupo LID y el valor basal, sin llegar a ser una liberación de </w:t>
      </w:r>
      <w:r>
        <w:rPr>
          <w:position w:val="2"/>
        </w:rPr>
        <w:t>oxígeno hacia los tejidos critica DO</w:t>
      </w:r>
      <w:r>
        <w:rPr>
          <w:sz w:val="16"/>
        </w:rPr>
        <w:t>2crit, </w:t>
      </w:r>
      <w:r>
        <w:rPr>
          <w:position w:val="2"/>
        </w:rPr>
        <w:t>. Esta modificación en la DO</w:t>
      </w:r>
      <w:r>
        <w:rPr>
          <w:sz w:val="16"/>
        </w:rPr>
        <w:t>2 </w:t>
      </w:r>
      <w:r>
        <w:rPr>
          <w:position w:val="2"/>
        </w:rPr>
        <w:t>se debe a la disminución del GC, lo que contribuyó a una diferencia significativa en la DO</w:t>
      </w:r>
      <w:r>
        <w:rPr>
          <w:sz w:val="16"/>
        </w:rPr>
        <w:t>2  </w:t>
      </w:r>
      <w:r>
        <w:rPr>
          <w:position w:val="2"/>
        </w:rPr>
        <w:t>a pesar   del</w:t>
      </w:r>
    </w:p>
    <w:p>
      <w:pPr>
        <w:spacing w:after="0" w:line="357" w:lineRule="auto"/>
        <w:jc w:val="both"/>
        <w:sectPr>
          <w:pgSz w:w="12240" w:h="15840"/>
          <w:pgMar w:header="0" w:footer="1651" w:top="1500" w:bottom="1840" w:left="1720" w:right="1420"/>
        </w:sectPr>
      </w:pPr>
    </w:p>
    <w:p>
      <w:pPr>
        <w:pStyle w:val="BodyText"/>
        <w:spacing w:before="7"/>
        <w:rPr>
          <w:sz w:val="20"/>
        </w:rPr>
      </w:pPr>
    </w:p>
    <w:p>
      <w:pPr>
        <w:pStyle w:val="BodyText"/>
        <w:spacing w:line="357" w:lineRule="auto" w:before="69"/>
        <w:ind w:left="152" w:right="127"/>
        <w:jc w:val="both"/>
      </w:pPr>
      <w:r>
        <w:rPr/>
        <w:t>aumento en el contenido de oxígeno en </w:t>
      </w:r>
      <w:r>
        <w:rPr>
          <w:spacing w:val="-5"/>
        </w:rPr>
        <w:t>la </w:t>
      </w:r>
      <w:r>
        <w:rPr/>
        <w:t>sangre, (Pascoe </w:t>
      </w:r>
      <w:r>
        <w:rPr>
          <w:i/>
        </w:rPr>
        <w:t>et al</w:t>
      </w:r>
      <w:r>
        <w:rPr/>
        <w:t>, 2014; Lin </w:t>
      </w:r>
      <w:r>
        <w:rPr>
          <w:i/>
        </w:rPr>
        <w:t>et al</w:t>
      </w:r>
      <w:r>
        <w:rPr/>
        <w:t>. 2008) </w:t>
      </w:r>
      <w:r>
        <w:rPr>
          <w:spacing w:val="-5"/>
        </w:rPr>
        <w:t>lo </w:t>
      </w:r>
      <w:r>
        <w:rPr/>
        <w:t>cual se observó en los estudios realizados por </w:t>
      </w:r>
      <w:r>
        <w:rPr>
          <w:spacing w:val="-3"/>
        </w:rPr>
        <w:t>Lin </w:t>
      </w:r>
      <w:r>
        <w:rPr>
          <w:i/>
        </w:rPr>
        <w:t>et al</w:t>
      </w:r>
      <w:r>
        <w:rPr/>
        <w:t>. 2008 y Pascoe 2014, en el que a </w:t>
      </w:r>
      <w:r>
        <w:rPr>
          <w:position w:val="2"/>
        </w:rPr>
        <w:t>pesar de disminuir el DO</w:t>
      </w:r>
      <w:r>
        <w:rPr>
          <w:sz w:val="16"/>
        </w:rPr>
        <w:t>2 </w:t>
      </w:r>
      <w:r>
        <w:rPr>
          <w:position w:val="2"/>
        </w:rPr>
        <w:t>casi en un 48%, </w:t>
      </w:r>
      <w:r>
        <w:rPr>
          <w:spacing w:val="-3"/>
          <w:position w:val="2"/>
        </w:rPr>
        <w:t>no </w:t>
      </w:r>
      <w:r>
        <w:rPr>
          <w:position w:val="2"/>
        </w:rPr>
        <w:t>aumento el lactato </w:t>
      </w:r>
      <w:r>
        <w:rPr>
          <w:spacing w:val="-5"/>
          <w:position w:val="2"/>
        </w:rPr>
        <w:t>lo </w:t>
      </w:r>
      <w:r>
        <w:rPr>
          <w:position w:val="2"/>
        </w:rPr>
        <w:t>cual indica que </w:t>
      </w:r>
      <w:r>
        <w:rPr>
          <w:spacing w:val="-3"/>
          <w:position w:val="2"/>
        </w:rPr>
        <w:t>no  </w:t>
      </w:r>
      <w:r>
        <w:rPr/>
        <w:t>existe sufrimiento a nivel celular. Esto puede explicarse de </w:t>
      </w:r>
      <w:r>
        <w:rPr>
          <w:spacing w:val="-3"/>
        </w:rPr>
        <w:t>la </w:t>
      </w:r>
      <w:r>
        <w:rPr/>
        <w:t>siguiente manera: De acuerdo </w:t>
      </w:r>
      <w:r>
        <w:rPr>
          <w:position w:val="2"/>
        </w:rPr>
        <w:t>con el principio de Fick una disminución en el </w:t>
      </w:r>
      <w:r>
        <w:rPr>
          <w:spacing w:val="2"/>
          <w:position w:val="2"/>
        </w:rPr>
        <w:t>DO</w:t>
      </w:r>
      <w:r>
        <w:rPr>
          <w:spacing w:val="2"/>
          <w:sz w:val="16"/>
        </w:rPr>
        <w:t>2 </w:t>
      </w:r>
      <w:r>
        <w:rPr>
          <w:position w:val="2"/>
        </w:rPr>
        <w:t>es compensada por un aumento en </w:t>
      </w:r>
      <w:r>
        <w:rPr>
          <w:spacing w:val="-5"/>
          <w:position w:val="2"/>
        </w:rPr>
        <w:t>la </w:t>
      </w:r>
      <w:r>
        <w:rPr>
          <w:position w:val="2"/>
        </w:rPr>
        <w:t>extracción de oxígeno Ca-vO2 para satisfacer </w:t>
      </w:r>
      <w:r>
        <w:rPr>
          <w:spacing w:val="-3"/>
          <w:position w:val="2"/>
        </w:rPr>
        <w:t>la </w:t>
      </w:r>
      <w:r>
        <w:rPr>
          <w:position w:val="2"/>
        </w:rPr>
        <w:t>demanda de de O</w:t>
      </w:r>
      <w:r>
        <w:rPr>
          <w:sz w:val="16"/>
        </w:rPr>
        <w:t>2 </w:t>
      </w:r>
      <w:r>
        <w:rPr>
          <w:position w:val="2"/>
        </w:rPr>
        <w:t>hacia los tejidos y en consecuencia </w:t>
      </w:r>
      <w:r>
        <w:rPr>
          <w:spacing w:val="-3"/>
          <w:position w:val="2"/>
        </w:rPr>
        <w:t>la </w:t>
      </w:r>
      <w:r>
        <w:rPr>
          <w:position w:val="2"/>
        </w:rPr>
        <w:t>VO</w:t>
      </w:r>
      <w:r>
        <w:rPr>
          <w:sz w:val="16"/>
        </w:rPr>
        <w:t>2 </w:t>
      </w:r>
      <w:r>
        <w:rPr>
          <w:position w:val="2"/>
        </w:rPr>
        <w:t>permanece relativamente constante. Sin embargo, una vez que </w:t>
      </w:r>
      <w:r>
        <w:rPr>
          <w:spacing w:val="-3"/>
          <w:position w:val="2"/>
        </w:rPr>
        <w:t>la </w:t>
      </w:r>
      <w:r>
        <w:rPr>
          <w:position w:val="2"/>
        </w:rPr>
        <w:t>DO</w:t>
      </w:r>
      <w:r>
        <w:rPr>
          <w:sz w:val="16"/>
        </w:rPr>
        <w:t>2 </w:t>
      </w:r>
      <w:r>
        <w:rPr>
          <w:position w:val="2"/>
        </w:rPr>
        <w:t>disminuye por </w:t>
      </w:r>
      <w:r>
        <w:rPr>
          <w:spacing w:val="-3"/>
          <w:position w:val="2"/>
        </w:rPr>
        <w:t>debajo </w:t>
      </w:r>
      <w:r>
        <w:rPr>
          <w:position w:val="2"/>
        </w:rPr>
        <w:t>de un nivel crítico (DO</w:t>
      </w:r>
      <w:r>
        <w:rPr>
          <w:sz w:val="16"/>
        </w:rPr>
        <w:t>2crit</w:t>
      </w:r>
      <w:r>
        <w:rPr>
          <w:position w:val="2"/>
        </w:rPr>
        <w:t>), Ca-vO</w:t>
      </w:r>
      <w:r>
        <w:rPr>
          <w:sz w:val="16"/>
        </w:rPr>
        <w:t>2 </w:t>
      </w:r>
      <w:r>
        <w:rPr>
          <w:spacing w:val="-3"/>
          <w:position w:val="2"/>
        </w:rPr>
        <w:t>ya no </w:t>
      </w:r>
      <w:r>
        <w:rPr>
          <w:position w:val="2"/>
        </w:rPr>
        <w:t>puede aumentar para compensar </w:t>
      </w:r>
      <w:r>
        <w:rPr>
          <w:spacing w:val="-3"/>
          <w:position w:val="2"/>
        </w:rPr>
        <w:t>la </w:t>
      </w:r>
      <w:r>
        <w:rPr>
          <w:position w:val="2"/>
        </w:rPr>
        <w:t>DO</w:t>
      </w:r>
      <w:r>
        <w:rPr>
          <w:sz w:val="16"/>
        </w:rPr>
        <w:t>2 </w:t>
      </w:r>
      <w:r>
        <w:rPr>
          <w:position w:val="2"/>
        </w:rPr>
        <w:t>disminuida y como consecuencia, </w:t>
      </w:r>
      <w:r>
        <w:rPr>
          <w:spacing w:val="-3"/>
          <w:position w:val="2"/>
        </w:rPr>
        <w:t>la </w:t>
      </w:r>
      <w:r>
        <w:rPr>
          <w:position w:val="2"/>
        </w:rPr>
        <w:t>VO</w:t>
      </w:r>
      <w:r>
        <w:rPr>
          <w:sz w:val="16"/>
        </w:rPr>
        <w:t>2 </w:t>
      </w:r>
      <w:r>
        <w:rPr>
          <w:position w:val="2"/>
        </w:rPr>
        <w:t>disminuye y se convierte directamente dependiente de </w:t>
      </w:r>
      <w:r>
        <w:rPr>
          <w:spacing w:val="-5"/>
          <w:position w:val="2"/>
        </w:rPr>
        <w:t>la </w:t>
      </w:r>
      <w:r>
        <w:rPr>
          <w:position w:val="2"/>
        </w:rPr>
        <w:t>DO</w:t>
      </w:r>
      <w:r>
        <w:rPr>
          <w:sz w:val="16"/>
        </w:rPr>
        <w:t>2 </w:t>
      </w:r>
      <w:r>
        <w:rPr>
          <w:position w:val="2"/>
        </w:rPr>
        <w:t>y las células inician un mecanismo anaeróbico. Por </w:t>
      </w:r>
      <w:r>
        <w:rPr>
          <w:spacing w:val="-5"/>
          <w:position w:val="2"/>
        </w:rPr>
        <w:t>lo </w:t>
      </w:r>
      <w:r>
        <w:rPr/>
        <w:t>tanto, el lactato en sangre aumenta, con disminución del déficit de base así como </w:t>
      </w:r>
      <w:r>
        <w:rPr>
          <w:spacing w:val="-5"/>
        </w:rPr>
        <w:t>la </w:t>
      </w:r>
      <w:r>
        <w:rPr>
          <w:position w:val="2"/>
        </w:rPr>
        <w:t>extracción de oxígeno tisular (SvO</w:t>
      </w:r>
      <w:r>
        <w:rPr>
          <w:sz w:val="16"/>
        </w:rPr>
        <w:t>2</w:t>
      </w:r>
      <w:r>
        <w:rPr>
          <w:position w:val="2"/>
        </w:rPr>
        <w:t>) (Johnson</w:t>
      </w:r>
      <w:r>
        <w:rPr>
          <w:spacing w:val="-18"/>
          <w:position w:val="2"/>
        </w:rPr>
        <w:t> </w:t>
      </w:r>
      <w:r>
        <w:rPr>
          <w:position w:val="2"/>
        </w:rPr>
        <w:t>2004).</w:t>
      </w:r>
    </w:p>
    <w:p>
      <w:pPr>
        <w:pStyle w:val="BodyText"/>
        <w:spacing w:line="360" w:lineRule="auto" w:before="3"/>
        <w:ind w:left="152" w:right="127" w:firstLine="710"/>
        <w:jc w:val="both"/>
      </w:pPr>
      <w:r>
        <w:rPr/>
        <w:t>En lo que respecta al grupo de la LIDO, se observaron cambios mínimos en la función cardiovascular. Al comparar los resultados obtenidos en nuestro estudio donde utilizamos una dosis de carga de 2mg/Kg seguido de una infusión continua de lidocaína a 100 μg/Kg/min, coincide con el estudio realizado por Nunes de Moraes </w:t>
      </w:r>
      <w:r>
        <w:rPr>
          <w:i/>
        </w:rPr>
        <w:t>et al</w:t>
      </w:r>
      <w:r>
        <w:rPr/>
        <w:t>. 1998.</w:t>
      </w:r>
    </w:p>
    <w:p>
      <w:pPr>
        <w:pStyle w:val="BodyText"/>
      </w:pPr>
    </w:p>
    <w:p>
      <w:pPr>
        <w:pStyle w:val="Heading2"/>
        <w:numPr>
          <w:ilvl w:val="1"/>
          <w:numId w:val="2"/>
        </w:numPr>
        <w:tabs>
          <w:tab w:pos="518" w:val="left" w:leader="none"/>
        </w:tabs>
        <w:spacing w:line="240" w:lineRule="auto" w:before="145" w:after="0"/>
        <w:ind w:left="517" w:right="0" w:hanging="365"/>
        <w:jc w:val="both"/>
      </w:pPr>
      <w:bookmarkStart w:name="_bookmark89" w:id="145"/>
      <w:bookmarkEnd w:id="145"/>
      <w:r>
        <w:rPr>
          <w:b w:val="0"/>
        </w:rPr>
      </w:r>
      <w:bookmarkStart w:name="_bookmark89" w:id="146"/>
      <w:bookmarkEnd w:id="146"/>
      <w:r>
        <w:rPr/>
        <w:t>E</w:t>
      </w:r>
      <w:r>
        <w:rPr/>
        <w:t>fectos sobre </w:t>
      </w:r>
      <w:r>
        <w:rPr>
          <w:spacing w:val="-3"/>
        </w:rPr>
        <w:t>la </w:t>
      </w:r>
      <w:r>
        <w:rPr/>
        <w:t>concentración alveolar mínima</w:t>
      </w:r>
      <w:r>
        <w:rPr>
          <w:spacing w:val="-11"/>
        </w:rPr>
        <w:t> </w:t>
      </w:r>
      <w:r>
        <w:rPr/>
        <w:t>(CAM)</w:t>
      </w:r>
    </w:p>
    <w:p>
      <w:pPr>
        <w:pStyle w:val="BodyText"/>
        <w:rPr>
          <w:b/>
        </w:rPr>
      </w:pPr>
    </w:p>
    <w:p>
      <w:pPr>
        <w:pStyle w:val="BodyText"/>
        <w:spacing w:before="9"/>
        <w:rPr>
          <w:b/>
          <w:sz w:val="23"/>
        </w:rPr>
      </w:pPr>
    </w:p>
    <w:p>
      <w:pPr>
        <w:pStyle w:val="BodyText"/>
        <w:spacing w:line="360" w:lineRule="auto"/>
        <w:ind w:left="152" w:right="121" w:firstLine="710"/>
        <w:jc w:val="both"/>
      </w:pPr>
      <w:r>
        <w:rPr/>
        <w:t>En lo que respecta a la valoración de la concentración alveolar mínima (CAM) de sevoflurano en nuestro estudio, pudimos observar que la combinación de lidocaína y dexmedetomidina en infusión continua, disminuyo de manera estadísticamente significativa la CAM en el grupo DEX y LID-DEX, cuando fue comparado con el grupo LID y el valor basal. Por lo cual se espera pueda proporcionar una anestesia de tipo balanceada y clínicamente útil en perros anestesiados con sevoflurano. La CAM de sevoflurano en perros se encuentra en un rango que va de 2,1% a 2,4% (Ko </w:t>
      </w:r>
      <w:r>
        <w:rPr>
          <w:i/>
        </w:rPr>
        <w:t>et al</w:t>
      </w:r>
      <w:r>
        <w:rPr/>
        <w:t>. 2000; Kazama </w:t>
      </w:r>
      <w:r>
        <w:rPr>
          <w:i/>
        </w:rPr>
        <w:t>et al</w:t>
      </w:r>
      <w:r>
        <w:rPr/>
        <w:t>.1988; Matsubara 2009; Wilson </w:t>
      </w:r>
      <w:r>
        <w:rPr>
          <w:i/>
        </w:rPr>
        <w:t>et al</w:t>
      </w:r>
      <w:r>
        <w:rPr/>
        <w:t>. 2008).</w:t>
      </w:r>
    </w:p>
    <w:p>
      <w:pPr>
        <w:pStyle w:val="BodyText"/>
        <w:spacing w:line="362" w:lineRule="auto" w:before="4"/>
        <w:ind w:left="152" w:right="116" w:firstLine="710"/>
        <w:jc w:val="both"/>
      </w:pPr>
      <w:r>
        <w:rPr/>
        <w:t>La CAM basal de sevoflurano en nuestro estudio fue de 1.82% (Es decir, SEV- </w:t>
      </w:r>
      <w:r>
        <w:rPr>
          <w:position w:val="2"/>
        </w:rPr>
        <w:t>CAM</w:t>
      </w:r>
      <w:r>
        <w:rPr>
          <w:sz w:val="16"/>
        </w:rPr>
        <w:t>BASAL</w:t>
      </w:r>
      <w:r>
        <w:rPr>
          <w:position w:val="2"/>
        </w:rPr>
        <w:t>), que es aproximadamente 14-20% menos que la reportada en estudios  previos,</w:t>
      </w:r>
    </w:p>
    <w:p>
      <w:pPr>
        <w:spacing w:after="0" w:line="362" w:lineRule="auto"/>
        <w:jc w:val="both"/>
        <w:sectPr>
          <w:pgSz w:w="12240" w:h="15840"/>
          <w:pgMar w:header="0" w:footer="1651" w:top="1500" w:bottom="1840" w:left="1720" w:right="1400"/>
        </w:sectPr>
      </w:pPr>
    </w:p>
    <w:p>
      <w:pPr>
        <w:pStyle w:val="BodyText"/>
        <w:spacing w:before="7"/>
        <w:rPr>
          <w:sz w:val="20"/>
        </w:rPr>
      </w:pPr>
    </w:p>
    <w:p>
      <w:pPr>
        <w:pStyle w:val="BodyText"/>
        <w:spacing w:line="360" w:lineRule="auto" w:before="69"/>
        <w:ind w:left="152" w:right="106"/>
      </w:pPr>
      <w:r>
        <w:rPr/>
        <w:t>pero muy similar a la reportada por Seddighi </w:t>
      </w:r>
      <w:r>
        <w:rPr>
          <w:i/>
        </w:rPr>
        <w:t>et al</w:t>
      </w:r>
      <w:r>
        <w:rPr/>
        <w:t>. (2009) la cual fue de 1.78% y de 1.9% por Wilson </w:t>
      </w:r>
      <w:r>
        <w:rPr>
          <w:i/>
        </w:rPr>
        <w:t>et al</w:t>
      </w:r>
      <w:r>
        <w:rPr/>
        <w:t>. (2008).</w:t>
      </w:r>
    </w:p>
    <w:p>
      <w:pPr>
        <w:pStyle w:val="BodyText"/>
        <w:spacing w:line="360" w:lineRule="auto" w:before="4"/>
        <w:ind w:left="152" w:right="101" w:firstLine="710"/>
        <w:jc w:val="both"/>
      </w:pPr>
      <w:r>
        <w:rPr/>
        <w:t>La CAM de un anestésico inhalatorio puede diferir sustancialmente entre especie (Uilenreef </w:t>
      </w:r>
      <w:r>
        <w:rPr>
          <w:i/>
        </w:rPr>
        <w:t>et al</w:t>
      </w:r>
      <w:r>
        <w:rPr/>
        <w:t>.2008). Factores que afectan a </w:t>
      </w:r>
      <w:r>
        <w:rPr>
          <w:spacing w:val="-3"/>
        </w:rPr>
        <w:t>la </w:t>
      </w:r>
      <w:r>
        <w:rPr/>
        <w:t>variabilidad en </w:t>
      </w:r>
      <w:r>
        <w:rPr>
          <w:spacing w:val="-3"/>
        </w:rPr>
        <w:t>la </w:t>
      </w:r>
      <w:r>
        <w:rPr/>
        <w:t>CAM incluyen el tipo de estímulo nocivo, </w:t>
      </w:r>
      <w:r>
        <w:rPr>
          <w:spacing w:val="-5"/>
        </w:rPr>
        <w:t>la </w:t>
      </w:r>
      <w:r>
        <w:rPr/>
        <w:t>subjetividad en </w:t>
      </w:r>
      <w:r>
        <w:rPr>
          <w:spacing w:val="-3"/>
        </w:rPr>
        <w:t>la </w:t>
      </w:r>
      <w:r>
        <w:rPr/>
        <w:t>interpretación, </w:t>
      </w:r>
      <w:r>
        <w:rPr>
          <w:spacing w:val="-3"/>
        </w:rPr>
        <w:t>las </w:t>
      </w:r>
      <w:r>
        <w:rPr/>
        <w:t>diferencias en el sitio anatómico de </w:t>
      </w:r>
      <w:r>
        <w:rPr>
          <w:spacing w:val="-3"/>
          <w:position w:val="2"/>
        </w:rPr>
        <w:t>la </w:t>
      </w:r>
      <w:r>
        <w:rPr>
          <w:position w:val="2"/>
        </w:rPr>
        <w:t>estimulación y las diferencias en las variables fisiológicas, tales como PaCO</w:t>
      </w:r>
      <w:r>
        <w:rPr>
          <w:sz w:val="16"/>
        </w:rPr>
        <w:t>2</w:t>
      </w:r>
      <w:r>
        <w:rPr>
          <w:position w:val="2"/>
        </w:rPr>
        <w:t>, </w:t>
      </w:r>
      <w:r>
        <w:rPr>
          <w:spacing w:val="-5"/>
          <w:position w:val="2"/>
        </w:rPr>
        <w:t>la </w:t>
      </w:r>
      <w:r>
        <w:rPr/>
        <w:t>temperatura corporal, </w:t>
      </w:r>
      <w:r>
        <w:rPr>
          <w:spacing w:val="-5"/>
        </w:rPr>
        <w:t>la </w:t>
      </w:r>
      <w:r>
        <w:rPr/>
        <w:t>presión arterial sanguínea y </w:t>
      </w:r>
      <w:r>
        <w:rPr>
          <w:spacing w:val="-3"/>
        </w:rPr>
        <w:t>la </w:t>
      </w:r>
      <w:r>
        <w:rPr/>
        <w:t>edad (Pypendop </w:t>
      </w:r>
      <w:r>
        <w:rPr>
          <w:i/>
        </w:rPr>
        <w:t>et al</w:t>
      </w:r>
      <w:r>
        <w:rPr/>
        <w:t>.1998; Yamashita </w:t>
      </w:r>
      <w:r>
        <w:rPr>
          <w:i/>
        </w:rPr>
        <w:t>et al </w:t>
      </w:r>
      <w:r>
        <w:rPr/>
        <w:t>2008; Yamashita </w:t>
      </w:r>
      <w:r>
        <w:rPr>
          <w:i/>
        </w:rPr>
        <w:t>et al</w:t>
      </w:r>
      <w:r>
        <w:rPr/>
        <w:t>. 2009). En nuestro estudio para evitar esta variación fue minimizada mediante el uso de un solo observador y el mantenimiento de temperatura, </w:t>
      </w:r>
      <w:r>
        <w:rPr>
          <w:position w:val="2"/>
        </w:rPr>
        <w:t>ETCO</w:t>
      </w:r>
      <w:r>
        <w:rPr>
          <w:sz w:val="16"/>
        </w:rPr>
        <w:t>2 </w:t>
      </w:r>
      <w:r>
        <w:rPr>
          <w:position w:val="2"/>
        </w:rPr>
        <w:t>y </w:t>
      </w:r>
      <w:r>
        <w:rPr>
          <w:spacing w:val="-3"/>
          <w:position w:val="2"/>
        </w:rPr>
        <w:t>la </w:t>
      </w:r>
      <w:r>
        <w:rPr>
          <w:position w:val="2"/>
        </w:rPr>
        <w:t>presión arterial dentro de rango fisiológico. En los perros, </w:t>
      </w:r>
      <w:r>
        <w:rPr>
          <w:spacing w:val="-5"/>
          <w:position w:val="2"/>
        </w:rPr>
        <w:t>la </w:t>
      </w:r>
      <w:r>
        <w:rPr>
          <w:position w:val="2"/>
        </w:rPr>
        <w:t>infusión continua </w:t>
      </w:r>
      <w:r>
        <w:rPr/>
        <w:t>de lidocaína </w:t>
      </w:r>
      <w:r>
        <w:rPr>
          <w:spacing w:val="-3"/>
        </w:rPr>
        <w:t>ha </w:t>
      </w:r>
      <w:r>
        <w:rPr/>
        <w:t>demostrado reducir el CAM de los anestésicos inhalatorios, como  isoflurano y el sevoflurano de una manera dependiente de </w:t>
      </w:r>
      <w:r>
        <w:rPr>
          <w:spacing w:val="-3"/>
        </w:rPr>
        <w:t>la </w:t>
      </w:r>
      <w:r>
        <w:rPr/>
        <w:t>dosis (Matsubara </w:t>
      </w:r>
      <w:r>
        <w:rPr>
          <w:i/>
        </w:rPr>
        <w:t>et al</w:t>
      </w:r>
      <w:r>
        <w:rPr/>
        <w:t>. 2009; Valverde </w:t>
      </w:r>
      <w:r>
        <w:rPr>
          <w:i/>
        </w:rPr>
        <w:t>et al</w:t>
      </w:r>
      <w:r>
        <w:rPr/>
        <w:t>. 2004). En el trabajo de Valverde y cols, (2004) se pudo observar que </w:t>
      </w:r>
      <w:r>
        <w:rPr>
          <w:spacing w:val="-3"/>
        </w:rPr>
        <w:t>la</w:t>
      </w:r>
      <w:r>
        <w:rPr>
          <w:spacing w:val="54"/>
        </w:rPr>
        <w:t> </w:t>
      </w:r>
      <w:r>
        <w:rPr/>
        <w:t>infusión continua de lidocaína redujo el CAM del isoflurano en un 18.7%, cuando utilizo dosis de 50 µg/Kg/min previo a </w:t>
      </w:r>
      <w:r>
        <w:rPr>
          <w:spacing w:val="-3"/>
        </w:rPr>
        <w:t>la </w:t>
      </w:r>
      <w:r>
        <w:rPr/>
        <w:t>administración de una dosis de carga de 2 mg/Kg,  similar a </w:t>
      </w:r>
      <w:r>
        <w:rPr>
          <w:spacing w:val="-5"/>
        </w:rPr>
        <w:t>lo </w:t>
      </w:r>
      <w:r>
        <w:rPr/>
        <w:t>observado en nuestro estudio cuando utilizamos dosis de 100 µg/Kg/min, pudiendo observar una disminución del 27.7%. Sin embargo en el estudio de Matsubara </w:t>
      </w:r>
      <w:r>
        <w:rPr>
          <w:i/>
        </w:rPr>
        <w:t>et </w:t>
      </w:r>
      <w:r>
        <w:rPr>
          <w:i/>
        </w:rPr>
        <w:t>al</w:t>
      </w:r>
      <w:r>
        <w:rPr/>
        <w:t>. (2009), se pudo ver que </w:t>
      </w:r>
      <w:r>
        <w:rPr>
          <w:spacing w:val="-5"/>
        </w:rPr>
        <w:t>la </w:t>
      </w:r>
      <w:r>
        <w:rPr/>
        <w:t>infusión continua de lidocaína redujo </w:t>
      </w:r>
      <w:r>
        <w:rPr>
          <w:spacing w:val="-5"/>
        </w:rPr>
        <w:t>la </w:t>
      </w:r>
      <w:r>
        <w:rPr/>
        <w:t>CAM del sevoflurano en un 15% cuando utilizo dosis de 50 µk/Kg/min, previo a una dosis de carga de 2 mg/Kg y en un 37% cuando utilizo dosis de 200 µg/Kg/min en infusión continua, similar a </w:t>
      </w:r>
      <w:r>
        <w:rPr>
          <w:spacing w:val="-5"/>
        </w:rPr>
        <w:t>lo </w:t>
      </w:r>
      <w:r>
        <w:rPr/>
        <w:t>observado en nuestro estudio. Wilson y cols, (2008) observaron que </w:t>
      </w:r>
      <w:r>
        <w:rPr>
          <w:spacing w:val="-3"/>
        </w:rPr>
        <w:t>la </w:t>
      </w:r>
      <w:r>
        <w:rPr/>
        <w:t>infusión continua de lidocaína a 100 µg/Kg/min previo a </w:t>
      </w:r>
      <w:r>
        <w:rPr>
          <w:spacing w:val="-3"/>
        </w:rPr>
        <w:t>la </w:t>
      </w:r>
      <w:r>
        <w:rPr/>
        <w:t>administración de dosis de carga de 2 mg/Kg IV redujo </w:t>
      </w:r>
      <w:r>
        <w:rPr>
          <w:spacing w:val="-3"/>
        </w:rPr>
        <w:t>la </w:t>
      </w:r>
      <w:r>
        <w:rPr/>
        <w:t>CAM del sevoflurano en un 29%, </w:t>
      </w:r>
      <w:r>
        <w:rPr>
          <w:spacing w:val="-5"/>
        </w:rPr>
        <w:t>lo </w:t>
      </w:r>
      <w:r>
        <w:rPr/>
        <w:t>cual es similar a </w:t>
      </w:r>
      <w:r>
        <w:rPr>
          <w:spacing w:val="-5"/>
        </w:rPr>
        <w:t>lo </w:t>
      </w:r>
      <w:r>
        <w:rPr/>
        <w:t>observado en nuestro estudio.</w:t>
      </w:r>
    </w:p>
    <w:p>
      <w:pPr>
        <w:pStyle w:val="BodyText"/>
        <w:spacing w:line="360" w:lineRule="auto" w:before="8"/>
        <w:ind w:left="152" w:right="106" w:firstLine="710"/>
        <w:jc w:val="both"/>
      </w:pPr>
      <w:r>
        <w:rPr/>
        <w:t>Si bien los mecanismos exactos por los cuales la lidocaína en infusión continua disminuye la CAM no se conoce. Se postula que la analgesia producida por la infusión continua de lidocaína puede ser debido a un mecanismo a nivel supraespinal o en la médula espinal (Bach </w:t>
      </w:r>
      <w:r>
        <w:rPr>
          <w:i/>
        </w:rPr>
        <w:t>et al</w:t>
      </w:r>
      <w:r>
        <w:rPr/>
        <w:t>. 1990), lo cual puede esperar que cause una disminución en la CAM de los anestésicos inhalatorios. Otra teoría seria que actúa a nivel de los canales de sodio en  el</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152" w:right="105"/>
        <w:jc w:val="both"/>
      </w:pPr>
      <w:r>
        <w:rPr/>
        <w:t>sistema nervioso central (Pypendop </w:t>
      </w:r>
      <w:r>
        <w:rPr>
          <w:i/>
        </w:rPr>
        <w:t>et al</w:t>
      </w:r>
      <w:r>
        <w:rPr/>
        <w:t>. 2005; Quasha </w:t>
      </w:r>
      <w:r>
        <w:rPr>
          <w:i/>
        </w:rPr>
        <w:t>et al</w:t>
      </w:r>
      <w:r>
        <w:rPr/>
        <w:t>. 1980). Además, existen algunos informes de </w:t>
      </w:r>
      <w:r>
        <w:rPr>
          <w:spacing w:val="-3"/>
        </w:rPr>
        <w:t>la </w:t>
      </w:r>
      <w:r>
        <w:rPr/>
        <w:t>inhibición de potencial acción sobre </w:t>
      </w:r>
      <w:r>
        <w:rPr>
          <w:spacing w:val="-3"/>
        </w:rPr>
        <w:t>la </w:t>
      </w:r>
      <w:r>
        <w:rPr/>
        <w:t>excitabilidad de </w:t>
      </w:r>
      <w:r>
        <w:rPr>
          <w:spacing w:val="-3"/>
        </w:rPr>
        <w:t>las </w:t>
      </w:r>
      <w:r>
        <w:rPr/>
        <w:t>células   en el sistema nervioso central (Butterworth et </w:t>
      </w:r>
      <w:r>
        <w:rPr>
          <w:spacing w:val="3"/>
        </w:rPr>
        <w:t>a. </w:t>
      </w:r>
      <w:r>
        <w:rPr/>
        <w:t>1993), </w:t>
      </w:r>
      <w:r>
        <w:rPr>
          <w:spacing w:val="-5"/>
        </w:rPr>
        <w:t>lo </w:t>
      </w:r>
      <w:r>
        <w:rPr/>
        <w:t>que puede explicar tanto </w:t>
      </w:r>
      <w:r>
        <w:rPr>
          <w:spacing w:val="-4"/>
        </w:rPr>
        <w:t>las </w:t>
      </w:r>
      <w:r>
        <w:rPr/>
        <w:t>propiedades analgésicas y </w:t>
      </w:r>
      <w:r>
        <w:rPr>
          <w:spacing w:val="-3"/>
        </w:rPr>
        <w:t>la </w:t>
      </w:r>
      <w:r>
        <w:rPr/>
        <w:t>capacidad de lidocaína para reducir </w:t>
      </w:r>
      <w:r>
        <w:rPr>
          <w:spacing w:val="-3"/>
        </w:rPr>
        <w:t>la </w:t>
      </w:r>
      <w:r>
        <w:rPr/>
        <w:t>CAM (Butterworth </w:t>
      </w:r>
      <w:r>
        <w:rPr>
          <w:i/>
        </w:rPr>
        <w:t>et  </w:t>
      </w:r>
      <w:r>
        <w:rPr>
          <w:i/>
        </w:rPr>
        <w:t>al</w:t>
      </w:r>
      <w:r>
        <w:rPr/>
        <w:t>. 1993). También es posible que </w:t>
      </w:r>
      <w:r>
        <w:rPr>
          <w:spacing w:val="-3"/>
        </w:rPr>
        <w:t>la </w:t>
      </w:r>
      <w:r>
        <w:rPr/>
        <w:t>reducción de </w:t>
      </w:r>
      <w:r>
        <w:rPr>
          <w:spacing w:val="-5"/>
        </w:rPr>
        <w:t>la </w:t>
      </w:r>
      <w:r>
        <w:rPr/>
        <w:t>CAM por parte de </w:t>
      </w:r>
      <w:r>
        <w:rPr>
          <w:spacing w:val="-5"/>
        </w:rPr>
        <w:t>la </w:t>
      </w:r>
      <w:r>
        <w:rPr/>
        <w:t>lidocaína sea el resultado de los efectos sedantes que produce, similar a otros fármacos con acciones sedantes, como </w:t>
      </w:r>
      <w:r>
        <w:rPr>
          <w:spacing w:val="-5"/>
        </w:rPr>
        <w:t>la </w:t>
      </w:r>
      <w:r>
        <w:rPr/>
        <w:t>acepromacina (Doherty </w:t>
      </w:r>
      <w:r>
        <w:rPr>
          <w:i/>
        </w:rPr>
        <w:t>et al</w:t>
      </w:r>
      <w:r>
        <w:rPr/>
        <w:t>. 2007; Quasha </w:t>
      </w:r>
      <w:r>
        <w:rPr>
          <w:i/>
        </w:rPr>
        <w:t>et al</w:t>
      </w:r>
      <w:r>
        <w:rPr/>
        <w:t>.</w:t>
      </w:r>
      <w:r>
        <w:rPr>
          <w:spacing w:val="-3"/>
        </w:rPr>
        <w:t> </w:t>
      </w:r>
      <w:r>
        <w:rPr/>
        <w:t>1980).</w:t>
      </w:r>
    </w:p>
    <w:p>
      <w:pPr>
        <w:pStyle w:val="BodyText"/>
      </w:pPr>
    </w:p>
    <w:p>
      <w:pPr>
        <w:pStyle w:val="BodyText"/>
        <w:spacing w:line="360" w:lineRule="auto" w:before="145"/>
        <w:ind w:left="152" w:right="100" w:firstLine="710"/>
        <w:jc w:val="both"/>
      </w:pPr>
      <w:r>
        <w:rPr/>
        <w:t>En lo que se refiere a la dexmedetomidina es bien sabido que reduce la CAM del isoflurano en perros (Ebner </w:t>
      </w:r>
      <w:r>
        <w:rPr>
          <w:i/>
        </w:rPr>
        <w:t>et al</w:t>
      </w:r>
      <w:r>
        <w:rPr/>
        <w:t>. 2013; Pascoe </w:t>
      </w:r>
      <w:r>
        <w:rPr>
          <w:i/>
        </w:rPr>
        <w:t>et al</w:t>
      </w:r>
      <w:r>
        <w:rPr/>
        <w:t>. 2006). El estudio de Pascoe y cols, (2006) Informó que la dexmedetomidina en infusión continua disminuyo la CAM del isoflurano en un 18% a dosis de 0.5/µg/Kg/hr previo a una dosis de carga de 0.5 µg/Kg, IV y 59% cuando utilizo dosis de 3 µg /Kg/hr después de una dosis de carga de 3μg/Kg IV, lo cual es similar a lo observado en nuestro estudio en el grupo DEX en un 40.5%. Por otro lado Ebner y cols, (2013) observo en su estudio que la infusión continua de dexmedetomidina redujo la CAM del isoflurano en un 30%, cuando utilizo dosis de 0.5 µg/ Kg/hr, lo cual es similar a lo observado en nuestro estudio.</w:t>
      </w:r>
    </w:p>
    <w:p>
      <w:pPr>
        <w:pStyle w:val="BodyText"/>
        <w:spacing w:line="360" w:lineRule="auto" w:before="4"/>
        <w:ind w:left="152" w:right="103" w:firstLine="710"/>
        <w:jc w:val="both"/>
      </w:pPr>
      <w:r>
        <w:rPr/>
        <w:t>Se </w:t>
      </w:r>
      <w:r>
        <w:rPr>
          <w:spacing w:val="-3"/>
        </w:rPr>
        <w:t>ha </w:t>
      </w:r>
      <w:r>
        <w:rPr/>
        <w:t>comprobado de </w:t>
      </w:r>
      <w:r>
        <w:rPr>
          <w:spacing w:val="-5"/>
        </w:rPr>
        <w:t>la </w:t>
      </w:r>
      <w:r>
        <w:rPr/>
        <w:t>capacidad de </w:t>
      </w:r>
      <w:r>
        <w:rPr>
          <w:spacing w:val="-3"/>
        </w:rPr>
        <w:t>la </w:t>
      </w:r>
      <w:r>
        <w:rPr/>
        <w:t>dexmedetomidina para reducir </w:t>
      </w:r>
      <w:r>
        <w:rPr>
          <w:spacing w:val="-3"/>
        </w:rPr>
        <w:t>la </w:t>
      </w:r>
      <w:r>
        <w:rPr/>
        <w:t>CAM de los anestésicos inhalatorios, </w:t>
      </w:r>
      <w:r>
        <w:rPr>
          <w:spacing w:val="-5"/>
        </w:rPr>
        <w:t>la </w:t>
      </w:r>
      <w:r>
        <w:rPr/>
        <w:t>cual está mediada por </w:t>
      </w:r>
      <w:r>
        <w:rPr>
          <w:spacing w:val="-5"/>
        </w:rPr>
        <w:t>la </w:t>
      </w:r>
      <w:r>
        <w:rPr/>
        <w:t>activación de los receptores adrenérgicos α2, sin que exista participación de otro tipo de receptores (Segal y col. 1988; Kagawa y col. 1997). En este efecto reductor de </w:t>
      </w:r>
      <w:r>
        <w:rPr>
          <w:spacing w:val="-3"/>
        </w:rPr>
        <w:t>la </w:t>
      </w:r>
      <w:r>
        <w:rPr/>
        <w:t>CAM participan los receptores adrenérgicos α2 tanto pre- </w:t>
      </w:r>
      <w:r>
        <w:rPr>
          <w:spacing w:val="-3"/>
        </w:rPr>
        <w:t>como </w:t>
      </w:r>
      <w:r>
        <w:rPr/>
        <w:t>post-sinápticos (Segal y col. 1988 y 1989). La supresión  de </w:t>
      </w:r>
      <w:r>
        <w:rPr>
          <w:spacing w:val="-5"/>
        </w:rPr>
        <w:t>la </w:t>
      </w:r>
      <w:r>
        <w:rPr/>
        <w:t>neurotransmisión nociceptiva espinal se cree que puede ser una de las principales causas de </w:t>
      </w:r>
      <w:r>
        <w:rPr>
          <w:spacing w:val="-3"/>
        </w:rPr>
        <w:t>la </w:t>
      </w:r>
      <w:r>
        <w:rPr/>
        <w:t>reducción de </w:t>
      </w:r>
      <w:r>
        <w:rPr>
          <w:spacing w:val="-3"/>
        </w:rPr>
        <w:t>la </w:t>
      </w:r>
      <w:r>
        <w:rPr/>
        <w:t>CAM que produce </w:t>
      </w:r>
      <w:r>
        <w:rPr>
          <w:spacing w:val="-3"/>
        </w:rPr>
        <w:t>la </w:t>
      </w:r>
      <w:r>
        <w:rPr/>
        <w:t>dexmedetomidina (Savola y col, 1991b; Kagawa y col,</w:t>
      </w:r>
      <w:r>
        <w:rPr>
          <w:spacing w:val="-5"/>
        </w:rPr>
        <w:t> </w:t>
      </w:r>
      <w:r>
        <w:rPr/>
        <w:t>1997).</w:t>
      </w:r>
    </w:p>
    <w:p>
      <w:pPr>
        <w:pStyle w:val="BodyText"/>
        <w:spacing w:line="360" w:lineRule="auto" w:before="4"/>
        <w:ind w:left="152" w:right="103" w:firstLine="710"/>
        <w:jc w:val="both"/>
      </w:pPr>
      <w:r>
        <w:rPr/>
        <w:t>En el presente estudio </w:t>
      </w:r>
      <w:r>
        <w:rPr>
          <w:spacing w:val="-5"/>
        </w:rPr>
        <w:t>la </w:t>
      </w:r>
      <w:r>
        <w:rPr/>
        <w:t>combinación de LID (2 </w:t>
      </w:r>
      <w:r>
        <w:rPr>
          <w:spacing w:val="-3"/>
        </w:rPr>
        <w:t>mg/Kg </w:t>
      </w:r>
      <w:r>
        <w:rPr/>
        <w:t>IV seguido por  una  infusión continua de 100 µg/Kg/min) y </w:t>
      </w:r>
      <w:r>
        <w:rPr>
          <w:spacing w:val="-3"/>
        </w:rPr>
        <w:t>la </w:t>
      </w:r>
      <w:r>
        <w:rPr/>
        <w:t>DEX a dosis (2 µg/Kg IV seguidos de una infusión continua 2 µg/Kg/hr ) disminuyo de manera estadísticamente significativa </w:t>
      </w:r>
      <w:r>
        <w:rPr>
          <w:spacing w:val="-3"/>
        </w:rPr>
        <w:t>la </w:t>
      </w:r>
      <w:r>
        <w:rPr/>
        <w:t>CAM del sevoflurano en perros , en un 54.4% . Como se ha mencionado anteriormente,  </w:t>
      </w:r>
      <w:r>
        <w:rPr>
          <w:spacing w:val="34"/>
        </w:rPr>
        <w:t> </w:t>
      </w:r>
      <w:r>
        <w:rPr/>
        <w:t>también</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before="69"/>
        <w:ind w:left="152"/>
        <w:jc w:val="both"/>
      </w:pPr>
      <w:r>
        <w:rPr/>
        <w:t>se observó que </w:t>
      </w:r>
      <w:r>
        <w:rPr>
          <w:spacing w:val="-5"/>
        </w:rPr>
        <w:t>la </w:t>
      </w:r>
      <w:r>
        <w:rPr/>
        <w:t>infusión de LID sola (2 mg/Kg IV seguida una  </w:t>
      </w:r>
      <w:r>
        <w:rPr>
          <w:spacing w:val="53"/>
        </w:rPr>
        <w:t> </w:t>
      </w:r>
      <w:r>
        <w:rPr/>
        <w:t>infusión continua de 100</w:t>
      </w:r>
    </w:p>
    <w:p>
      <w:pPr>
        <w:pStyle w:val="BodyText"/>
        <w:spacing w:line="360" w:lineRule="auto" w:before="137"/>
        <w:ind w:left="152" w:right="111"/>
        <w:jc w:val="both"/>
      </w:pPr>
      <w:r>
        <w:rPr/>
        <w:t>µg/Kg /min) redujo la CAM en un 26,1% y la infusión de DEX sola (2 µg / Kg IV seguido de una infusión continua de 2 µg/k /hr) redujo la CAM en un 43,6%. Se considera que la combinación de LID-DEX en infusión continua produce una interacción de tipo aditivo sobre la CAM del sevoflurano.</w:t>
      </w:r>
    </w:p>
    <w:p>
      <w:pPr>
        <w:spacing w:after="0" w:line="360" w:lineRule="auto"/>
        <w:jc w:val="both"/>
        <w:sectPr>
          <w:pgSz w:w="12240" w:h="15840"/>
          <w:pgMar w:header="0" w:footer="1651" w:top="1500" w:bottom="1840" w:left="1720" w:right="1420"/>
        </w:sectPr>
      </w:pPr>
    </w:p>
    <w:p>
      <w:pPr>
        <w:pStyle w:val="BodyText"/>
        <w:spacing w:before="8"/>
        <w:rPr>
          <w:sz w:val="21"/>
        </w:rPr>
      </w:pPr>
    </w:p>
    <w:p>
      <w:pPr>
        <w:pStyle w:val="Heading1"/>
        <w:ind w:right="143"/>
      </w:pPr>
      <w:bookmarkStart w:name="_bookmark90" w:id="147"/>
      <w:bookmarkEnd w:id="147"/>
      <w:r>
        <w:rPr>
          <w:b w:val="0"/>
        </w:rPr>
      </w:r>
      <w:r>
        <w:rPr/>
        <w:t>CAPITULO IX</w:t>
      </w:r>
    </w:p>
    <w:p>
      <w:pPr>
        <w:pStyle w:val="BodyText"/>
        <w:rPr>
          <w:b/>
          <w:sz w:val="13"/>
        </w:rPr>
      </w:pPr>
      <w:r>
        <w:rPr/>
        <w:pict>
          <v:line style="position:absolute;mso-position-horizontal-relative:page;mso-position-vertical-relative:paragraph;z-index:1936;mso-wrap-distance-left:0;mso-wrap-distance-right:0" from="92.208pt,10.171667pt" to="537.098pt,10.171667pt" stroked="true" strokeweight="1.44pt" strokecolor="#000000">
            <w10:wrap type="topAndBottom"/>
          </v:line>
        </w:pict>
      </w:r>
    </w:p>
    <w:p>
      <w:pPr>
        <w:pStyle w:val="BodyText"/>
        <w:spacing w:before="5"/>
        <w:rPr>
          <w:b/>
          <w:sz w:val="2"/>
        </w:rPr>
      </w:pPr>
    </w:p>
    <w:p>
      <w:pPr>
        <w:pStyle w:val="BodyText"/>
        <w:spacing w:line="20" w:lineRule="exact"/>
        <w:ind w:left="116"/>
        <w:rPr>
          <w:sz w:val="2"/>
        </w:rPr>
      </w:pPr>
      <w:r>
        <w:rPr>
          <w:sz w:val="2"/>
        </w:rPr>
        <w:pict>
          <v:group style="width:445.65pt;height:.75pt;mso-position-horizontal-relative:char;mso-position-vertical-relative:line" coordorigin="0,0" coordsize="8913,15">
            <v:line style="position:absolute" from="8,8" to="8905,8" stroked="true" strokeweight=".72pt" strokecolor="#000000"/>
          </v:group>
        </w:pict>
      </w:r>
      <w:r>
        <w:rPr>
          <w:sz w:val="2"/>
        </w:rPr>
      </w:r>
    </w:p>
    <w:p>
      <w:pPr>
        <w:pStyle w:val="BodyText"/>
        <w:spacing w:before="2"/>
        <w:rPr>
          <w:b/>
          <w:sz w:val="29"/>
        </w:rPr>
      </w:pPr>
    </w:p>
    <w:p>
      <w:pPr>
        <w:pStyle w:val="Heading2"/>
        <w:numPr>
          <w:ilvl w:val="0"/>
          <w:numId w:val="2"/>
        </w:numPr>
        <w:tabs>
          <w:tab w:pos="398" w:val="left" w:leader="none"/>
        </w:tabs>
        <w:spacing w:line="240" w:lineRule="auto" w:before="69" w:after="0"/>
        <w:ind w:left="397" w:right="0" w:hanging="245"/>
        <w:jc w:val="left"/>
      </w:pPr>
      <w:bookmarkStart w:name="_bookmark91" w:id="148"/>
      <w:bookmarkEnd w:id="148"/>
      <w:r>
        <w:rPr>
          <w:b w:val="0"/>
        </w:rPr>
      </w:r>
      <w:bookmarkStart w:name="_bookmark91" w:id="149"/>
      <w:bookmarkEnd w:id="149"/>
      <w:r>
        <w:rPr/>
        <w:t>Conc</w:t>
      </w:r>
      <w:r>
        <w:rPr/>
        <w:t>lusiones</w:t>
      </w:r>
    </w:p>
    <w:p>
      <w:pPr>
        <w:pStyle w:val="BodyText"/>
        <w:rPr>
          <w:b/>
        </w:rPr>
      </w:pPr>
    </w:p>
    <w:p>
      <w:pPr>
        <w:pStyle w:val="BodyText"/>
        <w:spacing w:before="4"/>
        <w:rPr>
          <w:b/>
          <w:sz w:val="23"/>
        </w:rPr>
      </w:pPr>
    </w:p>
    <w:p>
      <w:pPr>
        <w:pStyle w:val="ListParagraph"/>
        <w:numPr>
          <w:ilvl w:val="0"/>
          <w:numId w:val="7"/>
        </w:numPr>
        <w:tabs>
          <w:tab w:pos="1017" w:val="left" w:leader="none"/>
        </w:tabs>
        <w:spacing w:line="362" w:lineRule="auto" w:before="0" w:after="0"/>
        <w:ind w:left="152" w:right="142" w:firstLine="711"/>
        <w:jc w:val="both"/>
        <w:rPr>
          <w:sz w:val="24"/>
        </w:rPr>
      </w:pPr>
      <w:r>
        <w:rPr>
          <w:sz w:val="24"/>
        </w:rPr>
        <w:t>La combinación de lidocaína y dexmedetomidina en infusión continua previo a </w:t>
      </w:r>
      <w:r>
        <w:rPr>
          <w:spacing w:val="-3"/>
          <w:sz w:val="24"/>
        </w:rPr>
        <w:t>la </w:t>
      </w:r>
      <w:r>
        <w:rPr>
          <w:sz w:val="24"/>
        </w:rPr>
        <w:t>administración de un bolo de impregnación, disminuye de manera significativa </w:t>
      </w:r>
      <w:r>
        <w:rPr>
          <w:spacing w:val="-3"/>
          <w:sz w:val="24"/>
        </w:rPr>
        <w:t>la </w:t>
      </w:r>
      <w:r>
        <w:rPr>
          <w:sz w:val="24"/>
        </w:rPr>
        <w:t>CAM </w:t>
      </w:r>
      <w:r>
        <w:rPr>
          <w:spacing w:val="2"/>
          <w:sz w:val="24"/>
        </w:rPr>
        <w:t>del </w:t>
      </w:r>
      <w:r>
        <w:rPr>
          <w:sz w:val="24"/>
        </w:rPr>
        <w:t>sevoflurano en</w:t>
      </w:r>
      <w:r>
        <w:rPr>
          <w:spacing w:val="-8"/>
          <w:sz w:val="24"/>
        </w:rPr>
        <w:t> </w:t>
      </w:r>
      <w:r>
        <w:rPr>
          <w:sz w:val="24"/>
        </w:rPr>
        <w:t>perros.</w:t>
      </w:r>
    </w:p>
    <w:p>
      <w:pPr>
        <w:pStyle w:val="BodyText"/>
      </w:pPr>
    </w:p>
    <w:p>
      <w:pPr>
        <w:pStyle w:val="ListParagraph"/>
        <w:numPr>
          <w:ilvl w:val="0"/>
          <w:numId w:val="7"/>
        </w:numPr>
        <w:tabs>
          <w:tab w:pos="1056" w:val="left" w:leader="none"/>
        </w:tabs>
        <w:spacing w:line="364" w:lineRule="auto" w:before="138" w:after="0"/>
        <w:ind w:left="152" w:right="149" w:firstLine="711"/>
        <w:jc w:val="both"/>
        <w:rPr>
          <w:sz w:val="24"/>
        </w:rPr>
      </w:pPr>
      <w:r>
        <w:rPr>
          <w:sz w:val="24"/>
        </w:rPr>
        <w:t>La utilización de lidocaína en combinación </w:t>
      </w:r>
      <w:r>
        <w:rPr>
          <w:spacing w:val="2"/>
          <w:sz w:val="24"/>
        </w:rPr>
        <w:t>con </w:t>
      </w:r>
      <w:r>
        <w:rPr>
          <w:sz w:val="24"/>
        </w:rPr>
        <w:t>dexmedetomidina presenta un comportamiento cardiovascular similar a </w:t>
      </w:r>
      <w:r>
        <w:rPr>
          <w:spacing w:val="-5"/>
          <w:sz w:val="24"/>
        </w:rPr>
        <w:t>la </w:t>
      </w:r>
      <w:r>
        <w:rPr>
          <w:sz w:val="24"/>
        </w:rPr>
        <w:t>dexmedetomidina cuando se utiliza por si</w:t>
      </w:r>
      <w:r>
        <w:rPr>
          <w:spacing w:val="-23"/>
          <w:sz w:val="24"/>
        </w:rPr>
        <w:t> </w:t>
      </w:r>
      <w:r>
        <w:rPr>
          <w:sz w:val="24"/>
        </w:rPr>
        <w:t>sola.</w:t>
      </w:r>
    </w:p>
    <w:p>
      <w:pPr>
        <w:spacing w:after="0" w:line="364" w:lineRule="auto"/>
        <w:jc w:val="both"/>
        <w:rPr>
          <w:sz w:val="24"/>
        </w:rPr>
        <w:sectPr>
          <w:pgSz w:w="12240" w:h="15840"/>
          <w:pgMar w:header="0" w:footer="1651" w:top="1500" w:bottom="1840" w:left="1720" w:right="1380"/>
        </w:sectPr>
      </w:pPr>
    </w:p>
    <w:p>
      <w:pPr>
        <w:pStyle w:val="BodyText"/>
        <w:spacing w:before="8"/>
        <w:rPr>
          <w:sz w:val="21"/>
        </w:rPr>
      </w:pPr>
    </w:p>
    <w:p>
      <w:pPr>
        <w:pStyle w:val="Heading1"/>
        <w:ind w:right="147"/>
      </w:pPr>
      <w:bookmarkStart w:name="_bookmark92" w:id="150"/>
      <w:bookmarkEnd w:id="150"/>
      <w:r>
        <w:rPr>
          <w:b w:val="0"/>
        </w:rPr>
      </w:r>
      <w:r>
        <w:rPr/>
        <w:t>CAPITULO X</w:t>
      </w:r>
    </w:p>
    <w:p>
      <w:pPr>
        <w:pStyle w:val="BodyText"/>
        <w:rPr>
          <w:b/>
          <w:sz w:val="13"/>
        </w:rPr>
      </w:pPr>
      <w:r>
        <w:rPr/>
        <w:pict>
          <v:line style="position:absolute;mso-position-horizontal-relative:page;mso-position-vertical-relative:paragraph;z-index:1984;mso-wrap-distance-left:0;mso-wrap-distance-right:0" from="92.208pt,10.171667pt" to="537.098pt,10.171667pt" stroked="true" strokeweight="1.44pt" strokecolor="#000000">
            <w10:wrap type="topAndBottom"/>
          </v:line>
        </w:pict>
      </w:r>
    </w:p>
    <w:p>
      <w:pPr>
        <w:pStyle w:val="BodyText"/>
        <w:spacing w:before="5"/>
        <w:rPr>
          <w:b/>
          <w:sz w:val="2"/>
        </w:rPr>
      </w:pPr>
    </w:p>
    <w:p>
      <w:pPr>
        <w:pStyle w:val="BodyText"/>
        <w:spacing w:line="20" w:lineRule="exact"/>
        <w:ind w:left="116"/>
        <w:rPr>
          <w:sz w:val="2"/>
        </w:rPr>
      </w:pPr>
      <w:r>
        <w:rPr>
          <w:sz w:val="2"/>
        </w:rPr>
        <w:pict>
          <v:group style="width:445.65pt;height:.75pt;mso-position-horizontal-relative:char;mso-position-vertical-relative:line" coordorigin="0,0" coordsize="8913,15">
            <v:line style="position:absolute" from="8,8" to="8905,8" stroked="true" strokeweight=".72pt" strokecolor="#000000"/>
          </v:group>
        </w:pict>
      </w:r>
      <w:r>
        <w:rPr>
          <w:sz w:val="2"/>
        </w:rPr>
      </w:r>
    </w:p>
    <w:p>
      <w:pPr>
        <w:pStyle w:val="BodyText"/>
        <w:spacing w:before="2"/>
        <w:rPr>
          <w:b/>
          <w:sz w:val="29"/>
        </w:rPr>
      </w:pPr>
    </w:p>
    <w:p>
      <w:pPr>
        <w:pStyle w:val="Heading2"/>
        <w:numPr>
          <w:ilvl w:val="0"/>
          <w:numId w:val="2"/>
        </w:numPr>
        <w:tabs>
          <w:tab w:pos="518" w:val="left" w:leader="none"/>
        </w:tabs>
        <w:spacing w:line="240" w:lineRule="auto" w:before="69" w:after="0"/>
        <w:ind w:left="517" w:right="0" w:hanging="365"/>
        <w:jc w:val="left"/>
      </w:pPr>
      <w:bookmarkStart w:name="_bookmark93" w:id="151"/>
      <w:bookmarkEnd w:id="151"/>
      <w:r>
        <w:rPr>
          <w:b w:val="0"/>
        </w:rPr>
      </w:r>
      <w:bookmarkStart w:name="_bookmark93" w:id="152"/>
      <w:bookmarkEnd w:id="152"/>
      <w:r>
        <w:rPr/>
        <w:t>R</w:t>
      </w:r>
      <w:r>
        <w:rPr/>
        <w:t>eferencias</w:t>
      </w:r>
      <w:r>
        <w:rPr>
          <w:spacing w:val="-19"/>
        </w:rPr>
        <w:t> </w:t>
      </w:r>
      <w:r>
        <w:rPr/>
        <w:t>Bibliográficas</w:t>
      </w:r>
    </w:p>
    <w:p>
      <w:pPr>
        <w:pStyle w:val="BodyText"/>
        <w:rPr>
          <w:b/>
        </w:rPr>
      </w:pPr>
    </w:p>
    <w:p>
      <w:pPr>
        <w:pStyle w:val="BodyText"/>
        <w:spacing w:before="4"/>
        <w:rPr>
          <w:b/>
          <w:sz w:val="23"/>
        </w:rPr>
      </w:pPr>
    </w:p>
    <w:p>
      <w:pPr>
        <w:pStyle w:val="BodyText"/>
        <w:ind w:left="152"/>
      </w:pPr>
      <w:r>
        <w:rPr/>
        <w:t>American Society of anesthesiologist:  (2005)  Standards  for  basic  anesthetic monitoring.</w:t>
      </w:r>
    </w:p>
    <w:p>
      <w:pPr>
        <w:pStyle w:val="BodyText"/>
        <w:spacing w:before="142"/>
        <w:ind w:left="863"/>
      </w:pPr>
      <w:r>
        <w:rPr/>
        <w:t>Available at </w:t>
      </w:r>
      <w:hyperlink r:id="rId90">
        <w:r>
          <w:rPr/>
          <w:t>http://www.asahq.org/publicationAndservices/standars/02.</w:t>
        </w:r>
      </w:hyperlink>
    </w:p>
    <w:p>
      <w:pPr>
        <w:pStyle w:val="BodyText"/>
      </w:pPr>
    </w:p>
    <w:p>
      <w:pPr>
        <w:pStyle w:val="BodyText"/>
        <w:spacing w:before="9"/>
        <w:rPr>
          <w:sz w:val="23"/>
        </w:rPr>
      </w:pPr>
    </w:p>
    <w:p>
      <w:pPr>
        <w:pStyle w:val="BodyText"/>
        <w:spacing w:line="362" w:lineRule="auto"/>
        <w:ind w:left="863" w:right="150" w:hanging="711"/>
        <w:jc w:val="both"/>
      </w:pPr>
      <w:r>
        <w:rPr/>
        <w:t>Álvares J. (1989) Monitorización cardiovascular en anestesia. En: Aguilera L, Alonso J, Ariazaga A, eds. Actualizaciones en anestesiología y reanimación. Barcelona: Ed MCR p. 111-64.</w:t>
      </w:r>
    </w:p>
    <w:p>
      <w:pPr>
        <w:pStyle w:val="BodyText"/>
      </w:pPr>
    </w:p>
    <w:p>
      <w:pPr>
        <w:pStyle w:val="BodyText"/>
        <w:spacing w:line="360" w:lineRule="auto" w:before="138"/>
        <w:ind w:left="863" w:right="143" w:hanging="711"/>
        <w:jc w:val="both"/>
      </w:pPr>
      <w:r>
        <w:rPr/>
        <w:t>Alvarez Escusero J, Diz JC. (2001) Transporte de oxígeno. En: Torres LM. Tratado de anestesia y reanimación y cuidados intensivos. Madrid Aran ediciones. P. 383-414.</w:t>
      </w:r>
    </w:p>
    <w:p>
      <w:pPr>
        <w:pStyle w:val="BodyText"/>
      </w:pPr>
    </w:p>
    <w:p>
      <w:pPr>
        <w:pStyle w:val="BodyText"/>
        <w:spacing w:before="146"/>
        <w:ind w:left="152"/>
      </w:pPr>
      <w:r>
        <w:rPr/>
        <w:t>Alvarez de RementeríaR, Cassinello F (2004) Ecocardiografía transesofágica Pag. 217 231.</w:t>
      </w:r>
    </w:p>
    <w:p>
      <w:pPr>
        <w:pStyle w:val="BodyText"/>
        <w:spacing w:before="137"/>
        <w:ind w:left="863"/>
      </w:pPr>
      <w:r>
        <w:rPr/>
        <w:t>De la Quintana Gordon. Elsevier.</w:t>
      </w:r>
    </w:p>
    <w:p>
      <w:pPr>
        <w:pStyle w:val="BodyText"/>
      </w:pPr>
    </w:p>
    <w:p>
      <w:pPr>
        <w:pStyle w:val="BodyText"/>
        <w:spacing w:before="9"/>
        <w:rPr>
          <w:sz w:val="23"/>
        </w:rPr>
      </w:pPr>
    </w:p>
    <w:p>
      <w:pPr>
        <w:pStyle w:val="BodyText"/>
        <w:spacing w:line="362" w:lineRule="auto"/>
        <w:ind w:left="863" w:right="150" w:hanging="711"/>
        <w:jc w:val="both"/>
      </w:pPr>
      <w:r>
        <w:rPr/>
        <w:t>Artucio H, Hurtado J, Zimet L, de Paula J, Beron M. (1997) PEEP-induced tricuspidregurgitation”. </w:t>
      </w:r>
      <w:r>
        <w:rPr>
          <w:i/>
        </w:rPr>
        <w:t>Intensive Care Med</w:t>
      </w:r>
      <w:r>
        <w:rPr/>
        <w:t>; 23(8):836-40.</w:t>
      </w:r>
    </w:p>
    <w:p>
      <w:pPr>
        <w:pStyle w:val="BodyText"/>
      </w:pPr>
    </w:p>
    <w:p>
      <w:pPr>
        <w:pStyle w:val="BodyText"/>
        <w:spacing w:line="362" w:lineRule="auto" w:before="138"/>
        <w:ind w:left="863" w:right="142" w:hanging="711"/>
        <w:jc w:val="both"/>
      </w:pPr>
      <w:r>
        <w:rPr/>
        <w:t>Athanasios J, Serap E,Claudio B, Kostas T (2010) Perioperative screening and management of hypertensive patients European Society of Hypertension Scientific Newsletter: Update on Hipertension  Management; 11 No. 47.</w:t>
      </w:r>
    </w:p>
    <w:p>
      <w:pPr>
        <w:pStyle w:val="BodyText"/>
      </w:pPr>
    </w:p>
    <w:p>
      <w:pPr>
        <w:pStyle w:val="BodyText"/>
        <w:spacing w:line="362" w:lineRule="auto" w:before="138"/>
        <w:ind w:left="863" w:right="144" w:hanging="711"/>
        <w:jc w:val="both"/>
      </w:pPr>
      <w:r>
        <w:rPr/>
        <w:t>Babu SC, Sharma P, Racita A. (1980) Monitor-guided responses Operability with safety isincreased in patients with peripheral vascular diseases.ArchSurg.1980; 115: 1384– 6.</w:t>
      </w:r>
    </w:p>
    <w:p>
      <w:pPr>
        <w:spacing w:after="0" w:line="362" w:lineRule="auto"/>
        <w:jc w:val="both"/>
        <w:sectPr>
          <w:pgSz w:w="12240" w:h="15840"/>
          <w:pgMar w:header="0" w:footer="1651" w:top="1500" w:bottom="1840" w:left="1720" w:right="1380"/>
        </w:sectPr>
      </w:pPr>
    </w:p>
    <w:p>
      <w:pPr>
        <w:pStyle w:val="BodyText"/>
        <w:spacing w:before="7"/>
        <w:rPr>
          <w:sz w:val="20"/>
        </w:rPr>
      </w:pPr>
    </w:p>
    <w:p>
      <w:pPr>
        <w:pStyle w:val="BodyText"/>
        <w:spacing w:line="360" w:lineRule="auto" w:before="69"/>
        <w:ind w:left="863" w:right="104" w:hanging="711"/>
        <w:jc w:val="both"/>
      </w:pPr>
      <w:r>
        <w:rPr/>
        <w:t>Bach, F. W., Jensen, T. S., Kastrup, J., Stigsby, B. and Dejgard, A. (1990). The effect of intravenous lidocaine on nociceptive processing in diabetic neuropathy. </w:t>
      </w:r>
      <w:r>
        <w:rPr>
          <w:i/>
        </w:rPr>
        <w:t>Pain </w:t>
      </w:r>
      <w:r>
        <w:rPr/>
        <w:t>40: 29–34.</w:t>
      </w:r>
    </w:p>
    <w:p>
      <w:pPr>
        <w:pStyle w:val="BodyText"/>
      </w:pPr>
    </w:p>
    <w:p>
      <w:pPr>
        <w:pStyle w:val="BodyText"/>
        <w:spacing w:line="360" w:lineRule="auto" w:before="145"/>
        <w:ind w:left="863" w:right="108" w:hanging="711"/>
        <w:jc w:val="both"/>
      </w:pPr>
      <w:r>
        <w:rPr/>
        <w:t>Butterworth, J., Cole, L. and Marlow, G. (1993). Inhibition of brain cell excitability by lidocaine QX314, and tetrodotoxin: a mechanism for analgesia from infused local anesthetics? </w:t>
      </w:r>
      <w:r>
        <w:rPr>
          <w:i/>
        </w:rPr>
        <w:t>Acta Anaesthesiol. Scand. </w:t>
      </w:r>
      <w:r>
        <w:rPr/>
        <w:t>37: 516–523.</w:t>
      </w:r>
    </w:p>
    <w:p>
      <w:pPr>
        <w:pStyle w:val="BodyText"/>
      </w:pPr>
    </w:p>
    <w:p>
      <w:pPr>
        <w:pStyle w:val="BodyText"/>
        <w:spacing w:line="360" w:lineRule="auto" w:before="145"/>
        <w:ind w:left="863" w:right="103" w:hanging="711"/>
        <w:jc w:val="both"/>
      </w:pPr>
      <w:r>
        <w:rPr/>
        <w:t>Bajorat J, Hofmockel R, Vagts DA, Janda M, Pohl B, Beck C, Noeldge-Schomburg G. (2006) Comparison of invasive and less-invasive techniques of cardiac output measurement under different haemodynamic conditions in a pig model. </w:t>
      </w:r>
      <w:r>
        <w:rPr>
          <w:i/>
        </w:rPr>
        <w:t>Eur </w:t>
      </w:r>
      <w:r>
        <w:rPr>
          <w:i/>
        </w:rPr>
        <w:t>JAnaesthesiol</w:t>
      </w:r>
      <w:r>
        <w:rPr/>
        <w:t>. (1):23-30.</w:t>
      </w:r>
    </w:p>
    <w:p>
      <w:pPr>
        <w:pStyle w:val="BodyText"/>
      </w:pPr>
    </w:p>
    <w:p>
      <w:pPr>
        <w:pStyle w:val="BodyText"/>
        <w:spacing w:line="360" w:lineRule="auto" w:before="140"/>
        <w:ind w:left="863" w:right="121" w:hanging="711"/>
        <w:jc w:val="both"/>
      </w:pPr>
      <w:r>
        <w:rPr/>
        <w:t>Balik M, Pachl J, Hendl J. (2002) Effect of the degree of tricuspid regurgitation on cardiac output measurements by thermodilution.</w:t>
      </w:r>
      <w:r>
        <w:rPr>
          <w:i/>
        </w:rPr>
        <w:t>Intensive Care Med</w:t>
      </w:r>
      <w:r>
        <w:rPr/>
        <w:t>; 28(8):1117-21.</w:t>
      </w:r>
    </w:p>
    <w:p>
      <w:pPr>
        <w:pStyle w:val="BodyText"/>
      </w:pPr>
    </w:p>
    <w:p>
      <w:pPr>
        <w:pStyle w:val="BodyText"/>
        <w:spacing w:line="360" w:lineRule="auto" w:before="145"/>
        <w:ind w:left="863" w:right="121" w:hanging="711"/>
        <w:jc w:val="both"/>
      </w:pPr>
      <w:r>
        <w:rPr/>
        <w:t>Bonagura JD, Muir WW. (1985) Antiarrhythmic therapy. In: Essentials of Canine and Feline Electrocardiography. 2nd ed. Philadelphia.Lea and Febiger; 281.</w:t>
      </w:r>
    </w:p>
    <w:p>
      <w:pPr>
        <w:pStyle w:val="BodyText"/>
      </w:pPr>
    </w:p>
    <w:p>
      <w:pPr>
        <w:spacing w:line="360" w:lineRule="auto" w:before="146"/>
        <w:ind w:left="863" w:right="106" w:hanging="711"/>
        <w:jc w:val="both"/>
        <w:rPr>
          <w:sz w:val="24"/>
        </w:rPr>
      </w:pPr>
      <w:r>
        <w:rPr>
          <w:sz w:val="24"/>
        </w:rPr>
        <w:t>Borrallo JM, Martínez JL. (2004) Catéteres de gasto cardiaco. </w:t>
      </w:r>
      <w:r>
        <w:rPr>
          <w:i/>
          <w:sz w:val="24"/>
        </w:rPr>
        <w:t>Monitorización en anestesia, </w:t>
      </w:r>
      <w:r>
        <w:rPr>
          <w:i/>
          <w:sz w:val="24"/>
        </w:rPr>
        <w:t>cuidados críticos y medicina de urgencias</w:t>
      </w:r>
      <w:r>
        <w:rPr>
          <w:sz w:val="24"/>
        </w:rPr>
        <w:t>. Pag199-207. De la Quintana Gordon. Elsevier</w:t>
      </w:r>
    </w:p>
    <w:p>
      <w:pPr>
        <w:pStyle w:val="BodyText"/>
      </w:pPr>
    </w:p>
    <w:p>
      <w:pPr>
        <w:pStyle w:val="BodyText"/>
        <w:spacing w:line="360" w:lineRule="auto" w:before="141"/>
        <w:ind w:left="863" w:right="100" w:hanging="711"/>
        <w:jc w:val="both"/>
      </w:pPr>
      <w:r>
        <w:rPr/>
        <w:t>Bossert T, Gummert JF, Bittner HB, Barten M, Walther T, Falk V, Mohr FW. (2006) Swan-Ganz catheter-induced severe complications in cardiac surgery: right ventricular perforation, knotting, and rupture of a pulmonary artery. </w:t>
      </w:r>
      <w:r>
        <w:rPr>
          <w:i/>
        </w:rPr>
        <w:t>J Card Surg</w:t>
      </w:r>
      <w:r>
        <w:rPr/>
        <w:t>; 21(3):292-5.</w:t>
      </w:r>
    </w:p>
    <w:p>
      <w:pPr>
        <w:spacing w:after="0" w:line="360" w:lineRule="auto"/>
        <w:jc w:val="both"/>
        <w:sectPr>
          <w:footerReference w:type="default" r:id="rId91"/>
          <w:pgSz w:w="12240" w:h="15840"/>
          <w:pgMar w:footer="1651" w:header="0" w:top="1500" w:bottom="1840" w:left="1720" w:right="1420"/>
        </w:sectPr>
      </w:pPr>
    </w:p>
    <w:p>
      <w:pPr>
        <w:pStyle w:val="BodyText"/>
        <w:spacing w:before="7"/>
        <w:rPr>
          <w:sz w:val="20"/>
        </w:rPr>
      </w:pPr>
    </w:p>
    <w:p>
      <w:pPr>
        <w:pStyle w:val="BodyText"/>
        <w:spacing w:line="360" w:lineRule="auto" w:before="69"/>
        <w:ind w:left="863" w:right="121" w:hanging="711"/>
        <w:jc w:val="both"/>
      </w:pPr>
      <w:r>
        <w:rPr/>
        <w:t>Braunwald E, Fishman AP, Cournand A: (1996) Relationship of dynamic events in the cardiac chambers, pulmonary arteries and aorta in man. Circ Res 4:100-107.</w:t>
      </w:r>
    </w:p>
    <w:p>
      <w:pPr>
        <w:pStyle w:val="BodyText"/>
      </w:pPr>
    </w:p>
    <w:p>
      <w:pPr>
        <w:pStyle w:val="BodyText"/>
        <w:spacing w:before="146"/>
        <w:ind w:left="152"/>
      </w:pPr>
      <w:r>
        <w:rPr/>
        <w:t>Bruno  H, Pypendop J, Jhon P et  al.  (2001) Cardiovascular effects of romifidine  in     dog.</w:t>
      </w:r>
    </w:p>
    <w:p>
      <w:pPr>
        <w:pStyle w:val="BodyText"/>
        <w:spacing w:before="137"/>
        <w:ind w:left="863"/>
      </w:pPr>
      <w:r>
        <w:rPr/>
        <w:t>Veterinary Research 62; 490-495.</w:t>
      </w:r>
    </w:p>
    <w:p>
      <w:pPr>
        <w:pStyle w:val="BodyText"/>
      </w:pPr>
    </w:p>
    <w:p>
      <w:pPr>
        <w:pStyle w:val="BodyText"/>
        <w:spacing w:before="9"/>
        <w:rPr>
          <w:sz w:val="23"/>
        </w:rPr>
      </w:pPr>
    </w:p>
    <w:p>
      <w:pPr>
        <w:pStyle w:val="BodyText"/>
        <w:spacing w:line="360" w:lineRule="auto"/>
        <w:ind w:left="863" w:right="111" w:hanging="711"/>
        <w:jc w:val="both"/>
      </w:pPr>
      <w:r>
        <w:rPr/>
        <w:t>Bossert T,Gummert JF, Bittner HB, Barten M, Walther T, Falk V, Mohr FW.(2006) Swan- Ganz catheter-induced severe complications in cardiac surgery: right ventricular perforation, knotting, and rupture of a pulmonary artery. </w:t>
      </w:r>
      <w:r>
        <w:rPr>
          <w:i/>
        </w:rPr>
        <w:t>J Card Surg</w:t>
      </w:r>
      <w:r>
        <w:rPr/>
        <w:t>; 21(3):292-5.</w:t>
      </w:r>
    </w:p>
    <w:p>
      <w:pPr>
        <w:pStyle w:val="BodyText"/>
      </w:pPr>
    </w:p>
    <w:p>
      <w:pPr>
        <w:pStyle w:val="BodyText"/>
        <w:spacing w:line="362" w:lineRule="auto" w:before="141"/>
        <w:ind w:left="863" w:right="110" w:hanging="711"/>
        <w:jc w:val="both"/>
      </w:pPr>
      <w:r>
        <w:rPr/>
        <w:t>Bristow JD, Prys Roberts C, Fischer A. </w:t>
      </w:r>
      <w:r>
        <w:rPr>
          <w:i/>
        </w:rPr>
        <w:t>et al</w:t>
      </w:r>
      <w:r>
        <w:rPr/>
        <w:t>. (1969) Effects of anesthesia on baroreflexcontrol of heart rate in man. Anesthesiology 31, 422-8</w:t>
      </w:r>
    </w:p>
    <w:p>
      <w:pPr>
        <w:pStyle w:val="BodyText"/>
      </w:pPr>
    </w:p>
    <w:p>
      <w:pPr>
        <w:pStyle w:val="BodyText"/>
        <w:spacing w:line="360" w:lineRule="auto" w:before="138"/>
        <w:ind w:left="863" w:right="109" w:hanging="711"/>
        <w:jc w:val="both"/>
      </w:pPr>
      <w:r>
        <w:rPr/>
        <w:t>Bloor BC, Frankland M, Alper G, </w:t>
      </w:r>
      <w:r>
        <w:rPr>
          <w:i/>
        </w:rPr>
        <w:t>et al</w:t>
      </w:r>
      <w:r>
        <w:rPr/>
        <w:t>. (1992) Hemodynamic and sedative effects of Dexmedetomidine in dog. J Pharmacol Exp Ther; 263, 690–697.</w:t>
      </w:r>
    </w:p>
    <w:p>
      <w:pPr>
        <w:pStyle w:val="BodyText"/>
      </w:pPr>
    </w:p>
    <w:p>
      <w:pPr>
        <w:pStyle w:val="BodyText"/>
        <w:spacing w:line="360" w:lineRule="auto" w:before="145"/>
        <w:ind w:left="863" w:right="107" w:hanging="711"/>
        <w:jc w:val="both"/>
      </w:pPr>
      <w:r>
        <w:rPr/>
        <w:t>Buhre W,Weyland A, Schorn B.(2000) Changes in central venous and pulmonary capillary wedge pressure do not indicate changes in right and lef the art volume in patients undergoing coronary artery bypass surgery. Eur J Anaesthesiol; 16: 11–17.</w:t>
      </w:r>
    </w:p>
    <w:p>
      <w:pPr>
        <w:pStyle w:val="BodyText"/>
      </w:pPr>
    </w:p>
    <w:p>
      <w:pPr>
        <w:pStyle w:val="BodyText"/>
        <w:spacing w:line="360" w:lineRule="auto" w:before="145"/>
        <w:ind w:left="863" w:right="105" w:hanging="711"/>
        <w:jc w:val="both"/>
      </w:pPr>
      <w:r>
        <w:rPr/>
        <w:t>Butterworth, J., Cole, L. and Marlow, G. 1993. Inhibition of brain cell excitability by lidocaine QX314, and tetrodotoxin: a mechanism for analgesia from infused local anesthetics? </w:t>
      </w:r>
      <w:r>
        <w:rPr>
          <w:i/>
        </w:rPr>
        <w:t>Acta Anaesthesiol. Scand. </w:t>
      </w:r>
      <w:r>
        <w:rPr/>
        <w:t>37: 516–523.</w:t>
      </w:r>
    </w:p>
    <w:p>
      <w:pPr>
        <w:pStyle w:val="BodyText"/>
      </w:pPr>
    </w:p>
    <w:p>
      <w:pPr>
        <w:pStyle w:val="BodyText"/>
        <w:spacing w:line="360" w:lineRule="auto" w:before="145"/>
        <w:ind w:left="863" w:right="113" w:hanging="711"/>
        <w:jc w:val="both"/>
      </w:pPr>
      <w:r>
        <w:rPr/>
        <w:t>Chatterjee K. (2009) The Swan-Ganz catheters: Past, present, and future. Circulation; 119: 147–52.</w:t>
      </w:r>
    </w:p>
    <w:p>
      <w:pPr>
        <w:pStyle w:val="BodyText"/>
      </w:pPr>
    </w:p>
    <w:p>
      <w:pPr>
        <w:pStyle w:val="BodyText"/>
        <w:spacing w:line="362" w:lineRule="auto" w:before="141"/>
        <w:ind w:left="863" w:right="98" w:hanging="711"/>
        <w:jc w:val="both"/>
      </w:pPr>
      <w:r>
        <w:rPr/>
        <w:t>Colbert S, O'Hanlon DM, Quill DS, Keane P. (1997) Swan Ganz catheter--all </w:t>
      </w:r>
      <w:r>
        <w:rPr>
          <w:spacing w:val="-3"/>
        </w:rPr>
        <w:t>in </w:t>
      </w:r>
      <w:r>
        <w:rPr/>
        <w:t>aknot.</w:t>
      </w:r>
      <w:r>
        <w:rPr>
          <w:i/>
        </w:rPr>
        <w:t>Eur  </w:t>
      </w:r>
      <w:r>
        <w:rPr>
          <w:i/>
        </w:rPr>
        <w:t>J Anaesthesiol</w:t>
      </w:r>
      <w:r>
        <w:rPr/>
        <w:t>.</w:t>
      </w:r>
      <w:r>
        <w:rPr>
          <w:spacing w:val="-6"/>
        </w:rPr>
        <w:t> </w:t>
      </w:r>
      <w:r>
        <w:rPr/>
        <w:t>(5):518-20.</w:t>
      </w:r>
    </w:p>
    <w:p>
      <w:pPr>
        <w:spacing w:after="0" w:line="362" w:lineRule="auto"/>
        <w:jc w:val="both"/>
        <w:sectPr>
          <w:footerReference w:type="default" r:id="rId92"/>
          <w:pgSz w:w="12240" w:h="15840"/>
          <w:pgMar w:footer="1651" w:header="0" w:top="1500" w:bottom="1840" w:left="1720" w:right="1420"/>
          <w:pgNumType w:start="91"/>
        </w:sectPr>
      </w:pPr>
    </w:p>
    <w:p>
      <w:pPr>
        <w:pStyle w:val="BodyText"/>
        <w:spacing w:before="7"/>
        <w:rPr>
          <w:sz w:val="20"/>
        </w:rPr>
      </w:pPr>
    </w:p>
    <w:p>
      <w:pPr>
        <w:pStyle w:val="BodyText"/>
        <w:spacing w:line="360" w:lineRule="auto" w:before="69"/>
        <w:ind w:left="863" w:right="118" w:hanging="711"/>
        <w:jc w:val="both"/>
      </w:pPr>
      <w:r>
        <w:rPr/>
        <w:t>Congdon JM, Marquez M, Niyom S et al. (2013) Cardiovascular, respiratory, electrolyte and acid-base balance during continuous dexmedetomidine infusion in anesthetized dogs. Vet Anaesth Analg 40, 464–471.</w:t>
      </w:r>
    </w:p>
    <w:p>
      <w:pPr>
        <w:pStyle w:val="BodyText"/>
      </w:pPr>
    </w:p>
    <w:p>
      <w:pPr>
        <w:pStyle w:val="BodyText"/>
        <w:spacing w:line="360" w:lineRule="auto" w:before="145"/>
        <w:ind w:left="863" w:right="101" w:hanging="711"/>
        <w:jc w:val="both"/>
      </w:pPr>
      <w:r>
        <w:rPr/>
        <w:t>Connors AFJr, Speroff T, Dawson NV, </w:t>
      </w:r>
      <w:r>
        <w:rPr>
          <w:i/>
        </w:rPr>
        <w:t>et al. </w:t>
      </w:r>
      <w:r>
        <w:rPr/>
        <w:t>(1996). The effectiveness of right heart catheterization in the initial care of critically ill patients. </w:t>
      </w:r>
      <w:r>
        <w:rPr>
          <w:i/>
        </w:rPr>
        <w:t>JAMA</w:t>
      </w:r>
      <w:r>
        <w:rPr/>
        <w:t>. 1996; 276(11):889- 97.</w:t>
      </w:r>
    </w:p>
    <w:p>
      <w:pPr>
        <w:pStyle w:val="BodyText"/>
      </w:pPr>
    </w:p>
    <w:p>
      <w:pPr>
        <w:pStyle w:val="BodyText"/>
        <w:spacing w:line="360" w:lineRule="auto" w:before="145"/>
        <w:ind w:left="863" w:right="109" w:hanging="711"/>
        <w:jc w:val="both"/>
      </w:pPr>
      <w:r>
        <w:rPr/>
        <w:t>Crexells C, Chatterjee K, Forrester JS, DikshitK, Swan HJ. (1975). Optimal level of filling pressure in the left side of the heart in acute myocardial infarction.N Engl J Med. 1973; 289:1263–6.</w:t>
      </w:r>
    </w:p>
    <w:p>
      <w:pPr>
        <w:pStyle w:val="BodyText"/>
      </w:pPr>
    </w:p>
    <w:p>
      <w:pPr>
        <w:pStyle w:val="BodyText"/>
        <w:spacing w:line="360" w:lineRule="auto" w:before="145"/>
        <w:ind w:left="863" w:right="116" w:hanging="711"/>
        <w:jc w:val="both"/>
      </w:pPr>
      <w:r>
        <w:rPr/>
        <w:t>Crowe (2005). The effect of trauma on cardiovascular homeostasis in the dog, J Vet Emerg Crit Care, in this issue.</w:t>
      </w:r>
    </w:p>
    <w:p>
      <w:pPr>
        <w:pStyle w:val="BodyText"/>
      </w:pPr>
    </w:p>
    <w:p>
      <w:pPr>
        <w:pStyle w:val="BodyText"/>
        <w:spacing w:line="360" w:lineRule="auto" w:before="146"/>
        <w:ind w:left="863" w:right="104" w:hanging="711"/>
        <w:jc w:val="both"/>
      </w:pPr>
      <w:r>
        <w:rPr/>
        <w:t>CunninghamDD,Huang S, Webster J, Mayoral J, Grabenkort RW. (1996) Sevoflurane degradation to compound. A in anaesthesia breathing systems.</w:t>
      </w:r>
      <w:r>
        <w:rPr>
          <w:i/>
        </w:rPr>
        <w:t>Br J Anaesth. </w:t>
      </w:r>
      <w:r>
        <w:rPr/>
        <w:t>; 77 (4):537-43.</w:t>
      </w:r>
    </w:p>
    <w:p>
      <w:pPr>
        <w:pStyle w:val="BodyText"/>
      </w:pPr>
    </w:p>
    <w:p>
      <w:pPr>
        <w:pStyle w:val="BodyText"/>
        <w:spacing w:line="360" w:lineRule="auto" w:before="146"/>
        <w:ind w:left="863" w:right="114" w:hanging="711"/>
        <w:jc w:val="both"/>
      </w:pPr>
      <w:r>
        <w:rPr/>
        <w:t>Deryck YL, Fonck K, DE Baerdemaeker L, </w:t>
      </w:r>
      <w:r>
        <w:rPr>
          <w:i/>
        </w:rPr>
        <w:t>et al</w:t>
      </w:r>
      <w:r>
        <w:rPr/>
        <w:t>. (2010) Differential effects of sevoflurane and propofol anesthesia on left ventricular-arterial coupling in dogs.</w:t>
      </w:r>
    </w:p>
    <w:p>
      <w:pPr>
        <w:pStyle w:val="BodyText"/>
      </w:pPr>
    </w:p>
    <w:p>
      <w:pPr>
        <w:pStyle w:val="BodyText"/>
        <w:spacing w:line="360" w:lineRule="auto" w:before="141"/>
        <w:ind w:left="863" w:right="115" w:hanging="711"/>
        <w:jc w:val="both"/>
      </w:pPr>
      <w:r>
        <w:rPr/>
        <w:t>Dexter L, Haynes FW, B Burwell CS, Eppinger EC, Seibel RE, Evans JM (1947) Studies  of congenital heart disease. Techniques of venous catheterization as a diagnostic procedur.JClin Invest.1947; 26:</w:t>
      </w:r>
      <w:r>
        <w:rPr>
          <w:spacing w:val="-8"/>
        </w:rPr>
        <w:t> </w:t>
      </w:r>
      <w:r>
        <w:rPr/>
        <w:t>547–553.</w:t>
      </w:r>
    </w:p>
    <w:p>
      <w:pPr>
        <w:pStyle w:val="BodyText"/>
      </w:pPr>
    </w:p>
    <w:p>
      <w:pPr>
        <w:pStyle w:val="BodyText"/>
        <w:spacing w:line="360" w:lineRule="auto" w:before="141"/>
        <w:ind w:left="863" w:right="100" w:hanging="711"/>
        <w:jc w:val="both"/>
      </w:pPr>
      <w:r>
        <w:rPr/>
        <w:t>Doherty, T. J., Redua, M. A., Queiroz-Castro, P., Egger, C., Cox, S. </w:t>
      </w:r>
      <w:r>
        <w:rPr>
          <w:spacing w:val="-3"/>
        </w:rPr>
        <w:t>K. </w:t>
      </w:r>
      <w:r>
        <w:rPr/>
        <w:t>and Rohrbach, B.   W (2007) Effect of intravenous lidocaine and ketamine on the dose. </w:t>
      </w:r>
      <w:r>
        <w:rPr>
          <w:i/>
        </w:rPr>
        <w:t>Br. Vet. J. </w:t>
      </w:r>
      <w:r>
        <w:rPr/>
        <w:t>152: 519–535.</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863" w:right="106" w:hanging="711"/>
        <w:jc w:val="both"/>
      </w:pPr>
      <w:r>
        <w:rPr/>
        <w:t>Dollar ML</w:t>
      </w:r>
      <w:r>
        <w:rPr>
          <w:b/>
        </w:rPr>
        <w:t>, </w:t>
      </w:r>
      <w:r>
        <w:rPr/>
        <w:t>Yelderman ML, Quinn MD, McKown RC, Eberhart RC, Rosenfeld CR. (1992) Evaluation of a continuous thermodilution cardiac output catheter” ASAIO J. Jul- Sep; 38(3):M351-6.</w:t>
      </w:r>
    </w:p>
    <w:p>
      <w:pPr>
        <w:pStyle w:val="BodyText"/>
      </w:pPr>
    </w:p>
    <w:p>
      <w:pPr>
        <w:pStyle w:val="BodyText"/>
        <w:spacing w:line="360" w:lineRule="auto" w:before="145"/>
        <w:ind w:left="863" w:right="107" w:hanging="711"/>
        <w:jc w:val="both"/>
      </w:pPr>
      <w:r>
        <w:rPr/>
        <w:t>Dupont H. Squara P (1996) Cardiac output monitoring curr Opin Anaesthesiol 9:490-494, 1996</w:t>
      </w:r>
    </w:p>
    <w:p>
      <w:pPr>
        <w:pStyle w:val="BodyText"/>
      </w:pPr>
    </w:p>
    <w:p>
      <w:pPr>
        <w:pStyle w:val="BodyText"/>
        <w:spacing w:line="360" w:lineRule="auto" w:before="146"/>
        <w:ind w:left="863" w:right="111" w:hanging="711"/>
        <w:jc w:val="both"/>
      </w:pPr>
      <w:r>
        <w:rPr/>
        <w:t>Duka I, Gavras I, Johns C, </w:t>
      </w:r>
      <w:r>
        <w:rPr>
          <w:i/>
        </w:rPr>
        <w:t>et al</w:t>
      </w:r>
      <w:r>
        <w:rPr/>
        <w:t>. (2000) Role of the postsynaptic alpha (2)-adrenergic receptor subtypes in catecholamine-induced vasoconstriction. Gen Pharmacol; 34, 101–106.</w:t>
      </w:r>
    </w:p>
    <w:p>
      <w:pPr>
        <w:pStyle w:val="BodyText"/>
      </w:pPr>
    </w:p>
    <w:p>
      <w:pPr>
        <w:pStyle w:val="BodyText"/>
        <w:spacing w:line="360" w:lineRule="auto" w:before="146"/>
        <w:ind w:left="863" w:right="98" w:hanging="711"/>
        <w:jc w:val="both"/>
      </w:pPr>
      <w:r>
        <w:rPr/>
        <w:t>Ebner, L. S., Lerche, P., Bednrski, R. M. and Hubbell, J. A (2013) Effect of dexmedetomidine, morphine-lidocaine-ketamine, and dexmedetomidine-morphine- lidocaine-letamine constant rate infusions on the minimum alveolar concentration of isoflurane and bispectral index in dogs. </w:t>
      </w:r>
      <w:r>
        <w:rPr>
          <w:i/>
        </w:rPr>
        <w:t>Am. J. Vet. Res. </w:t>
      </w:r>
      <w:r>
        <w:rPr/>
        <w:t>74: 963–970.</w:t>
      </w:r>
    </w:p>
    <w:p>
      <w:pPr>
        <w:pStyle w:val="BodyText"/>
      </w:pPr>
    </w:p>
    <w:p>
      <w:pPr>
        <w:pStyle w:val="BodyText"/>
        <w:spacing w:before="145"/>
        <w:ind w:left="152"/>
      </w:pPr>
      <w:r>
        <w:rPr/>
        <w:t>Eger, E. I., Saidam, L. J. and Brandstarter, B (1965) Minimum alveolar anesthetic</w:t>
      </w:r>
      <w:r>
        <w:rPr>
          <w:spacing w:val="55"/>
        </w:rPr>
        <w:t> </w:t>
      </w:r>
      <w:r>
        <w:rPr/>
        <w:t>potency.</w:t>
      </w:r>
    </w:p>
    <w:p>
      <w:pPr>
        <w:spacing w:before="137"/>
        <w:ind w:left="863" w:right="0" w:firstLine="0"/>
        <w:jc w:val="left"/>
        <w:rPr>
          <w:sz w:val="24"/>
        </w:rPr>
      </w:pPr>
      <w:r>
        <w:rPr>
          <w:i/>
          <w:sz w:val="24"/>
        </w:rPr>
        <w:t>Anesthesiology </w:t>
      </w:r>
      <w:r>
        <w:rPr>
          <w:sz w:val="24"/>
        </w:rPr>
        <w:t>26: 756–763.</w:t>
      </w:r>
    </w:p>
    <w:p>
      <w:pPr>
        <w:pStyle w:val="BodyText"/>
      </w:pPr>
    </w:p>
    <w:p>
      <w:pPr>
        <w:pStyle w:val="BodyText"/>
        <w:spacing w:before="2"/>
      </w:pPr>
    </w:p>
    <w:p>
      <w:pPr>
        <w:pStyle w:val="BodyText"/>
        <w:spacing w:line="360" w:lineRule="auto" w:before="1"/>
        <w:ind w:left="863" w:right="103" w:hanging="711"/>
        <w:jc w:val="both"/>
      </w:pPr>
      <w:r>
        <w:rPr/>
        <w:t>Elkayam U, Berkley R, Azen S, Weber L, Geva B, Henry WL. (1983) Cardiac output by thermodilution technique. Effect of injectate's volume and temperature on accuracy and reproducibility in the critically ill patient. </w:t>
      </w:r>
      <w:r>
        <w:rPr>
          <w:i/>
        </w:rPr>
        <w:t>Chest. </w:t>
      </w:r>
      <w:r>
        <w:rPr/>
        <w:t>(4):418-22.</w:t>
      </w:r>
    </w:p>
    <w:p>
      <w:pPr>
        <w:pStyle w:val="BodyText"/>
      </w:pPr>
    </w:p>
    <w:p>
      <w:pPr>
        <w:pStyle w:val="BodyText"/>
        <w:spacing w:line="360" w:lineRule="auto" w:before="141"/>
        <w:ind w:left="863" w:right="117" w:hanging="711"/>
        <w:jc w:val="both"/>
      </w:pPr>
      <w:r>
        <w:rPr/>
        <w:t>Flacke JW, Flacke WE, Bloor BC </w:t>
      </w:r>
      <w:r>
        <w:rPr>
          <w:i/>
        </w:rPr>
        <w:t>et al</w:t>
      </w:r>
      <w:r>
        <w:rPr/>
        <w:t>. (1990) Hemodynamiceffects of dexmedetomidine, an alpha 2-adrenergic agonist, in autonomically denervated dogs. J Cardiovasc Pharmacol 16, 616–623.</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863" w:right="108" w:hanging="711"/>
        <w:jc w:val="both"/>
      </w:pPr>
      <w:r>
        <w:rPr/>
        <w:t>Fang HK</w:t>
      </w:r>
      <w:r>
        <w:rPr>
          <w:b/>
        </w:rPr>
        <w:t>, </w:t>
      </w:r>
      <w:r>
        <w:rPr/>
        <w:t>Krahmer RL, Rypins EB, Law WR. (1996) Iced temperature injectate for thermodilution cardiac output determination causes minimal effects on cardiodynamics. </w:t>
      </w:r>
      <w:r>
        <w:rPr>
          <w:i/>
        </w:rPr>
        <w:t>Crit Care Med</w:t>
      </w:r>
      <w:r>
        <w:rPr/>
        <w:t>; 24(3):495-500.</w:t>
      </w:r>
    </w:p>
    <w:p>
      <w:pPr>
        <w:pStyle w:val="BodyText"/>
      </w:pPr>
    </w:p>
    <w:p>
      <w:pPr>
        <w:pStyle w:val="BodyText"/>
        <w:spacing w:line="360" w:lineRule="auto" w:before="145"/>
        <w:ind w:left="863" w:right="117" w:hanging="711"/>
        <w:jc w:val="both"/>
      </w:pPr>
      <w:r>
        <w:rPr/>
        <w:t>Fegler G. (1954) “Measurement of cardiac output in anaesthetized animals by a thermodilution method.” </w:t>
      </w:r>
      <w:r>
        <w:rPr>
          <w:i/>
        </w:rPr>
        <w:t>Q J Exp Physiol Cogn Med Sci</w:t>
      </w:r>
      <w:r>
        <w:rPr/>
        <w:t>; 39(3):153-64.</w:t>
      </w:r>
    </w:p>
    <w:p>
      <w:pPr>
        <w:pStyle w:val="BodyText"/>
      </w:pPr>
    </w:p>
    <w:p>
      <w:pPr>
        <w:pStyle w:val="BodyText"/>
        <w:spacing w:line="360" w:lineRule="auto" w:before="146"/>
        <w:ind w:left="863" w:right="107" w:hanging="711"/>
        <w:jc w:val="both"/>
      </w:pPr>
      <w:r>
        <w:rPr/>
        <w:t>Ferro Lopes PC, Goncalves Sousa M, Camacho AA, </w:t>
      </w:r>
      <w:r>
        <w:rPr>
          <w:i/>
        </w:rPr>
        <w:t>et al</w:t>
      </w:r>
      <w:r>
        <w:rPr/>
        <w:t>. (2010) Comparison between two methods for cardiac output measurement in propofol-anesthetized dogs: thermodilution and Doppler Veterinary Anaesthesia and Analgesia, 37, 401–408.</w:t>
      </w:r>
    </w:p>
    <w:p>
      <w:pPr>
        <w:pStyle w:val="BodyText"/>
      </w:pPr>
    </w:p>
    <w:p>
      <w:pPr>
        <w:pStyle w:val="BodyText"/>
        <w:spacing w:line="360" w:lineRule="auto" w:before="146"/>
        <w:ind w:left="863" w:right="102" w:hanging="711"/>
        <w:jc w:val="both"/>
      </w:pPr>
      <w:r>
        <w:rPr/>
        <w:t>Frink EJ Jr</w:t>
      </w:r>
      <w:r>
        <w:rPr>
          <w:b/>
        </w:rPr>
        <w:t>, </w:t>
      </w:r>
      <w:r>
        <w:rPr/>
        <w:t>Malan TP, Morgan SE, Brown EA, Malcomson M, Brown BR Jr. (1992b) Quantification of the degradation products of sevoflurane in two CO2 absorbants during low-flow anesthesia in surgical patients. </w:t>
      </w:r>
      <w:r>
        <w:rPr>
          <w:i/>
        </w:rPr>
        <w:t>Anesthesiology</w:t>
      </w:r>
      <w:r>
        <w:rPr/>
        <w:t>. Dec; 77(6):1064-9.</w:t>
      </w:r>
    </w:p>
    <w:p>
      <w:pPr>
        <w:pStyle w:val="BodyText"/>
      </w:pPr>
    </w:p>
    <w:p>
      <w:pPr>
        <w:pStyle w:val="BodyText"/>
        <w:spacing w:line="360" w:lineRule="auto" w:before="146"/>
        <w:ind w:left="863" w:right="110" w:hanging="711"/>
        <w:jc w:val="both"/>
      </w:pPr>
      <w:r>
        <w:rPr/>
        <w:t>Gordon AM, Huxley AF, Julian FJ (1966). The variation in isometric tensión with sarcomere length in vertebrate musclu fiber. J Physiol; 184, 170-8.</w:t>
      </w:r>
    </w:p>
    <w:p>
      <w:pPr>
        <w:pStyle w:val="BodyText"/>
      </w:pPr>
    </w:p>
    <w:p>
      <w:pPr>
        <w:pStyle w:val="BodyText"/>
        <w:spacing w:line="360" w:lineRule="auto" w:before="141"/>
        <w:ind w:left="863" w:right="113" w:hanging="711"/>
        <w:jc w:val="both"/>
      </w:pPr>
      <w:r>
        <w:rPr/>
        <w:t>Gornemann T, von Wenckstern H, Kleuser B (2007) Characterization of the postjunctional alpha 2C-adrenoceptor mediating vasoconstriction to UK14304 in porcine pulmonary veins. Br J Pharmacol; 151, 186– 194.</w:t>
      </w:r>
    </w:p>
    <w:p>
      <w:pPr>
        <w:pStyle w:val="BodyText"/>
      </w:pPr>
    </w:p>
    <w:p>
      <w:pPr>
        <w:pStyle w:val="BodyText"/>
        <w:spacing w:line="360" w:lineRule="auto" w:before="141"/>
        <w:ind w:left="863" w:right="98" w:hanging="711"/>
        <w:jc w:val="both"/>
      </w:pPr>
      <w:r>
        <w:rPr/>
        <w:t>Gornemann T, Villalon CM, Centurion D, </w:t>
      </w:r>
      <w:r>
        <w:rPr>
          <w:i/>
        </w:rPr>
        <w:t>et al</w:t>
      </w:r>
      <w:r>
        <w:rPr/>
        <w:t>. (2009) Phenylephrine contracts porcine pulmonary veins via alpha(1B)-, alpha(1D)-, and alpha(2)-adrenoceptors. Eur J Pharmacol; 613, 86–92</w:t>
      </w:r>
    </w:p>
    <w:p>
      <w:pPr>
        <w:pStyle w:val="BodyText"/>
      </w:pPr>
    </w:p>
    <w:p>
      <w:pPr>
        <w:pStyle w:val="BodyText"/>
        <w:spacing w:line="360" w:lineRule="auto" w:before="141"/>
        <w:ind w:left="863" w:right="118" w:hanging="711"/>
        <w:jc w:val="both"/>
      </w:pPr>
      <w:r>
        <w:rPr/>
        <w:t>Gilsanz F (1989) Regulación del gasto cardiaco y retorno venoso. Adaptación fisiológica. Efectos de la anestesia general. En: Aguilera L, Alonso J, Arizaga A, eds. Actualizaciones en anestesia y reanimación. Barcelona: Ed MCR p. 91-110.</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863" w:right="121" w:hanging="711"/>
        <w:jc w:val="both"/>
      </w:pPr>
      <w:r>
        <w:rPr/>
        <w:t>Gillman PH (1992b) “Continuous thermodilution cardiac output measurement in intensive care unit patients.” </w:t>
      </w:r>
      <w:r>
        <w:rPr>
          <w:i/>
        </w:rPr>
        <w:t>J Cardiothorac Vasc Anesth</w:t>
      </w:r>
      <w:r>
        <w:rPr/>
        <w:t>; 6 (3):270-4.</w:t>
      </w:r>
    </w:p>
    <w:p>
      <w:pPr>
        <w:pStyle w:val="BodyText"/>
      </w:pPr>
    </w:p>
    <w:p>
      <w:pPr>
        <w:pStyle w:val="BodyText"/>
        <w:spacing w:line="360" w:lineRule="auto" w:before="146"/>
        <w:ind w:left="863" w:right="108" w:hanging="711"/>
        <w:jc w:val="both"/>
      </w:pPr>
      <w:r>
        <w:rPr/>
        <w:t>Gust R, Gottschalk A, Bauer H, Böttiger BW, Böhrer H, Martin E. (1998) Cardiac output measurement by transpulmonary versus conventional thermodilution technique in intensive care patients after coronary artery bypass grafting. </w:t>
      </w:r>
      <w:r>
        <w:rPr>
          <w:i/>
        </w:rPr>
        <w:t>J Cardiothorac </w:t>
      </w:r>
      <w:r>
        <w:rPr>
          <w:i/>
        </w:rPr>
        <w:t>VascAnesth</w:t>
      </w:r>
      <w:r>
        <w:rPr/>
        <w:t>; 12(5):519-22.</w:t>
      </w:r>
    </w:p>
    <w:p>
      <w:pPr>
        <w:pStyle w:val="BodyText"/>
      </w:pPr>
    </w:p>
    <w:p>
      <w:pPr>
        <w:pStyle w:val="BodyText"/>
        <w:spacing w:line="360" w:lineRule="auto" w:before="145"/>
        <w:ind w:left="863" w:right="116" w:hanging="711"/>
        <w:jc w:val="both"/>
      </w:pPr>
      <w:r>
        <w:rPr/>
        <w:t>Guyton &amp; Hall. (2007) Tratado de fisiología médica. Estados de actividad cerebral: sueño, ondas cerebrales, epilepsia, psicosis.” 11ª edición. Ed Elsevier. Saunders</w:t>
      </w:r>
    </w:p>
    <w:p>
      <w:pPr>
        <w:pStyle w:val="BodyText"/>
      </w:pPr>
    </w:p>
    <w:p>
      <w:pPr>
        <w:pStyle w:val="BodyText"/>
        <w:spacing w:line="360" w:lineRule="auto" w:before="146"/>
        <w:ind w:left="863" w:right="112" w:hanging="711"/>
        <w:jc w:val="both"/>
      </w:pPr>
      <w:r>
        <w:rPr/>
        <w:t>Gwak MS</w:t>
      </w:r>
      <w:r>
        <w:rPr>
          <w:b/>
        </w:rPr>
        <w:t>, </w:t>
      </w:r>
      <w:r>
        <w:rPr/>
        <w:t>Kim JA, Kim GS, Choi SJ, Ahn H, Lee JJ, Lee S, Kim M. (2007) Incidence of severe ventricular arrhythmias during pulmonary artery catheterization in liver allograft recipients. </w:t>
      </w:r>
      <w:r>
        <w:rPr>
          <w:i/>
        </w:rPr>
        <w:t>Liver Transpl</w:t>
      </w:r>
      <w:r>
        <w:rPr/>
        <w:t>. (10):1451-4.</w:t>
      </w:r>
    </w:p>
    <w:p>
      <w:pPr>
        <w:pStyle w:val="BodyText"/>
      </w:pPr>
    </w:p>
    <w:p>
      <w:pPr>
        <w:pStyle w:val="BodyText"/>
        <w:spacing w:line="360" w:lineRule="auto" w:before="146"/>
        <w:ind w:left="863" w:right="104" w:hanging="711"/>
        <w:jc w:val="both"/>
      </w:pPr>
      <w:r>
        <w:rPr/>
        <w:t>Hamilton WF, Moore Jw, Kinsman Jm. (1932) Studies on the circulation IV.Further analysis </w:t>
      </w:r>
      <w:r>
        <w:rPr>
          <w:spacing w:val="4"/>
        </w:rPr>
        <w:t>of </w:t>
      </w:r>
      <w:r>
        <w:rPr/>
        <w:t>the injection method, and changes </w:t>
      </w:r>
      <w:r>
        <w:rPr>
          <w:spacing w:val="-3"/>
        </w:rPr>
        <w:t>in </w:t>
      </w:r>
      <w:r>
        <w:rPr/>
        <w:t>temodynamics under physiologi and pathological conditions. </w:t>
      </w:r>
      <w:r>
        <w:rPr>
          <w:i/>
        </w:rPr>
        <w:t>Am J Physiol </w:t>
      </w:r>
      <w:r>
        <w:rPr/>
        <w:t>99,</w:t>
      </w:r>
      <w:r>
        <w:rPr>
          <w:spacing w:val="-15"/>
        </w:rPr>
        <w:t> </w:t>
      </w:r>
      <w:r>
        <w:rPr/>
        <w:t>534.</w:t>
      </w:r>
    </w:p>
    <w:p>
      <w:pPr>
        <w:pStyle w:val="BodyText"/>
      </w:pPr>
    </w:p>
    <w:p>
      <w:pPr>
        <w:pStyle w:val="BodyText"/>
        <w:spacing w:line="360" w:lineRule="auto" w:before="146"/>
        <w:ind w:left="863" w:right="108" w:hanging="711"/>
        <w:jc w:val="both"/>
      </w:pPr>
      <w:r>
        <w:rPr/>
        <w:t>Haryadi DG, Orr JA, Kuck </w:t>
      </w:r>
      <w:r>
        <w:rPr>
          <w:spacing w:val="-3"/>
        </w:rPr>
        <w:t>K, </w:t>
      </w:r>
      <w:r>
        <w:rPr/>
        <w:t>McJames S, Westenskow DR. (2000) Partial CO2 rebreathing indirect Fick technique for non-invasive measurement of cardiac output. </w:t>
      </w:r>
      <w:r>
        <w:rPr>
          <w:i/>
        </w:rPr>
        <w:t>JClin Monit Comput</w:t>
      </w:r>
      <w:r>
        <w:rPr/>
        <w:t>;</w:t>
      </w:r>
      <w:r>
        <w:rPr>
          <w:spacing w:val="-6"/>
        </w:rPr>
        <w:t> </w:t>
      </w:r>
      <w:r>
        <w:rPr/>
        <w:t>16(5-6):361-74.</w:t>
      </w:r>
    </w:p>
    <w:p>
      <w:pPr>
        <w:pStyle w:val="BodyText"/>
      </w:pPr>
    </w:p>
    <w:p>
      <w:pPr>
        <w:pStyle w:val="BodyText"/>
        <w:spacing w:line="362" w:lineRule="auto" w:before="141"/>
        <w:ind w:left="863" w:right="104" w:hanging="711"/>
        <w:jc w:val="both"/>
      </w:pPr>
      <w:r>
        <w:rPr/>
        <w:t>Haskins S, Pascoe PJ, Ilkiw JE, Fudge J, Hopper K, Aldrich J. (2005) Reference cardiopulmonary values in normal dogs.” </w:t>
      </w:r>
      <w:r>
        <w:rPr>
          <w:i/>
        </w:rPr>
        <w:t>Comp Med</w:t>
      </w:r>
      <w:r>
        <w:rPr/>
        <w:t>; 55(2):156-61.</w:t>
      </w:r>
    </w:p>
    <w:p>
      <w:pPr>
        <w:pStyle w:val="BodyText"/>
      </w:pPr>
    </w:p>
    <w:p>
      <w:pPr>
        <w:pStyle w:val="BodyText"/>
        <w:spacing w:before="138"/>
        <w:ind w:left="152"/>
      </w:pPr>
      <w:r>
        <w:rPr/>
        <w:t>Harvey RM, Enson Y: (1969) Pulmonary vascular resistance. Adv Intern Med 15:73.</w:t>
      </w:r>
    </w:p>
    <w:p>
      <w:pPr>
        <w:spacing w:after="0"/>
        <w:sectPr>
          <w:pgSz w:w="12240" w:h="15840"/>
          <w:pgMar w:header="0" w:footer="1651" w:top="1500" w:bottom="1840" w:left="1720" w:right="1420"/>
        </w:sectPr>
      </w:pPr>
    </w:p>
    <w:p>
      <w:pPr>
        <w:pStyle w:val="BodyText"/>
        <w:spacing w:before="7"/>
        <w:rPr>
          <w:sz w:val="20"/>
        </w:rPr>
      </w:pPr>
    </w:p>
    <w:p>
      <w:pPr>
        <w:pStyle w:val="BodyText"/>
        <w:spacing w:line="360" w:lineRule="auto" w:before="69"/>
        <w:ind w:left="863" w:right="111" w:hanging="711"/>
        <w:jc w:val="both"/>
      </w:pPr>
      <w:r>
        <w:rPr/>
        <w:t>Heerdt PM</w:t>
      </w:r>
      <w:r>
        <w:rPr>
          <w:b/>
        </w:rPr>
        <w:t>, </w:t>
      </w:r>
      <w:r>
        <w:rPr/>
        <w:t>Blessios GA, Beach ML, Hogue CW. (2001) Flow dependency </w:t>
      </w:r>
      <w:r>
        <w:rPr>
          <w:spacing w:val="4"/>
        </w:rPr>
        <w:t>of </w:t>
      </w:r>
      <w:r>
        <w:rPr/>
        <w:t>error </w:t>
      </w:r>
      <w:r>
        <w:rPr>
          <w:spacing w:val="-3"/>
        </w:rPr>
        <w:t>in</w:t>
      </w:r>
      <w:r>
        <w:rPr>
          <w:spacing w:val="54"/>
        </w:rPr>
        <w:t> </w:t>
      </w:r>
      <w:r>
        <w:rPr/>
        <w:t>thermodilution measurement </w:t>
      </w:r>
      <w:r>
        <w:rPr>
          <w:spacing w:val="4"/>
        </w:rPr>
        <w:t>of </w:t>
      </w:r>
      <w:r>
        <w:rPr/>
        <w:t>cardiac output during acute tricuspid regurgitation.” </w:t>
      </w:r>
      <w:r>
        <w:rPr>
          <w:i/>
        </w:rPr>
        <w:t>J Cardiothorac Vasc Anesth</w:t>
      </w:r>
      <w:r>
        <w:rPr/>
        <w:t>; 15 (2):183-7.</w:t>
      </w:r>
    </w:p>
    <w:p>
      <w:pPr>
        <w:pStyle w:val="BodyText"/>
      </w:pPr>
    </w:p>
    <w:p>
      <w:pPr>
        <w:pStyle w:val="BodyText"/>
        <w:spacing w:line="360" w:lineRule="auto" w:before="145"/>
        <w:ind w:left="863" w:right="109" w:hanging="711"/>
        <w:jc w:val="both"/>
      </w:pPr>
      <w:r>
        <w:rPr/>
        <w:t>Hyman AL, Kadowitz PJ. (1985) Evidence for existence of postjunctional alpha 1- and alpha 2-adrenoceptors in cat pulmonary vascular bed. Am J Physiol 249: H891– H898.</w:t>
      </w:r>
    </w:p>
    <w:p>
      <w:pPr>
        <w:pStyle w:val="BodyText"/>
      </w:pPr>
    </w:p>
    <w:p>
      <w:pPr>
        <w:pStyle w:val="BodyText"/>
        <w:spacing w:line="360" w:lineRule="auto" w:before="145"/>
        <w:ind w:left="863" w:right="111" w:hanging="711"/>
        <w:jc w:val="both"/>
      </w:pPr>
      <w:r>
        <w:rPr/>
        <w:t>Heymann M, Payne B, Hoffman J, </w:t>
      </w:r>
      <w:r>
        <w:rPr>
          <w:i/>
        </w:rPr>
        <w:t>et al</w:t>
      </w:r>
      <w:r>
        <w:rPr/>
        <w:t>. (1977) Blood </w:t>
      </w:r>
      <w:r>
        <w:rPr>
          <w:spacing w:val="-3"/>
        </w:rPr>
        <w:t>flow </w:t>
      </w:r>
      <w:r>
        <w:rPr/>
        <w:t>measurements with radionuclide labelled microspheres. Prog Cardiovasc Dis; 20,</w:t>
      </w:r>
      <w:r>
        <w:rPr>
          <w:spacing w:val="-21"/>
        </w:rPr>
        <w:t> </w:t>
      </w:r>
      <w:r>
        <w:rPr/>
        <w:t>55-79.</w:t>
      </w:r>
    </w:p>
    <w:p>
      <w:pPr>
        <w:pStyle w:val="BodyText"/>
      </w:pPr>
    </w:p>
    <w:p>
      <w:pPr>
        <w:pStyle w:val="BodyText"/>
        <w:spacing w:line="360" w:lineRule="auto" w:before="146"/>
        <w:ind w:left="863" w:right="108" w:hanging="711"/>
        <w:jc w:val="both"/>
      </w:pPr>
      <w:r>
        <w:rPr/>
        <w:t>Hillis LD, Firth BG, Winniford MD (1985) 2 Analysis of factors affecting the variability of Fick versus indicator dilution measurements of cardiac output. Am J Cardiol: 764-8.</w:t>
      </w:r>
    </w:p>
    <w:p>
      <w:pPr>
        <w:pStyle w:val="BodyText"/>
      </w:pPr>
    </w:p>
    <w:p>
      <w:pPr>
        <w:pStyle w:val="BodyText"/>
        <w:spacing w:line="362" w:lineRule="auto" w:before="141"/>
        <w:ind w:left="863" w:right="109" w:hanging="711"/>
        <w:jc w:val="both"/>
      </w:pPr>
      <w:r>
        <w:rPr/>
        <w:t>Huang YC. (2005) Monitoring oxygen delivery in the critically ill. Ehest; 128 (Suppl 2): 5 545 -605.</w:t>
      </w:r>
    </w:p>
    <w:p>
      <w:pPr>
        <w:pStyle w:val="BodyText"/>
      </w:pPr>
    </w:p>
    <w:p>
      <w:pPr>
        <w:pStyle w:val="BodyText"/>
        <w:spacing w:line="362" w:lineRule="auto" w:before="138"/>
        <w:ind w:left="863" w:right="102" w:hanging="711"/>
        <w:jc w:val="both"/>
      </w:pPr>
      <w:r>
        <w:rPr/>
        <w:t>Jansen JR</w:t>
      </w:r>
      <w:r>
        <w:rPr>
          <w:b/>
        </w:rPr>
        <w:t>, </w:t>
      </w:r>
      <w:r>
        <w:rPr/>
        <w:t>Versprille A. (1986) Improvement of cardiac output estimation by thethermodilution method during mechanical ventilation.” </w:t>
      </w:r>
      <w:r>
        <w:rPr>
          <w:i/>
        </w:rPr>
        <w:t>Intensive Care Med</w:t>
      </w:r>
      <w:r>
        <w:rPr/>
        <w:t>.; 12(2):71-9.</w:t>
      </w:r>
    </w:p>
    <w:p>
      <w:pPr>
        <w:pStyle w:val="BodyText"/>
      </w:pPr>
    </w:p>
    <w:p>
      <w:pPr>
        <w:pStyle w:val="BodyText"/>
        <w:spacing w:line="360" w:lineRule="auto" w:before="138"/>
        <w:ind w:left="863" w:right="103" w:hanging="711"/>
        <w:jc w:val="both"/>
      </w:pPr>
      <w:r>
        <w:rPr/>
        <w:t>Jansen JR</w:t>
      </w:r>
      <w:r>
        <w:rPr>
          <w:b/>
        </w:rPr>
        <w:t>, </w:t>
      </w:r>
      <w:r>
        <w:rPr/>
        <w:t>Schreuder JJ, Settels JJ, Kloek JJ, Versprille A. (1990) An adequate strategy for the thermodilution technique in patients during mechanical ventilation. </w:t>
      </w:r>
      <w:r>
        <w:rPr>
          <w:i/>
        </w:rPr>
        <w:t>Intensive </w:t>
      </w:r>
      <w:r>
        <w:rPr>
          <w:i/>
        </w:rPr>
        <w:t>Care Med</w:t>
      </w:r>
      <w:r>
        <w:rPr/>
        <w:t>; 16(7):422-5.</w:t>
      </w:r>
    </w:p>
    <w:p>
      <w:pPr>
        <w:pStyle w:val="BodyText"/>
      </w:pPr>
    </w:p>
    <w:p>
      <w:pPr>
        <w:pStyle w:val="BodyText"/>
        <w:spacing w:line="360" w:lineRule="auto" w:before="145"/>
        <w:ind w:left="863" w:right="112" w:hanging="711"/>
        <w:jc w:val="both"/>
      </w:pPr>
      <w:r>
        <w:rPr/>
        <w:t>Jaffe MB. (1999) Partial CO2 rebreathing cardiac output. Operating principles of the NICO system. J Clin Monitoring; 15: 387–401.</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before="69"/>
        <w:ind w:left="152"/>
      </w:pPr>
      <w:r>
        <w:rPr/>
        <w:t>Jonas MM,  Hett  DA.  (2004) Monitorización mínimamente  invasiva del gasto   Cardiaco.</w:t>
      </w:r>
    </w:p>
    <w:p>
      <w:pPr>
        <w:pStyle w:val="BodyText"/>
        <w:spacing w:before="137"/>
        <w:ind w:left="863"/>
      </w:pPr>
      <w:r>
        <w:rPr/>
        <w:t>Pág. 208-216. De la Quintana Gordon. Elsevier.</w:t>
      </w:r>
    </w:p>
    <w:p>
      <w:pPr>
        <w:pStyle w:val="BodyText"/>
      </w:pPr>
    </w:p>
    <w:p>
      <w:pPr>
        <w:pStyle w:val="BodyText"/>
        <w:spacing w:before="3"/>
      </w:pPr>
    </w:p>
    <w:p>
      <w:pPr>
        <w:pStyle w:val="BodyText"/>
        <w:spacing w:line="360" w:lineRule="auto"/>
        <w:ind w:left="863" w:right="121" w:hanging="711"/>
        <w:jc w:val="both"/>
      </w:pPr>
      <w:r>
        <w:rPr/>
        <w:t>Johnson KL, (2004) Diagnostic measures to evaluated oxygenation in critically ill adults: implications and limitations AACN Clin Issues 15, 506-524.</w:t>
      </w:r>
    </w:p>
    <w:p>
      <w:pPr>
        <w:pStyle w:val="BodyText"/>
      </w:pPr>
    </w:p>
    <w:p>
      <w:pPr>
        <w:pStyle w:val="BodyText"/>
        <w:spacing w:line="360" w:lineRule="auto" w:before="141"/>
        <w:ind w:left="863" w:right="103" w:hanging="711"/>
        <w:jc w:val="both"/>
      </w:pPr>
      <w:r>
        <w:rPr/>
        <w:t>Jover JL</w:t>
      </w:r>
      <w:r>
        <w:rPr>
          <w:b/>
        </w:rPr>
        <w:t>, </w:t>
      </w:r>
      <w:r>
        <w:rPr/>
        <w:t>Soro M, Belda </w:t>
      </w:r>
      <w:r>
        <w:rPr>
          <w:spacing w:val="-3"/>
        </w:rPr>
        <w:t>FJ, </w:t>
      </w:r>
      <w:r>
        <w:rPr/>
        <w:t>Aguilar G, Caro P, Ferrandis R. (2005) Measurement of cardiac output after cardiac surgery: validation </w:t>
      </w:r>
      <w:r>
        <w:rPr>
          <w:spacing w:val="4"/>
        </w:rPr>
        <w:t>of </w:t>
      </w:r>
      <w:r>
        <w:rPr/>
        <w:t>a partial carbon dioxide rebreathing (NICO) system </w:t>
      </w:r>
      <w:r>
        <w:rPr>
          <w:spacing w:val="-3"/>
        </w:rPr>
        <w:t>in </w:t>
      </w:r>
      <w:r>
        <w:rPr/>
        <w:t>comparison with continuous thermodilution with a pulmonary artery catheter. </w:t>
      </w:r>
      <w:r>
        <w:rPr>
          <w:i/>
        </w:rPr>
        <w:t>Rev Esp Anestesiol Reanim</w:t>
      </w:r>
      <w:r>
        <w:rPr/>
        <w:t>;</w:t>
      </w:r>
      <w:r>
        <w:rPr>
          <w:spacing w:val="-12"/>
        </w:rPr>
        <w:t> </w:t>
      </w:r>
      <w:r>
        <w:rPr/>
        <w:t>52(5):256-62.</w:t>
      </w:r>
    </w:p>
    <w:p>
      <w:pPr>
        <w:pStyle w:val="BodyText"/>
      </w:pPr>
    </w:p>
    <w:p>
      <w:pPr>
        <w:pStyle w:val="BodyText"/>
        <w:spacing w:line="360" w:lineRule="auto" w:before="146"/>
        <w:ind w:left="863" w:right="109" w:hanging="711"/>
        <w:jc w:val="both"/>
      </w:pPr>
      <w:r>
        <w:rPr/>
        <w:t>Kadota LT</w:t>
      </w:r>
      <w:r>
        <w:rPr>
          <w:b/>
        </w:rPr>
        <w:t>. </w:t>
      </w:r>
      <w:r>
        <w:rPr/>
        <w:t>(1985) Theory and application of thermodilution cardiac output measurement: a review. </w:t>
      </w:r>
      <w:r>
        <w:rPr>
          <w:i/>
        </w:rPr>
        <w:t>Heart Lung</w:t>
      </w:r>
      <w:r>
        <w:rPr/>
        <w:t>; 14(6):605-16.</w:t>
      </w:r>
    </w:p>
    <w:p>
      <w:pPr>
        <w:pStyle w:val="BodyText"/>
      </w:pPr>
    </w:p>
    <w:p>
      <w:pPr>
        <w:pStyle w:val="BodyText"/>
        <w:spacing w:line="360" w:lineRule="auto" w:before="141"/>
        <w:ind w:left="863" w:right="111" w:hanging="711"/>
        <w:jc w:val="both"/>
      </w:pPr>
      <w:r>
        <w:rPr/>
        <w:t>Katz ES, Tunick PA, Rusinek H </w:t>
      </w:r>
      <w:r>
        <w:rPr>
          <w:i/>
        </w:rPr>
        <w:t>et al</w:t>
      </w:r>
      <w:r>
        <w:rPr/>
        <w:t>: (1992). Protruding aortic atheromas predict stroke in elderly patients undergoing cardiopulmonary bypass: experience with intraoperative transesophageal echocardiography. J Am Coll Cardiol 20:70, 1992.</w:t>
      </w:r>
    </w:p>
    <w:p>
      <w:pPr>
        <w:pStyle w:val="BodyText"/>
      </w:pPr>
    </w:p>
    <w:p>
      <w:pPr>
        <w:pStyle w:val="BodyText"/>
        <w:spacing w:line="360" w:lineRule="auto" w:before="141"/>
        <w:ind w:left="863" w:right="108" w:hanging="711"/>
        <w:jc w:val="both"/>
      </w:pPr>
      <w:r>
        <w:rPr/>
        <w:t>Kaartinen J, Pang D, Moreau M et al. (2010) Hemodynamic effects of an intravenous infusion of medetomidine at six dose regimens in isoflurane-anesthetized dogs. Vet Ther 11, E1-E16.</w:t>
      </w:r>
    </w:p>
    <w:p>
      <w:pPr>
        <w:pStyle w:val="BodyText"/>
      </w:pPr>
    </w:p>
    <w:p>
      <w:pPr>
        <w:pStyle w:val="BodyText"/>
        <w:spacing w:line="360" w:lineRule="auto" w:before="141"/>
        <w:ind w:left="863" w:right="113" w:hanging="711"/>
        <w:jc w:val="both"/>
      </w:pPr>
      <w:r>
        <w:rPr/>
        <w:t>Kazama, T. and Ikeda, K. (1988) Comparison of MAC and the rate of rise of alveolar concentration of sevoflurane with halothane and isoflurane in the dog. </w:t>
      </w:r>
      <w:r>
        <w:rPr>
          <w:i/>
        </w:rPr>
        <w:t>Anesthesiology </w:t>
      </w:r>
      <w:r>
        <w:rPr/>
        <w:t>68: 435–437.</w:t>
      </w:r>
    </w:p>
    <w:p>
      <w:pPr>
        <w:pStyle w:val="BodyText"/>
      </w:pPr>
    </w:p>
    <w:p>
      <w:pPr>
        <w:pStyle w:val="BodyText"/>
        <w:spacing w:line="360" w:lineRule="auto" w:before="141"/>
        <w:ind w:left="863" w:right="112" w:hanging="711"/>
        <w:jc w:val="both"/>
      </w:pPr>
      <w:r>
        <w:rPr/>
        <w:t>Kagawa K, Mammoto T, Hayashi Y, et al. (1997) The effect of imidazoline receptors and alpha-2 adrenoceptors on the anesthetic requirement (MAC) for halothane in rats. Anesthesiology 1997;87 (4): 963-967.</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863" w:right="119" w:hanging="711"/>
        <w:jc w:val="both"/>
      </w:pPr>
      <w:r>
        <w:rPr/>
        <w:t>Ko, J. C. H., Lange, D. N., Mandsager, R. E., Payton, M. E., Bowen, C., Kamata, A. and Kuo, W. C. (2000). Effects of butorphanol and carprofen on the minimal alveolar concentration of isoflurane in dogs. </w:t>
      </w:r>
      <w:r>
        <w:rPr>
          <w:i/>
        </w:rPr>
        <w:t>JAVMA </w:t>
      </w:r>
      <w:r>
        <w:rPr>
          <w:b/>
        </w:rPr>
        <w:t>217</w:t>
      </w:r>
      <w:r>
        <w:rPr/>
        <w:t>: 1025–1028.</w:t>
      </w:r>
    </w:p>
    <w:p>
      <w:pPr>
        <w:pStyle w:val="BodyText"/>
      </w:pPr>
    </w:p>
    <w:p>
      <w:pPr>
        <w:pStyle w:val="BodyText"/>
        <w:spacing w:line="360" w:lineRule="auto" w:before="145"/>
        <w:ind w:left="863" w:right="100" w:hanging="711"/>
        <w:jc w:val="both"/>
      </w:pPr>
      <w:r>
        <w:rPr/>
        <w:t>Kiely M, Byers LA, Greenwood </w:t>
      </w:r>
      <w:r>
        <w:rPr>
          <w:spacing w:val="-4"/>
        </w:rPr>
        <w:t>R,</w:t>
      </w:r>
      <w:r>
        <w:rPr>
          <w:spacing w:val="52"/>
        </w:rPr>
        <w:t> </w:t>
      </w:r>
      <w:r>
        <w:rPr/>
        <w:t>Carroll E, Carroll D. (1998) 2Thermodilution measurement of cardiac output </w:t>
      </w:r>
      <w:r>
        <w:rPr>
          <w:spacing w:val="-3"/>
        </w:rPr>
        <w:t>in </w:t>
      </w:r>
      <w:r>
        <w:rPr/>
        <w:t>patients with low output:  room-temperature  versus iced injectate. </w:t>
      </w:r>
      <w:r>
        <w:rPr>
          <w:i/>
        </w:rPr>
        <w:t>Am J Crit Care</w:t>
      </w:r>
      <w:r>
        <w:rPr/>
        <w:t>;</w:t>
      </w:r>
      <w:r>
        <w:rPr>
          <w:spacing w:val="-13"/>
        </w:rPr>
        <w:t> </w:t>
      </w:r>
      <w:r>
        <w:rPr/>
        <w:t>7(6):436-8.</w:t>
      </w:r>
    </w:p>
    <w:p>
      <w:pPr>
        <w:pStyle w:val="BodyText"/>
      </w:pPr>
    </w:p>
    <w:p>
      <w:pPr>
        <w:pStyle w:val="BodyText"/>
        <w:spacing w:line="360" w:lineRule="auto" w:before="145"/>
        <w:ind w:left="863" w:right="102" w:hanging="711"/>
        <w:jc w:val="both"/>
      </w:pPr>
      <w:r>
        <w:rPr/>
        <w:t>Kubicek WG</w:t>
      </w:r>
      <w:r>
        <w:rPr>
          <w:b/>
        </w:rPr>
        <w:t>, </w:t>
      </w:r>
      <w:r>
        <w:rPr/>
        <w:t>Karnegis JN, Patterson RP, Witsoe DA, Mattson RH.(1996) Development and evaluation of an impedance cardiac output system. </w:t>
      </w:r>
      <w:r>
        <w:rPr>
          <w:i/>
        </w:rPr>
        <w:t>Aerosp Med</w:t>
      </w:r>
      <w:r>
        <w:rPr/>
        <w:t>. (12):1208-12. Mathews L, Singh KR. “Cardiac output monitoring. (2008) </w:t>
      </w:r>
      <w:r>
        <w:rPr>
          <w:i/>
        </w:rPr>
        <w:t>Ann Card Anaesth</w:t>
      </w:r>
      <w:r>
        <w:rPr/>
        <w:t>.; 11(1):56-68.</w:t>
      </w:r>
    </w:p>
    <w:p>
      <w:pPr>
        <w:pStyle w:val="BodyText"/>
      </w:pPr>
    </w:p>
    <w:p>
      <w:pPr>
        <w:pStyle w:val="BodyText"/>
        <w:spacing w:line="362" w:lineRule="auto" w:before="140"/>
        <w:ind w:left="863" w:right="105" w:hanging="711"/>
        <w:jc w:val="both"/>
      </w:pPr>
      <w:r>
        <w:rPr/>
        <w:t>Lange HW</w:t>
      </w:r>
      <w:r>
        <w:rPr>
          <w:b/>
        </w:rPr>
        <w:t>, </w:t>
      </w:r>
      <w:r>
        <w:rPr/>
        <w:t>Galliani CA, Edwards JE (1983) Local complications associated with indwelling Swan-Ganz catheters: autopsy study of 36 cases. </w:t>
      </w:r>
      <w:r>
        <w:rPr>
          <w:i/>
        </w:rPr>
        <w:t>Am J Cardiol</w:t>
      </w:r>
      <w:r>
        <w:rPr/>
        <w:t>. 1; 52(8):1108-</w:t>
      </w:r>
    </w:p>
    <w:p>
      <w:pPr>
        <w:pStyle w:val="BodyText"/>
      </w:pPr>
    </w:p>
    <w:p>
      <w:pPr>
        <w:pStyle w:val="BodyText"/>
        <w:spacing w:line="360" w:lineRule="auto" w:before="138"/>
        <w:ind w:left="863" w:right="114" w:hanging="711"/>
        <w:jc w:val="both"/>
      </w:pPr>
      <w:r>
        <w:rPr/>
        <w:t>Linton RAF, Linton NWF, Kelly F (2002) is clinicall assessment of circulation reliable in postoperative cardial surgery patients? J cardiothorac Vasc Anesth 16:4-7, 2002.</w:t>
      </w:r>
    </w:p>
    <w:p>
      <w:pPr>
        <w:pStyle w:val="BodyText"/>
      </w:pPr>
    </w:p>
    <w:p>
      <w:pPr>
        <w:pStyle w:val="BodyText"/>
        <w:spacing w:line="360" w:lineRule="auto" w:before="145"/>
        <w:ind w:left="863" w:right="108" w:hanging="711"/>
        <w:jc w:val="both"/>
      </w:pPr>
      <w:r>
        <w:rPr/>
        <w:t>Lichtwarck-Aschoff M, Zeravik J, Pfeiffer UJ. (1992) Intrathoracic blood volume accurately reflects circulatory volume status </w:t>
      </w:r>
      <w:r>
        <w:rPr>
          <w:spacing w:val="-3"/>
        </w:rPr>
        <w:t>in </w:t>
      </w:r>
      <w:r>
        <w:rPr/>
        <w:t>critically ill patients with mechanical ventilation. Intensive Care Med;</w:t>
      </w:r>
      <w:r>
        <w:rPr>
          <w:spacing w:val="-14"/>
        </w:rPr>
        <w:t> </w:t>
      </w:r>
      <w:r>
        <w:rPr/>
        <w:t>18:142–7.</w:t>
      </w:r>
    </w:p>
    <w:p>
      <w:pPr>
        <w:pStyle w:val="BodyText"/>
      </w:pPr>
    </w:p>
    <w:p>
      <w:pPr>
        <w:pStyle w:val="BodyText"/>
        <w:spacing w:line="360" w:lineRule="auto" w:before="145"/>
        <w:ind w:left="863" w:right="105" w:hanging="711"/>
        <w:jc w:val="both"/>
      </w:pPr>
      <w:r>
        <w:rPr/>
        <w:t>Lichtenthal PR, Gordan D (1996) Testing the safety of Baxter continuous cardiac output monitoring system.” </w:t>
      </w:r>
      <w:r>
        <w:rPr>
          <w:i/>
        </w:rPr>
        <w:t>J Clin Monit</w:t>
      </w:r>
      <w:r>
        <w:rPr/>
        <w:t>. May;12(3):243-9.</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863" w:right="106" w:hanging="711"/>
        <w:jc w:val="both"/>
      </w:pPr>
      <w:r>
        <w:rPr/>
        <w:t>Lin GY, Robben JH, Murrell JC, </w:t>
      </w:r>
      <w:r>
        <w:rPr>
          <w:i/>
        </w:rPr>
        <w:t>et al </w:t>
      </w:r>
      <w:r>
        <w:rPr/>
        <w:t>(2008) Dexmedetomidine constant rate infusion for 24 hours during and after propofol or isoflurane anaesthesia in dogs. Vet Anaesth Analg; 35, 141–153.</w:t>
      </w:r>
    </w:p>
    <w:p>
      <w:pPr>
        <w:pStyle w:val="BodyText"/>
      </w:pPr>
    </w:p>
    <w:p>
      <w:pPr>
        <w:pStyle w:val="BodyText"/>
        <w:spacing w:line="360" w:lineRule="auto" w:before="145"/>
        <w:ind w:left="863" w:right="106" w:hanging="711"/>
        <w:jc w:val="both"/>
      </w:pPr>
      <w:r>
        <w:rPr/>
        <w:t>Linton </w:t>
      </w:r>
      <w:r>
        <w:rPr>
          <w:spacing w:val="-2"/>
        </w:rPr>
        <w:t>RA</w:t>
      </w:r>
      <w:r>
        <w:rPr>
          <w:b/>
          <w:spacing w:val="-2"/>
        </w:rPr>
        <w:t>, </w:t>
      </w:r>
      <w:r>
        <w:rPr/>
        <w:t>Band DM, Haire </w:t>
      </w:r>
      <w:r>
        <w:rPr>
          <w:spacing w:val="-3"/>
        </w:rPr>
        <w:t>KM. </w:t>
      </w:r>
      <w:r>
        <w:rPr/>
        <w:t>(2002) A new method of measuring cardiac  output </w:t>
      </w:r>
      <w:r>
        <w:rPr>
          <w:spacing w:val="-3"/>
        </w:rPr>
        <w:t>in </w:t>
      </w:r>
      <w:r>
        <w:rPr/>
        <w:t>man using lithium dilution.” </w:t>
      </w:r>
      <w:r>
        <w:rPr>
          <w:i/>
        </w:rPr>
        <w:t>Br J Anaesth</w:t>
      </w:r>
      <w:r>
        <w:rPr/>
        <w:t>. Aug; 71(2):262-6. Madan AK,  UyBarreta VV, Aliabadi-Wahle S, Jesperson R, Hartz RS, </w:t>
      </w:r>
      <w:r>
        <w:rPr>
          <w:spacing w:val="-4"/>
        </w:rPr>
        <w:t>Flint</w:t>
      </w:r>
      <w:r>
        <w:rPr>
          <w:spacing w:val="-7"/>
        </w:rPr>
        <w:t> </w:t>
      </w:r>
      <w:r>
        <w:rPr/>
        <w:t>LM,</w:t>
      </w:r>
    </w:p>
    <w:p>
      <w:pPr>
        <w:pStyle w:val="BodyText"/>
      </w:pPr>
    </w:p>
    <w:p>
      <w:pPr>
        <w:pStyle w:val="BodyText"/>
        <w:spacing w:line="360" w:lineRule="auto" w:before="145"/>
        <w:ind w:left="863" w:right="99" w:hanging="711"/>
        <w:jc w:val="both"/>
      </w:pPr>
      <w:r>
        <w:rPr/>
        <w:t>Steinberg SM. Esophageal (1999) Doppler ultrasound monitor versus pulmonary artery catheter in the hemodynamic management of critically ill surgical patients. </w:t>
      </w:r>
      <w:r>
        <w:rPr>
          <w:i/>
        </w:rPr>
        <w:t>J </w:t>
      </w:r>
      <w:r>
        <w:rPr>
          <w:i/>
        </w:rPr>
        <w:t>Trauma</w:t>
      </w:r>
      <w:r>
        <w:rPr/>
        <w:t>. Apr; 46(4):607-11.</w:t>
      </w:r>
    </w:p>
    <w:p>
      <w:pPr>
        <w:pStyle w:val="BodyText"/>
      </w:pPr>
    </w:p>
    <w:p>
      <w:pPr>
        <w:pStyle w:val="BodyText"/>
        <w:spacing w:before="145"/>
        <w:ind w:left="152"/>
      </w:pPr>
      <w:r>
        <w:rPr/>
        <w:t>Major RH (ed): Hipocrates (1965) The book of prognostics. Classic descriptions of disease.</w:t>
      </w:r>
    </w:p>
    <w:p>
      <w:pPr>
        <w:pStyle w:val="BodyText"/>
        <w:spacing w:before="137"/>
        <w:ind w:left="863"/>
      </w:pPr>
      <w:r>
        <w:rPr/>
        <w:t>Charles C Thomas, Springfield, IL.</w:t>
      </w:r>
    </w:p>
    <w:p>
      <w:pPr>
        <w:pStyle w:val="BodyText"/>
      </w:pPr>
    </w:p>
    <w:p>
      <w:pPr>
        <w:pStyle w:val="BodyText"/>
        <w:spacing w:before="2"/>
      </w:pPr>
    </w:p>
    <w:p>
      <w:pPr>
        <w:pStyle w:val="BodyText"/>
        <w:spacing w:line="360" w:lineRule="auto" w:before="1"/>
        <w:ind w:left="863" w:right="108" w:hanging="711"/>
        <w:jc w:val="both"/>
      </w:pPr>
      <w:r>
        <w:rPr/>
        <w:t>Mcarthur KT, Clark LC, Lyons C: (1962) Continuous recording of blood oxygen saturation in open heart operations. Surgery 51:121.</w:t>
      </w:r>
    </w:p>
    <w:p>
      <w:pPr>
        <w:pStyle w:val="BodyText"/>
      </w:pPr>
    </w:p>
    <w:p>
      <w:pPr>
        <w:pStyle w:val="BodyText"/>
        <w:spacing w:line="360" w:lineRule="auto" w:before="141"/>
        <w:ind w:left="863" w:right="99" w:hanging="711"/>
        <w:jc w:val="both"/>
      </w:pPr>
      <w:r>
        <w:rPr/>
        <w:t>Madan AK, UyBarreta VV, Aliabadi-Wahle S, Jesperson R, Hartz </w:t>
      </w:r>
      <w:r>
        <w:rPr>
          <w:spacing w:val="-2"/>
        </w:rPr>
        <w:t>RS, </w:t>
      </w:r>
      <w:r>
        <w:rPr>
          <w:spacing w:val="-3"/>
        </w:rPr>
        <w:t>Flint </w:t>
      </w:r>
      <w:r>
        <w:rPr/>
        <w:t>LM, Steinberg SM (1999) Esophageal Doppler ultrasound monitor versus pulmonary artery catheter </w:t>
      </w:r>
      <w:r>
        <w:rPr>
          <w:spacing w:val="-3"/>
        </w:rPr>
        <w:t>in </w:t>
      </w:r>
      <w:r>
        <w:rPr/>
        <w:t>the hemodynamic management of critically ill surgical patients. </w:t>
      </w:r>
      <w:r>
        <w:rPr>
          <w:i/>
        </w:rPr>
        <w:t>J </w:t>
      </w:r>
      <w:r>
        <w:rPr>
          <w:i/>
        </w:rPr>
        <w:t>Trauma</w:t>
      </w:r>
      <w:r>
        <w:rPr/>
        <w:t>. Apr;</w:t>
      </w:r>
      <w:r>
        <w:rPr>
          <w:spacing w:val="-3"/>
        </w:rPr>
        <w:t> </w:t>
      </w:r>
      <w:r>
        <w:rPr/>
        <w:t>46(4):607-11.</w:t>
      </w:r>
    </w:p>
    <w:p>
      <w:pPr>
        <w:pStyle w:val="BodyText"/>
        <w:spacing w:before="4"/>
        <w:ind w:left="152"/>
      </w:pPr>
      <w:r>
        <w:rPr/>
        <w:t>Mangano  DT. (1980) Monitoring pulmonary arterial pressure  in coronary artery    disease.</w:t>
      </w:r>
    </w:p>
    <w:p>
      <w:pPr>
        <w:pStyle w:val="BodyText"/>
        <w:spacing w:before="137"/>
        <w:ind w:left="863"/>
      </w:pPr>
      <w:r>
        <w:rPr/>
        <w:t>Anaesthesiology; 53:364–70.</w:t>
      </w:r>
    </w:p>
    <w:p>
      <w:pPr>
        <w:pStyle w:val="BodyText"/>
      </w:pPr>
    </w:p>
    <w:p>
      <w:pPr>
        <w:pStyle w:val="BodyText"/>
        <w:spacing w:before="2"/>
      </w:pPr>
    </w:p>
    <w:p>
      <w:pPr>
        <w:pStyle w:val="BodyText"/>
        <w:spacing w:line="360" w:lineRule="auto"/>
        <w:ind w:left="863" w:right="106" w:hanging="711"/>
        <w:jc w:val="both"/>
      </w:pPr>
      <w:r>
        <w:rPr/>
        <w:t>Malan TP, Dinardi JA, Isner J, </w:t>
      </w:r>
      <w:r>
        <w:rPr>
          <w:i/>
        </w:rPr>
        <w:t>et al</w:t>
      </w:r>
      <w:r>
        <w:rPr/>
        <w:t>. (1995) Cardivascular effects os Sevofluranen compared with those of isoflurane </w:t>
      </w:r>
      <w:r>
        <w:rPr>
          <w:spacing w:val="-3"/>
        </w:rPr>
        <w:t>in </w:t>
      </w:r>
      <w:r>
        <w:rPr/>
        <w:t>volunteers. Anesthesiology 83,</w:t>
      </w:r>
      <w:r>
        <w:rPr>
          <w:spacing w:val="-16"/>
        </w:rPr>
        <w:t> </w:t>
      </w:r>
      <w:r>
        <w:rPr/>
        <w:t>918-28.</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863" w:right="105" w:hanging="711"/>
        <w:jc w:val="both"/>
      </w:pPr>
      <w:r>
        <w:rPr/>
        <w:t>Marty J, Reves JG (1989) Cardiovascular Control Mechanisms during Anesthesia. Anesth Analg; 69: 273-5.</w:t>
      </w:r>
    </w:p>
    <w:p>
      <w:pPr>
        <w:pStyle w:val="BodyText"/>
      </w:pPr>
    </w:p>
    <w:p>
      <w:pPr>
        <w:pStyle w:val="BodyText"/>
        <w:spacing w:line="360" w:lineRule="auto" w:before="146"/>
        <w:ind w:left="863" w:right="112" w:hanging="711"/>
        <w:jc w:val="both"/>
      </w:pPr>
      <w:r>
        <w:rPr/>
        <w:t>Marino PL. (1993) Medicina crítica y terapia intensiva. Madrid, Editorial Médica Panamericana SA.</w:t>
      </w:r>
    </w:p>
    <w:p>
      <w:pPr>
        <w:pStyle w:val="BodyText"/>
      </w:pPr>
    </w:p>
    <w:p>
      <w:pPr>
        <w:pStyle w:val="BodyText"/>
        <w:spacing w:line="362" w:lineRule="auto" w:before="141"/>
        <w:ind w:left="863" w:right="121" w:hanging="711"/>
        <w:jc w:val="both"/>
      </w:pPr>
      <w:r>
        <w:rPr/>
        <w:t>Marcucci C, Lauer R, Mahajan A (2008) New echocardiographic techniques for evaluating left ventricular myocardiall function. Semin Cardiothorac Vas Anesth 12, 228-47.</w:t>
      </w:r>
    </w:p>
    <w:p>
      <w:pPr>
        <w:pStyle w:val="BodyText"/>
      </w:pPr>
    </w:p>
    <w:p>
      <w:pPr>
        <w:pStyle w:val="BodyText"/>
        <w:spacing w:line="360" w:lineRule="auto" w:before="138"/>
        <w:ind w:left="863" w:right="102" w:hanging="711"/>
        <w:jc w:val="both"/>
      </w:pPr>
      <w:r>
        <w:rPr/>
        <w:t>Marshall BE, Cohen PJ el al. (1971). Some pulmonary and cardiovascular effects of </w:t>
      </w:r>
      <w:r>
        <w:rPr>
          <w:position w:val="2"/>
        </w:rPr>
        <w:t>enflurane anesthesia with varying PaCO</w:t>
      </w:r>
      <w:r>
        <w:rPr>
          <w:sz w:val="16"/>
        </w:rPr>
        <w:t>2  </w:t>
      </w:r>
      <w:r>
        <w:rPr>
          <w:position w:val="2"/>
        </w:rPr>
        <w:t>in man BrJ anaesthesia 43:996, 1971.</w:t>
      </w:r>
    </w:p>
    <w:p>
      <w:pPr>
        <w:pStyle w:val="BodyText"/>
      </w:pPr>
    </w:p>
    <w:p>
      <w:pPr>
        <w:pStyle w:val="BodyText"/>
        <w:spacing w:line="360" w:lineRule="auto" w:before="142"/>
        <w:ind w:left="863" w:right="106" w:hanging="711"/>
        <w:jc w:val="both"/>
        <w:rPr>
          <w:rFonts w:ascii="Arial" w:hAnsi="Arial"/>
          <w:sz w:val="16"/>
        </w:rPr>
      </w:pPr>
      <w:r>
        <w:rPr/>
        <w:t>Matsubara, L. M., Oliva, V. N., Gabas, D. T., Oliveira, G. C. and Cassetari, M. L. (2009) Effect of lidocaine on the minimum alveolar concentration of sevoflurane in dogs. </w:t>
      </w:r>
      <w:r>
        <w:rPr>
          <w:i/>
        </w:rPr>
        <w:t>Vet. Anaesth. Analg. </w:t>
      </w:r>
      <w:r>
        <w:rPr/>
        <w:t>36: 407–413</w:t>
      </w:r>
      <w:r>
        <w:rPr>
          <w:rFonts w:ascii="Arial" w:hAnsi="Arial"/>
          <w:sz w:val="16"/>
        </w:rPr>
        <w:t>.</w:t>
      </w:r>
    </w:p>
    <w:p>
      <w:pPr>
        <w:pStyle w:val="BodyText"/>
        <w:spacing w:before="6"/>
        <w:rPr>
          <w:rFonts w:ascii="Arial"/>
        </w:rPr>
      </w:pPr>
    </w:p>
    <w:p>
      <w:pPr>
        <w:pStyle w:val="BodyText"/>
        <w:spacing w:line="362" w:lineRule="auto"/>
        <w:ind w:left="863" w:right="103" w:hanging="711"/>
        <w:jc w:val="both"/>
      </w:pPr>
      <w:r>
        <w:rPr/>
        <w:t>Mermel LA, Maki DG. (1994) Infectious complications of Swan-Ganz pulmonary artery catheters.Pathogenesis, epidemiology, prevention, and management.</w:t>
      </w:r>
      <w:r>
        <w:rPr>
          <w:i/>
        </w:rPr>
        <w:t>Am J  Respir </w:t>
      </w:r>
      <w:r>
        <w:rPr>
          <w:i/>
        </w:rPr>
        <w:t>Crit Care Med. </w:t>
      </w:r>
      <w:r>
        <w:rPr/>
        <w:t>1994 (4 Pt 1):1020-36.</w:t>
      </w:r>
    </w:p>
    <w:p>
      <w:pPr>
        <w:pStyle w:val="BodyText"/>
      </w:pPr>
    </w:p>
    <w:p>
      <w:pPr>
        <w:pStyle w:val="BodyText"/>
        <w:spacing w:line="362" w:lineRule="auto" w:before="138"/>
        <w:ind w:left="863" w:right="106" w:hanging="711"/>
        <w:jc w:val="both"/>
      </w:pPr>
      <w:r>
        <w:rPr/>
        <w:t>Mihm FG, Gettinger A, Hanson CW, </w:t>
      </w:r>
      <w:r>
        <w:rPr>
          <w:i/>
        </w:rPr>
        <w:t>et al </w:t>
      </w:r>
      <w:r>
        <w:rPr/>
        <w:t>(1998) A multicenter evaluation of a new continous cardiac output pulmonary artery catheter system. Crit care Med 26:1346- 1350.</w:t>
      </w:r>
    </w:p>
    <w:p>
      <w:pPr>
        <w:pStyle w:val="BodyText"/>
      </w:pPr>
    </w:p>
    <w:p>
      <w:pPr>
        <w:pStyle w:val="BodyText"/>
        <w:spacing w:line="360" w:lineRule="auto" w:before="138"/>
        <w:ind w:left="863" w:right="103" w:hanging="711"/>
        <w:jc w:val="both"/>
      </w:pPr>
      <w:r>
        <w:rPr/>
        <w:t>Moise SF, Sinclair CJ, Scott DH. (2002) Pulmonary artery blood temperature and the measurement of cardiac output by thermodilution.” </w:t>
      </w:r>
      <w:r>
        <w:rPr>
          <w:i/>
        </w:rPr>
        <w:t>Anaesthesia</w:t>
      </w:r>
      <w:r>
        <w:rPr/>
        <w:t>; 57(6):562-6.</w:t>
      </w:r>
    </w:p>
    <w:p>
      <w:pPr>
        <w:spacing w:after="0" w:line="360" w:lineRule="auto"/>
        <w:jc w:val="both"/>
        <w:sectPr>
          <w:footerReference w:type="default" r:id="rId93"/>
          <w:pgSz w:w="12240" w:h="15840"/>
          <w:pgMar w:footer="1651" w:header="0" w:top="1500" w:bottom="1840" w:left="1720" w:right="1420"/>
        </w:sectPr>
      </w:pPr>
    </w:p>
    <w:p>
      <w:pPr>
        <w:pStyle w:val="BodyText"/>
        <w:spacing w:before="7"/>
        <w:rPr>
          <w:sz w:val="20"/>
        </w:rPr>
      </w:pPr>
    </w:p>
    <w:p>
      <w:pPr>
        <w:pStyle w:val="BodyText"/>
        <w:spacing w:line="360" w:lineRule="auto" w:before="69"/>
        <w:ind w:left="863" w:right="100" w:hanging="711"/>
        <w:jc w:val="both"/>
      </w:pPr>
      <w:r>
        <w:rPr/>
        <w:t>Moran-Muñoz R, Ibancovichi J, Gutierrez –Blanco E. (2014) Effects of lidocaine, dexmedetomidine or the combination on the minimum alveolar concentration of sevoflurane in dogs. J Vet Med Sci; 76: 846-853.</w:t>
      </w:r>
    </w:p>
    <w:p>
      <w:pPr>
        <w:pStyle w:val="BodyText"/>
      </w:pPr>
    </w:p>
    <w:p>
      <w:pPr>
        <w:pStyle w:val="BodyText"/>
        <w:spacing w:line="360" w:lineRule="auto" w:before="145"/>
        <w:ind w:left="863" w:right="104" w:hanging="711"/>
        <w:jc w:val="both"/>
      </w:pPr>
      <w:r>
        <w:rPr/>
        <w:t>Morris D, Mulvihill D, Lew WY. (1987) Risk of developing complete heart block during bedside pulmonary artery catheterization in patients with left bundle-branch block.” </w:t>
      </w:r>
      <w:r>
        <w:rPr>
          <w:i/>
        </w:rPr>
        <w:t>Arch Intern Med</w:t>
      </w:r>
      <w:r>
        <w:rPr/>
        <w:t>. Nov; 147(11):2005-10.</w:t>
      </w:r>
    </w:p>
    <w:p>
      <w:pPr>
        <w:pStyle w:val="BodyText"/>
      </w:pPr>
    </w:p>
    <w:p>
      <w:pPr>
        <w:pStyle w:val="BodyText"/>
        <w:spacing w:line="360" w:lineRule="auto" w:before="145"/>
        <w:ind w:left="863" w:right="110" w:hanging="711"/>
        <w:jc w:val="both"/>
      </w:pPr>
      <w:r>
        <w:rPr/>
        <w:t>Morris D, Mulvihill D, Lew WY. (2005) Risk of developing complete heart block during bedside pulmonary artery catheterization in patients with left bundle-branch block. </w:t>
      </w:r>
      <w:r>
        <w:rPr>
          <w:i/>
        </w:rPr>
        <w:t>Arch Intern Med</w:t>
      </w:r>
      <w:r>
        <w:rPr/>
        <w:t>; 147 (11):2005-10.</w:t>
      </w:r>
    </w:p>
    <w:p>
      <w:pPr>
        <w:pStyle w:val="BodyText"/>
      </w:pPr>
    </w:p>
    <w:p>
      <w:pPr>
        <w:pStyle w:val="BodyText"/>
        <w:spacing w:line="360" w:lineRule="auto" w:before="145"/>
        <w:ind w:left="863" w:right="107" w:hanging="711"/>
        <w:jc w:val="both"/>
      </w:pPr>
      <w:r>
        <w:rPr/>
        <w:t>Murias GE, Villagra </w:t>
      </w:r>
      <w:r>
        <w:rPr>
          <w:spacing w:val="-3"/>
        </w:rPr>
        <w:t>A, </w:t>
      </w:r>
      <w:r>
        <w:rPr/>
        <w:t>Vatua S, Del Mar Fernández M, Solar H, Ochogavía </w:t>
      </w:r>
      <w:r>
        <w:rPr>
          <w:spacing w:val="-3"/>
        </w:rPr>
        <w:t>A, </w:t>
      </w:r>
      <w:r>
        <w:rPr>
          <w:i/>
        </w:rPr>
        <w:t>et al</w:t>
      </w:r>
      <w:r>
        <w:rPr/>
        <w:t>. (2002) Evaluation </w:t>
      </w:r>
      <w:r>
        <w:rPr>
          <w:spacing w:val="4"/>
        </w:rPr>
        <w:t>of </w:t>
      </w:r>
      <w:r>
        <w:rPr/>
        <w:t>a noninvasive method for cardiac output measurement </w:t>
      </w:r>
      <w:r>
        <w:rPr>
          <w:spacing w:val="-3"/>
        </w:rPr>
        <w:t>in </w:t>
      </w:r>
      <w:r>
        <w:rPr/>
        <w:t>critical care patients. Intensive Care Med.2002;</w:t>
      </w:r>
      <w:r>
        <w:rPr>
          <w:spacing w:val="-11"/>
        </w:rPr>
        <w:t> </w:t>
      </w:r>
      <w:r>
        <w:rPr/>
        <w:t>28:1470–4.</w:t>
      </w:r>
    </w:p>
    <w:p>
      <w:pPr>
        <w:pStyle w:val="BodyText"/>
      </w:pPr>
    </w:p>
    <w:p>
      <w:pPr>
        <w:pStyle w:val="BodyText"/>
        <w:spacing w:line="360" w:lineRule="auto" w:before="145"/>
        <w:ind w:left="863" w:right="108" w:hanging="711"/>
        <w:jc w:val="both"/>
      </w:pPr>
      <w:r>
        <w:rPr/>
        <w:t>Muir WW, Wiese AJ, March PA (2003) Effects of morphine, lidocaine, ketamine, and morphine-lidocaine-ketamine drug combination on minimum alveolar concentration in dogs anesthetized with isoflurane. Am J Vet Res 64, 1155-1160.</w:t>
      </w:r>
    </w:p>
    <w:p>
      <w:pPr>
        <w:pStyle w:val="BodyText"/>
      </w:pPr>
    </w:p>
    <w:p>
      <w:pPr>
        <w:pStyle w:val="BodyText"/>
        <w:spacing w:line="360" w:lineRule="auto" w:before="145"/>
        <w:ind w:left="863" w:right="116" w:hanging="711"/>
        <w:jc w:val="both"/>
      </w:pPr>
      <w:r>
        <w:rPr/>
        <w:t>Muir WW (2005). The determinants of tissue oxygenation in trauma patients. J vet Emerg Crit Care, in this issue.</w:t>
      </w:r>
    </w:p>
    <w:p>
      <w:pPr>
        <w:pStyle w:val="BodyText"/>
      </w:pPr>
    </w:p>
    <w:p>
      <w:pPr>
        <w:pStyle w:val="BodyText"/>
        <w:spacing w:line="360" w:lineRule="auto" w:before="141"/>
        <w:ind w:left="863" w:right="108" w:hanging="711"/>
        <w:jc w:val="both"/>
      </w:pPr>
      <w:r>
        <w:rPr/>
        <w:t>Murrell JC, Hellebrekers LJ (2005) Medetomidine and dexmedetomidine: a review of cardiovascular effects and antinociceptiva properties in the dog. Vet Anaesth Analg; 32; 117-127.</w:t>
      </w:r>
    </w:p>
    <w:p>
      <w:pPr>
        <w:spacing w:after="0" w:line="360" w:lineRule="auto"/>
        <w:jc w:val="both"/>
        <w:sectPr>
          <w:footerReference w:type="default" r:id="rId94"/>
          <w:pgSz w:w="12240" w:h="15840"/>
          <w:pgMar w:footer="1651" w:header="0" w:top="1500" w:bottom="1840" w:left="1720" w:right="1420"/>
          <w:pgNumType w:start="101"/>
        </w:sectPr>
      </w:pPr>
    </w:p>
    <w:p>
      <w:pPr>
        <w:pStyle w:val="BodyText"/>
        <w:spacing w:before="7"/>
        <w:rPr>
          <w:sz w:val="20"/>
        </w:rPr>
      </w:pPr>
    </w:p>
    <w:p>
      <w:pPr>
        <w:pStyle w:val="BodyText"/>
        <w:spacing w:line="360" w:lineRule="auto" w:before="69"/>
        <w:ind w:left="863" w:right="107" w:hanging="711"/>
        <w:jc w:val="both"/>
      </w:pPr>
      <w:r>
        <w:rPr/>
        <w:t>Murray M.J (1997) Critical Care Medicine. Perioperative Management. Lippincott-Raven. Cap. 9. 4. House Officer Guide to ICU Care. Fundamentals of management of the heart and lungs. Elefteriades, JA. 2ª edición. 1994. Raven Press.</w:t>
      </w:r>
    </w:p>
    <w:p>
      <w:pPr>
        <w:pStyle w:val="BodyText"/>
      </w:pPr>
    </w:p>
    <w:p>
      <w:pPr>
        <w:pStyle w:val="BodyText"/>
        <w:spacing w:line="360" w:lineRule="auto" w:before="145"/>
        <w:ind w:left="863" w:right="115" w:hanging="711"/>
        <w:jc w:val="both"/>
      </w:pPr>
      <w:r>
        <w:rPr/>
        <w:t>McGregor M, Snidermann A: (2000) pulmonary vascular resistance: the need for more precise definition. Am J cardiol 55: 217.</w:t>
      </w:r>
    </w:p>
    <w:p>
      <w:pPr>
        <w:pStyle w:val="BodyText"/>
      </w:pPr>
    </w:p>
    <w:p>
      <w:pPr>
        <w:pStyle w:val="BodyText"/>
        <w:spacing w:line="360" w:lineRule="auto" w:before="146"/>
        <w:ind w:left="863" w:right="111" w:hanging="711"/>
        <w:jc w:val="both"/>
      </w:pPr>
      <w:r>
        <w:rPr/>
        <w:t>McGregor M, Sniderman A: (2002) On pulmonary vascular resistance: the need for more precise definition. Am J Cardiol 55: 217.</w:t>
      </w:r>
    </w:p>
    <w:p>
      <w:pPr>
        <w:pStyle w:val="BodyText"/>
      </w:pPr>
    </w:p>
    <w:p>
      <w:pPr>
        <w:pStyle w:val="BodyText"/>
        <w:spacing w:line="362" w:lineRule="auto" w:before="141"/>
        <w:ind w:left="863" w:right="116" w:hanging="711"/>
        <w:jc w:val="both"/>
      </w:pPr>
      <w:r>
        <w:rPr/>
        <w:t>McArthur KT, Clark LCL, Lyons C; (1962) Continuous recording of blood oxygen saturation in open heart operations. Surgery 51:121.</w:t>
      </w:r>
    </w:p>
    <w:p>
      <w:pPr>
        <w:pStyle w:val="BodyText"/>
      </w:pPr>
    </w:p>
    <w:p>
      <w:pPr>
        <w:pStyle w:val="BodyText"/>
        <w:spacing w:line="362" w:lineRule="auto" w:before="138"/>
        <w:ind w:left="863" w:right="105" w:hanging="711"/>
        <w:jc w:val="both"/>
      </w:pPr>
      <w:r>
        <w:rPr/>
        <w:t>Murrell JC, Hellebrekers LJ (2005) Medetomidine and dexmedetomidine: a review of cardiovascular effects and antinociceptiva properties in the dog. Vet Anaesth Analg; 32, 117-127</w:t>
      </w:r>
    </w:p>
    <w:p>
      <w:pPr>
        <w:pStyle w:val="BodyText"/>
      </w:pPr>
    </w:p>
    <w:p>
      <w:pPr>
        <w:pStyle w:val="BodyText"/>
        <w:spacing w:line="362" w:lineRule="auto" w:before="138"/>
        <w:ind w:left="863" w:right="100" w:hanging="711"/>
        <w:jc w:val="both"/>
      </w:pPr>
      <w:r>
        <w:rPr/>
        <w:t>Nelson LD, Anderson HB. (1985) Patient selection for iced versus room temperature injectate for thermodilution cardiac output determinations. </w:t>
      </w:r>
      <w:r>
        <w:rPr>
          <w:i/>
        </w:rPr>
        <w:t>Crit Care Med</w:t>
      </w:r>
      <w:r>
        <w:rPr/>
        <w:t>; 13(3):182-4.</w:t>
      </w:r>
    </w:p>
    <w:p>
      <w:pPr>
        <w:pStyle w:val="BodyText"/>
      </w:pPr>
    </w:p>
    <w:p>
      <w:pPr>
        <w:pStyle w:val="BodyText"/>
        <w:spacing w:line="360" w:lineRule="auto" w:before="138"/>
        <w:ind w:left="863" w:right="107" w:hanging="711"/>
        <w:jc w:val="both"/>
      </w:pPr>
      <w:r>
        <w:rPr/>
        <w:t>Norfleet EA, Watson CB. (1985) Continuous mixed venous oxygen saturation measurement: a significant advance </w:t>
      </w:r>
      <w:r>
        <w:rPr>
          <w:spacing w:val="-3"/>
        </w:rPr>
        <w:t>in </w:t>
      </w:r>
      <w:r>
        <w:rPr/>
        <w:t>hemodynamic monitoring J Clin Monit  1:245.</w:t>
      </w:r>
    </w:p>
    <w:p>
      <w:pPr>
        <w:pStyle w:val="BodyText"/>
      </w:pPr>
    </w:p>
    <w:p>
      <w:pPr>
        <w:pStyle w:val="BodyText"/>
        <w:spacing w:line="360" w:lineRule="auto" w:before="145"/>
        <w:ind w:left="863" w:right="115" w:hanging="711"/>
        <w:jc w:val="both"/>
      </w:pPr>
      <w:r>
        <w:rPr/>
        <w:t>Nishikawa T</w:t>
      </w:r>
      <w:r>
        <w:rPr>
          <w:b/>
        </w:rPr>
        <w:t>, </w:t>
      </w:r>
      <w:r>
        <w:rPr/>
        <w:t>Dohi S. (1982) Slowing of heart rate during cardiac output measurement by thermodilution.</w:t>
      </w:r>
      <w:r>
        <w:rPr>
          <w:i/>
        </w:rPr>
        <w:t>Anesthesiology</w:t>
      </w:r>
      <w:r>
        <w:rPr/>
        <w:t>; 57(6):538-9.</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863" w:right="111" w:hanging="711"/>
        <w:jc w:val="both"/>
      </w:pPr>
      <w:r>
        <w:rPr/>
        <w:t>Nishikawa T, Namiki A. (1988) Mechanism for slowing of heart rate and associated changes in pulmonary circulation elicited by cold injectate during thermodilution cardiac output determination in dogs. Anesthesiology. (2):221-5.</w:t>
      </w:r>
    </w:p>
    <w:p>
      <w:pPr>
        <w:pStyle w:val="BodyText"/>
      </w:pPr>
    </w:p>
    <w:p>
      <w:pPr>
        <w:pStyle w:val="BodyText"/>
        <w:spacing w:line="360" w:lineRule="auto" w:before="145"/>
        <w:ind w:left="863" w:right="111" w:hanging="711"/>
        <w:jc w:val="both"/>
      </w:pPr>
      <w:r>
        <w:rPr/>
        <w:t>Nunes de Moraes A, Dyson DH, O’Grady MR, </w:t>
      </w:r>
      <w:r>
        <w:rPr>
          <w:i/>
        </w:rPr>
        <w:t>et al</w:t>
      </w:r>
      <w:r>
        <w:rPr/>
        <w:t>. (1998) Plasma concentrations and cardiovascular influence of lidocaine infusions during isoflurane anesthesia in healthy dogs and dogs with subaortic stenosis. Vet Surg; 27, 486–497.</w:t>
      </w:r>
    </w:p>
    <w:p>
      <w:pPr>
        <w:pStyle w:val="BodyText"/>
      </w:pPr>
    </w:p>
    <w:p>
      <w:pPr>
        <w:pStyle w:val="BodyText"/>
        <w:spacing w:line="360" w:lineRule="auto" w:before="145"/>
        <w:ind w:left="863" w:right="108" w:hanging="711"/>
        <w:jc w:val="both"/>
      </w:pPr>
      <w:r>
        <w:rPr/>
        <w:t>Olsen KS, Madsen PL, Børme T, Schmidt JF. (1994) Evaluation </w:t>
      </w:r>
      <w:r>
        <w:rPr>
          <w:spacing w:val="4"/>
        </w:rPr>
        <w:t>of </w:t>
      </w:r>
      <w:r>
        <w:rPr/>
        <w:t>a 7.5  French  pulmonary catheter for continuous monitoring of cerebral venous oxygen saturation.” Neurosurg Anesthesiol.</w:t>
      </w:r>
      <w:r>
        <w:rPr>
          <w:spacing w:val="-14"/>
        </w:rPr>
        <w:t> </w:t>
      </w:r>
      <w:r>
        <w:rPr/>
        <w:t>Oct;6(4):233-8.</w:t>
      </w:r>
    </w:p>
    <w:p>
      <w:pPr>
        <w:pStyle w:val="BodyText"/>
      </w:pPr>
    </w:p>
    <w:p>
      <w:pPr>
        <w:pStyle w:val="BodyText"/>
        <w:spacing w:before="145"/>
        <w:ind w:left="152"/>
      </w:pPr>
      <w:r>
        <w:rPr/>
        <w:t>O’Rourke RA: Physical (1982). Examinationof the arteries and veins. P. 188.</w:t>
      </w:r>
    </w:p>
    <w:p>
      <w:pPr>
        <w:pStyle w:val="BodyText"/>
      </w:pPr>
    </w:p>
    <w:p>
      <w:pPr>
        <w:pStyle w:val="BodyText"/>
        <w:spacing w:before="9"/>
        <w:rPr>
          <w:sz w:val="23"/>
        </w:rPr>
      </w:pPr>
    </w:p>
    <w:p>
      <w:pPr>
        <w:pStyle w:val="BodyText"/>
        <w:spacing w:line="360" w:lineRule="auto"/>
        <w:ind w:left="863" w:right="106" w:hanging="711"/>
        <w:jc w:val="both"/>
      </w:pPr>
      <w:r>
        <w:rPr/>
        <w:t>Paolella LP</w:t>
      </w:r>
      <w:r>
        <w:rPr>
          <w:b/>
        </w:rPr>
        <w:t>, </w:t>
      </w:r>
      <w:r>
        <w:rPr/>
        <w:t>Dorfman GS, Cronan JJ, Hasan FM. (1988) Topographic location of the left atrium by computed tomography: reducing pulmonary artery catheter calibration error.” </w:t>
      </w:r>
      <w:r>
        <w:rPr>
          <w:i/>
        </w:rPr>
        <w:t>Crit Care Med</w:t>
      </w:r>
      <w:r>
        <w:rPr/>
        <w:t>; 16(11):1154-6.</w:t>
      </w:r>
    </w:p>
    <w:p>
      <w:pPr>
        <w:pStyle w:val="BodyText"/>
      </w:pPr>
    </w:p>
    <w:p>
      <w:pPr>
        <w:pStyle w:val="BodyText"/>
        <w:spacing w:line="360" w:lineRule="auto" w:before="141"/>
        <w:ind w:left="863" w:right="112" w:hanging="711"/>
        <w:jc w:val="both"/>
      </w:pPr>
      <w:r>
        <w:rPr/>
        <w:t>Parra V, Fita G, Rovira I, Matute P, Gomar C, Paré C. (2008) Transoesophageal echocardiography accurately detects cardiac output variation: a prospective comparison with thermodilution in cardiac surgery. </w:t>
      </w:r>
      <w:r>
        <w:rPr>
          <w:i/>
        </w:rPr>
        <w:t>Eur J Anaesthesiol</w:t>
      </w:r>
      <w:r>
        <w:rPr/>
        <w:t>. (2):135-43.</w:t>
      </w:r>
    </w:p>
    <w:p>
      <w:pPr>
        <w:pStyle w:val="BodyText"/>
      </w:pPr>
    </w:p>
    <w:p>
      <w:pPr>
        <w:pStyle w:val="BodyText"/>
        <w:spacing w:line="360" w:lineRule="auto" w:before="141"/>
        <w:ind w:left="863" w:right="104" w:hanging="711"/>
        <w:jc w:val="both"/>
      </w:pPr>
      <w:r>
        <w:rPr/>
        <w:t>Pascoe PJ, Raekallio M, Kuusela E et al. (2006) Changes in the minimum alveolar concentration of isoflurane and some cardiopulmonary measurements during three continuous infusion rates of dexmedetomidine in dogs. Vet Anaesth Analg 33, 97– 103</w:t>
      </w:r>
    </w:p>
    <w:p>
      <w:pPr>
        <w:pStyle w:val="BodyText"/>
        <w:spacing w:line="360" w:lineRule="auto" w:before="4"/>
        <w:ind w:left="863" w:right="111" w:hanging="711"/>
        <w:jc w:val="both"/>
      </w:pPr>
      <w:r>
        <w:rPr/>
        <w:t>Pascoe PJ (2014). The cardiopulmonary effects of dexmedetomedine infusions in dogs during isoflurano anesthesia. Vet Anaesth Analg Jul 31. doi: 10.1111/vaa.12220Talke PO, Lobo EP, Brown R.</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863" w:right="105" w:hanging="711"/>
        <w:jc w:val="both"/>
      </w:pPr>
      <w:r>
        <w:rPr/>
        <w:t>Pearl RG</w:t>
      </w:r>
      <w:r>
        <w:rPr>
          <w:b/>
        </w:rPr>
        <w:t>, </w:t>
      </w:r>
      <w:r>
        <w:rPr/>
        <w:t>Rosenthal MH, Nielson L, Ashton JP, Brown BW Jr. (1986) Effect of injectate volume and temperature on thermodilution cardiac output determination. </w:t>
      </w:r>
      <w:r>
        <w:rPr>
          <w:i/>
        </w:rPr>
        <w:t>Anesthesiology</w:t>
      </w:r>
      <w:r>
        <w:rPr/>
        <w:t>. (6):798-801.</w:t>
      </w:r>
    </w:p>
    <w:p>
      <w:pPr>
        <w:pStyle w:val="BodyText"/>
      </w:pPr>
    </w:p>
    <w:p>
      <w:pPr>
        <w:pStyle w:val="BodyText"/>
        <w:spacing w:line="360" w:lineRule="auto" w:before="145"/>
        <w:ind w:left="863" w:right="105" w:hanging="711"/>
        <w:jc w:val="both"/>
      </w:pPr>
      <w:r>
        <w:rPr/>
        <w:t>Potter EK, Parker P, Caine AC, Lumbers ER.(1985) Potentiation of cardiac vagal action by cold.” </w:t>
      </w:r>
      <w:r>
        <w:rPr>
          <w:i/>
        </w:rPr>
        <w:t>Clin Sci (Lond)</w:t>
      </w:r>
      <w:r>
        <w:rPr/>
        <w:t>. Feb; 68(2):165-9.</w:t>
      </w:r>
    </w:p>
    <w:p>
      <w:pPr>
        <w:pStyle w:val="BodyText"/>
      </w:pPr>
    </w:p>
    <w:p>
      <w:pPr>
        <w:pStyle w:val="BodyText"/>
        <w:spacing w:line="360" w:lineRule="auto" w:before="146"/>
        <w:ind w:left="863" w:right="114" w:hanging="711"/>
        <w:jc w:val="both"/>
      </w:pPr>
      <w:r>
        <w:rPr/>
        <w:t>Price HL, Cooperman LH, Warden JC </w:t>
      </w:r>
      <w:r>
        <w:rPr>
          <w:i/>
        </w:rPr>
        <w:t>et al</w:t>
      </w:r>
      <w:r>
        <w:rPr/>
        <w:t>. (1969) Pulmonary hemodynamics during general anesthesia in man. Aanaesthesiology 30:629.</w:t>
      </w:r>
    </w:p>
    <w:p>
      <w:pPr>
        <w:pStyle w:val="BodyText"/>
      </w:pPr>
    </w:p>
    <w:p>
      <w:pPr>
        <w:pStyle w:val="BodyText"/>
        <w:spacing w:line="362" w:lineRule="auto" w:before="141"/>
        <w:ind w:left="863" w:right="114" w:hanging="711"/>
        <w:jc w:val="both"/>
      </w:pPr>
      <w:r>
        <w:rPr/>
        <w:t>Pypendop, B. H. and Verstegen, J. (1998) Haemodynamic effects of medetomidine in the dog: a dose titration study. </w:t>
      </w:r>
      <w:r>
        <w:rPr>
          <w:i/>
        </w:rPr>
        <w:t>Vet. Surg. </w:t>
      </w:r>
      <w:r>
        <w:rPr/>
        <w:t>27: 612–622.</w:t>
      </w:r>
    </w:p>
    <w:p>
      <w:pPr>
        <w:pStyle w:val="BodyText"/>
      </w:pPr>
    </w:p>
    <w:p>
      <w:pPr>
        <w:pStyle w:val="BodyText"/>
        <w:spacing w:line="362" w:lineRule="auto" w:before="138"/>
        <w:ind w:left="863" w:right="100" w:hanging="711"/>
        <w:jc w:val="both"/>
      </w:pPr>
      <w:r>
        <w:rPr/>
        <w:t>Pypendop, B. H. and Ilkiw, J. E (2005) The effects of intravenous lidocaine administration on the minimum alveolar concentration of isofluorane in cats. </w:t>
      </w:r>
      <w:r>
        <w:rPr>
          <w:i/>
        </w:rPr>
        <w:t>Anesth. Analg. </w:t>
      </w:r>
      <w:r>
        <w:rPr/>
        <w:t>100: 97–101.</w:t>
      </w:r>
    </w:p>
    <w:p>
      <w:pPr>
        <w:pStyle w:val="BodyText"/>
      </w:pPr>
    </w:p>
    <w:p>
      <w:pPr>
        <w:pStyle w:val="BodyText"/>
        <w:spacing w:line="360" w:lineRule="auto" w:before="138"/>
        <w:ind w:left="863" w:right="106" w:hanging="711"/>
        <w:jc w:val="both"/>
      </w:pPr>
      <w:r>
        <w:rPr/>
        <w:t>Pypendop BH, Barter LS, Stanley SD et al. (2011) Hemodynamic effects of dexmedetomidine in isofluraneanesthetized cats. Vet Anaesth Analg 38, 555–567.</w:t>
      </w:r>
    </w:p>
    <w:p>
      <w:pPr>
        <w:pStyle w:val="BodyText"/>
      </w:pPr>
    </w:p>
    <w:p>
      <w:pPr>
        <w:pStyle w:val="BodyText"/>
        <w:spacing w:line="360" w:lineRule="auto" w:before="145"/>
        <w:ind w:left="863" w:right="118" w:hanging="711"/>
        <w:jc w:val="both"/>
      </w:pPr>
      <w:r>
        <w:rPr/>
        <w:t>Quasha AL, Eger EI, Tinker JH (1980) Determination and applications of MAC. Anesthesiology 53,315-334.</w:t>
      </w:r>
    </w:p>
    <w:p>
      <w:pPr>
        <w:pStyle w:val="BodyText"/>
      </w:pPr>
    </w:p>
    <w:p>
      <w:pPr>
        <w:pStyle w:val="BodyText"/>
        <w:spacing w:line="362" w:lineRule="auto" w:before="141"/>
        <w:ind w:left="863" w:right="107" w:hanging="711"/>
        <w:jc w:val="both"/>
      </w:pPr>
      <w:r>
        <w:rPr/>
        <w:t>Reeves JT, Groover RF, Filley GF: (1961) Cardiac output in normal resting man. J Appl Physiol 16:276.</w:t>
      </w:r>
    </w:p>
    <w:p>
      <w:pPr>
        <w:pStyle w:val="BodyText"/>
        <w:spacing w:line="360" w:lineRule="auto" w:before="1"/>
        <w:ind w:left="863" w:right="118" w:hanging="711"/>
        <w:jc w:val="both"/>
      </w:pPr>
      <w:r>
        <w:rPr/>
        <w:t>Rehberg, B., Xiao, Y. H. and Duch, D. S. (1996). Central nervous system sodium channels are significantly suppressed at clinical concentrations of volatile anesthetics. </w:t>
      </w:r>
      <w:r>
        <w:rPr>
          <w:i/>
        </w:rPr>
        <w:t>Anesthesiology </w:t>
      </w:r>
      <w:r>
        <w:rPr/>
        <w:t>84: 1223–1233.</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863" w:right="110" w:hanging="711"/>
        <w:jc w:val="both"/>
      </w:pPr>
      <w:r>
        <w:rPr/>
        <w:t>Royse CF, Royse AG, Blake DW, Grigg LE. (1999) Measurement of cardiac output by transoesophageal echocardiography: a comparison of two Doppler methods with thermodilution. </w:t>
      </w:r>
      <w:r>
        <w:rPr>
          <w:i/>
        </w:rPr>
        <w:t>Anaesth Intensive Care</w:t>
      </w:r>
      <w:r>
        <w:rPr/>
        <w:t>; 27(6):586-90.</w:t>
      </w:r>
    </w:p>
    <w:p>
      <w:pPr>
        <w:pStyle w:val="BodyText"/>
      </w:pPr>
    </w:p>
    <w:p>
      <w:pPr>
        <w:pStyle w:val="BodyText"/>
        <w:spacing w:line="360" w:lineRule="auto" w:before="145"/>
        <w:ind w:left="863" w:right="115" w:hanging="711"/>
        <w:jc w:val="both"/>
      </w:pPr>
      <w:r>
        <w:rPr/>
        <w:t>Ryan T, Page R, Bouchier-Hayes D, Cunningham AJ. (1992) Transoesophageal pulsed wave Doppler measurement of cardiac output during major vascular surgery: comparison with the thermodilution technique</w:t>
      </w:r>
      <w:r>
        <w:rPr>
          <w:i/>
        </w:rPr>
        <w:t>. Br J Anaesth</w:t>
      </w:r>
      <w:r>
        <w:rPr/>
        <w:t>; 69(1):101-4.</w:t>
      </w:r>
    </w:p>
    <w:p>
      <w:pPr>
        <w:pStyle w:val="BodyText"/>
      </w:pPr>
    </w:p>
    <w:p>
      <w:pPr>
        <w:pStyle w:val="BodyText"/>
        <w:spacing w:before="145"/>
        <w:ind w:left="152"/>
      </w:pPr>
      <w:r>
        <w:rPr/>
        <w:t>Roewer N, Thiel H. (2003) Atlas de anestesiología. Editorial Elsevier,. Madrid, España.</w:t>
      </w:r>
    </w:p>
    <w:p>
      <w:pPr>
        <w:pStyle w:val="BodyText"/>
      </w:pPr>
    </w:p>
    <w:p>
      <w:pPr>
        <w:pStyle w:val="BodyText"/>
        <w:spacing w:before="9"/>
        <w:rPr>
          <w:sz w:val="23"/>
        </w:rPr>
      </w:pPr>
    </w:p>
    <w:p>
      <w:pPr>
        <w:pStyle w:val="BodyText"/>
        <w:spacing w:line="362" w:lineRule="auto"/>
        <w:ind w:left="863" w:right="111" w:hanging="711"/>
        <w:jc w:val="both"/>
      </w:pPr>
      <w:r>
        <w:rPr/>
        <w:t>Ruffolo RR Jr. (1985) Distribution and function of peripheral alpha-adrenoceptors in the cardiovascular system. Pharmacol Biochem Behav; 22, 827–833</w:t>
      </w:r>
    </w:p>
    <w:p>
      <w:pPr>
        <w:pStyle w:val="BodyText"/>
      </w:pPr>
    </w:p>
    <w:p>
      <w:pPr>
        <w:pStyle w:val="BodyText"/>
        <w:spacing w:line="362" w:lineRule="auto" w:before="138"/>
        <w:ind w:left="863" w:right="105" w:hanging="711"/>
        <w:jc w:val="both"/>
      </w:pPr>
      <w:r>
        <w:rPr/>
        <w:t>Runciman WB, Ilsley AH, Roberts JG. (1981). An evaluation of thermodilution cardiac output measurement using the Swan-Ganz catheter.” </w:t>
      </w:r>
      <w:r>
        <w:rPr>
          <w:i/>
        </w:rPr>
        <w:t>Anaesth Intensive Care</w:t>
      </w:r>
      <w:r>
        <w:rPr/>
        <w:t>; 9(3):208-20.</w:t>
      </w:r>
    </w:p>
    <w:p>
      <w:pPr>
        <w:pStyle w:val="BodyText"/>
      </w:pPr>
    </w:p>
    <w:p>
      <w:pPr>
        <w:pStyle w:val="BodyText"/>
        <w:spacing w:line="360" w:lineRule="auto" w:before="138"/>
        <w:ind w:left="863" w:right="104" w:hanging="711"/>
        <w:jc w:val="both"/>
      </w:pPr>
      <w:r>
        <w:rPr/>
        <w:t>Sakka S, Bredle D, Reinhart K, Meier-Hellmann A. (1999) Comparation between intrathoracic blood volume and cardiac filling pressures in the early phase of hemodynamic instability of patients with sepsis or septic shock. J Crit Care; 14:78– 83.</w:t>
      </w:r>
    </w:p>
    <w:p>
      <w:pPr>
        <w:pStyle w:val="BodyText"/>
      </w:pPr>
    </w:p>
    <w:p>
      <w:pPr>
        <w:pStyle w:val="BodyText"/>
        <w:spacing w:line="360" w:lineRule="auto" w:before="141"/>
        <w:ind w:left="863" w:right="106" w:hanging="711"/>
        <w:jc w:val="both"/>
      </w:pPr>
      <w:r>
        <w:rPr/>
        <w:t>Sakka SG, Ruhl CC, Pfeiffer UJ, Beale R, McLuckie A, Reinhart K, </w:t>
      </w:r>
      <w:r>
        <w:rPr>
          <w:i/>
        </w:rPr>
        <w:t>et al</w:t>
      </w:r>
      <w:r>
        <w:rPr/>
        <w:t>.(2000) Assesmen of cardiac preload and extravascular lung water by single transpulmonary thermodilution. Intensive Care Med. 2000; 26:180–7.</w:t>
      </w:r>
    </w:p>
    <w:p>
      <w:pPr>
        <w:pStyle w:val="BodyText"/>
      </w:pPr>
    </w:p>
    <w:p>
      <w:pPr>
        <w:pStyle w:val="BodyText"/>
        <w:spacing w:line="360" w:lineRule="auto" w:before="141"/>
        <w:ind w:left="863" w:right="116" w:hanging="711"/>
        <w:jc w:val="both"/>
      </w:pPr>
      <w:r>
        <w:rPr/>
        <w:t>Seddighi, M. R., Egger, C. M., Rohrbach, B. W., Cox, S. K. and Doherty, T. J. (2009) Effects of tramadol on the minimum alveolar concentration of sevoflurano in dogs. </w:t>
      </w:r>
      <w:r>
        <w:rPr>
          <w:i/>
        </w:rPr>
        <w:t>Vet. Anaesth. Analg. </w:t>
      </w:r>
      <w:r>
        <w:rPr/>
        <w:t>36: 334–340.</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863" w:right="104" w:hanging="711"/>
        <w:jc w:val="both"/>
      </w:pPr>
      <w:r>
        <w:rPr/>
        <w:t>Segal IS, Vickery RG, Walton JK, Doze VA, Maze M  (1988)  Dexmedetomidine diminishes halothane anesthetic requirements in rats trough a postsynaptic alpha-2 adrenergic receptor. Anesthesiology 69; 818-823.</w:t>
      </w:r>
    </w:p>
    <w:p>
      <w:pPr>
        <w:pStyle w:val="BodyText"/>
      </w:pPr>
    </w:p>
    <w:p>
      <w:pPr>
        <w:pStyle w:val="BodyText"/>
        <w:spacing w:line="360" w:lineRule="auto" w:before="145"/>
        <w:ind w:left="863" w:right="109" w:hanging="711"/>
        <w:jc w:val="both"/>
      </w:pPr>
      <w:r>
        <w:rPr/>
        <w:t>Segal IS, Vickery RG, Maze M (1989) Dexmedetomidine decreases halothane anesthetic requirements in rats. Acta Vet Scand Suppl, 85: 55-59.</w:t>
      </w:r>
    </w:p>
    <w:p>
      <w:pPr>
        <w:pStyle w:val="BodyText"/>
      </w:pPr>
    </w:p>
    <w:p>
      <w:pPr>
        <w:pStyle w:val="BodyText"/>
        <w:spacing w:line="360" w:lineRule="auto" w:before="146"/>
        <w:ind w:left="863" w:right="111" w:hanging="711"/>
        <w:jc w:val="both"/>
      </w:pPr>
      <w:r>
        <w:rPr/>
        <w:t>Savola, M. K., Maclver, M. B., Doze, V. A., Kendig, J. J. and Maze, M. (1991). The alpha- 2 adrenoreceptor agonist dexmedetomedine increases the apparent potency of the volatile anesthetic isoflurane in rats </w:t>
      </w:r>
      <w:r>
        <w:rPr>
          <w:i/>
        </w:rPr>
        <w:t>in vivo</w:t>
      </w:r>
      <w:r>
        <w:rPr/>
        <w:t>. </w:t>
      </w:r>
      <w:r>
        <w:rPr>
          <w:i/>
        </w:rPr>
        <w:t>Brain Res. </w:t>
      </w:r>
      <w:r>
        <w:rPr/>
        <w:t>548: 23–28</w:t>
      </w:r>
    </w:p>
    <w:p>
      <w:pPr>
        <w:pStyle w:val="BodyText"/>
      </w:pPr>
    </w:p>
    <w:p>
      <w:pPr>
        <w:pStyle w:val="BodyText"/>
        <w:spacing w:line="360" w:lineRule="auto" w:before="146"/>
        <w:ind w:left="863" w:right="109" w:hanging="711"/>
        <w:jc w:val="both"/>
      </w:pPr>
      <w:r>
        <w:rPr/>
        <w:t>Sheriff DD, Zhou XP, Scher AM, </w:t>
      </w:r>
      <w:r>
        <w:rPr>
          <w:i/>
        </w:rPr>
        <w:t>et al</w:t>
      </w:r>
      <w:r>
        <w:rPr/>
        <w:t>. (1993) Dependence of cardiac filling pressure on cardiac output during rest and dynamic exercise in dogs. Am J Physiol; 265: H316– H322</w:t>
      </w:r>
    </w:p>
    <w:p>
      <w:pPr>
        <w:pStyle w:val="BodyText"/>
      </w:pPr>
    </w:p>
    <w:p>
      <w:pPr>
        <w:pStyle w:val="BodyText"/>
        <w:spacing w:line="360" w:lineRule="auto" w:before="146"/>
        <w:ind w:left="863" w:right="110" w:hanging="711"/>
        <w:jc w:val="both"/>
      </w:pPr>
      <w:r>
        <w:rPr/>
        <w:t>Shellock FG, Riedinger MS, Bateman TM, Gray RJ. (1983) Thermodilution cardiac output determination in hypothermic postcardiac surgery patients: room vs ice temperature injectate.” </w:t>
      </w:r>
      <w:r>
        <w:rPr>
          <w:i/>
        </w:rPr>
        <w:t>Crit Care Med</w:t>
      </w:r>
      <w:r>
        <w:rPr/>
        <w:t>; 11(8):668-70.</w:t>
      </w:r>
    </w:p>
    <w:p>
      <w:pPr>
        <w:pStyle w:val="BodyText"/>
      </w:pPr>
    </w:p>
    <w:p>
      <w:pPr>
        <w:pStyle w:val="BodyText"/>
        <w:spacing w:line="360" w:lineRule="auto" w:before="146"/>
        <w:ind w:left="863" w:right="106" w:hanging="711"/>
        <w:jc w:val="both"/>
      </w:pPr>
      <w:r>
        <w:rPr/>
        <w:t>Sheriff DD, Zhou XP, Scher AM, </w:t>
      </w:r>
      <w:r>
        <w:rPr>
          <w:i/>
        </w:rPr>
        <w:t>et al</w:t>
      </w:r>
      <w:r>
        <w:rPr/>
        <w:t>. (1993) Dependence of cardiac filling pressure on cardiac output during rest and dynamic exercise in dogs. Am J Physiol; 265: H316– H322.</w:t>
      </w:r>
    </w:p>
    <w:p>
      <w:pPr>
        <w:pStyle w:val="BodyText"/>
      </w:pPr>
    </w:p>
    <w:p>
      <w:pPr>
        <w:pStyle w:val="BodyText"/>
        <w:spacing w:line="362" w:lineRule="auto" w:before="141"/>
        <w:ind w:left="863" w:right="110" w:hanging="711"/>
        <w:jc w:val="both"/>
      </w:pPr>
      <w:r>
        <w:rPr/>
        <w:t>Smart FW, Husserl FE. (1990) Complications of flow-directed balloon-tipped catheters.</w:t>
      </w:r>
      <w:r>
        <w:rPr>
          <w:i/>
        </w:rPr>
        <w:t>Chest</w:t>
      </w:r>
      <w:r>
        <w:rPr/>
        <w:t>. Jan; 97(1):227-8.</w:t>
      </w:r>
    </w:p>
    <w:p>
      <w:pPr>
        <w:pStyle w:val="BodyText"/>
      </w:pPr>
    </w:p>
    <w:p>
      <w:pPr>
        <w:pStyle w:val="BodyText"/>
        <w:spacing w:line="360" w:lineRule="auto" w:before="138"/>
        <w:ind w:left="863" w:right="106" w:hanging="711"/>
        <w:jc w:val="both"/>
      </w:pPr>
      <w:r>
        <w:rPr/>
        <w:t>Stanley TE, &amp; Reves JG. (1998) Anesthesia.” Miller, 4ª edición pp. 1131- 1202.Harcourt Brace. Madrid.</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before="69"/>
        <w:ind w:left="152"/>
      </w:pPr>
      <w:r>
        <w:rPr/>
        <w:t>Sun LS, Schwarzenberger JC (2010) Cardiac physiology. En: Miller RD. Anesthesia. 7ª ed.</w:t>
      </w:r>
    </w:p>
    <w:p>
      <w:pPr>
        <w:pStyle w:val="BodyText"/>
        <w:spacing w:before="137"/>
        <w:ind w:left="863"/>
      </w:pPr>
      <w:r>
        <w:rPr/>
        <w:t>Filadelfia: Churchill Livingstone p.621-51.</w:t>
      </w:r>
    </w:p>
    <w:p>
      <w:pPr>
        <w:pStyle w:val="BodyText"/>
      </w:pPr>
    </w:p>
    <w:p>
      <w:pPr>
        <w:pStyle w:val="BodyText"/>
        <w:spacing w:before="3"/>
      </w:pPr>
    </w:p>
    <w:p>
      <w:pPr>
        <w:pStyle w:val="BodyText"/>
        <w:spacing w:line="360" w:lineRule="auto"/>
        <w:ind w:left="863" w:right="110" w:hanging="711"/>
        <w:jc w:val="both"/>
      </w:pPr>
      <w:r>
        <w:rPr/>
        <w:t>Suga H, Sagawa K, Shoukas AA. (1973) Load Independence of the instantaneous pressure volumen ratio of the canine left ventricle and effects of epinephrine and Heard rateo n the ratio. Circ Res; 32, 314-22.</w:t>
      </w:r>
    </w:p>
    <w:p>
      <w:pPr>
        <w:pStyle w:val="BodyText"/>
      </w:pPr>
    </w:p>
    <w:p>
      <w:pPr>
        <w:pStyle w:val="BodyText"/>
        <w:spacing w:line="360" w:lineRule="auto" w:before="146"/>
        <w:ind w:left="863" w:right="111" w:hanging="711"/>
        <w:jc w:val="both"/>
      </w:pPr>
      <w:r>
        <w:rPr/>
        <w:t>Sprung CL, Jacobs LJ, Caralis PV, Karpf M. (1981) Ventricular arrhythmias during Swan- Ganz catheterization of the critically ill. </w:t>
      </w:r>
      <w:r>
        <w:rPr>
          <w:i/>
        </w:rPr>
        <w:t>Chest</w:t>
      </w:r>
      <w:r>
        <w:rPr/>
        <w:t>; 79 (4):413-5.</w:t>
      </w:r>
    </w:p>
    <w:p>
      <w:pPr>
        <w:pStyle w:val="BodyText"/>
      </w:pPr>
    </w:p>
    <w:p>
      <w:pPr>
        <w:pStyle w:val="BodyText"/>
        <w:spacing w:line="362" w:lineRule="auto" w:before="141"/>
        <w:ind w:left="863" w:right="106" w:hanging="711"/>
        <w:jc w:val="both"/>
      </w:pPr>
      <w:r>
        <w:rPr/>
        <w:t>Stanley TE, &amp; Reves JG. (1998) “Anesthesia.” Miller, 4ª edición pp. 1131-1202.Harcourt Brace. Madrid.</w:t>
      </w:r>
    </w:p>
    <w:p>
      <w:pPr>
        <w:pStyle w:val="BodyText"/>
      </w:pPr>
    </w:p>
    <w:p>
      <w:pPr>
        <w:pStyle w:val="BodyText"/>
        <w:spacing w:line="360" w:lineRule="auto" w:before="138"/>
        <w:ind w:left="863" w:right="116" w:hanging="711"/>
        <w:jc w:val="both"/>
      </w:pPr>
      <w:r>
        <w:rPr/>
        <w:t>Stevenson LW, Perloff JK (1989). The limited reliability of physical signs for estimating hemodynamic sinchronic heart failure. JAMA; 261:884–8.</w:t>
      </w:r>
    </w:p>
    <w:p>
      <w:pPr>
        <w:pStyle w:val="BodyText"/>
      </w:pPr>
    </w:p>
    <w:p>
      <w:pPr>
        <w:pStyle w:val="BodyText"/>
        <w:spacing w:line="360" w:lineRule="auto" w:before="145"/>
        <w:ind w:left="863" w:right="110" w:hanging="711"/>
        <w:jc w:val="both"/>
      </w:pPr>
      <w:r>
        <w:rPr/>
        <w:t>Stewart GN. (1897) Researches on the circulation time and on the influences which affect it.IV. The ouput of the Herat. </w:t>
      </w:r>
      <w:r>
        <w:rPr>
          <w:i/>
        </w:rPr>
        <w:t>J Physiol </w:t>
      </w:r>
      <w:r>
        <w:rPr/>
        <w:t>22 159.</w:t>
      </w:r>
    </w:p>
    <w:p>
      <w:pPr>
        <w:pStyle w:val="BodyText"/>
      </w:pPr>
    </w:p>
    <w:p>
      <w:pPr>
        <w:pStyle w:val="BodyText"/>
        <w:spacing w:line="360" w:lineRule="auto" w:before="146"/>
        <w:ind w:left="863" w:right="100" w:hanging="711"/>
        <w:jc w:val="both"/>
      </w:pPr>
      <w:r>
        <w:rPr/>
        <w:t>Singer M, Allen MJ, Webb AR, Bennett ED. (1991) Effects of alterations in left ventricular filling, contractility, and systemic vascular resistance on the ascending aortic blood velocity waveform of normal subjects. </w:t>
      </w:r>
      <w:r>
        <w:rPr>
          <w:i/>
        </w:rPr>
        <w:t>Crit Care Med</w:t>
      </w:r>
      <w:r>
        <w:rPr/>
        <w:t>. (9):1138-45.</w:t>
      </w:r>
    </w:p>
    <w:p>
      <w:pPr>
        <w:pStyle w:val="BodyText"/>
      </w:pPr>
    </w:p>
    <w:p>
      <w:pPr>
        <w:pStyle w:val="BodyText"/>
        <w:spacing w:line="360" w:lineRule="auto" w:before="141"/>
        <w:ind w:left="863" w:right="111" w:hanging="711"/>
        <w:jc w:val="both"/>
      </w:pPr>
      <w:r>
        <w:rPr/>
        <w:t>Suzer O, Suzer A, Ayka Z et al. (1998) Direct cardia effects in isolated perfused rat hearts measured at increasing concentration of morphine, alfentanil, fentanyl, ketamine, etomidte, thiopentone, midazolam and propofol. Eur. J Anaesth 15, 480-485.</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863" w:right="100" w:hanging="711"/>
        <w:jc w:val="both"/>
      </w:pPr>
      <w:r>
        <w:rPr/>
        <w:t>Swan HJ</w:t>
      </w:r>
      <w:r>
        <w:rPr>
          <w:b/>
        </w:rPr>
        <w:t>, </w:t>
      </w:r>
      <w:r>
        <w:rPr/>
        <w:t>Ganz W, Forrester J, Marcus H, Diamond G, Chonette D. (1970) Catheterization of the heart in man with use of a flow-directed balloon-tipped catheter. </w:t>
      </w:r>
      <w:r>
        <w:rPr>
          <w:i/>
        </w:rPr>
        <w:t>N Engl J </w:t>
      </w:r>
      <w:r>
        <w:rPr>
          <w:i/>
        </w:rPr>
        <w:t>Med</w:t>
      </w:r>
      <w:r>
        <w:rPr/>
        <w:t>. 27; 283(9):447-51.</w:t>
      </w:r>
    </w:p>
    <w:p>
      <w:pPr>
        <w:pStyle w:val="BodyText"/>
      </w:pPr>
    </w:p>
    <w:p>
      <w:pPr>
        <w:pStyle w:val="BodyText"/>
        <w:spacing w:line="360" w:lineRule="auto" w:before="145"/>
        <w:ind w:left="863" w:right="104" w:hanging="711"/>
        <w:jc w:val="both"/>
      </w:pPr>
      <w:r>
        <w:rPr/>
        <w:t>Tajiri J, Katsuya H, Okamoto </w:t>
      </w:r>
      <w:r>
        <w:rPr>
          <w:spacing w:val="-3"/>
        </w:rPr>
        <w:t>K, </w:t>
      </w:r>
      <w:r>
        <w:rPr/>
        <w:t>Urata </w:t>
      </w:r>
      <w:r>
        <w:rPr>
          <w:spacing w:val="-3"/>
        </w:rPr>
        <w:t>K, </w:t>
      </w:r>
      <w:r>
        <w:rPr/>
        <w:t>Sato T. (1984). The effects of the respiratory cycle by mechanical ventilation on cardiac output measured using the thermodilution method.” </w:t>
      </w:r>
      <w:r>
        <w:rPr>
          <w:i/>
        </w:rPr>
        <w:t>Jpn Circ J</w:t>
      </w:r>
      <w:r>
        <w:rPr/>
        <w:t>:</w:t>
      </w:r>
      <w:r>
        <w:rPr>
          <w:spacing w:val="-7"/>
        </w:rPr>
        <w:t> </w:t>
      </w:r>
      <w:r>
        <w:rPr/>
        <w:t>328-30.</w:t>
      </w:r>
    </w:p>
    <w:p>
      <w:pPr>
        <w:pStyle w:val="BodyText"/>
      </w:pPr>
    </w:p>
    <w:p>
      <w:pPr>
        <w:pStyle w:val="BodyText"/>
        <w:spacing w:line="360" w:lineRule="auto" w:before="145"/>
        <w:ind w:left="863" w:right="112" w:hanging="711"/>
        <w:jc w:val="both"/>
      </w:pPr>
      <w:r>
        <w:rPr/>
        <w:t>Talke PO, Lobo EP, Brown R, </w:t>
      </w:r>
      <w:r>
        <w:rPr>
          <w:i/>
        </w:rPr>
        <w:t>et al</w:t>
      </w:r>
      <w:r>
        <w:rPr/>
        <w:t>. (2001) Clonidine-induced vasoconstriction in awake volunteers. Anesth Analg; 93, 271–276.</w:t>
      </w:r>
    </w:p>
    <w:p>
      <w:pPr>
        <w:pStyle w:val="BodyText"/>
      </w:pPr>
    </w:p>
    <w:p>
      <w:pPr>
        <w:pStyle w:val="BodyText"/>
        <w:spacing w:line="360" w:lineRule="auto" w:before="146"/>
        <w:ind w:left="863" w:right="114" w:hanging="711"/>
        <w:jc w:val="both"/>
      </w:pPr>
      <w:r>
        <w:rPr/>
        <w:t>Tournadre JP, Chassard D, Muchada R. (1997) Overestimation of low cardiac output measured by thermodilution. </w:t>
      </w:r>
      <w:r>
        <w:rPr>
          <w:i/>
        </w:rPr>
        <w:t>Br J Anaesth</w:t>
      </w:r>
      <w:r>
        <w:rPr/>
        <w:t>; 79(4):514-6.</w:t>
      </w:r>
    </w:p>
    <w:p>
      <w:pPr>
        <w:pStyle w:val="BodyText"/>
      </w:pPr>
    </w:p>
    <w:p>
      <w:pPr>
        <w:pStyle w:val="BodyText"/>
        <w:spacing w:line="362" w:lineRule="auto" w:before="141"/>
        <w:ind w:left="863" w:right="116" w:hanging="711"/>
        <w:jc w:val="both"/>
      </w:pPr>
      <w:r>
        <w:rPr/>
        <w:t>Thurmon JC, Tranquilli WJ, John-Benson G. (2003) Fundamentos de anestesia y analgesia en pequeños animales.” Masson, Editorial Elsevier España, Barcelona.</w:t>
      </w:r>
    </w:p>
    <w:p>
      <w:pPr>
        <w:pStyle w:val="BodyText"/>
      </w:pPr>
    </w:p>
    <w:p>
      <w:pPr>
        <w:pStyle w:val="BodyText"/>
        <w:spacing w:line="362" w:lineRule="auto" w:before="138"/>
        <w:ind w:left="863" w:right="111" w:hanging="711"/>
        <w:jc w:val="both"/>
      </w:pPr>
      <w:r>
        <w:rPr/>
        <w:t>Uilenreef, J. J., Murrell, J. C., McKusick, B. C. and Hellebrekers L. J. (2008) Dexmedetomidine continuous rate infusion during isoflurane anaesthesia in canine surgical patients. </w:t>
      </w:r>
      <w:r>
        <w:rPr>
          <w:i/>
        </w:rPr>
        <w:t>Vet. Anaesth. Analg. </w:t>
      </w:r>
      <w:r>
        <w:rPr/>
        <w:t>35: 1–12.</w:t>
      </w:r>
    </w:p>
    <w:p>
      <w:pPr>
        <w:pStyle w:val="BodyText"/>
      </w:pPr>
    </w:p>
    <w:p>
      <w:pPr>
        <w:pStyle w:val="BodyText"/>
        <w:spacing w:line="360" w:lineRule="auto" w:before="138"/>
        <w:ind w:left="863" w:right="106" w:hanging="711"/>
        <w:jc w:val="both"/>
      </w:pPr>
      <w:r>
        <w:rPr/>
        <w:t>Valverde A, Doherty TJ, Hernández </w:t>
      </w:r>
      <w:r>
        <w:rPr>
          <w:i/>
        </w:rPr>
        <w:t>et al </w:t>
      </w:r>
      <w:r>
        <w:rPr/>
        <w:t>(2004) Effect of lidocaine on the minimum alveolar concentration of isoflurane in dogs. Vet Anaesth Analg 31, 264-271.</w:t>
      </w:r>
    </w:p>
    <w:p>
      <w:pPr>
        <w:pStyle w:val="BodyText"/>
      </w:pPr>
    </w:p>
    <w:p>
      <w:pPr>
        <w:pStyle w:val="BodyText"/>
        <w:spacing w:line="360" w:lineRule="auto" w:before="145"/>
        <w:ind w:left="863" w:right="105" w:hanging="711"/>
        <w:jc w:val="both"/>
      </w:pPr>
      <w:r>
        <w:rPr/>
        <w:t>von Spiegel T, Wietasch G, Bürsch J, Hoeft A. (1996) Cardiac output determination with transpulmonary thermodilution. An alternative to pulmonary catheterization? </w:t>
      </w:r>
      <w:r>
        <w:rPr>
          <w:i/>
        </w:rPr>
        <w:t>Anaesthesist</w:t>
      </w:r>
      <w:r>
        <w:rPr/>
        <w:t>. 1996 Nov; 45(11):1045-50. Abstract.</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863" w:right="102" w:hanging="711"/>
        <w:jc w:val="both"/>
      </w:pPr>
      <w:r>
        <w:rPr/>
        <w:t>Weissman MS, Altus P. (1989) “Heart block after Swan-Ganz insertion.” Hosp Pract (Off Ed). Oct 15; 24(10):36.</w:t>
      </w:r>
    </w:p>
    <w:p>
      <w:pPr>
        <w:pStyle w:val="BodyText"/>
      </w:pPr>
    </w:p>
    <w:p>
      <w:pPr>
        <w:pStyle w:val="BodyText"/>
        <w:spacing w:line="360" w:lineRule="auto" w:before="146"/>
        <w:ind w:left="863" w:right="109" w:hanging="711"/>
        <w:jc w:val="both"/>
      </w:pPr>
      <w:r>
        <w:rPr/>
        <w:t>Willems EW, Valdivia LF, Saxena PR, </w:t>
      </w:r>
      <w:r>
        <w:rPr>
          <w:i/>
        </w:rPr>
        <w:t>et al</w:t>
      </w:r>
      <w:r>
        <w:rPr/>
        <w:t>. (2001) The role of several alpha(1)- and alpha(2) –adrenoceptor subtypes mediating vasoconstriction in the canine external carotid circulation. Br J Pharmacol; 132, 1292–1298.</w:t>
      </w:r>
    </w:p>
    <w:p>
      <w:pPr>
        <w:pStyle w:val="BodyText"/>
      </w:pPr>
    </w:p>
    <w:p>
      <w:pPr>
        <w:pStyle w:val="BodyText"/>
        <w:spacing w:line="360" w:lineRule="auto" w:before="146"/>
        <w:ind w:left="863" w:right="106" w:hanging="711"/>
        <w:jc w:val="both"/>
      </w:pPr>
      <w:r>
        <w:rPr/>
        <w:t>Wilson J, Doherty TJ, Egger CM, </w:t>
      </w:r>
      <w:r>
        <w:rPr>
          <w:i/>
        </w:rPr>
        <w:t>et al</w:t>
      </w:r>
      <w:r>
        <w:rPr/>
        <w:t>. (2008) Effects of intravenous lidocaine, ketamine and the combination on the minimum alveolar concentration of s evoflurano  in dogs. Vet Anaesth Analg 2008; 35, 289-296.</w:t>
      </w:r>
    </w:p>
    <w:p>
      <w:pPr>
        <w:pStyle w:val="BodyText"/>
      </w:pPr>
    </w:p>
    <w:p>
      <w:pPr>
        <w:pStyle w:val="BodyText"/>
        <w:spacing w:line="360" w:lineRule="auto" w:before="146"/>
        <w:ind w:left="863" w:right="114" w:hanging="711"/>
        <w:jc w:val="both"/>
        <w:rPr>
          <w:sz w:val="22"/>
        </w:rPr>
      </w:pPr>
      <w:r>
        <w:rPr/>
        <w:t>Yamada T, Takeda j, Koyama K, et al. (1994) Effects of sevoflurane, isoflurane, enflurane, and halothane on left ventricular diastolic performance in dogs. J Cardiothorac Vasc Anesth; 8, 618-624</w:t>
      </w:r>
      <w:r>
        <w:rPr>
          <w:sz w:val="22"/>
        </w:rPr>
        <w:t>.</w:t>
      </w:r>
    </w:p>
    <w:p>
      <w:pPr>
        <w:pStyle w:val="BodyText"/>
        <w:spacing w:before="4"/>
        <w:rPr>
          <w:sz w:val="33"/>
        </w:rPr>
      </w:pPr>
    </w:p>
    <w:p>
      <w:pPr>
        <w:pStyle w:val="BodyText"/>
        <w:spacing w:line="360" w:lineRule="auto"/>
        <w:ind w:left="863" w:right="100" w:hanging="711"/>
        <w:jc w:val="both"/>
      </w:pPr>
      <w:r>
        <w:rPr/>
        <w:t>Yamashita K, Nishiyama T, Yokoyama T, Abe H, Manabe M. (2007) Effects of vasodilation on cardiac output measured by PulseCO. </w:t>
      </w:r>
      <w:r>
        <w:rPr>
          <w:i/>
        </w:rPr>
        <w:t>J Clin Monit Comput</w:t>
      </w:r>
      <w:r>
        <w:rPr/>
        <w:t>; 21(6):335-9.</w:t>
      </w:r>
    </w:p>
    <w:p>
      <w:pPr>
        <w:pStyle w:val="BodyText"/>
      </w:pPr>
    </w:p>
    <w:p>
      <w:pPr>
        <w:pStyle w:val="BodyText"/>
        <w:spacing w:line="360" w:lineRule="auto" w:before="141"/>
        <w:ind w:left="863" w:right="101" w:hanging="711"/>
        <w:jc w:val="both"/>
      </w:pPr>
      <w:r>
        <w:rPr/>
        <w:t>Yamashita, K., Okano, Y., Yamashita, M., Umar, M. A., Kushiro, T. and Muir, W. W. (2008) Effects of Carprofen and meloxicam with or without Butorphanol on the Minimum Alveolar Concentration of Sevoflurane in Dogs. </w:t>
      </w:r>
      <w:r>
        <w:rPr>
          <w:i/>
        </w:rPr>
        <w:t>J. Vet. Med. Sci. </w:t>
      </w:r>
      <w:r>
        <w:rPr/>
        <w:t>70: 29– 35.</w:t>
      </w:r>
    </w:p>
    <w:p>
      <w:pPr>
        <w:pStyle w:val="BodyText"/>
      </w:pPr>
    </w:p>
    <w:p>
      <w:pPr>
        <w:pStyle w:val="BodyText"/>
        <w:spacing w:line="360" w:lineRule="auto" w:before="145"/>
        <w:ind w:left="863" w:right="101" w:hanging="711"/>
        <w:jc w:val="both"/>
      </w:pPr>
      <w:r>
        <w:rPr/>
        <w:t>Yamashita, K., Iwasaki, Y., Umar, M. A. and Itami, T (2009) Effect of age on minimum alveolar concentration (MAC) of sevoflurane in dogs. </w:t>
      </w:r>
      <w:r>
        <w:rPr>
          <w:i/>
        </w:rPr>
        <w:t>J. Vet. Med. Sci. </w:t>
      </w:r>
      <w:r>
        <w:rPr/>
        <w:t>71: 1509– 1512.</w:t>
      </w:r>
    </w:p>
    <w:p>
      <w:pPr>
        <w:spacing w:after="0" w:line="360" w:lineRule="auto"/>
        <w:jc w:val="both"/>
        <w:sectPr>
          <w:pgSz w:w="12240" w:h="15840"/>
          <w:pgMar w:header="0" w:footer="1651" w:top="1500" w:bottom="1840" w:left="1720" w:right="1420"/>
        </w:sectPr>
      </w:pPr>
    </w:p>
    <w:p>
      <w:pPr>
        <w:pStyle w:val="BodyText"/>
        <w:spacing w:before="7"/>
        <w:rPr>
          <w:sz w:val="20"/>
        </w:rPr>
      </w:pPr>
    </w:p>
    <w:p>
      <w:pPr>
        <w:pStyle w:val="BodyText"/>
        <w:spacing w:line="360" w:lineRule="auto" w:before="69"/>
        <w:ind w:left="863" w:hanging="711"/>
      </w:pPr>
      <w:r>
        <w:rPr/>
        <w:t>Yelderman M (1990) Continuous measurement of cardiac output with the use of stochastic system identification techniques. J Clin Monit 6: 322-332.</w:t>
      </w:r>
    </w:p>
    <w:p>
      <w:pPr>
        <w:pStyle w:val="BodyText"/>
      </w:pPr>
    </w:p>
    <w:p>
      <w:pPr>
        <w:pStyle w:val="BodyText"/>
        <w:spacing w:line="360" w:lineRule="auto" w:before="146"/>
        <w:ind w:left="863" w:right="188" w:hanging="711"/>
      </w:pPr>
      <w:r>
        <w:rPr/>
        <w:t>Yelderman M, Quinn MD, McKown RC. (1992) “Thermal safety of a filamented pulmonary artery catheter.” </w:t>
      </w:r>
      <w:r>
        <w:rPr>
          <w:i/>
        </w:rPr>
        <w:t>J Clin Monit</w:t>
      </w:r>
      <w:r>
        <w:rPr/>
        <w:t>. 8(2):147-9.</w:t>
      </w:r>
    </w:p>
    <w:sectPr>
      <w:footerReference w:type="default" r:id="rId95"/>
      <w:pgSz w:w="12240" w:h="15840"/>
      <w:pgMar w:footer="1651" w:header="0" w:top="1500" w:bottom="1840" w:left="1720" w:right="14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28.619995pt;margin-top:698.432007pt;width:9.3pt;height:13.05pt;mso-position-horizontal-relative:page;mso-position-vertical-relative:page;z-index:-608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698.432007pt;width:15.05pt;height:13.05pt;mso-position-horizontal-relative:page;mso-position-vertical-relative:page;z-index:-606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698.432007pt;width:13.05pt;height:13.05pt;mso-position-horizontal-relative:page;mso-position-vertical-relative:page;z-index:-60592" type="#_x0000_t202" filled="false" stroked="false">
          <v:textbox inset="0,0,0,0">
            <w:txbxContent>
              <w:p>
                <w:pPr>
                  <w:spacing w:line="245" w:lineRule="exact" w:before="0"/>
                  <w:ind w:left="20" w:right="-2" w:firstLine="0"/>
                  <w:jc w:val="left"/>
                  <w:rPr>
                    <w:rFonts w:ascii="Calibri"/>
                    <w:sz w:val="22"/>
                  </w:rPr>
                </w:pPr>
                <w:r>
                  <w:rPr>
                    <w:rFonts w:ascii="Calibri"/>
                    <w:sz w:val="22"/>
                  </w:rPr>
                  <w:t>40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698.432007pt;width:15.05pt;height:13.05pt;mso-position-horizontal-relative:page;mso-position-vertical-relative:page;z-index:-605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698.432007pt;width:13.05pt;height:13.05pt;mso-position-horizontal-relative:page;mso-position-vertical-relative:page;z-index:-60544" type="#_x0000_t202" filled="false" stroked="false">
          <v:textbox inset="0,0,0,0">
            <w:txbxContent>
              <w:p>
                <w:pPr>
                  <w:spacing w:line="245" w:lineRule="exact" w:before="0"/>
                  <w:ind w:left="20" w:right="-2" w:firstLine="0"/>
                  <w:jc w:val="left"/>
                  <w:rPr>
                    <w:rFonts w:ascii="Calibri"/>
                    <w:sz w:val="22"/>
                  </w:rPr>
                </w:pPr>
                <w:r>
                  <w:rPr>
                    <w:rFonts w:ascii="Calibri"/>
                    <w:sz w:val="22"/>
                  </w:rPr>
                  <w:t>50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2.619995pt;margin-top:698.432007pt;width:15.05pt;height:13.05pt;mso-position-horizontal-relative:page;mso-position-vertical-relative:page;z-index:-605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54</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698.432007pt;width:13.05pt;height:13.05pt;mso-position-horizontal-relative:page;mso-position-vertical-relative:page;z-index:-60496" type="#_x0000_t202" filled="false" stroked="false">
          <v:textbox inset="0,0,0,0">
            <w:txbxContent>
              <w:p>
                <w:pPr>
                  <w:spacing w:line="245" w:lineRule="exact" w:before="0"/>
                  <w:ind w:left="20" w:right="-2" w:firstLine="0"/>
                  <w:jc w:val="left"/>
                  <w:rPr>
                    <w:rFonts w:ascii="Calibri"/>
                    <w:sz w:val="22"/>
                  </w:rPr>
                </w:pPr>
                <w:r>
                  <w:rPr>
                    <w:rFonts w:ascii="Calibri"/>
                    <w:sz w:val="22"/>
                  </w:rPr>
                  <w:t>60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698.432007pt;width:15.05pt;height:13.05pt;mso-position-horizontal-relative:page;mso-position-vertical-relative:page;z-index:-604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698.432007pt;width:15.05pt;height:13.05pt;mso-position-horizontal-relative:page;mso-position-vertical-relative:page;z-index:-604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64</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698.432007pt;width:13.05pt;height:13.05pt;mso-position-horizontal-relative:page;mso-position-vertical-relative:page;z-index:-60424" type="#_x0000_t202" filled="false" stroked="false">
          <v:textbox inset="0,0,0,0">
            <w:txbxContent>
              <w:p>
                <w:pPr>
                  <w:spacing w:line="245" w:lineRule="exact" w:before="0"/>
                  <w:ind w:left="20" w:right="-2" w:firstLine="0"/>
                  <w:jc w:val="left"/>
                  <w:rPr>
                    <w:rFonts w:ascii="Calibri"/>
                    <w:sz w:val="22"/>
                  </w:rPr>
                </w:pPr>
                <w:r>
                  <w:rPr>
                    <w:rFonts w:ascii="Calibri"/>
                    <w:sz w:val="22"/>
                  </w:rPr>
                  <w:t>70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1.179993pt;margin-top:698.432007pt;width:16.8pt;height:13.05pt;mso-position-horizontal-relative:page;mso-position-vertical-relative:page;z-index:-608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viii</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698.432007pt;width:15.05pt;height:13.05pt;mso-position-horizontal-relative:page;mso-position-vertical-relative:page;z-index:-604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698.432007pt;width:13.05pt;height:13.05pt;mso-position-horizontal-relative:page;mso-position-vertical-relative:page;z-index:-60376" type="#_x0000_t202" filled="false" stroked="false">
          <v:textbox inset="0,0,0,0">
            <w:txbxContent>
              <w:p>
                <w:pPr>
                  <w:spacing w:line="245" w:lineRule="exact" w:before="0"/>
                  <w:ind w:left="20" w:right="-2" w:firstLine="0"/>
                  <w:jc w:val="left"/>
                  <w:rPr>
                    <w:rFonts w:ascii="Calibri"/>
                    <w:sz w:val="22"/>
                  </w:rPr>
                </w:pPr>
                <w:r>
                  <w:rPr>
                    <w:rFonts w:ascii="Calibri"/>
                    <w:sz w:val="22"/>
                  </w:rPr>
                  <w:t>80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698.432007pt;width:15.05pt;height:13.05pt;mso-position-horizontal-relative:page;mso-position-vertical-relative:page;z-index:-603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698.432007pt;width:13.05pt;height:13.05pt;mso-position-horizontal-relative:page;mso-position-vertical-relative:page;z-index:-60328" type="#_x0000_t202" filled="false" stroked="false">
          <v:textbox inset="0,0,0,0">
            <w:txbxContent>
              <w:p>
                <w:pPr>
                  <w:spacing w:line="245" w:lineRule="exact" w:before="0"/>
                  <w:ind w:left="20" w:right="-2" w:firstLine="0"/>
                  <w:jc w:val="left"/>
                  <w:rPr>
                    <w:rFonts w:ascii="Calibri"/>
                    <w:sz w:val="22"/>
                  </w:rPr>
                </w:pPr>
                <w:r>
                  <w:rPr>
                    <w:rFonts w:ascii="Calibri"/>
                    <w:sz w:val="22"/>
                  </w:rPr>
                  <w:t>90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698.432007pt;width:15.05pt;height:13.05pt;mso-position-horizontal-relative:page;mso-position-vertical-relative:page;z-index:-603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859985pt;margin-top:698.432007pt;width:18.6pt;height:13.05pt;mso-position-horizontal-relative:page;mso-position-vertical-relative:page;z-index:-60280" type="#_x0000_t202" filled="false" stroked="false">
          <v:textbox inset="0,0,0,0">
            <w:txbxContent>
              <w:p>
                <w:pPr>
                  <w:spacing w:line="245" w:lineRule="exact" w:before="0"/>
                  <w:ind w:left="20" w:right="-3" w:firstLine="0"/>
                  <w:jc w:val="left"/>
                  <w:rPr>
                    <w:rFonts w:ascii="Calibri"/>
                    <w:sz w:val="22"/>
                  </w:rPr>
                </w:pPr>
                <w:r>
                  <w:rPr>
                    <w:rFonts w:ascii="Calibri"/>
                    <w:sz w:val="22"/>
                  </w:rPr>
                  <w:t>100</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6.859985pt;margin-top:698.432007pt;width:20.6pt;height:13.05pt;mso-position-horizontal-relative:page;mso-position-vertical-relative:page;z-index:-602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859985pt;margin-top:698.432007pt;width:18.6pt;height:13.05pt;mso-position-horizontal-relative:page;mso-position-vertical-relative:page;z-index:-60232" type="#_x0000_t202" filled="false" stroked="false">
          <v:textbox inset="0,0,0,0">
            <w:txbxContent>
              <w:p>
                <w:pPr>
                  <w:spacing w:line="245" w:lineRule="exact" w:before="0"/>
                  <w:ind w:left="20" w:right="-3" w:firstLine="0"/>
                  <w:jc w:val="left"/>
                  <w:rPr>
                    <w:rFonts w:ascii="Calibri"/>
                    <w:sz w:val="22"/>
                  </w:rPr>
                </w:pPr>
                <w:r>
                  <w:rPr>
                    <w:rFonts w:ascii="Calibri"/>
                    <w:sz w:val="22"/>
                  </w:rPr>
                  <w:t>110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460022pt;margin-top:698.432007pt;width:11.55pt;height:13.05pt;mso-position-horizontal-relative:page;mso-position-vertical-relative:page;z-index:-607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ix</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8.140015pt;margin-top:698.432007pt;width:9.6pt;height:13.05pt;mso-position-horizontal-relative:page;mso-position-vertical-relative:page;z-index:-607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698.432007pt;width:13.05pt;height:13.05pt;mso-position-horizontal-relative:page;mso-position-vertical-relative:page;z-index:-60736" type="#_x0000_t202" filled="false" stroked="false">
          <v:textbox inset="0,0,0,0">
            <w:txbxContent>
              <w:p>
                <w:pPr>
                  <w:spacing w:line="245" w:lineRule="exact" w:before="0"/>
                  <w:ind w:left="20" w:right="-2" w:firstLine="0"/>
                  <w:jc w:val="left"/>
                  <w:rPr>
                    <w:rFonts w:ascii="Calibri"/>
                    <w:sz w:val="22"/>
                  </w:rPr>
                </w:pPr>
                <w:r>
                  <w:rPr>
                    <w:rFonts w:ascii="Calibri"/>
                    <w:sz w:val="22"/>
                  </w:rPr>
                  <w:t>10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698.432007pt;width:15.05pt;height:13.05pt;mso-position-horizontal-relative:page;mso-position-vertical-relative:page;z-index:-607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698.432007pt;width:13.05pt;height:13.05pt;mso-position-horizontal-relative:page;mso-position-vertical-relative:page;z-index:-60688" type="#_x0000_t202" filled="false" stroked="false">
          <v:textbox inset="0,0,0,0">
            <w:txbxContent>
              <w:p>
                <w:pPr>
                  <w:spacing w:line="245" w:lineRule="exact" w:before="0"/>
                  <w:ind w:left="20" w:right="-2" w:firstLine="0"/>
                  <w:jc w:val="left"/>
                  <w:rPr>
                    <w:rFonts w:ascii="Calibri"/>
                    <w:sz w:val="22"/>
                  </w:rPr>
                </w:pPr>
                <w:r>
                  <w:rPr>
                    <w:rFonts w:ascii="Calibri"/>
                    <w:sz w:val="22"/>
                  </w:rPr>
                  <w:t>20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698.432007pt;width:15.05pt;height:13.05pt;mso-position-horizontal-relative:page;mso-position-vertical-relative:page;z-index:-606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619995pt;margin-top:698.432007pt;width:13.05pt;height:13.05pt;mso-position-horizontal-relative:page;mso-position-vertical-relative:page;z-index:-60640" type="#_x0000_t202" filled="false" stroked="false">
          <v:textbox inset="0,0,0,0">
            <w:txbxContent>
              <w:p>
                <w:pPr>
                  <w:spacing w:line="245" w:lineRule="exact" w:before="0"/>
                  <w:ind w:left="20" w:right="-2" w:firstLine="0"/>
                  <w:jc w:val="left"/>
                  <w:rPr>
                    <w:rFonts w:ascii="Calibri"/>
                    <w:sz w:val="22"/>
                  </w:rPr>
                </w:pPr>
                <w:r>
                  <w:rPr>
                    <w:rFonts w:ascii="Calibri"/>
                    <w:sz w:val="22"/>
                  </w:rPr>
                  <w:t>30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
    <w:multiLevelType w:val="hybridMultilevel"/>
    <w:lvl w:ilvl="0">
      <w:start w:val="1"/>
      <w:numFmt w:val="bullet"/>
      <w:lvlText w:val="•"/>
      <w:lvlJc w:val="left"/>
      <w:pPr>
        <w:ind w:left="152" w:hanging="154"/>
      </w:pPr>
      <w:rPr>
        <w:rFonts w:hint="default" w:ascii="Times New Roman" w:hAnsi="Times New Roman" w:eastAsia="Times New Roman" w:cs="Times New Roman"/>
        <w:w w:val="99"/>
        <w:sz w:val="24"/>
        <w:szCs w:val="24"/>
      </w:rPr>
    </w:lvl>
    <w:lvl w:ilvl="1">
      <w:start w:val="1"/>
      <w:numFmt w:val="bullet"/>
      <w:lvlText w:val="•"/>
      <w:lvlJc w:val="left"/>
      <w:pPr>
        <w:ind w:left="1058" w:hanging="154"/>
      </w:pPr>
      <w:rPr>
        <w:rFonts w:hint="default"/>
      </w:rPr>
    </w:lvl>
    <w:lvl w:ilvl="2">
      <w:start w:val="1"/>
      <w:numFmt w:val="bullet"/>
      <w:lvlText w:val="•"/>
      <w:lvlJc w:val="left"/>
      <w:pPr>
        <w:ind w:left="1956" w:hanging="154"/>
      </w:pPr>
      <w:rPr>
        <w:rFonts w:hint="default"/>
      </w:rPr>
    </w:lvl>
    <w:lvl w:ilvl="3">
      <w:start w:val="1"/>
      <w:numFmt w:val="bullet"/>
      <w:lvlText w:val="•"/>
      <w:lvlJc w:val="left"/>
      <w:pPr>
        <w:ind w:left="2854" w:hanging="154"/>
      </w:pPr>
      <w:rPr>
        <w:rFonts w:hint="default"/>
      </w:rPr>
    </w:lvl>
    <w:lvl w:ilvl="4">
      <w:start w:val="1"/>
      <w:numFmt w:val="bullet"/>
      <w:lvlText w:val="•"/>
      <w:lvlJc w:val="left"/>
      <w:pPr>
        <w:ind w:left="3752" w:hanging="154"/>
      </w:pPr>
      <w:rPr>
        <w:rFonts w:hint="default"/>
      </w:rPr>
    </w:lvl>
    <w:lvl w:ilvl="5">
      <w:start w:val="1"/>
      <w:numFmt w:val="bullet"/>
      <w:lvlText w:val="•"/>
      <w:lvlJc w:val="left"/>
      <w:pPr>
        <w:ind w:left="4650" w:hanging="154"/>
      </w:pPr>
      <w:rPr>
        <w:rFonts w:hint="default"/>
      </w:rPr>
    </w:lvl>
    <w:lvl w:ilvl="6">
      <w:start w:val="1"/>
      <w:numFmt w:val="bullet"/>
      <w:lvlText w:val="•"/>
      <w:lvlJc w:val="left"/>
      <w:pPr>
        <w:ind w:left="5548" w:hanging="154"/>
      </w:pPr>
      <w:rPr>
        <w:rFonts w:hint="default"/>
      </w:rPr>
    </w:lvl>
    <w:lvl w:ilvl="7">
      <w:start w:val="1"/>
      <w:numFmt w:val="bullet"/>
      <w:lvlText w:val="•"/>
      <w:lvlJc w:val="left"/>
      <w:pPr>
        <w:ind w:left="6446" w:hanging="154"/>
      </w:pPr>
      <w:rPr>
        <w:rFonts w:hint="default"/>
      </w:rPr>
    </w:lvl>
    <w:lvl w:ilvl="8">
      <w:start w:val="1"/>
      <w:numFmt w:val="bullet"/>
      <w:lvlText w:val="•"/>
      <w:lvlJc w:val="left"/>
      <w:pPr>
        <w:ind w:left="7344" w:hanging="154"/>
      </w:pPr>
      <w:rPr>
        <w:rFonts w:hint="default"/>
      </w:rPr>
    </w:lvl>
  </w:abstractNum>
  <w:abstractNum w:abstractNumId="5">
    <w:multiLevelType w:val="hybridMultilevel"/>
    <w:lvl w:ilvl="0">
      <w:start w:val="6"/>
      <w:numFmt w:val="decimal"/>
      <w:lvlText w:val="%1"/>
      <w:lvlJc w:val="left"/>
      <w:pPr>
        <w:ind w:left="517" w:hanging="365"/>
        <w:jc w:val="left"/>
      </w:pPr>
      <w:rPr>
        <w:rFonts w:hint="default"/>
      </w:rPr>
    </w:lvl>
    <w:lvl w:ilvl="1">
      <w:start w:val="7"/>
      <w:numFmt w:val="decimal"/>
      <w:lvlText w:val="%1.%2"/>
      <w:lvlJc w:val="left"/>
      <w:pPr>
        <w:ind w:left="517" w:hanging="365"/>
        <w:jc w:val="left"/>
      </w:pPr>
      <w:rPr>
        <w:rFonts w:hint="default" w:ascii="Times New Roman" w:hAnsi="Times New Roman" w:eastAsia="Times New Roman" w:cs="Times New Roman"/>
        <w:b/>
        <w:bCs/>
        <w:w w:val="100"/>
        <w:sz w:val="24"/>
        <w:szCs w:val="24"/>
      </w:rPr>
    </w:lvl>
    <w:lvl w:ilvl="2">
      <w:start w:val="1"/>
      <w:numFmt w:val="bullet"/>
      <w:lvlText w:val="•"/>
      <w:lvlJc w:val="left"/>
      <w:pPr>
        <w:ind w:left="2236" w:hanging="365"/>
      </w:pPr>
      <w:rPr>
        <w:rFonts w:hint="default"/>
      </w:rPr>
    </w:lvl>
    <w:lvl w:ilvl="3">
      <w:start w:val="1"/>
      <w:numFmt w:val="bullet"/>
      <w:lvlText w:val="•"/>
      <w:lvlJc w:val="left"/>
      <w:pPr>
        <w:ind w:left="3094" w:hanging="365"/>
      </w:pPr>
      <w:rPr>
        <w:rFonts w:hint="default"/>
      </w:rPr>
    </w:lvl>
    <w:lvl w:ilvl="4">
      <w:start w:val="1"/>
      <w:numFmt w:val="bullet"/>
      <w:lvlText w:val="•"/>
      <w:lvlJc w:val="left"/>
      <w:pPr>
        <w:ind w:left="3952" w:hanging="365"/>
      </w:pPr>
      <w:rPr>
        <w:rFonts w:hint="default"/>
      </w:rPr>
    </w:lvl>
    <w:lvl w:ilvl="5">
      <w:start w:val="1"/>
      <w:numFmt w:val="bullet"/>
      <w:lvlText w:val="•"/>
      <w:lvlJc w:val="left"/>
      <w:pPr>
        <w:ind w:left="4810" w:hanging="365"/>
      </w:pPr>
      <w:rPr>
        <w:rFonts w:hint="default"/>
      </w:rPr>
    </w:lvl>
    <w:lvl w:ilvl="6">
      <w:start w:val="1"/>
      <w:numFmt w:val="bullet"/>
      <w:lvlText w:val="•"/>
      <w:lvlJc w:val="left"/>
      <w:pPr>
        <w:ind w:left="5668" w:hanging="365"/>
      </w:pPr>
      <w:rPr>
        <w:rFonts w:hint="default"/>
      </w:rPr>
    </w:lvl>
    <w:lvl w:ilvl="7">
      <w:start w:val="1"/>
      <w:numFmt w:val="bullet"/>
      <w:lvlText w:val="•"/>
      <w:lvlJc w:val="left"/>
      <w:pPr>
        <w:ind w:left="6526" w:hanging="365"/>
      </w:pPr>
      <w:rPr>
        <w:rFonts w:hint="default"/>
      </w:rPr>
    </w:lvl>
    <w:lvl w:ilvl="8">
      <w:start w:val="1"/>
      <w:numFmt w:val="bullet"/>
      <w:lvlText w:val="•"/>
      <w:lvlJc w:val="left"/>
      <w:pPr>
        <w:ind w:left="7384" w:hanging="365"/>
      </w:pPr>
      <w:rPr>
        <w:rFonts w:hint="default"/>
      </w:rPr>
    </w:lvl>
  </w:abstractNum>
  <w:abstractNum w:abstractNumId="4">
    <w:multiLevelType w:val="hybridMultilevel"/>
    <w:lvl w:ilvl="0">
      <w:start w:val="2"/>
      <w:numFmt w:val="decimal"/>
      <w:lvlText w:val="%1"/>
      <w:lvlJc w:val="left"/>
      <w:pPr>
        <w:ind w:left="637" w:hanging="485"/>
        <w:jc w:val="left"/>
      </w:pPr>
      <w:rPr>
        <w:rFonts w:hint="default"/>
      </w:rPr>
    </w:lvl>
    <w:lvl w:ilvl="1">
      <w:start w:val="13"/>
      <w:numFmt w:val="decimal"/>
      <w:lvlText w:val="%1.%2"/>
      <w:lvlJc w:val="left"/>
      <w:pPr>
        <w:ind w:left="637" w:hanging="485"/>
        <w:jc w:val="left"/>
      </w:pPr>
      <w:rPr>
        <w:rFonts w:hint="default" w:ascii="Times New Roman" w:hAnsi="Times New Roman" w:eastAsia="Times New Roman" w:cs="Times New Roman"/>
        <w:b/>
        <w:bCs/>
        <w:w w:val="100"/>
        <w:sz w:val="24"/>
        <w:szCs w:val="24"/>
      </w:rPr>
    </w:lvl>
    <w:lvl w:ilvl="2">
      <w:start w:val="1"/>
      <w:numFmt w:val="decimal"/>
      <w:lvlText w:val="%1.%2.%3"/>
      <w:lvlJc w:val="left"/>
      <w:pPr>
        <w:ind w:left="815" w:hanging="663"/>
        <w:jc w:val="left"/>
      </w:pPr>
      <w:rPr>
        <w:rFonts w:hint="default" w:ascii="Times New Roman" w:hAnsi="Times New Roman" w:eastAsia="Times New Roman" w:cs="Times New Roman"/>
        <w:b/>
        <w:bCs/>
        <w:w w:val="100"/>
        <w:sz w:val="24"/>
        <w:szCs w:val="24"/>
      </w:rPr>
    </w:lvl>
    <w:lvl w:ilvl="3">
      <w:start w:val="1"/>
      <w:numFmt w:val="decimal"/>
      <w:lvlText w:val="%4)"/>
      <w:lvlJc w:val="left"/>
      <w:pPr>
        <w:ind w:left="152" w:hanging="264"/>
        <w:jc w:val="left"/>
      </w:pPr>
      <w:rPr>
        <w:rFonts w:hint="default" w:ascii="Times New Roman" w:hAnsi="Times New Roman" w:eastAsia="Times New Roman" w:cs="Times New Roman"/>
        <w:w w:val="99"/>
        <w:sz w:val="24"/>
        <w:szCs w:val="24"/>
      </w:rPr>
    </w:lvl>
    <w:lvl w:ilvl="4">
      <w:start w:val="1"/>
      <w:numFmt w:val="bullet"/>
      <w:lvlText w:val="•"/>
      <w:lvlJc w:val="left"/>
      <w:pPr>
        <w:ind w:left="2890" w:hanging="264"/>
      </w:pPr>
      <w:rPr>
        <w:rFonts w:hint="default"/>
      </w:rPr>
    </w:lvl>
    <w:lvl w:ilvl="5">
      <w:start w:val="1"/>
      <w:numFmt w:val="bullet"/>
      <w:lvlText w:val="•"/>
      <w:lvlJc w:val="left"/>
      <w:pPr>
        <w:ind w:left="3925" w:hanging="264"/>
      </w:pPr>
      <w:rPr>
        <w:rFonts w:hint="default"/>
      </w:rPr>
    </w:lvl>
    <w:lvl w:ilvl="6">
      <w:start w:val="1"/>
      <w:numFmt w:val="bullet"/>
      <w:lvlText w:val="•"/>
      <w:lvlJc w:val="left"/>
      <w:pPr>
        <w:ind w:left="4960" w:hanging="264"/>
      </w:pPr>
      <w:rPr>
        <w:rFonts w:hint="default"/>
      </w:rPr>
    </w:lvl>
    <w:lvl w:ilvl="7">
      <w:start w:val="1"/>
      <w:numFmt w:val="bullet"/>
      <w:lvlText w:val="•"/>
      <w:lvlJc w:val="left"/>
      <w:pPr>
        <w:ind w:left="5995" w:hanging="264"/>
      </w:pPr>
      <w:rPr>
        <w:rFonts w:hint="default"/>
      </w:rPr>
    </w:lvl>
    <w:lvl w:ilvl="8">
      <w:start w:val="1"/>
      <w:numFmt w:val="bullet"/>
      <w:lvlText w:val="•"/>
      <w:lvlJc w:val="left"/>
      <w:pPr>
        <w:ind w:left="7030" w:hanging="264"/>
      </w:pPr>
      <w:rPr>
        <w:rFonts w:hint="default"/>
      </w:rPr>
    </w:lvl>
  </w:abstractNum>
  <w:abstractNum w:abstractNumId="3">
    <w:multiLevelType w:val="hybridMultilevel"/>
    <w:lvl w:ilvl="0">
      <w:start w:val="2"/>
      <w:numFmt w:val="decimal"/>
      <w:lvlText w:val="%1"/>
      <w:lvlJc w:val="left"/>
      <w:pPr>
        <w:ind w:left="815" w:hanging="663"/>
        <w:jc w:val="left"/>
      </w:pPr>
      <w:rPr>
        <w:rFonts w:hint="default"/>
      </w:rPr>
    </w:lvl>
    <w:lvl w:ilvl="1">
      <w:start w:val="12"/>
      <w:numFmt w:val="decimal"/>
      <w:lvlText w:val="%1.%2"/>
      <w:lvlJc w:val="left"/>
      <w:pPr>
        <w:ind w:left="815" w:hanging="663"/>
        <w:jc w:val="left"/>
      </w:pPr>
      <w:rPr>
        <w:rFonts w:hint="default"/>
      </w:rPr>
    </w:lvl>
    <w:lvl w:ilvl="2">
      <w:start w:val="1"/>
      <w:numFmt w:val="decimal"/>
      <w:lvlText w:val="%1.%2.%3"/>
      <w:lvlJc w:val="left"/>
      <w:pPr>
        <w:ind w:left="815" w:hanging="663"/>
        <w:jc w:val="left"/>
      </w:pPr>
      <w:rPr>
        <w:rFonts w:hint="default" w:ascii="Times New Roman" w:hAnsi="Times New Roman" w:eastAsia="Times New Roman" w:cs="Times New Roman"/>
        <w:b/>
        <w:bCs/>
        <w:w w:val="100"/>
        <w:sz w:val="24"/>
        <w:szCs w:val="24"/>
      </w:rPr>
    </w:lvl>
    <w:lvl w:ilvl="3">
      <w:start w:val="1"/>
      <w:numFmt w:val="lowerLetter"/>
      <w:lvlText w:val="%4)"/>
      <w:lvlJc w:val="left"/>
      <w:pPr>
        <w:ind w:left="152" w:hanging="289"/>
        <w:jc w:val="left"/>
      </w:pPr>
      <w:rPr>
        <w:rFonts w:hint="default" w:ascii="Times New Roman" w:hAnsi="Times New Roman" w:eastAsia="Times New Roman" w:cs="Times New Roman"/>
        <w:spacing w:val="-25"/>
        <w:w w:val="99"/>
        <w:sz w:val="24"/>
        <w:szCs w:val="24"/>
      </w:rPr>
    </w:lvl>
    <w:lvl w:ilvl="4">
      <w:start w:val="1"/>
      <w:numFmt w:val="bullet"/>
      <w:lvlText w:val="•"/>
      <w:lvlJc w:val="left"/>
      <w:pPr>
        <w:ind w:left="3580" w:hanging="289"/>
      </w:pPr>
      <w:rPr>
        <w:rFonts w:hint="default"/>
      </w:rPr>
    </w:lvl>
    <w:lvl w:ilvl="5">
      <w:start w:val="1"/>
      <w:numFmt w:val="bullet"/>
      <w:lvlText w:val="•"/>
      <w:lvlJc w:val="left"/>
      <w:pPr>
        <w:ind w:left="4500" w:hanging="289"/>
      </w:pPr>
      <w:rPr>
        <w:rFonts w:hint="default"/>
      </w:rPr>
    </w:lvl>
    <w:lvl w:ilvl="6">
      <w:start w:val="1"/>
      <w:numFmt w:val="bullet"/>
      <w:lvlText w:val="•"/>
      <w:lvlJc w:val="left"/>
      <w:pPr>
        <w:ind w:left="5420" w:hanging="289"/>
      </w:pPr>
      <w:rPr>
        <w:rFonts w:hint="default"/>
      </w:rPr>
    </w:lvl>
    <w:lvl w:ilvl="7">
      <w:start w:val="1"/>
      <w:numFmt w:val="bullet"/>
      <w:lvlText w:val="•"/>
      <w:lvlJc w:val="left"/>
      <w:pPr>
        <w:ind w:left="6340" w:hanging="289"/>
      </w:pPr>
      <w:rPr>
        <w:rFonts w:hint="default"/>
      </w:rPr>
    </w:lvl>
    <w:lvl w:ilvl="8">
      <w:start w:val="1"/>
      <w:numFmt w:val="bullet"/>
      <w:lvlText w:val="•"/>
      <w:lvlJc w:val="left"/>
      <w:pPr>
        <w:ind w:left="7260" w:hanging="289"/>
      </w:pPr>
      <w:rPr>
        <w:rFonts w:hint="default"/>
      </w:rPr>
    </w:lvl>
  </w:abstractNum>
  <w:abstractNum w:abstractNumId="2">
    <w:multiLevelType w:val="hybridMultilevel"/>
    <w:lvl w:ilvl="0">
      <w:start w:val="2"/>
      <w:numFmt w:val="decimal"/>
      <w:lvlText w:val="%1"/>
      <w:lvlJc w:val="left"/>
      <w:pPr>
        <w:ind w:left="637" w:hanging="485"/>
        <w:jc w:val="left"/>
      </w:pPr>
      <w:rPr>
        <w:rFonts w:hint="default"/>
      </w:rPr>
    </w:lvl>
    <w:lvl w:ilvl="1">
      <w:start w:val="11"/>
      <w:numFmt w:val="decimal"/>
      <w:lvlText w:val="%1.%2"/>
      <w:lvlJc w:val="left"/>
      <w:pPr>
        <w:ind w:left="637" w:hanging="485"/>
        <w:jc w:val="left"/>
      </w:pPr>
      <w:rPr>
        <w:rFonts w:hint="default" w:ascii="Times New Roman" w:hAnsi="Times New Roman" w:eastAsia="Times New Roman" w:cs="Times New Roman"/>
        <w:b/>
        <w:bCs/>
        <w:w w:val="100"/>
        <w:sz w:val="24"/>
        <w:szCs w:val="24"/>
      </w:rPr>
    </w:lvl>
    <w:lvl w:ilvl="2">
      <w:start w:val="1"/>
      <w:numFmt w:val="bullet"/>
      <w:lvlText w:val="•"/>
      <w:lvlJc w:val="left"/>
      <w:pPr>
        <w:ind w:left="2332" w:hanging="485"/>
      </w:pPr>
      <w:rPr>
        <w:rFonts w:hint="default"/>
      </w:rPr>
    </w:lvl>
    <w:lvl w:ilvl="3">
      <w:start w:val="1"/>
      <w:numFmt w:val="bullet"/>
      <w:lvlText w:val="•"/>
      <w:lvlJc w:val="left"/>
      <w:pPr>
        <w:ind w:left="3178" w:hanging="485"/>
      </w:pPr>
      <w:rPr>
        <w:rFonts w:hint="default"/>
      </w:rPr>
    </w:lvl>
    <w:lvl w:ilvl="4">
      <w:start w:val="1"/>
      <w:numFmt w:val="bullet"/>
      <w:lvlText w:val="•"/>
      <w:lvlJc w:val="left"/>
      <w:pPr>
        <w:ind w:left="4024" w:hanging="485"/>
      </w:pPr>
      <w:rPr>
        <w:rFonts w:hint="default"/>
      </w:rPr>
    </w:lvl>
    <w:lvl w:ilvl="5">
      <w:start w:val="1"/>
      <w:numFmt w:val="bullet"/>
      <w:lvlText w:val="•"/>
      <w:lvlJc w:val="left"/>
      <w:pPr>
        <w:ind w:left="4870" w:hanging="485"/>
      </w:pPr>
      <w:rPr>
        <w:rFonts w:hint="default"/>
      </w:rPr>
    </w:lvl>
    <w:lvl w:ilvl="6">
      <w:start w:val="1"/>
      <w:numFmt w:val="bullet"/>
      <w:lvlText w:val="•"/>
      <w:lvlJc w:val="left"/>
      <w:pPr>
        <w:ind w:left="5716" w:hanging="485"/>
      </w:pPr>
      <w:rPr>
        <w:rFonts w:hint="default"/>
      </w:rPr>
    </w:lvl>
    <w:lvl w:ilvl="7">
      <w:start w:val="1"/>
      <w:numFmt w:val="bullet"/>
      <w:lvlText w:val="•"/>
      <w:lvlJc w:val="left"/>
      <w:pPr>
        <w:ind w:left="6562" w:hanging="485"/>
      </w:pPr>
      <w:rPr>
        <w:rFonts w:hint="default"/>
      </w:rPr>
    </w:lvl>
    <w:lvl w:ilvl="8">
      <w:start w:val="1"/>
      <w:numFmt w:val="bullet"/>
      <w:lvlText w:val="•"/>
      <w:lvlJc w:val="left"/>
      <w:pPr>
        <w:ind w:left="7408" w:hanging="485"/>
      </w:pPr>
      <w:rPr>
        <w:rFonts w:hint="default"/>
      </w:rPr>
    </w:lvl>
  </w:abstractNum>
  <w:abstractNum w:abstractNumId="1">
    <w:multiLevelType w:val="hybridMultilevel"/>
    <w:lvl w:ilvl="0">
      <w:start w:val="1"/>
      <w:numFmt w:val="decimal"/>
      <w:lvlText w:val="%1."/>
      <w:lvlJc w:val="left"/>
      <w:pPr>
        <w:ind w:left="397" w:hanging="245"/>
        <w:jc w:val="left"/>
      </w:pPr>
      <w:rPr>
        <w:rFonts w:hint="default"/>
        <w:b/>
        <w:bCs/>
        <w:w w:val="100"/>
      </w:rPr>
    </w:lvl>
    <w:lvl w:ilvl="1">
      <w:start w:val="1"/>
      <w:numFmt w:val="decimal"/>
      <w:lvlText w:val="%1.%2"/>
      <w:lvlJc w:val="left"/>
      <w:pPr>
        <w:ind w:left="517" w:hanging="365"/>
        <w:jc w:val="left"/>
      </w:pPr>
      <w:rPr>
        <w:rFonts w:hint="default" w:ascii="Times New Roman" w:hAnsi="Times New Roman" w:eastAsia="Times New Roman" w:cs="Times New Roman"/>
        <w:b/>
        <w:bCs/>
        <w:w w:val="100"/>
        <w:sz w:val="24"/>
        <w:szCs w:val="24"/>
      </w:rPr>
    </w:lvl>
    <w:lvl w:ilvl="2">
      <w:start w:val="1"/>
      <w:numFmt w:val="decimal"/>
      <w:lvlText w:val="%1.%2.%3"/>
      <w:lvlJc w:val="left"/>
      <w:pPr>
        <w:ind w:left="695" w:hanging="543"/>
        <w:jc w:val="left"/>
      </w:pPr>
      <w:rPr>
        <w:rFonts w:hint="default" w:ascii="Times New Roman" w:hAnsi="Times New Roman" w:eastAsia="Times New Roman" w:cs="Times New Roman"/>
        <w:b/>
        <w:bCs/>
        <w:w w:val="100"/>
        <w:sz w:val="24"/>
        <w:szCs w:val="24"/>
      </w:rPr>
    </w:lvl>
    <w:lvl w:ilvl="3">
      <w:start w:val="1"/>
      <w:numFmt w:val="bullet"/>
      <w:lvlText w:val="•"/>
      <w:lvlJc w:val="left"/>
      <w:pPr>
        <w:ind w:left="820" w:hanging="543"/>
      </w:pPr>
      <w:rPr>
        <w:rFonts w:hint="default"/>
      </w:rPr>
    </w:lvl>
    <w:lvl w:ilvl="4">
      <w:start w:val="1"/>
      <w:numFmt w:val="bullet"/>
      <w:lvlText w:val="•"/>
      <w:lvlJc w:val="left"/>
      <w:pPr>
        <w:ind w:left="2002" w:hanging="543"/>
      </w:pPr>
      <w:rPr>
        <w:rFonts w:hint="default"/>
      </w:rPr>
    </w:lvl>
    <w:lvl w:ilvl="5">
      <w:start w:val="1"/>
      <w:numFmt w:val="bullet"/>
      <w:lvlText w:val="•"/>
      <w:lvlJc w:val="left"/>
      <w:pPr>
        <w:ind w:left="3185" w:hanging="543"/>
      </w:pPr>
      <w:rPr>
        <w:rFonts w:hint="default"/>
      </w:rPr>
    </w:lvl>
    <w:lvl w:ilvl="6">
      <w:start w:val="1"/>
      <w:numFmt w:val="bullet"/>
      <w:lvlText w:val="•"/>
      <w:lvlJc w:val="left"/>
      <w:pPr>
        <w:ind w:left="4368" w:hanging="543"/>
      </w:pPr>
      <w:rPr>
        <w:rFonts w:hint="default"/>
      </w:rPr>
    </w:lvl>
    <w:lvl w:ilvl="7">
      <w:start w:val="1"/>
      <w:numFmt w:val="bullet"/>
      <w:lvlText w:val="•"/>
      <w:lvlJc w:val="left"/>
      <w:pPr>
        <w:ind w:left="5551" w:hanging="543"/>
      </w:pPr>
      <w:rPr>
        <w:rFonts w:hint="default"/>
      </w:rPr>
    </w:lvl>
    <w:lvl w:ilvl="8">
      <w:start w:val="1"/>
      <w:numFmt w:val="bullet"/>
      <w:lvlText w:val="•"/>
      <w:lvlJc w:val="left"/>
      <w:pPr>
        <w:ind w:left="6734" w:hanging="543"/>
      </w:pPr>
      <w:rPr>
        <w:rFonts w:hint="default"/>
      </w:rPr>
    </w:lvl>
  </w:abstractNum>
  <w:abstractNum w:abstractNumId="0">
    <w:multiLevelType w:val="hybridMultilevel"/>
    <w:lvl w:ilvl="0">
      <w:start w:val="1"/>
      <w:numFmt w:val="decimal"/>
      <w:lvlText w:val="%1."/>
      <w:lvlJc w:val="left"/>
      <w:pPr>
        <w:ind w:left="599" w:hanging="226"/>
        <w:jc w:val="left"/>
      </w:pPr>
      <w:rPr>
        <w:rFonts w:hint="default" w:ascii="Times New Roman" w:hAnsi="Times New Roman" w:eastAsia="Times New Roman" w:cs="Times New Roman"/>
        <w:w w:val="100"/>
        <w:sz w:val="22"/>
        <w:szCs w:val="22"/>
      </w:rPr>
    </w:lvl>
    <w:lvl w:ilvl="1">
      <w:start w:val="1"/>
      <w:numFmt w:val="decimal"/>
      <w:lvlText w:val="%1.%2"/>
      <w:lvlJc w:val="left"/>
      <w:pPr>
        <w:ind w:left="709" w:hanging="336"/>
        <w:jc w:val="left"/>
      </w:pPr>
      <w:rPr>
        <w:rFonts w:hint="default" w:ascii="Times New Roman" w:hAnsi="Times New Roman" w:eastAsia="Times New Roman" w:cs="Times New Roman"/>
        <w:w w:val="100"/>
        <w:sz w:val="22"/>
        <w:szCs w:val="22"/>
      </w:rPr>
    </w:lvl>
    <w:lvl w:ilvl="2">
      <w:start w:val="1"/>
      <w:numFmt w:val="decimal"/>
      <w:lvlText w:val="%1.%2.%3"/>
      <w:lvlJc w:val="left"/>
      <w:pPr>
        <w:ind w:left="1093" w:hanging="499"/>
        <w:jc w:val="left"/>
      </w:pPr>
      <w:rPr>
        <w:rFonts w:hint="default" w:ascii="Times New Roman" w:hAnsi="Times New Roman" w:eastAsia="Times New Roman" w:cs="Times New Roman"/>
        <w:w w:val="100"/>
        <w:sz w:val="22"/>
        <w:szCs w:val="22"/>
      </w:rPr>
    </w:lvl>
    <w:lvl w:ilvl="3">
      <w:start w:val="1"/>
      <w:numFmt w:val="bullet"/>
      <w:lvlText w:val="•"/>
      <w:lvlJc w:val="left"/>
      <w:pPr>
        <w:ind w:left="1100" w:hanging="499"/>
      </w:pPr>
      <w:rPr>
        <w:rFonts w:hint="default"/>
      </w:rPr>
    </w:lvl>
    <w:lvl w:ilvl="4">
      <w:start w:val="1"/>
      <w:numFmt w:val="bullet"/>
      <w:lvlText w:val="•"/>
      <w:lvlJc w:val="left"/>
      <w:pPr>
        <w:ind w:left="1200" w:hanging="499"/>
      </w:pPr>
      <w:rPr>
        <w:rFonts w:hint="default"/>
      </w:rPr>
    </w:lvl>
    <w:lvl w:ilvl="5">
      <w:start w:val="1"/>
      <w:numFmt w:val="bullet"/>
      <w:lvlText w:val="•"/>
      <w:lvlJc w:val="left"/>
      <w:pPr>
        <w:ind w:left="2516" w:hanging="499"/>
      </w:pPr>
      <w:rPr>
        <w:rFonts w:hint="default"/>
      </w:rPr>
    </w:lvl>
    <w:lvl w:ilvl="6">
      <w:start w:val="1"/>
      <w:numFmt w:val="bullet"/>
      <w:lvlText w:val="•"/>
      <w:lvlJc w:val="left"/>
      <w:pPr>
        <w:ind w:left="3833" w:hanging="499"/>
      </w:pPr>
      <w:rPr>
        <w:rFonts w:hint="default"/>
      </w:rPr>
    </w:lvl>
    <w:lvl w:ilvl="7">
      <w:start w:val="1"/>
      <w:numFmt w:val="bullet"/>
      <w:lvlText w:val="•"/>
      <w:lvlJc w:val="left"/>
      <w:pPr>
        <w:ind w:left="5150" w:hanging="499"/>
      </w:pPr>
      <w:rPr>
        <w:rFonts w:hint="default"/>
      </w:rPr>
    </w:lvl>
    <w:lvl w:ilvl="8">
      <w:start w:val="1"/>
      <w:numFmt w:val="bullet"/>
      <w:lvlText w:val="•"/>
      <w:lvlJc w:val="left"/>
      <w:pPr>
        <w:ind w:left="6466" w:hanging="499"/>
      </w:pPr>
      <w:rPr>
        <w:rFonts w:hint="default"/>
      </w:rPr>
    </w:lvl>
  </w:abstract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31"/>
      <w:ind w:left="152"/>
    </w:pPr>
    <w:rPr>
      <w:rFonts w:ascii="Times New Roman" w:hAnsi="Times New Roman" w:eastAsia="Times New Roman" w:cs="Times New Roman"/>
      <w:b/>
      <w:bCs/>
      <w:i/>
      <w:sz w:val="22"/>
      <w:szCs w:val="22"/>
    </w:rPr>
  </w:style>
  <w:style w:styleId="TOC2" w:type="paragraph">
    <w:name w:val="TOC 2"/>
    <w:basedOn w:val="Normal"/>
    <w:uiPriority w:val="1"/>
    <w:qFormat/>
    <w:pPr>
      <w:spacing w:before="121"/>
      <w:ind w:left="599" w:hanging="336"/>
    </w:pPr>
    <w:rPr>
      <w:rFonts w:ascii="Times New Roman" w:hAnsi="Times New Roman" w:eastAsia="Times New Roman" w:cs="Times New Roman"/>
      <w:sz w:val="22"/>
      <w:szCs w:val="22"/>
    </w:rPr>
  </w:style>
  <w:style w:styleId="TOC3" w:type="paragraph">
    <w:name w:val="TOC 3"/>
    <w:basedOn w:val="Normal"/>
    <w:uiPriority w:val="1"/>
    <w:qFormat/>
    <w:pPr>
      <w:spacing w:before="126"/>
      <w:ind w:left="925" w:hanging="331"/>
    </w:pPr>
    <w:rPr>
      <w:rFonts w:ascii="Times New Roman" w:hAnsi="Times New Roman" w:eastAsia="Times New Roman" w:cs="Times New Roman"/>
      <w:sz w:val="22"/>
      <w:szCs w:val="22"/>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63"/>
      <w:ind w:right="144"/>
      <w:jc w:val="right"/>
      <w:outlineLvl w:val="1"/>
    </w:pPr>
    <w:rPr>
      <w:rFonts w:ascii="Times New Roman" w:hAnsi="Times New Roman" w:eastAsia="Times New Roman" w:cs="Times New Roman"/>
      <w:b/>
      <w:bCs/>
      <w:sz w:val="28"/>
      <w:szCs w:val="28"/>
    </w:rPr>
  </w:style>
  <w:style w:styleId="Heading2" w:type="paragraph">
    <w:name w:val="Heading 2"/>
    <w:basedOn w:val="Normal"/>
    <w:uiPriority w:val="1"/>
    <w:qFormat/>
    <w:pPr>
      <w:spacing w:before="69"/>
      <w:ind w:left="517" w:hanging="365"/>
      <w:outlineLvl w:val="2"/>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before="126"/>
      <w:ind w:left="815" w:hanging="365"/>
    </w:pPr>
    <w:rPr>
      <w:rFonts w:ascii="Times New Roman" w:hAnsi="Times New Roman" w:eastAsia="Times New Roman" w:cs="Times New Roman"/>
    </w:rPr>
  </w:style>
  <w:style w:styleId="TableParagraph" w:type="paragraph">
    <w:name w:val="Table Paragraph"/>
    <w:basedOn w:val="Normal"/>
    <w:uiPriority w:val="1"/>
    <w:qFormat/>
    <w:pPr>
      <w:spacing w:before="51"/>
      <w:ind w:left="200"/>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image" Target="media/image2.png"/><Relationship Id="rId11" Type="http://schemas.openxmlformats.org/officeDocument/2006/relationships/footer" Target="footer5.xml"/><Relationship Id="rId12" Type="http://schemas.openxmlformats.org/officeDocument/2006/relationships/image" Target="media/image3.jpeg"/><Relationship Id="rId13" Type="http://schemas.openxmlformats.org/officeDocument/2006/relationships/footer" Target="footer6.xml"/><Relationship Id="rId14" Type="http://schemas.openxmlformats.org/officeDocument/2006/relationships/image" Target="media/image4.jpeg"/><Relationship Id="rId15" Type="http://schemas.openxmlformats.org/officeDocument/2006/relationships/footer" Target="footer7.xml"/><Relationship Id="rId16" Type="http://schemas.openxmlformats.org/officeDocument/2006/relationships/footer" Target="footer8.xml"/><Relationship Id="rId17" Type="http://schemas.openxmlformats.org/officeDocument/2006/relationships/image" Target="media/image5.jpeg"/><Relationship Id="rId18" Type="http://schemas.openxmlformats.org/officeDocument/2006/relationships/image" Target="media/image6.jpeg"/><Relationship Id="rId19" Type="http://schemas.openxmlformats.org/officeDocument/2006/relationships/image" Target="media/image7.jpeg"/><Relationship Id="rId20" Type="http://schemas.openxmlformats.org/officeDocument/2006/relationships/image" Target="media/image8.jpeg"/><Relationship Id="rId21" Type="http://schemas.openxmlformats.org/officeDocument/2006/relationships/image" Target="media/image9.jpeg"/><Relationship Id="rId22" Type="http://schemas.openxmlformats.org/officeDocument/2006/relationships/footer" Target="footer9.xml"/><Relationship Id="rId23" Type="http://schemas.openxmlformats.org/officeDocument/2006/relationships/footer" Target="footer10.xml"/><Relationship Id="rId24" Type="http://schemas.openxmlformats.org/officeDocument/2006/relationships/image" Target="media/image10.jpeg"/><Relationship Id="rId25" Type="http://schemas.openxmlformats.org/officeDocument/2006/relationships/image" Target="media/image11.png"/><Relationship Id="rId26" Type="http://schemas.openxmlformats.org/officeDocument/2006/relationships/image" Target="media/image12.png"/><Relationship Id="rId27" Type="http://schemas.openxmlformats.org/officeDocument/2006/relationships/footer" Target="footer11.xml"/><Relationship Id="rId28" Type="http://schemas.openxmlformats.org/officeDocument/2006/relationships/image" Target="media/image13.jpeg"/><Relationship Id="rId29" Type="http://schemas.openxmlformats.org/officeDocument/2006/relationships/footer" Target="footer12.xml"/><Relationship Id="rId30" Type="http://schemas.openxmlformats.org/officeDocument/2006/relationships/image" Target="media/image14.jpeg"/><Relationship Id="rId31" Type="http://schemas.openxmlformats.org/officeDocument/2006/relationships/image" Target="media/image15.jpeg"/><Relationship Id="rId32" Type="http://schemas.openxmlformats.org/officeDocument/2006/relationships/image" Target="media/image16.jpeg"/><Relationship Id="rId33" Type="http://schemas.openxmlformats.org/officeDocument/2006/relationships/image" Target="media/image17.jpeg"/><Relationship Id="rId34" Type="http://schemas.openxmlformats.org/officeDocument/2006/relationships/image" Target="media/image18.png"/><Relationship Id="rId35" Type="http://schemas.openxmlformats.org/officeDocument/2006/relationships/image" Target="media/image19.jpeg"/><Relationship Id="rId36" Type="http://schemas.openxmlformats.org/officeDocument/2006/relationships/image" Target="media/image20.png"/><Relationship Id="rId37" Type="http://schemas.openxmlformats.org/officeDocument/2006/relationships/image" Target="media/image21.jpeg"/><Relationship Id="rId38" Type="http://schemas.openxmlformats.org/officeDocument/2006/relationships/image" Target="media/image22.jpeg"/><Relationship Id="rId39" Type="http://schemas.openxmlformats.org/officeDocument/2006/relationships/image" Target="media/image23.jpeg"/><Relationship Id="rId40" Type="http://schemas.openxmlformats.org/officeDocument/2006/relationships/image" Target="media/image24.jpeg"/><Relationship Id="rId41" Type="http://schemas.openxmlformats.org/officeDocument/2006/relationships/image" Target="media/image25.jpeg"/><Relationship Id="rId42" Type="http://schemas.openxmlformats.org/officeDocument/2006/relationships/image" Target="media/image26.jpeg"/><Relationship Id="rId43" Type="http://schemas.openxmlformats.org/officeDocument/2006/relationships/image" Target="media/image27.jpeg"/><Relationship Id="rId44" Type="http://schemas.openxmlformats.org/officeDocument/2006/relationships/image" Target="media/image28.png"/><Relationship Id="rId45" Type="http://schemas.openxmlformats.org/officeDocument/2006/relationships/image" Target="media/image29.jpeg"/><Relationship Id="rId46" Type="http://schemas.openxmlformats.org/officeDocument/2006/relationships/image" Target="media/image30.jpeg"/><Relationship Id="rId47" Type="http://schemas.openxmlformats.org/officeDocument/2006/relationships/image" Target="media/image31.jpeg"/><Relationship Id="rId48" Type="http://schemas.openxmlformats.org/officeDocument/2006/relationships/image" Target="media/image32.jpeg"/><Relationship Id="rId49" Type="http://schemas.openxmlformats.org/officeDocument/2006/relationships/image" Target="media/image33.png"/><Relationship Id="rId50" Type="http://schemas.openxmlformats.org/officeDocument/2006/relationships/image" Target="media/image34.jpeg"/><Relationship Id="rId51" Type="http://schemas.openxmlformats.org/officeDocument/2006/relationships/image" Target="media/image35.jpeg"/><Relationship Id="rId52" Type="http://schemas.openxmlformats.org/officeDocument/2006/relationships/image" Target="media/image36.jpeg"/><Relationship Id="rId53" Type="http://schemas.openxmlformats.org/officeDocument/2006/relationships/image" Target="media/image37.jpeg"/><Relationship Id="rId54" Type="http://schemas.openxmlformats.org/officeDocument/2006/relationships/footer" Target="footer13.xml"/><Relationship Id="rId55" Type="http://schemas.openxmlformats.org/officeDocument/2006/relationships/footer" Target="footer14.xml"/><Relationship Id="rId56" Type="http://schemas.openxmlformats.org/officeDocument/2006/relationships/image" Target="media/image38.jpeg"/><Relationship Id="rId57" Type="http://schemas.openxmlformats.org/officeDocument/2006/relationships/image" Target="media/image39.jpeg"/><Relationship Id="rId58" Type="http://schemas.openxmlformats.org/officeDocument/2006/relationships/image" Target="media/image40.jpeg"/><Relationship Id="rId59" Type="http://schemas.openxmlformats.org/officeDocument/2006/relationships/image" Target="media/image41.jpeg"/><Relationship Id="rId60" Type="http://schemas.openxmlformats.org/officeDocument/2006/relationships/image" Target="media/image42.jpeg"/><Relationship Id="rId61" Type="http://schemas.openxmlformats.org/officeDocument/2006/relationships/image" Target="media/image43.jpeg"/><Relationship Id="rId62" Type="http://schemas.openxmlformats.org/officeDocument/2006/relationships/image" Target="media/image44.jpeg"/><Relationship Id="rId63" Type="http://schemas.openxmlformats.org/officeDocument/2006/relationships/footer" Target="footer15.xml"/><Relationship Id="rId64" Type="http://schemas.openxmlformats.org/officeDocument/2006/relationships/image" Target="media/image45.jpeg"/><Relationship Id="rId65" Type="http://schemas.openxmlformats.org/officeDocument/2006/relationships/footer" Target="footer16.xml"/><Relationship Id="rId66" Type="http://schemas.openxmlformats.org/officeDocument/2006/relationships/image" Target="media/image46.png"/><Relationship Id="rId67" Type="http://schemas.openxmlformats.org/officeDocument/2006/relationships/image" Target="media/image47.png"/><Relationship Id="rId68" Type="http://schemas.openxmlformats.org/officeDocument/2006/relationships/footer" Target="footer17.xml"/><Relationship Id="rId69" Type="http://schemas.openxmlformats.org/officeDocument/2006/relationships/image" Target="media/image48.png"/><Relationship Id="rId70" Type="http://schemas.openxmlformats.org/officeDocument/2006/relationships/footer" Target="footer18.xml"/><Relationship Id="rId71" Type="http://schemas.openxmlformats.org/officeDocument/2006/relationships/image" Target="media/image49.png"/><Relationship Id="rId72" Type="http://schemas.openxmlformats.org/officeDocument/2006/relationships/image" Target="media/image50.png"/><Relationship Id="rId73" Type="http://schemas.openxmlformats.org/officeDocument/2006/relationships/image" Target="media/image51.png"/><Relationship Id="rId74" Type="http://schemas.openxmlformats.org/officeDocument/2006/relationships/image" Target="media/image52.png"/><Relationship Id="rId75" Type="http://schemas.openxmlformats.org/officeDocument/2006/relationships/image" Target="media/image53.png"/><Relationship Id="rId76" Type="http://schemas.openxmlformats.org/officeDocument/2006/relationships/image" Target="media/image54.png"/><Relationship Id="rId77" Type="http://schemas.openxmlformats.org/officeDocument/2006/relationships/footer" Target="footer19.xml"/><Relationship Id="rId78" Type="http://schemas.openxmlformats.org/officeDocument/2006/relationships/image" Target="media/image55.png"/><Relationship Id="rId79" Type="http://schemas.openxmlformats.org/officeDocument/2006/relationships/footer" Target="footer20.xml"/><Relationship Id="rId80" Type="http://schemas.openxmlformats.org/officeDocument/2006/relationships/image" Target="media/image56.png"/><Relationship Id="rId81" Type="http://schemas.openxmlformats.org/officeDocument/2006/relationships/image" Target="media/image57.png"/><Relationship Id="rId82" Type="http://schemas.openxmlformats.org/officeDocument/2006/relationships/image" Target="media/image58.png"/><Relationship Id="rId83" Type="http://schemas.openxmlformats.org/officeDocument/2006/relationships/image" Target="media/image59.png"/><Relationship Id="rId84" Type="http://schemas.openxmlformats.org/officeDocument/2006/relationships/image" Target="media/image60.png"/><Relationship Id="rId85" Type="http://schemas.openxmlformats.org/officeDocument/2006/relationships/image" Target="media/image61.png"/><Relationship Id="rId86" Type="http://schemas.openxmlformats.org/officeDocument/2006/relationships/image" Target="media/image62.png"/><Relationship Id="rId87" Type="http://schemas.openxmlformats.org/officeDocument/2006/relationships/image" Target="media/image63.png"/><Relationship Id="rId88" Type="http://schemas.openxmlformats.org/officeDocument/2006/relationships/footer" Target="footer21.xml"/><Relationship Id="rId89" Type="http://schemas.openxmlformats.org/officeDocument/2006/relationships/footer" Target="footer22.xml"/><Relationship Id="rId90" Type="http://schemas.openxmlformats.org/officeDocument/2006/relationships/hyperlink" Target="http://www.asahq.org/publicationAndservices/standars/02" TargetMode="External"/><Relationship Id="rId91" Type="http://schemas.openxmlformats.org/officeDocument/2006/relationships/footer" Target="footer23.xml"/><Relationship Id="rId92" Type="http://schemas.openxmlformats.org/officeDocument/2006/relationships/footer" Target="footer24.xml"/><Relationship Id="rId93" Type="http://schemas.openxmlformats.org/officeDocument/2006/relationships/footer" Target="footer25.xml"/><Relationship Id="rId94" Type="http://schemas.openxmlformats.org/officeDocument/2006/relationships/footer" Target="footer26.xml"/><Relationship Id="rId95" Type="http://schemas.openxmlformats.org/officeDocument/2006/relationships/footer" Target="footer27.xml"/><Relationship Id="rId9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2017-05-23T21:51:56Z</dcterms:created>
  <dcterms:modified xsi:type="dcterms:W3CDTF">2017-05-23T21:51:56Z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2017-05-23T00:00:00Z</vt:filetime>
  </property>
</Properties>
</file>